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31,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June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26,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June 30,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3: Revenues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NBCUniversal Segments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Distribution, page 11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7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specific products and/or services transferred to your customers within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distribution and affiliate agreements. Tell us if you have combined any products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services for purposes of determining your performance obligations. Specifically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if these arrangements contain a video-on-demand library. Tell us if you believe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arrangements contain a functional license of intellectual property and if this is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predominant item to which royalties relate. Please also describe the judgements used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Brian L. Roberts Comcast Corporation September 24, 2018 Page 2</w:t>
      </w: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both the timing of satisfaction and amounts allocated to each performance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7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obligation. Refer to ASC 606-10-50-12 and 606-10-50-17. Content Licensing, page 11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if content licensing agreements include promises to provide content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libraries. If these arrangements are material, please tell us how you considered if existing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content and new content represent separate performance obligations and explain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judgments in determining both amounts allocated to and the timing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satisfaction of each performance obligation. Refer to ASC 606-10-50-12 and 606-10-50-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content licensing agreements that include variable pricing, you disclose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 revenue as variable amounts become known. Please further clarify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tell us how you consider amounts earned when there is a lag in reporting.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ASC 606-10-32-5 and 606-10-50-20.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4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Staff Accountant, at (202) 551-3376 or Robert 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Accountant Branch Chief, at (202) 551-3361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Greg Dundas,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Attorney-Advisor, at (202) 551-3436 or Larry Spirgel, Assistant Director,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3815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LastNameBrian L. Roberts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NameComcast Corporation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2018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Elizabeth Wideman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2019-12-06T19:21:46Z</dcterms:created>
  <dcterms:modified xsi:type="dcterms:W3CDTF">2019-12-06T19:21:46Z</dcterms:modified>
</cp:coreProperties>
</file>