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3298190</wp:posOffset>
            </wp:positionH>
            <wp:positionV relativeFrom="paragraph">
              <wp:posOffset>208915</wp:posOffset>
            </wp:positionV>
            <wp:extent cx="660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tbl>
      <w:tblPr>
        <w:tblLayout w:type="fixed"/>
        <w:tblInd w:w="600" w:type="dxa"/>
        <w:tblCellMar>
          <w:top w:w="0" w:type="dxa"/>
          <w:left w:w="0" w:type="dxa"/>
          <w:bottom w:w="0" w:type="dxa"/>
          <w:right w:w="0" w:type="dxa"/>
        </w:tblCellMar>
      </w:tblPr>
      <w:tr>
        <w:trPr>
          <w:trHeight w:val="421"/>
        </w:trPr>
        <w:tc>
          <w:tcPr>
            <w:tcW w:w="2600" w:type="dxa"/>
            <w:vAlign w:val="bottom"/>
          </w:tcPr>
          <w:p>
            <w:pPr>
              <w:spacing w:after="0"/>
              <w:rPr>
                <w:sz w:val="24"/>
                <w:szCs w:val="24"/>
                <w:color w:val="auto"/>
              </w:rPr>
            </w:pPr>
          </w:p>
        </w:tc>
        <w:tc>
          <w:tcPr>
            <w:tcW w:w="7400" w:type="dxa"/>
            <w:vAlign w:val="bottom"/>
          </w:tcPr>
          <w:p>
            <w:pPr>
              <w:jc w:val="center"/>
              <w:ind w:right="2252"/>
              <w:spacing w:after="0"/>
              <w:rPr>
                <w:sz w:val="20"/>
                <w:szCs w:val="20"/>
                <w:color w:val="auto"/>
              </w:rPr>
            </w:pPr>
            <w:r>
              <w:rPr>
                <w:rFonts w:ascii="Arial" w:cs="Arial" w:eastAsia="Arial" w:hAnsi="Arial"/>
                <w:sz w:val="32"/>
                <w:szCs w:val="32"/>
                <w:b w:val="1"/>
                <w:bCs w:val="1"/>
                <w:color w:val="auto"/>
              </w:rPr>
              <w:t>FORM 8-K</w:t>
            </w:r>
          </w:p>
        </w:tc>
      </w:tr>
      <w:tr>
        <w:trPr>
          <w:trHeight w:val="624"/>
        </w:trPr>
        <w:tc>
          <w:tcPr>
            <w:tcW w:w="2600" w:type="dxa"/>
            <w:vAlign w:val="bottom"/>
          </w:tcPr>
          <w:p>
            <w:pPr>
              <w:spacing w:after="0"/>
              <w:rPr>
                <w:sz w:val="24"/>
                <w:szCs w:val="24"/>
                <w:color w:val="auto"/>
              </w:rPr>
            </w:pPr>
          </w:p>
        </w:tc>
        <w:tc>
          <w:tcPr>
            <w:tcW w:w="7400" w:type="dxa"/>
            <w:vAlign w:val="bottom"/>
          </w:tcPr>
          <w:p>
            <w:pPr>
              <w:jc w:val="center"/>
              <w:ind w:right="2272"/>
              <w:spacing w:after="0"/>
              <w:rPr>
                <w:sz w:val="20"/>
                <w:szCs w:val="20"/>
                <w:color w:val="auto"/>
              </w:rPr>
            </w:pPr>
            <w:r>
              <w:rPr>
                <w:rFonts w:ascii="Arial" w:cs="Arial" w:eastAsia="Arial" w:hAnsi="Arial"/>
                <w:sz w:val="25"/>
                <w:szCs w:val="25"/>
                <w:b w:val="1"/>
                <w:bCs w:val="1"/>
                <w:color w:val="auto"/>
              </w:rPr>
              <w:t>CURRENT REPORT</w:t>
            </w:r>
          </w:p>
        </w:tc>
      </w:tr>
      <w:tr>
        <w:trPr>
          <w:trHeight w:val="297"/>
        </w:trPr>
        <w:tc>
          <w:tcPr>
            <w:tcW w:w="2600" w:type="dxa"/>
            <w:vAlign w:val="bottom"/>
          </w:tcPr>
          <w:p>
            <w:pPr>
              <w:spacing w:after="0"/>
              <w:rPr>
                <w:sz w:val="24"/>
                <w:szCs w:val="24"/>
                <w:color w:val="auto"/>
              </w:rPr>
            </w:pPr>
          </w:p>
        </w:tc>
        <w:tc>
          <w:tcPr>
            <w:tcW w:w="7400" w:type="dxa"/>
            <w:vAlign w:val="bottom"/>
          </w:tcPr>
          <w:p>
            <w:pPr>
              <w:jc w:val="center"/>
              <w:ind w:right="2272"/>
              <w:spacing w:after="0"/>
              <w:rPr>
                <w:sz w:val="20"/>
                <w:szCs w:val="20"/>
                <w:color w:val="auto"/>
              </w:rPr>
            </w:pPr>
            <w:r>
              <w:rPr>
                <w:rFonts w:ascii="Arial" w:cs="Arial" w:eastAsia="Arial" w:hAnsi="Arial"/>
                <w:sz w:val="25"/>
                <w:szCs w:val="25"/>
                <w:b w:val="1"/>
                <w:bCs w:val="1"/>
                <w:color w:val="auto"/>
                <w:w w:val="90"/>
              </w:rPr>
              <w:t>Pursuant to Section 13 or 15(d) of</w:t>
            </w:r>
          </w:p>
        </w:tc>
      </w:tr>
      <w:tr>
        <w:trPr>
          <w:trHeight w:val="329"/>
        </w:trPr>
        <w:tc>
          <w:tcPr>
            <w:tcW w:w="2600" w:type="dxa"/>
            <w:vAlign w:val="bottom"/>
          </w:tcPr>
          <w:p>
            <w:pPr>
              <w:spacing w:after="0"/>
              <w:rPr>
                <w:sz w:val="24"/>
                <w:szCs w:val="24"/>
                <w:color w:val="auto"/>
              </w:rPr>
            </w:pPr>
          </w:p>
        </w:tc>
        <w:tc>
          <w:tcPr>
            <w:tcW w:w="7400" w:type="dxa"/>
            <w:vAlign w:val="bottom"/>
          </w:tcPr>
          <w:p>
            <w:pPr>
              <w:jc w:val="center"/>
              <w:ind w:right="2252"/>
              <w:spacing w:after="0"/>
              <w:rPr>
                <w:sz w:val="20"/>
                <w:szCs w:val="20"/>
                <w:color w:val="auto"/>
              </w:rPr>
            </w:pPr>
            <w:r>
              <w:rPr>
                <w:rFonts w:ascii="Arial" w:cs="Arial" w:eastAsia="Arial" w:hAnsi="Arial"/>
                <w:sz w:val="25"/>
                <w:szCs w:val="25"/>
                <w:b w:val="1"/>
                <w:bCs w:val="1"/>
                <w:color w:val="auto"/>
                <w:w w:val="89"/>
              </w:rPr>
              <w:t>The Securities Exchange Act of 1934</w:t>
            </w:r>
          </w:p>
        </w:tc>
      </w:tr>
      <w:tr>
        <w:trPr>
          <w:trHeight w:val="505"/>
        </w:trPr>
        <w:tc>
          <w:tcPr>
            <w:tcW w:w="2600" w:type="dxa"/>
            <w:vAlign w:val="bottom"/>
          </w:tcPr>
          <w:p>
            <w:pPr>
              <w:spacing w:after="0"/>
              <w:rPr>
                <w:sz w:val="24"/>
                <w:szCs w:val="24"/>
                <w:color w:val="auto"/>
              </w:rPr>
            </w:pPr>
          </w:p>
        </w:tc>
        <w:tc>
          <w:tcPr>
            <w:tcW w:w="7400" w:type="dxa"/>
            <w:vAlign w:val="bottom"/>
          </w:tcPr>
          <w:p>
            <w:pPr>
              <w:jc w:val="center"/>
              <w:ind w:right="2272"/>
              <w:spacing w:after="0"/>
              <w:rPr>
                <w:sz w:val="20"/>
                <w:szCs w:val="20"/>
                <w:color w:val="auto"/>
              </w:rPr>
            </w:pPr>
            <w:r>
              <w:rPr>
                <w:rFonts w:ascii="Arial" w:cs="Arial" w:eastAsia="Arial" w:hAnsi="Arial"/>
                <w:sz w:val="18"/>
                <w:szCs w:val="18"/>
                <w:b w:val="1"/>
                <w:bCs w:val="1"/>
                <w:color w:val="auto"/>
                <w:w w:val="92"/>
              </w:rPr>
              <w:t>Date of report (Date of earliest event reported): May 26, 2016</w:t>
            </w:r>
          </w:p>
        </w:tc>
      </w:tr>
      <w:tr>
        <w:trPr>
          <w:trHeight w:val="693"/>
        </w:trPr>
        <w:tc>
          <w:tcPr>
            <w:tcW w:w="2600" w:type="dxa"/>
            <w:vAlign w:val="bottom"/>
          </w:tcPr>
          <w:p>
            <w:pPr>
              <w:spacing w:after="0"/>
              <w:rPr>
                <w:sz w:val="24"/>
                <w:szCs w:val="24"/>
                <w:color w:val="auto"/>
              </w:rPr>
            </w:pPr>
          </w:p>
        </w:tc>
        <w:tc>
          <w:tcPr>
            <w:tcW w:w="7400" w:type="dxa"/>
            <w:vAlign w:val="bottom"/>
          </w:tcPr>
          <w:p>
            <w:pPr>
              <w:jc w:val="center"/>
              <w:ind w:right="2272"/>
              <w:spacing w:after="0"/>
              <w:rPr>
                <w:sz w:val="20"/>
                <w:szCs w:val="20"/>
                <w:color w:val="auto"/>
              </w:rPr>
            </w:pPr>
            <w:r>
              <w:rPr>
                <w:rFonts w:ascii="Arial" w:cs="Arial" w:eastAsia="Arial" w:hAnsi="Arial"/>
                <w:sz w:val="43"/>
                <w:szCs w:val="43"/>
                <w:b w:val="1"/>
                <w:bCs w:val="1"/>
                <w:color w:val="auto"/>
                <w:w w:val="91"/>
              </w:rPr>
              <w:t>Comcast Corporation</w:t>
            </w:r>
          </w:p>
        </w:tc>
      </w:tr>
      <w:tr>
        <w:trPr>
          <w:trHeight w:val="186"/>
        </w:trPr>
        <w:tc>
          <w:tcPr>
            <w:tcW w:w="2600" w:type="dxa"/>
            <w:vAlign w:val="bottom"/>
          </w:tcPr>
          <w:p>
            <w:pPr>
              <w:spacing w:after="0"/>
              <w:rPr>
                <w:sz w:val="16"/>
                <w:szCs w:val="16"/>
                <w:color w:val="auto"/>
              </w:rPr>
            </w:pPr>
          </w:p>
        </w:tc>
        <w:tc>
          <w:tcPr>
            <w:tcW w:w="7400" w:type="dxa"/>
            <w:vAlign w:val="bottom"/>
          </w:tcPr>
          <w:p>
            <w:pPr>
              <w:jc w:val="center"/>
              <w:ind w:right="2272"/>
              <w:spacing w:after="0"/>
              <w:rPr>
                <w:sz w:val="20"/>
                <w:szCs w:val="20"/>
                <w:color w:val="auto"/>
              </w:rPr>
            </w:pPr>
            <w:r>
              <w:rPr>
                <w:rFonts w:ascii="Arial" w:cs="Arial" w:eastAsia="Arial" w:hAnsi="Arial"/>
                <w:sz w:val="14"/>
                <w:szCs w:val="14"/>
                <w:b w:val="1"/>
                <w:bCs w:val="1"/>
                <w:color w:val="auto"/>
                <w:w w:val="93"/>
              </w:rPr>
              <w:t>(Exact Name of Registrant as Specified in Charter)</w:t>
            </w:r>
          </w:p>
        </w:tc>
      </w:tr>
      <w:tr>
        <w:trPr>
          <w:trHeight w:val="394"/>
        </w:trPr>
        <w:tc>
          <w:tcPr>
            <w:tcW w:w="2600" w:type="dxa"/>
            <w:vAlign w:val="bottom"/>
          </w:tcPr>
          <w:p>
            <w:pPr>
              <w:spacing w:after="0"/>
              <w:rPr>
                <w:sz w:val="24"/>
                <w:szCs w:val="24"/>
                <w:color w:val="auto"/>
              </w:rPr>
            </w:pPr>
          </w:p>
        </w:tc>
        <w:tc>
          <w:tcPr>
            <w:tcW w:w="7400" w:type="dxa"/>
            <w:vAlign w:val="bottom"/>
          </w:tcPr>
          <w:p>
            <w:pPr>
              <w:jc w:val="center"/>
              <w:ind w:right="2352"/>
              <w:spacing w:after="0"/>
              <w:rPr>
                <w:sz w:val="20"/>
                <w:szCs w:val="20"/>
                <w:color w:val="auto"/>
              </w:rPr>
            </w:pPr>
            <w:r>
              <w:rPr>
                <w:rFonts w:ascii="Arial" w:cs="Arial" w:eastAsia="Arial" w:hAnsi="Arial"/>
                <w:sz w:val="18"/>
                <w:szCs w:val="18"/>
                <w:b w:val="1"/>
                <w:bCs w:val="1"/>
                <w:color w:val="auto"/>
                <w:w w:val="88"/>
              </w:rPr>
              <w:t>Pennsylvania</w:t>
            </w:r>
          </w:p>
        </w:tc>
      </w:tr>
      <w:tr>
        <w:trPr>
          <w:trHeight w:val="153"/>
        </w:trPr>
        <w:tc>
          <w:tcPr>
            <w:tcW w:w="2600" w:type="dxa"/>
            <w:vAlign w:val="bottom"/>
          </w:tcPr>
          <w:p>
            <w:pPr>
              <w:spacing w:after="0"/>
              <w:rPr>
                <w:sz w:val="13"/>
                <w:szCs w:val="13"/>
                <w:color w:val="auto"/>
              </w:rPr>
            </w:pPr>
          </w:p>
        </w:tc>
        <w:tc>
          <w:tcPr>
            <w:tcW w:w="7400" w:type="dxa"/>
            <w:vAlign w:val="bottom"/>
          </w:tcPr>
          <w:p>
            <w:pPr>
              <w:jc w:val="center"/>
              <w:ind w:right="2352"/>
              <w:spacing w:after="0" w:line="153" w:lineRule="exact"/>
              <w:rPr>
                <w:sz w:val="20"/>
                <w:szCs w:val="20"/>
                <w:color w:val="auto"/>
              </w:rPr>
            </w:pPr>
            <w:r>
              <w:rPr>
                <w:rFonts w:ascii="Arial" w:cs="Arial" w:eastAsia="Arial" w:hAnsi="Arial"/>
                <w:sz w:val="14"/>
                <w:szCs w:val="14"/>
                <w:b w:val="1"/>
                <w:bCs w:val="1"/>
                <w:color w:val="auto"/>
                <w:w w:val="94"/>
              </w:rPr>
              <w:t>(State or other jurisdiction of incorporation)</w:t>
            </w:r>
          </w:p>
        </w:tc>
      </w:tr>
      <w:tr>
        <w:trPr>
          <w:trHeight w:val="212"/>
        </w:trPr>
        <w:tc>
          <w:tcPr>
            <w:tcW w:w="2600" w:type="dxa"/>
            <w:vAlign w:val="bottom"/>
          </w:tcPr>
          <w:p>
            <w:pPr>
              <w:jc w:val="center"/>
              <w:ind w:right="57"/>
              <w:spacing w:after="0"/>
              <w:rPr>
                <w:sz w:val="20"/>
                <w:szCs w:val="20"/>
                <w:color w:val="auto"/>
              </w:rPr>
            </w:pPr>
            <w:r>
              <w:rPr>
                <w:rFonts w:ascii="Arial" w:cs="Arial" w:eastAsia="Arial" w:hAnsi="Arial"/>
                <w:sz w:val="18"/>
                <w:szCs w:val="18"/>
                <w:b w:val="1"/>
                <w:bCs w:val="1"/>
                <w:color w:val="auto"/>
                <w:w w:val="90"/>
              </w:rPr>
              <w:t>001-32871</w:t>
            </w:r>
          </w:p>
        </w:tc>
        <w:tc>
          <w:tcPr>
            <w:tcW w:w="7400" w:type="dxa"/>
            <w:vAlign w:val="bottom"/>
          </w:tcPr>
          <w:p>
            <w:pPr>
              <w:jc w:val="center"/>
              <w:ind w:left="5172"/>
              <w:spacing w:after="0"/>
              <w:rPr>
                <w:sz w:val="20"/>
                <w:szCs w:val="20"/>
                <w:color w:val="auto"/>
              </w:rPr>
            </w:pPr>
            <w:r>
              <w:rPr>
                <w:rFonts w:ascii="Arial" w:cs="Arial" w:eastAsia="Arial" w:hAnsi="Arial"/>
                <w:sz w:val="18"/>
                <w:szCs w:val="18"/>
                <w:b w:val="1"/>
                <w:bCs w:val="1"/>
                <w:color w:val="auto"/>
                <w:w w:val="91"/>
              </w:rPr>
              <w:t>27-0000798</w:t>
            </w:r>
          </w:p>
        </w:tc>
      </w:tr>
      <w:tr>
        <w:trPr>
          <w:trHeight w:val="186"/>
        </w:trPr>
        <w:tc>
          <w:tcPr>
            <w:tcW w:w="26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(Commission File Number)</w:t>
            </w:r>
          </w:p>
        </w:tc>
        <w:tc>
          <w:tcPr>
            <w:tcW w:w="7400" w:type="dxa"/>
            <w:vAlign w:val="bottom"/>
          </w:tcPr>
          <w:p>
            <w:pPr>
              <w:jc w:val="center"/>
              <w:ind w:left="5192"/>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611"/>
        </w:trPr>
        <w:tc>
          <w:tcPr>
            <w:tcW w:w="2600" w:type="dxa"/>
            <w:vAlign w:val="bottom"/>
          </w:tcPr>
          <w:p>
            <w:pPr>
              <w:jc w:val="center"/>
              <w:ind w:right="37"/>
              <w:spacing w:after="0"/>
              <w:rPr>
                <w:sz w:val="20"/>
                <w:szCs w:val="20"/>
                <w:color w:val="auto"/>
              </w:rPr>
            </w:pPr>
            <w:r>
              <w:rPr>
                <w:rFonts w:ascii="Arial" w:cs="Arial" w:eastAsia="Arial" w:hAnsi="Arial"/>
                <w:sz w:val="18"/>
                <w:szCs w:val="18"/>
                <w:b w:val="1"/>
                <w:bCs w:val="1"/>
                <w:color w:val="auto"/>
                <w:w w:val="89"/>
              </w:rPr>
              <w:t>One Comcast Center</w:t>
            </w:r>
          </w:p>
        </w:tc>
        <w:tc>
          <w:tcPr>
            <w:tcW w:w="7400" w:type="dxa"/>
            <w:vAlign w:val="bottom"/>
          </w:tcPr>
          <w:p>
            <w:pPr>
              <w:jc w:val="center"/>
              <w:ind w:left="5172"/>
              <w:spacing w:after="0"/>
              <w:rPr>
                <w:sz w:val="20"/>
                <w:szCs w:val="20"/>
                <w:color w:val="auto"/>
              </w:rPr>
            </w:pPr>
            <w:r>
              <w:rPr>
                <w:rFonts w:ascii="Arial" w:cs="Arial" w:eastAsia="Arial" w:hAnsi="Arial"/>
                <w:sz w:val="18"/>
                <w:szCs w:val="18"/>
                <w:b w:val="1"/>
                <w:bCs w:val="1"/>
                <w:color w:val="auto"/>
                <w:w w:val="91"/>
              </w:rPr>
              <w:t>19103-2838</w:t>
            </w:r>
          </w:p>
        </w:tc>
      </w:tr>
      <w:tr>
        <w:trPr>
          <w:trHeight w:val="216"/>
        </w:trPr>
        <w:tc>
          <w:tcPr>
            <w:tcW w:w="2600" w:type="dxa"/>
            <w:vAlign w:val="bottom"/>
          </w:tcPr>
          <w:p>
            <w:pPr>
              <w:jc w:val="center"/>
              <w:ind w:right="37"/>
              <w:spacing w:after="0"/>
              <w:rPr>
                <w:sz w:val="20"/>
                <w:szCs w:val="20"/>
                <w:color w:val="auto"/>
              </w:rPr>
            </w:pPr>
            <w:r>
              <w:rPr>
                <w:rFonts w:ascii="Arial" w:cs="Arial" w:eastAsia="Arial" w:hAnsi="Arial"/>
                <w:sz w:val="18"/>
                <w:szCs w:val="18"/>
                <w:b w:val="1"/>
                <w:bCs w:val="1"/>
                <w:color w:val="auto"/>
                <w:w w:val="90"/>
              </w:rPr>
              <w:t>Philadelphia, PA</w:t>
            </w:r>
          </w:p>
        </w:tc>
        <w:tc>
          <w:tcPr>
            <w:tcW w:w="7400" w:type="dxa"/>
            <w:vAlign w:val="bottom"/>
          </w:tcPr>
          <w:p>
            <w:pPr>
              <w:jc w:val="center"/>
              <w:ind w:left="5172"/>
              <w:spacing w:after="0"/>
              <w:rPr>
                <w:sz w:val="20"/>
                <w:szCs w:val="20"/>
                <w:color w:val="auto"/>
              </w:rPr>
            </w:pPr>
            <w:r>
              <w:rPr>
                <w:rFonts w:ascii="Arial" w:cs="Arial" w:eastAsia="Arial" w:hAnsi="Arial"/>
                <w:sz w:val="14"/>
                <w:szCs w:val="14"/>
                <w:b w:val="1"/>
                <w:bCs w:val="1"/>
                <w:color w:val="auto"/>
                <w:w w:val="98"/>
              </w:rPr>
              <w:t>(Zip Code)</w:t>
            </w:r>
          </w:p>
        </w:tc>
      </w:tr>
      <w:tr>
        <w:trPr>
          <w:trHeight w:val="186"/>
        </w:trPr>
        <w:tc>
          <w:tcPr>
            <w:tcW w:w="260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7400" w:type="dxa"/>
            <w:vAlign w:val="bottom"/>
          </w:tcPr>
          <w:p>
            <w:pPr>
              <w:spacing w:after="0"/>
              <w:rPr>
                <w:sz w:val="16"/>
                <w:szCs w:val="16"/>
                <w:color w:val="auto"/>
              </w:rPr>
            </w:pPr>
          </w:p>
        </w:tc>
      </w:tr>
    </w:tbl>
    <w:p>
      <w:pPr>
        <w:spacing w:after="0" w:line="115"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00" w:lineRule="exact"/>
        <w:rPr>
          <w:sz w:val="24"/>
          <w:szCs w:val="24"/>
          <w:color w:val="auto"/>
        </w:rPr>
      </w:pPr>
    </w:p>
    <w:p>
      <w:pPr>
        <w:spacing w:after="0" w:line="237"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3298190</wp:posOffset>
            </wp:positionH>
            <wp:positionV relativeFrom="paragraph">
              <wp:posOffset>152400</wp:posOffset>
            </wp:positionV>
            <wp:extent cx="660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46"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225"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927" w:right="779" w:bottom="1440" w:gutter="0" w:footer="0" w:header="0"/>
        </w:sectPr>
      </w:pPr>
    </w:p>
    <w:bookmarkStart w:id="1" w:name="page2"/>
    <w:bookmarkEnd w:id="1"/>
    <w:p>
      <w:pPr>
        <w:ind w:left="180"/>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On May 26, 2016 Comcast Corporation (“Comcast”) consummated the issuance and sale of $1,430,000,000 aggregate principal amount of its 4.05%</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Notes due 2046 (the “Notes”), pursuant to a subscription agreement dated May 13, 2016 among Comcast, the Guarantors (defined below) and Deutsche Bank AG, Taipei Branch, as the manager named therein. The Notes will be issued pursuant to an Indenture dated as of September 18, 2013 (the “Base Indenture”) among Comcast, the guarantors named therein and The Bank of New York Mellon, as trustee (the “Trustee”), as supplemented by the First Supplemental Indenture dated as of November 17, 2015 (the “First Supplemental Indenture”) among Comcast, the guarantors named therein and the Trustee, and an officers’ certificate issued pursuant thereto. The Notes are guaranteed on an unsecured and unsubordinated basis by Comcast Cable Communications, LLC and NBCUniversal Media, LLC (the “Guarantors”).</w:t>
      </w:r>
    </w:p>
    <w:p>
      <w:pPr>
        <w:spacing w:after="0" w:line="192"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The Notes are being offered pursuant to Comcast’s Registration Statement on Form S-3 filed on September 18, 2013, as amended on February 19, 2014 and November 23, 2015 (Reg. No. 333-191239), including the prospectus contained therein, and a related preliminary prospectus supplement dated May 13, 2016 and a prospectus supplement dated May 13, 2016.</w:t>
      </w:r>
    </w:p>
    <w:p>
      <w:pPr>
        <w:spacing w:after="0" w:line="181"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The material terms and conditions of the Notes are set forth in the Form of Officers’ Certificate filed herewith as Exhibit 4.1 and incorporated by reference herein and in the Base Indenture and First Supplemental Indenture, which are filed as Exhibit 4.3 and Exhibit 4.4, respectively, to Comcast’s Registration Statement on Form S-3 filed on September 18, 2013, as amended on February 19, 2014 and November 23, 2015 and incorporated herein by reference.</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9.01(d)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00" w:type="dxa"/>
            <w:vAlign w:val="bottom"/>
          </w:tcPr>
          <w:p>
            <w:pPr>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Officers’ Certificate setting forth the terms of the Notes</w:t>
            </w:r>
          </w:p>
        </w:tc>
        <w:tc>
          <w:tcPr>
            <w:tcW w:w="0" w:type="dxa"/>
            <w:vAlign w:val="bottom"/>
          </w:tcPr>
          <w:p>
            <w:pPr>
              <w:spacing w:after="0"/>
              <w:rPr>
                <w:sz w:val="1"/>
                <w:szCs w:val="1"/>
                <w:color w:val="auto"/>
              </w:rPr>
            </w:pP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Arthur R. Block, Esq.</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Davis Polk &amp; Wardwell LLP</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23.1</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Arthur R. Block, Esq. (contained in Exhibit 5.1)</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23.2</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Davis Polk &amp; Wardwell LLP (contained in Exhibit 5.2)</w:t>
            </w:r>
          </w:p>
        </w:tc>
        <w:tc>
          <w:tcPr>
            <w:tcW w:w="0" w:type="dxa"/>
            <w:vAlign w:val="bottom"/>
          </w:tcPr>
          <w:p>
            <w:pPr>
              <w:spacing w:after="0"/>
              <w:rPr>
                <w:sz w:val="1"/>
                <w:szCs w:val="1"/>
                <w:color w:val="auto"/>
              </w:rPr>
            </w:pPr>
          </w:p>
        </w:tc>
      </w:tr>
      <w:tr>
        <w:trPr>
          <w:trHeight w:val="567"/>
        </w:trPr>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3"/>
          </w:tcPr>
          <w:p>
            <w:pPr>
              <w:ind w:left="1960"/>
              <w:spacing w:after="0"/>
              <w:rPr>
                <w:sz w:val="20"/>
                <w:szCs w:val="20"/>
                <w:color w:val="auto"/>
              </w:rPr>
            </w:pPr>
            <w:r>
              <w:rPr>
                <w:rFonts w:ascii="Arial" w:cs="Arial" w:eastAsia="Arial" w:hAnsi="Arial"/>
                <w:sz w:val="18"/>
                <w:szCs w:val="18"/>
                <w:b w:val="1"/>
                <w:bCs w:val="1"/>
                <w:color w:val="auto"/>
              </w:rPr>
              <w:t>COMCAST CORPORATION</w:t>
            </w:r>
          </w:p>
        </w:tc>
      </w:tr>
      <w:tr>
        <w:trPr>
          <w:trHeight w:val="864"/>
        </w:trPr>
        <w:tc>
          <w:tcPr>
            <w:tcW w:w="3660" w:type="dxa"/>
            <w:vAlign w:val="bottom"/>
          </w:tcPr>
          <w:p>
            <w:pPr>
              <w:spacing w:after="0"/>
              <w:rPr>
                <w:sz w:val="20"/>
                <w:szCs w:val="20"/>
                <w:color w:val="auto"/>
              </w:rPr>
            </w:pPr>
            <w:r>
              <w:rPr>
                <w:rFonts w:ascii="Arial" w:cs="Arial" w:eastAsia="Arial" w:hAnsi="Arial"/>
                <w:sz w:val="18"/>
                <w:szCs w:val="18"/>
                <w:color w:val="auto"/>
              </w:rPr>
              <w:t>Date:   May 26, 2016</w:t>
            </w:r>
          </w:p>
        </w:tc>
        <w:tc>
          <w:tcPr>
            <w:tcW w:w="7760" w:type="dxa"/>
            <w:vAlign w:val="bottom"/>
            <w:gridSpan w:val="3"/>
          </w:tcPr>
          <w:p>
            <w:pPr>
              <w:ind w:left="1960"/>
              <w:spacing w:after="0"/>
              <w:rPr>
                <w:sz w:val="20"/>
                <w:szCs w:val="20"/>
                <w:color w:val="auto"/>
              </w:rPr>
            </w:pPr>
            <w:r>
              <w:rPr>
                <w:rFonts w:ascii="Arial" w:cs="Arial" w:eastAsia="Arial" w:hAnsi="Arial"/>
                <w:sz w:val="18"/>
                <w:szCs w:val="18"/>
                <w:color w:val="auto"/>
              </w:rPr>
              <w:t>By:    /s/ Arthur R. Block</w:t>
            </w:r>
          </w:p>
        </w:tc>
      </w:tr>
      <w:tr>
        <w:trPr>
          <w:trHeight w:val="195"/>
        </w:trPr>
        <w:tc>
          <w:tcPr>
            <w:tcW w:w="3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Arthur R. Block</w:t>
            </w:r>
          </w:p>
        </w:tc>
      </w:tr>
      <w:tr>
        <w:trPr>
          <w:trHeight w:val="230"/>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w w:val="98"/>
              </w:rPr>
              <w:t>Executive Vice President, General Counsel and Secretary</w:t>
            </w:r>
          </w:p>
        </w:tc>
      </w:tr>
      <w:tr>
        <w:trPr>
          <w:trHeight w:val="837"/>
        </w:trPr>
        <w:tc>
          <w:tcPr>
            <w:tcW w:w="36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OFFICERS’ CERTIFICATE]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26, 2016</w:t>
      </w:r>
    </w:p>
    <w:p>
      <w:pPr>
        <w:spacing w:after="0" w:line="225"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Pursuant to Section 2.03 of the Indenture dated as of September 18, 2013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 the guarantors named therein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November 17, 2015 by and among the Company, the guarantors named therein and the Trustee, and guaranteed on an unsecured and unsubordinated basis by Comcast Cable Communications, LLC and NBCUniversal Media, LLC, the undersigned officers of the Company do hereby certify, in connection with the issuance of the Company’s $1,430,000,000 aggregate principal amount of 4.05% Notes due 2046 (the “</w:t>
      </w:r>
      <w:r>
        <w:rPr>
          <w:rFonts w:ascii="Arial" w:cs="Arial" w:eastAsia="Arial" w:hAnsi="Arial"/>
          <w:sz w:val="16"/>
          <w:szCs w:val="16"/>
          <w:b w:val="1"/>
          <w:bCs w:val="1"/>
          <w:color w:val="auto"/>
        </w:rPr>
        <w:t>Notes</w:t>
      </w:r>
      <w:r>
        <w:rPr>
          <w:rFonts w:ascii="Arial" w:cs="Arial" w:eastAsia="Arial" w:hAnsi="Arial"/>
          <w:sz w:val="16"/>
          <w:szCs w:val="16"/>
          <w:color w:val="auto"/>
        </w:rPr>
        <w:t>”), that the terms of the Notes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05%</w:t>
            </w:r>
            <w:r>
              <w:rPr>
                <w:rFonts w:ascii="Arial" w:cs="Arial" w:eastAsia="Arial" w:hAnsi="Arial"/>
                <w:sz w:val="18"/>
                <w:szCs w:val="18"/>
                <w:b w:val="1"/>
                <w:bCs w:val="1"/>
                <w:color w:val="auto"/>
              </w:rPr>
              <w:t xml:space="preserve"> Notes due 2046</w:t>
            </w:r>
          </w:p>
        </w:tc>
      </w:tr>
      <w:tr>
        <w:trPr>
          <w:trHeight w:val="20"/>
        </w:trPr>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453"/>
        </w:trPr>
        <w:tc>
          <w:tcPr>
            <w:tcW w:w="4420" w:type="dxa"/>
            <w:vAlign w:val="bottom"/>
          </w:tcPr>
          <w:p>
            <w:pPr>
              <w:ind w:left="1140"/>
              <w:spacing w:after="0"/>
              <w:rPr>
                <w:sz w:val="20"/>
                <w:szCs w:val="20"/>
                <w:color w:val="auto"/>
              </w:rPr>
            </w:pPr>
            <w:r>
              <w:rPr>
                <w:rFonts w:ascii="Arial" w:cs="Arial" w:eastAsia="Arial" w:hAnsi="Arial"/>
                <w:sz w:val="18"/>
                <w:szCs w:val="18"/>
                <w:i w:val="1"/>
                <w:iCs w:val="1"/>
                <w:color w:val="auto"/>
              </w:rPr>
              <w:t>Title:</w:t>
            </w:r>
          </w:p>
        </w:tc>
        <w:tc>
          <w:tcPr>
            <w:tcW w:w="7000" w:type="dxa"/>
            <w:vAlign w:val="bottom"/>
            <w:gridSpan w:val="3"/>
          </w:tcPr>
          <w:p>
            <w:pPr>
              <w:ind w:left="300"/>
              <w:spacing w:after="0"/>
              <w:rPr>
                <w:sz w:val="20"/>
                <w:szCs w:val="20"/>
                <w:color w:val="auto"/>
              </w:rPr>
            </w:pPr>
            <w:r>
              <w:rPr>
                <w:rFonts w:ascii="Arial" w:cs="Arial" w:eastAsia="Arial" w:hAnsi="Arial"/>
                <w:sz w:val="18"/>
                <w:szCs w:val="18"/>
                <w:color w:val="auto"/>
              </w:rPr>
              <w:t>4.05% Notes due 2046</w:t>
            </w:r>
          </w:p>
        </w:tc>
      </w:tr>
      <w:tr>
        <w:trPr>
          <w:trHeight w:val="432"/>
        </w:trPr>
        <w:tc>
          <w:tcPr>
            <w:tcW w:w="4420" w:type="dxa"/>
            <w:vAlign w:val="bottom"/>
          </w:tcPr>
          <w:p>
            <w:pPr>
              <w:ind w:left="1140"/>
              <w:spacing w:after="0"/>
              <w:rPr>
                <w:sz w:val="20"/>
                <w:szCs w:val="20"/>
                <w:color w:val="auto"/>
              </w:rPr>
            </w:pPr>
            <w:r>
              <w:rPr>
                <w:rFonts w:ascii="Arial" w:cs="Arial" w:eastAsia="Arial" w:hAnsi="Arial"/>
                <w:sz w:val="18"/>
                <w:szCs w:val="18"/>
                <w:i w:val="1"/>
                <w:iCs w:val="1"/>
                <w:color w:val="auto"/>
              </w:rPr>
              <w:t>Aggregate Principal Amount at Maturity:</w:t>
            </w:r>
          </w:p>
        </w:tc>
        <w:tc>
          <w:tcPr>
            <w:tcW w:w="2140" w:type="dxa"/>
            <w:vAlign w:val="bottom"/>
            <w:gridSpan w:val="2"/>
          </w:tcPr>
          <w:p>
            <w:pPr>
              <w:ind w:left="300"/>
              <w:spacing w:after="0"/>
              <w:rPr>
                <w:sz w:val="20"/>
                <w:szCs w:val="20"/>
                <w:color w:val="auto"/>
              </w:rPr>
            </w:pPr>
            <w:r>
              <w:rPr>
                <w:rFonts w:ascii="Arial" w:cs="Arial" w:eastAsia="Arial" w:hAnsi="Arial"/>
                <w:sz w:val="18"/>
                <w:szCs w:val="18"/>
                <w:color w:val="auto"/>
              </w:rPr>
              <w:t>$1,430,000,000</w:t>
            </w:r>
          </w:p>
        </w:tc>
        <w:tc>
          <w:tcPr>
            <w:tcW w:w="4860" w:type="dxa"/>
            <w:vAlign w:val="bottom"/>
          </w:tcPr>
          <w:p>
            <w:pPr>
              <w:spacing w:after="0"/>
              <w:rPr>
                <w:sz w:val="24"/>
                <w:szCs w:val="24"/>
                <w:color w:val="auto"/>
              </w:rPr>
            </w:pPr>
          </w:p>
        </w:tc>
      </w:tr>
      <w:tr>
        <w:trPr>
          <w:trHeight w:val="432"/>
        </w:trPr>
        <w:tc>
          <w:tcPr>
            <w:tcW w:w="4420" w:type="dxa"/>
            <w:vAlign w:val="bottom"/>
          </w:tcPr>
          <w:p>
            <w:pPr>
              <w:ind w:left="1140"/>
              <w:spacing w:after="0"/>
              <w:rPr>
                <w:sz w:val="20"/>
                <w:szCs w:val="20"/>
                <w:color w:val="auto"/>
              </w:rPr>
            </w:pPr>
            <w:r>
              <w:rPr>
                <w:rFonts w:ascii="Arial" w:cs="Arial" w:eastAsia="Arial" w:hAnsi="Arial"/>
                <w:sz w:val="18"/>
                <w:szCs w:val="18"/>
                <w:i w:val="1"/>
                <w:iCs w:val="1"/>
                <w:color w:val="auto"/>
              </w:rPr>
              <w:t>Principal Payment Date:</w:t>
            </w:r>
          </w:p>
        </w:tc>
        <w:tc>
          <w:tcPr>
            <w:tcW w:w="7000" w:type="dxa"/>
            <w:vAlign w:val="bottom"/>
            <w:gridSpan w:val="3"/>
          </w:tcPr>
          <w:p>
            <w:pPr>
              <w:ind w:left="300"/>
              <w:spacing w:after="0"/>
              <w:rPr>
                <w:sz w:val="20"/>
                <w:szCs w:val="20"/>
                <w:color w:val="auto"/>
              </w:rPr>
            </w:pPr>
            <w:r>
              <w:rPr>
                <w:rFonts w:ascii="Arial" w:cs="Arial" w:eastAsia="Arial" w:hAnsi="Arial"/>
                <w:sz w:val="18"/>
                <w:szCs w:val="18"/>
                <w:color w:val="auto"/>
              </w:rPr>
              <w:t>August 1, 2046</w:t>
            </w:r>
          </w:p>
        </w:tc>
      </w:tr>
      <w:tr>
        <w:trPr>
          <w:trHeight w:val="432"/>
        </w:trPr>
        <w:tc>
          <w:tcPr>
            <w:tcW w:w="4420" w:type="dxa"/>
            <w:vAlign w:val="bottom"/>
          </w:tcPr>
          <w:p>
            <w:pPr>
              <w:ind w:left="1140"/>
              <w:spacing w:after="0"/>
              <w:rPr>
                <w:sz w:val="20"/>
                <w:szCs w:val="20"/>
                <w:color w:val="auto"/>
              </w:rPr>
            </w:pPr>
            <w:r>
              <w:rPr>
                <w:rFonts w:ascii="Arial" w:cs="Arial" w:eastAsia="Arial" w:hAnsi="Arial"/>
                <w:sz w:val="18"/>
                <w:szCs w:val="18"/>
                <w:i w:val="1"/>
                <w:iCs w:val="1"/>
                <w:color w:val="auto"/>
              </w:rPr>
              <w:t>Interest:</w:t>
            </w:r>
          </w:p>
        </w:tc>
        <w:tc>
          <w:tcPr>
            <w:tcW w:w="2140" w:type="dxa"/>
            <w:vAlign w:val="bottom"/>
            <w:gridSpan w:val="2"/>
          </w:tcPr>
          <w:p>
            <w:pPr>
              <w:ind w:left="300"/>
              <w:spacing w:after="0"/>
              <w:rPr>
                <w:sz w:val="20"/>
                <w:szCs w:val="20"/>
                <w:color w:val="auto"/>
              </w:rPr>
            </w:pPr>
            <w:r>
              <w:rPr>
                <w:rFonts w:ascii="Arial" w:cs="Arial" w:eastAsia="Arial" w:hAnsi="Arial"/>
                <w:sz w:val="18"/>
                <w:szCs w:val="18"/>
                <w:color w:val="auto"/>
              </w:rPr>
              <w:t>4.05%</w:t>
            </w:r>
          </w:p>
        </w:tc>
        <w:tc>
          <w:tcPr>
            <w:tcW w:w="4860" w:type="dxa"/>
            <w:vAlign w:val="bottom"/>
          </w:tcPr>
          <w:p>
            <w:pPr>
              <w:spacing w:after="0"/>
              <w:rPr>
                <w:sz w:val="24"/>
                <w:szCs w:val="24"/>
                <w:color w:val="auto"/>
              </w:rPr>
            </w:pPr>
          </w:p>
        </w:tc>
      </w:tr>
      <w:tr>
        <w:trPr>
          <w:trHeight w:val="418"/>
        </w:trPr>
        <w:tc>
          <w:tcPr>
            <w:tcW w:w="4420" w:type="dxa"/>
            <w:vAlign w:val="bottom"/>
          </w:tcPr>
          <w:p>
            <w:pPr>
              <w:ind w:left="1140"/>
              <w:spacing w:after="0"/>
              <w:rPr>
                <w:sz w:val="20"/>
                <w:szCs w:val="20"/>
                <w:color w:val="auto"/>
              </w:rPr>
            </w:pPr>
            <w:r>
              <w:rPr>
                <w:rFonts w:ascii="Arial" w:cs="Arial" w:eastAsia="Arial" w:hAnsi="Arial"/>
                <w:sz w:val="18"/>
                <w:szCs w:val="18"/>
                <w:i w:val="1"/>
                <w:iCs w:val="1"/>
                <w:color w:val="auto"/>
              </w:rPr>
              <w:t>Optional Redemption:</w:t>
            </w:r>
          </w:p>
        </w:tc>
        <w:tc>
          <w:tcPr>
            <w:tcW w:w="7000" w:type="dxa"/>
            <w:vAlign w:val="bottom"/>
            <w:gridSpan w:val="3"/>
          </w:tcPr>
          <w:p>
            <w:pPr>
              <w:ind w:left="300"/>
              <w:spacing w:after="0"/>
              <w:rPr>
                <w:sz w:val="20"/>
                <w:szCs w:val="20"/>
                <w:color w:val="auto"/>
              </w:rPr>
            </w:pPr>
            <w:r>
              <w:rPr>
                <w:rFonts w:ascii="Arial" w:cs="Arial" w:eastAsia="Arial" w:hAnsi="Arial"/>
                <w:sz w:val="18"/>
                <w:szCs w:val="18"/>
                <w:color w:val="auto"/>
              </w:rPr>
              <w:t>The Company may at its option redeem the Notes, in whole but not in part,</w:t>
            </w:r>
          </w:p>
        </w:tc>
      </w:tr>
      <w:tr>
        <w:trPr>
          <w:trHeight w:val="216"/>
        </w:trPr>
        <w:tc>
          <w:tcPr>
            <w:tcW w:w="4420" w:type="dxa"/>
            <w:vAlign w:val="bottom"/>
          </w:tcPr>
          <w:p>
            <w:pPr>
              <w:spacing w:after="0"/>
              <w:rPr>
                <w:sz w:val="18"/>
                <w:szCs w:val="18"/>
                <w:color w:val="auto"/>
              </w:rPr>
            </w:pPr>
          </w:p>
        </w:tc>
        <w:tc>
          <w:tcPr>
            <w:tcW w:w="7000" w:type="dxa"/>
            <w:vAlign w:val="bottom"/>
            <w:gridSpan w:val="3"/>
          </w:tcPr>
          <w:p>
            <w:pPr>
              <w:ind w:left="300"/>
              <w:spacing w:after="0"/>
              <w:rPr>
                <w:sz w:val="20"/>
                <w:szCs w:val="20"/>
                <w:color w:val="auto"/>
              </w:rPr>
            </w:pPr>
            <w:r>
              <w:rPr>
                <w:rFonts w:ascii="Arial" w:cs="Arial" w:eastAsia="Arial" w:hAnsi="Arial"/>
                <w:sz w:val="18"/>
                <w:szCs w:val="18"/>
                <w:color w:val="auto"/>
              </w:rPr>
              <w:t>on each August 1 on or after August 1, 2019, on at least 30 days, but not</w:t>
            </w:r>
          </w:p>
        </w:tc>
      </w:tr>
      <w:tr>
        <w:trPr>
          <w:trHeight w:val="216"/>
        </w:trPr>
        <w:tc>
          <w:tcPr>
            <w:tcW w:w="4420" w:type="dxa"/>
            <w:vAlign w:val="bottom"/>
          </w:tcPr>
          <w:p>
            <w:pPr>
              <w:spacing w:after="0"/>
              <w:rPr>
                <w:sz w:val="18"/>
                <w:szCs w:val="18"/>
                <w:color w:val="auto"/>
              </w:rPr>
            </w:pPr>
          </w:p>
        </w:tc>
        <w:tc>
          <w:tcPr>
            <w:tcW w:w="7000" w:type="dxa"/>
            <w:vAlign w:val="bottom"/>
            <w:gridSpan w:val="3"/>
          </w:tcPr>
          <w:p>
            <w:pPr>
              <w:ind w:left="300"/>
              <w:spacing w:after="0"/>
              <w:rPr>
                <w:sz w:val="20"/>
                <w:szCs w:val="20"/>
                <w:color w:val="auto"/>
              </w:rPr>
            </w:pPr>
            <w:r>
              <w:rPr>
                <w:rFonts w:ascii="Arial" w:cs="Arial" w:eastAsia="Arial" w:hAnsi="Arial"/>
                <w:sz w:val="18"/>
                <w:szCs w:val="18"/>
                <w:color w:val="auto"/>
              </w:rPr>
              <w:t>more than 60 days, prior notice electronically delivered or mailed to the</w:t>
            </w:r>
          </w:p>
        </w:tc>
      </w:tr>
      <w:tr>
        <w:trPr>
          <w:trHeight w:val="216"/>
        </w:trPr>
        <w:tc>
          <w:tcPr>
            <w:tcW w:w="4420" w:type="dxa"/>
            <w:vAlign w:val="bottom"/>
          </w:tcPr>
          <w:p>
            <w:pPr>
              <w:spacing w:after="0"/>
              <w:rPr>
                <w:sz w:val="18"/>
                <w:szCs w:val="18"/>
                <w:color w:val="auto"/>
              </w:rPr>
            </w:pPr>
          </w:p>
        </w:tc>
        <w:tc>
          <w:tcPr>
            <w:tcW w:w="7000" w:type="dxa"/>
            <w:vAlign w:val="bottom"/>
            <w:gridSpan w:val="3"/>
          </w:tcPr>
          <w:p>
            <w:pPr>
              <w:ind w:left="300"/>
              <w:spacing w:after="0"/>
              <w:rPr>
                <w:sz w:val="20"/>
                <w:szCs w:val="20"/>
                <w:color w:val="auto"/>
              </w:rPr>
            </w:pPr>
            <w:r>
              <w:rPr>
                <w:rFonts w:ascii="Arial" w:cs="Arial" w:eastAsia="Arial" w:hAnsi="Arial"/>
                <w:sz w:val="18"/>
                <w:szCs w:val="18"/>
                <w:color w:val="auto"/>
              </w:rPr>
              <w:t>registered address of each holder of the Notes, at the “Redemption Price.”</w:t>
            </w:r>
          </w:p>
        </w:tc>
      </w:tr>
      <w:tr>
        <w:trPr>
          <w:trHeight w:val="216"/>
        </w:trPr>
        <w:tc>
          <w:tcPr>
            <w:tcW w:w="4420" w:type="dxa"/>
            <w:vAlign w:val="bottom"/>
          </w:tcPr>
          <w:p>
            <w:pPr>
              <w:spacing w:after="0"/>
              <w:rPr>
                <w:sz w:val="18"/>
                <w:szCs w:val="18"/>
                <w:color w:val="auto"/>
              </w:rPr>
            </w:pPr>
          </w:p>
        </w:tc>
        <w:tc>
          <w:tcPr>
            <w:tcW w:w="7000" w:type="dxa"/>
            <w:vAlign w:val="bottom"/>
            <w:gridSpan w:val="3"/>
          </w:tcPr>
          <w:p>
            <w:pPr>
              <w:ind w:left="300"/>
              <w:spacing w:after="0"/>
              <w:rPr>
                <w:sz w:val="20"/>
                <w:szCs w:val="20"/>
                <w:color w:val="auto"/>
              </w:rPr>
            </w:pPr>
            <w:r>
              <w:rPr>
                <w:rFonts w:ascii="Arial" w:cs="Arial" w:eastAsia="Arial" w:hAnsi="Arial"/>
                <w:sz w:val="18"/>
                <w:szCs w:val="18"/>
                <w:color w:val="auto"/>
              </w:rPr>
              <w:t>The Redemption Price will equal 100% of the principal amount of the Notes</w:t>
            </w:r>
          </w:p>
        </w:tc>
      </w:tr>
      <w:tr>
        <w:trPr>
          <w:trHeight w:val="216"/>
        </w:trPr>
        <w:tc>
          <w:tcPr>
            <w:tcW w:w="4420" w:type="dxa"/>
            <w:vAlign w:val="bottom"/>
          </w:tcPr>
          <w:p>
            <w:pPr>
              <w:spacing w:after="0"/>
              <w:rPr>
                <w:sz w:val="18"/>
                <w:szCs w:val="18"/>
                <w:color w:val="auto"/>
              </w:rPr>
            </w:pPr>
          </w:p>
        </w:tc>
        <w:tc>
          <w:tcPr>
            <w:tcW w:w="7000" w:type="dxa"/>
            <w:vAlign w:val="bottom"/>
            <w:gridSpan w:val="3"/>
          </w:tcPr>
          <w:p>
            <w:pPr>
              <w:ind w:left="300"/>
              <w:spacing w:after="0"/>
              <w:rPr>
                <w:sz w:val="20"/>
                <w:szCs w:val="20"/>
                <w:color w:val="auto"/>
              </w:rPr>
            </w:pPr>
            <w:r>
              <w:rPr>
                <w:rFonts w:ascii="Arial" w:cs="Arial" w:eastAsia="Arial" w:hAnsi="Arial"/>
                <w:sz w:val="18"/>
                <w:szCs w:val="18"/>
                <w:color w:val="auto"/>
              </w:rPr>
              <w:t>being redeemed plus accrued and unpaid interest thereon to, but not</w:t>
            </w:r>
          </w:p>
        </w:tc>
      </w:tr>
      <w:tr>
        <w:trPr>
          <w:trHeight w:val="216"/>
        </w:trPr>
        <w:tc>
          <w:tcPr>
            <w:tcW w:w="4420" w:type="dxa"/>
            <w:vAlign w:val="bottom"/>
          </w:tcPr>
          <w:p>
            <w:pPr>
              <w:spacing w:after="0"/>
              <w:rPr>
                <w:sz w:val="18"/>
                <w:szCs w:val="18"/>
                <w:color w:val="auto"/>
              </w:rPr>
            </w:pPr>
          </w:p>
        </w:tc>
        <w:tc>
          <w:tcPr>
            <w:tcW w:w="7000" w:type="dxa"/>
            <w:vAlign w:val="bottom"/>
            <w:gridSpan w:val="3"/>
          </w:tcPr>
          <w:p>
            <w:pPr>
              <w:ind w:left="300"/>
              <w:spacing w:after="0"/>
              <w:rPr>
                <w:sz w:val="20"/>
                <w:szCs w:val="20"/>
                <w:color w:val="auto"/>
              </w:rPr>
            </w:pPr>
            <w:r>
              <w:rPr>
                <w:rFonts w:ascii="Arial" w:cs="Arial" w:eastAsia="Arial" w:hAnsi="Arial"/>
                <w:sz w:val="18"/>
                <w:szCs w:val="18"/>
                <w:color w:val="auto"/>
              </w:rPr>
              <w:t>including, the date of redemption, subject to the further description in the</w:t>
            </w:r>
          </w:p>
        </w:tc>
      </w:tr>
      <w:tr>
        <w:trPr>
          <w:trHeight w:val="230"/>
        </w:trPr>
        <w:tc>
          <w:tcPr>
            <w:tcW w:w="4420" w:type="dxa"/>
            <w:vAlign w:val="bottom"/>
          </w:tcPr>
          <w:p>
            <w:pPr>
              <w:spacing w:after="0"/>
              <w:rPr>
                <w:sz w:val="20"/>
                <w:szCs w:val="20"/>
                <w:color w:val="auto"/>
              </w:rPr>
            </w:pPr>
          </w:p>
        </w:tc>
        <w:tc>
          <w:tcPr>
            <w:tcW w:w="7000" w:type="dxa"/>
            <w:vAlign w:val="bottom"/>
            <w:gridSpan w:val="3"/>
          </w:tcPr>
          <w:p>
            <w:pPr>
              <w:ind w:left="300"/>
              <w:spacing w:after="0"/>
              <w:rPr>
                <w:sz w:val="20"/>
                <w:szCs w:val="20"/>
                <w:color w:val="auto"/>
              </w:rPr>
            </w:pPr>
            <w:r>
              <w:rPr>
                <w:rFonts w:ascii="Arial" w:cs="Arial" w:eastAsia="Arial" w:hAnsi="Arial"/>
                <w:sz w:val="18"/>
                <w:szCs w:val="18"/>
                <w:color w:val="auto"/>
              </w:rPr>
              <w:t>Prospectus Supplement dated May 13, 2016.</w:t>
            </w:r>
          </w:p>
        </w:tc>
      </w:tr>
      <w:tr>
        <w:trPr>
          <w:trHeight w:val="567"/>
        </w:trPr>
        <w:tc>
          <w:tcPr>
            <w:tcW w:w="4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Arial" w:cs="Arial" w:eastAsia="Arial" w:hAnsi="Arial"/>
                <w:sz w:val="18"/>
                <w:szCs w:val="18"/>
                <w:i w:val="1"/>
                <w:iCs w:val="1"/>
                <w:color w:val="auto"/>
              </w:rPr>
              <w:t>Redemption for Tax Reasons:</w:t>
            </w:r>
          </w:p>
        </w:tc>
        <w:tc>
          <w:tcPr>
            <w:tcW w:w="6160" w:type="dxa"/>
            <w:vAlign w:val="bottom"/>
            <w:gridSpan w:val="3"/>
          </w:tcPr>
          <w:p>
            <w:pPr>
              <w:ind w:left="720"/>
              <w:spacing w:after="0"/>
              <w:rPr>
                <w:sz w:val="20"/>
                <w:szCs w:val="20"/>
                <w:color w:val="auto"/>
              </w:rPr>
            </w:pPr>
            <w:r>
              <w:rPr>
                <w:rFonts w:ascii="Arial" w:cs="Arial" w:eastAsia="Arial" w:hAnsi="Arial"/>
                <w:sz w:val="18"/>
                <w:szCs w:val="18"/>
                <w:color w:val="auto"/>
                <w:w w:val="91"/>
              </w:rPr>
              <w:t>The Company may redeem the Notes, in whole but not in part, in the event</w:t>
            </w:r>
          </w:p>
        </w:tc>
      </w:tr>
      <w:tr>
        <w:trPr>
          <w:trHeight w:val="216"/>
        </w:trPr>
        <w:tc>
          <w:tcPr>
            <w:tcW w:w="2860" w:type="dxa"/>
            <w:vAlign w:val="bottom"/>
          </w:tcPr>
          <w:p>
            <w:pPr>
              <w:spacing w:after="0"/>
              <w:rPr>
                <w:sz w:val="18"/>
                <w:szCs w:val="18"/>
                <w:color w:val="auto"/>
              </w:rPr>
            </w:pPr>
          </w:p>
        </w:tc>
        <w:tc>
          <w:tcPr>
            <w:tcW w:w="6160" w:type="dxa"/>
            <w:vAlign w:val="bottom"/>
            <w:gridSpan w:val="3"/>
          </w:tcPr>
          <w:p>
            <w:pPr>
              <w:ind w:left="720"/>
              <w:spacing w:after="0"/>
              <w:rPr>
                <w:sz w:val="20"/>
                <w:szCs w:val="20"/>
                <w:color w:val="auto"/>
              </w:rPr>
            </w:pPr>
            <w:r>
              <w:rPr>
                <w:rFonts w:ascii="Arial" w:cs="Arial" w:eastAsia="Arial" w:hAnsi="Arial"/>
                <w:sz w:val="18"/>
                <w:szCs w:val="18"/>
                <w:color w:val="auto"/>
                <w:w w:val="99"/>
              </w:rPr>
              <w:t>of certain changes in the tax laws of the United States (or any taxing</w:t>
            </w:r>
          </w:p>
        </w:tc>
      </w:tr>
      <w:tr>
        <w:trPr>
          <w:trHeight w:val="216"/>
        </w:trPr>
        <w:tc>
          <w:tcPr>
            <w:tcW w:w="2860" w:type="dxa"/>
            <w:vAlign w:val="bottom"/>
          </w:tcPr>
          <w:p>
            <w:pPr>
              <w:spacing w:after="0"/>
              <w:rPr>
                <w:sz w:val="18"/>
                <w:szCs w:val="18"/>
                <w:color w:val="auto"/>
              </w:rPr>
            </w:pPr>
          </w:p>
        </w:tc>
        <w:tc>
          <w:tcPr>
            <w:tcW w:w="6160" w:type="dxa"/>
            <w:vAlign w:val="bottom"/>
            <w:gridSpan w:val="3"/>
          </w:tcPr>
          <w:p>
            <w:pPr>
              <w:ind w:left="720"/>
              <w:spacing w:after="0"/>
              <w:rPr>
                <w:sz w:val="20"/>
                <w:szCs w:val="20"/>
                <w:color w:val="auto"/>
              </w:rPr>
            </w:pPr>
            <w:r>
              <w:rPr>
                <w:rFonts w:ascii="Arial" w:cs="Arial" w:eastAsia="Arial" w:hAnsi="Arial"/>
                <w:sz w:val="18"/>
                <w:szCs w:val="18"/>
                <w:color w:val="auto"/>
                <w:w w:val="92"/>
              </w:rPr>
              <w:t>authority in the United States), on not less than 10 nor more than 60 days</w:t>
            </w:r>
          </w:p>
        </w:tc>
      </w:tr>
      <w:tr>
        <w:trPr>
          <w:trHeight w:val="216"/>
        </w:trPr>
        <w:tc>
          <w:tcPr>
            <w:tcW w:w="2860" w:type="dxa"/>
            <w:vAlign w:val="bottom"/>
          </w:tcPr>
          <w:p>
            <w:pPr>
              <w:spacing w:after="0"/>
              <w:rPr>
                <w:sz w:val="18"/>
                <w:szCs w:val="18"/>
                <w:color w:val="auto"/>
              </w:rPr>
            </w:pPr>
          </w:p>
        </w:tc>
        <w:tc>
          <w:tcPr>
            <w:tcW w:w="6160" w:type="dxa"/>
            <w:vAlign w:val="bottom"/>
            <w:gridSpan w:val="3"/>
          </w:tcPr>
          <w:p>
            <w:pPr>
              <w:ind w:left="720"/>
              <w:spacing w:after="0"/>
              <w:rPr>
                <w:sz w:val="20"/>
                <w:szCs w:val="20"/>
                <w:color w:val="auto"/>
              </w:rPr>
            </w:pPr>
            <w:r>
              <w:rPr>
                <w:rFonts w:ascii="Arial" w:cs="Arial" w:eastAsia="Arial" w:hAnsi="Arial"/>
                <w:sz w:val="18"/>
                <w:szCs w:val="18"/>
                <w:color w:val="auto"/>
                <w:w w:val="92"/>
              </w:rPr>
              <w:t>prior notice. The redemption price will equal 100% of the principal amount</w:t>
            </w:r>
          </w:p>
        </w:tc>
      </w:tr>
      <w:tr>
        <w:trPr>
          <w:trHeight w:val="216"/>
        </w:trPr>
        <w:tc>
          <w:tcPr>
            <w:tcW w:w="2860" w:type="dxa"/>
            <w:vAlign w:val="bottom"/>
          </w:tcPr>
          <w:p>
            <w:pPr>
              <w:spacing w:after="0"/>
              <w:rPr>
                <w:sz w:val="18"/>
                <w:szCs w:val="18"/>
                <w:color w:val="auto"/>
              </w:rPr>
            </w:pPr>
          </w:p>
        </w:tc>
        <w:tc>
          <w:tcPr>
            <w:tcW w:w="6160" w:type="dxa"/>
            <w:vAlign w:val="bottom"/>
            <w:gridSpan w:val="3"/>
          </w:tcPr>
          <w:p>
            <w:pPr>
              <w:ind w:left="720"/>
              <w:spacing w:after="0"/>
              <w:rPr>
                <w:sz w:val="20"/>
                <w:szCs w:val="20"/>
                <w:color w:val="auto"/>
              </w:rPr>
            </w:pPr>
            <w:r>
              <w:rPr>
                <w:rFonts w:ascii="Arial" w:cs="Arial" w:eastAsia="Arial" w:hAnsi="Arial"/>
                <w:sz w:val="18"/>
                <w:szCs w:val="18"/>
                <w:color w:val="auto"/>
                <w:w w:val="89"/>
              </w:rPr>
              <w:t>of the Notes being redeemed, together with any accrued and unpaid interest</w:t>
            </w:r>
          </w:p>
        </w:tc>
      </w:tr>
      <w:tr>
        <w:trPr>
          <w:trHeight w:val="230"/>
        </w:trPr>
        <w:tc>
          <w:tcPr>
            <w:tcW w:w="2860" w:type="dxa"/>
            <w:vAlign w:val="bottom"/>
          </w:tcPr>
          <w:p>
            <w:pPr>
              <w:spacing w:after="0"/>
              <w:rPr>
                <w:sz w:val="20"/>
                <w:szCs w:val="20"/>
                <w:color w:val="auto"/>
              </w:rPr>
            </w:pPr>
          </w:p>
        </w:tc>
        <w:tc>
          <w:tcPr>
            <w:tcW w:w="6160" w:type="dxa"/>
            <w:vAlign w:val="bottom"/>
            <w:gridSpan w:val="3"/>
          </w:tcPr>
          <w:p>
            <w:pPr>
              <w:ind w:left="720"/>
              <w:spacing w:after="0"/>
              <w:rPr>
                <w:sz w:val="20"/>
                <w:szCs w:val="20"/>
                <w:color w:val="auto"/>
              </w:rPr>
            </w:pPr>
            <w:r>
              <w:rPr>
                <w:rFonts w:ascii="Arial" w:cs="Arial" w:eastAsia="Arial" w:hAnsi="Arial"/>
                <w:sz w:val="18"/>
                <w:szCs w:val="18"/>
                <w:color w:val="auto"/>
              </w:rPr>
              <w:t>to, but not including, the redemption date.</w:t>
            </w:r>
          </w:p>
        </w:tc>
      </w:tr>
      <w:tr>
        <w:trPr>
          <w:trHeight w:val="418"/>
        </w:trPr>
        <w:tc>
          <w:tcPr>
            <w:tcW w:w="286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6160" w:type="dxa"/>
            <w:vAlign w:val="bottom"/>
            <w:gridSpan w:val="3"/>
          </w:tcPr>
          <w:p>
            <w:pPr>
              <w:ind w:left="720"/>
              <w:spacing w:after="0"/>
              <w:rPr>
                <w:sz w:val="20"/>
                <w:szCs w:val="20"/>
                <w:color w:val="auto"/>
              </w:rPr>
            </w:pPr>
            <w:r>
              <w:rPr>
                <w:rFonts w:ascii="Arial" w:cs="Arial" w:eastAsia="Arial" w:hAnsi="Arial"/>
                <w:sz w:val="18"/>
                <w:szCs w:val="18"/>
                <w:color w:val="auto"/>
                <w:w w:val="93"/>
              </w:rPr>
              <w:t>To the extent permitted by applicable authorities in the Republic of China</w:t>
            </w:r>
          </w:p>
        </w:tc>
      </w:tr>
      <w:tr>
        <w:trPr>
          <w:trHeight w:val="216"/>
        </w:trPr>
        <w:tc>
          <w:tcPr>
            <w:tcW w:w="2860" w:type="dxa"/>
            <w:vAlign w:val="bottom"/>
          </w:tcPr>
          <w:p>
            <w:pPr>
              <w:spacing w:after="0"/>
              <w:rPr>
                <w:sz w:val="18"/>
                <w:szCs w:val="18"/>
                <w:color w:val="auto"/>
              </w:rPr>
            </w:pPr>
          </w:p>
        </w:tc>
        <w:tc>
          <w:tcPr>
            <w:tcW w:w="6160" w:type="dxa"/>
            <w:vAlign w:val="bottom"/>
            <w:gridSpan w:val="3"/>
          </w:tcPr>
          <w:p>
            <w:pPr>
              <w:ind w:left="720"/>
              <w:spacing w:after="0"/>
              <w:rPr>
                <w:sz w:val="20"/>
                <w:szCs w:val="20"/>
                <w:color w:val="auto"/>
              </w:rPr>
            </w:pPr>
            <w:r>
              <w:rPr>
                <w:rFonts w:ascii="Arial" w:cs="Arial" w:eastAsia="Arial" w:hAnsi="Arial"/>
                <w:sz w:val="18"/>
                <w:szCs w:val="18"/>
                <w:color w:val="auto"/>
                <w:w w:val="92"/>
              </w:rPr>
              <w:t>and subject to the receipt of all necessary regulatory and listing approvals</w:t>
            </w:r>
          </w:p>
        </w:tc>
      </w:tr>
      <w:tr>
        <w:trPr>
          <w:trHeight w:val="212"/>
        </w:trPr>
        <w:tc>
          <w:tcPr>
            <w:tcW w:w="2860" w:type="dxa"/>
            <w:vAlign w:val="bottom"/>
          </w:tcPr>
          <w:p>
            <w:pPr>
              <w:spacing w:after="0"/>
              <w:rPr>
                <w:sz w:val="18"/>
                <w:szCs w:val="18"/>
                <w:color w:val="auto"/>
              </w:rPr>
            </w:pPr>
          </w:p>
        </w:tc>
        <w:tc>
          <w:tcPr>
            <w:tcW w:w="6160" w:type="dxa"/>
            <w:vAlign w:val="bottom"/>
            <w:gridSpan w:val="3"/>
          </w:tcPr>
          <w:p>
            <w:pPr>
              <w:ind w:left="720"/>
              <w:spacing w:after="0"/>
              <w:rPr>
                <w:sz w:val="20"/>
                <w:szCs w:val="20"/>
                <w:color w:val="auto"/>
              </w:rPr>
            </w:pPr>
            <w:r>
              <w:rPr>
                <w:rFonts w:ascii="Arial" w:cs="Arial" w:eastAsia="Arial" w:hAnsi="Arial"/>
                <w:sz w:val="18"/>
                <w:szCs w:val="18"/>
                <w:color w:val="auto"/>
                <w:w w:val="97"/>
              </w:rPr>
              <w:t>from such authorities, including but not limited to the Taipei Exchange</w:t>
            </w:r>
          </w:p>
        </w:tc>
      </w:tr>
      <w:tr>
        <w:trPr>
          <w:trHeight w:val="220"/>
        </w:trPr>
        <w:tc>
          <w:tcPr>
            <w:tcW w:w="2860" w:type="dxa"/>
            <w:vAlign w:val="bottom"/>
          </w:tcPr>
          <w:p>
            <w:pPr>
              <w:spacing w:after="0"/>
              <w:rPr>
                <w:sz w:val="19"/>
                <w:szCs w:val="19"/>
                <w:color w:val="auto"/>
              </w:rPr>
            </w:pPr>
          </w:p>
        </w:tc>
        <w:tc>
          <w:tcPr>
            <w:tcW w:w="6160" w:type="dxa"/>
            <w:vAlign w:val="bottom"/>
            <w:gridSpan w:val="3"/>
          </w:tcPr>
          <w:p>
            <w:pPr>
              <w:ind w:left="7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TPEx</w:t>
            </w:r>
            <w:r>
              <w:rPr>
                <w:rFonts w:ascii="Arial" w:cs="Arial" w:eastAsia="Arial" w:hAnsi="Arial"/>
                <w:sz w:val="18"/>
                <w:szCs w:val="18"/>
                <w:color w:val="auto"/>
                <w:w w:val="95"/>
              </w:rPr>
              <w:t>”) and the Taiwan Securities Association, an unlimited amount of</w:t>
            </w:r>
          </w:p>
        </w:tc>
      </w:tr>
      <w:tr>
        <w:trPr>
          <w:trHeight w:val="216"/>
        </w:trPr>
        <w:tc>
          <w:tcPr>
            <w:tcW w:w="2860" w:type="dxa"/>
            <w:vAlign w:val="bottom"/>
          </w:tcPr>
          <w:p>
            <w:pPr>
              <w:spacing w:after="0"/>
              <w:rPr>
                <w:sz w:val="18"/>
                <w:szCs w:val="18"/>
                <w:color w:val="auto"/>
              </w:rPr>
            </w:pPr>
          </w:p>
        </w:tc>
        <w:tc>
          <w:tcPr>
            <w:tcW w:w="6160" w:type="dxa"/>
            <w:vAlign w:val="bottom"/>
            <w:gridSpan w:val="3"/>
          </w:tcPr>
          <w:p>
            <w:pPr>
              <w:ind w:left="720"/>
              <w:spacing w:after="0"/>
              <w:rPr>
                <w:sz w:val="20"/>
                <w:szCs w:val="20"/>
                <w:color w:val="auto"/>
              </w:rPr>
            </w:pPr>
            <w:r>
              <w:rPr>
                <w:rFonts w:ascii="Arial" w:cs="Arial" w:eastAsia="Arial" w:hAnsi="Arial"/>
                <w:sz w:val="18"/>
                <w:szCs w:val="18"/>
                <w:color w:val="auto"/>
                <w:w w:val="98"/>
              </w:rPr>
              <w:t>additional 4.05% Notes due 2046 may be issued. The Notes and any</w:t>
            </w:r>
          </w:p>
        </w:tc>
      </w:tr>
      <w:tr>
        <w:trPr>
          <w:trHeight w:val="216"/>
        </w:trPr>
        <w:tc>
          <w:tcPr>
            <w:tcW w:w="2860" w:type="dxa"/>
            <w:vAlign w:val="bottom"/>
          </w:tcPr>
          <w:p>
            <w:pPr>
              <w:spacing w:after="0"/>
              <w:rPr>
                <w:sz w:val="18"/>
                <w:szCs w:val="18"/>
                <w:color w:val="auto"/>
              </w:rPr>
            </w:pPr>
          </w:p>
        </w:tc>
        <w:tc>
          <w:tcPr>
            <w:tcW w:w="6160" w:type="dxa"/>
            <w:vAlign w:val="bottom"/>
            <w:gridSpan w:val="3"/>
          </w:tcPr>
          <w:p>
            <w:pPr>
              <w:ind w:left="720"/>
              <w:spacing w:after="0"/>
              <w:rPr>
                <w:sz w:val="20"/>
                <w:szCs w:val="20"/>
                <w:color w:val="auto"/>
              </w:rPr>
            </w:pPr>
            <w:r>
              <w:rPr>
                <w:rFonts w:ascii="Arial" w:cs="Arial" w:eastAsia="Arial" w:hAnsi="Arial"/>
                <w:sz w:val="18"/>
                <w:szCs w:val="18"/>
                <w:color w:val="auto"/>
                <w:w w:val="92"/>
              </w:rPr>
              <w:t>additional 4.05% Notes due 2046 that may be issued may be treated as a</w:t>
            </w:r>
          </w:p>
        </w:tc>
      </w:tr>
      <w:tr>
        <w:trPr>
          <w:trHeight w:val="230"/>
        </w:trPr>
        <w:tc>
          <w:tcPr>
            <w:tcW w:w="2860" w:type="dxa"/>
            <w:vAlign w:val="bottom"/>
          </w:tcPr>
          <w:p>
            <w:pPr>
              <w:spacing w:after="0"/>
              <w:rPr>
                <w:sz w:val="20"/>
                <w:szCs w:val="20"/>
                <w:color w:val="auto"/>
              </w:rPr>
            </w:pPr>
          </w:p>
        </w:tc>
        <w:tc>
          <w:tcPr>
            <w:tcW w:w="6160" w:type="dxa"/>
            <w:vAlign w:val="bottom"/>
            <w:gridSpan w:val="3"/>
          </w:tcPr>
          <w:p>
            <w:pPr>
              <w:ind w:left="720"/>
              <w:spacing w:after="0"/>
              <w:rPr>
                <w:sz w:val="20"/>
                <w:szCs w:val="20"/>
                <w:color w:val="auto"/>
              </w:rPr>
            </w:pPr>
            <w:r>
              <w:rPr>
                <w:rFonts w:ascii="Arial" w:cs="Arial" w:eastAsia="Arial" w:hAnsi="Arial"/>
                <w:sz w:val="18"/>
                <w:szCs w:val="18"/>
                <w:color w:val="auto"/>
              </w:rPr>
              <w:t>single series for all purposes under the Indenture.</w:t>
            </w:r>
          </w:p>
        </w:tc>
      </w:tr>
      <w:tr>
        <w:trPr>
          <w:trHeight w:val="432"/>
        </w:trPr>
        <w:tc>
          <w:tcPr>
            <w:tcW w:w="286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6160" w:type="dxa"/>
            <w:vAlign w:val="bottom"/>
            <w:gridSpan w:val="3"/>
          </w:tcPr>
          <w:p>
            <w:pPr>
              <w:ind w:left="720"/>
              <w:spacing w:after="0"/>
              <w:rPr>
                <w:sz w:val="20"/>
                <w:szCs w:val="20"/>
                <w:color w:val="auto"/>
              </w:rPr>
            </w:pPr>
            <w:r>
              <w:rPr>
                <w:rFonts w:ascii="Arial" w:cs="Arial" w:eastAsia="Arial" w:hAnsi="Arial"/>
                <w:sz w:val="18"/>
                <w:szCs w:val="18"/>
                <w:color w:val="auto"/>
              </w:rPr>
              <w:t>None</w:t>
            </w:r>
          </w:p>
        </w:tc>
      </w:tr>
      <w:tr>
        <w:trPr>
          <w:trHeight w:val="432"/>
        </w:trPr>
        <w:tc>
          <w:tcPr>
            <w:tcW w:w="286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6160" w:type="dxa"/>
            <w:vAlign w:val="bottom"/>
            <w:gridSpan w:val="3"/>
          </w:tcPr>
          <w:p>
            <w:pPr>
              <w:ind w:left="720"/>
              <w:spacing w:after="0"/>
              <w:rPr>
                <w:sz w:val="20"/>
                <w:szCs w:val="20"/>
                <w:color w:val="auto"/>
              </w:rPr>
            </w:pPr>
            <w:r>
              <w:rPr>
                <w:rFonts w:ascii="Arial" w:cs="Arial" w:eastAsia="Arial" w:hAnsi="Arial"/>
                <w:sz w:val="18"/>
                <w:szCs w:val="18"/>
                <w:color w:val="auto"/>
              </w:rPr>
              <w:t>None</w:t>
            </w:r>
          </w:p>
        </w:tc>
      </w:tr>
      <w:tr>
        <w:trPr>
          <w:trHeight w:val="414"/>
        </w:trPr>
        <w:tc>
          <w:tcPr>
            <w:tcW w:w="286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6160" w:type="dxa"/>
            <w:vAlign w:val="bottom"/>
            <w:gridSpan w:val="3"/>
          </w:tcPr>
          <w:p>
            <w:pPr>
              <w:ind w:left="720"/>
              <w:spacing w:after="0"/>
              <w:rPr>
                <w:sz w:val="20"/>
                <w:szCs w:val="20"/>
                <w:color w:val="auto"/>
              </w:rPr>
            </w:pPr>
            <w:r>
              <w:rPr>
                <w:rFonts w:ascii="Arial" w:cs="Arial" w:eastAsia="Arial" w:hAnsi="Arial"/>
                <w:sz w:val="18"/>
                <w:szCs w:val="18"/>
                <w:color w:val="auto"/>
                <w:w w:val="90"/>
              </w:rPr>
              <w:t>The terms of the Notes shall include such other terms as are set forth in the</w:t>
            </w:r>
          </w:p>
        </w:tc>
      </w:tr>
      <w:tr>
        <w:trPr>
          <w:trHeight w:val="194"/>
        </w:trPr>
        <w:tc>
          <w:tcPr>
            <w:tcW w:w="2860" w:type="dxa"/>
            <w:vAlign w:val="bottom"/>
          </w:tcPr>
          <w:p>
            <w:pPr>
              <w:spacing w:after="0"/>
              <w:rPr>
                <w:sz w:val="16"/>
                <w:szCs w:val="16"/>
                <w:color w:val="auto"/>
              </w:rPr>
            </w:pPr>
          </w:p>
        </w:tc>
        <w:tc>
          <w:tcPr>
            <w:tcW w:w="6160" w:type="dxa"/>
            <w:vAlign w:val="bottom"/>
            <w:gridSpan w:val="3"/>
          </w:tcPr>
          <w:p>
            <w:pPr>
              <w:ind w:left="720"/>
              <w:spacing w:after="0" w:line="194" w:lineRule="exact"/>
              <w:rPr>
                <w:sz w:val="20"/>
                <w:szCs w:val="20"/>
                <w:color w:val="auto"/>
              </w:rPr>
            </w:pPr>
            <w:r>
              <w:rPr>
                <w:rFonts w:ascii="Arial" w:cs="Arial" w:eastAsia="Arial" w:hAnsi="Arial"/>
                <w:sz w:val="18"/>
                <w:szCs w:val="18"/>
                <w:color w:val="auto"/>
              </w:rPr>
              <w:t xml:space="preserve">Form of Note Due 2046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20"/>
        </w:trPr>
        <w:tc>
          <w:tcPr>
            <w:tcW w:w="28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584" w:right="39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IN WITNESS WHEREOF, the undersigned officers of the Company have duly executed this certificate as of the date first set forth above.</w:t>
      </w:r>
    </w:p>
    <w:p>
      <w:pPr>
        <w:spacing w:after="0" w:line="200" w:lineRule="exact"/>
        <w:rPr>
          <w:sz w:val="20"/>
          <w:szCs w:val="20"/>
          <w:color w:val="auto"/>
        </w:rPr>
      </w:pPr>
    </w:p>
    <w:p>
      <w:pPr>
        <w:spacing w:after="0" w:line="25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4345305</wp:posOffset>
            </wp:positionH>
            <wp:positionV relativeFrom="paragraph">
              <wp:posOffset>-130810</wp:posOffset>
            </wp:positionV>
            <wp:extent cx="24872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Title:  Senior Vice President and Treasurer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4345305</wp:posOffset>
            </wp:positionH>
            <wp:positionV relativeFrom="paragraph">
              <wp:posOffset>-130810</wp:posOffset>
            </wp:positionV>
            <wp:extent cx="24872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3" w:lineRule="exact"/>
        <w:rPr>
          <w:sz w:val="20"/>
          <w:szCs w:val="20"/>
          <w:color w:val="auto"/>
        </w:rPr>
      </w:pPr>
    </w:p>
    <w:p>
      <w:pPr>
        <w:ind w:left="6840"/>
        <w:spacing w:after="0"/>
        <w:rPr>
          <w:sz w:val="20"/>
          <w:szCs w:val="20"/>
          <w:color w:val="auto"/>
        </w:rPr>
      </w:pPr>
      <w:r>
        <w:rPr>
          <w:rFonts w:ascii="Arial" w:cs="Arial" w:eastAsia="Arial" w:hAnsi="Arial"/>
          <w:sz w:val="16"/>
          <w:szCs w:val="16"/>
          <w:color w:val="auto"/>
        </w:rPr>
        <w:t>Title:  Executive Vice President, General Counsel</w:t>
      </w:r>
    </w:p>
    <w:p>
      <w:pPr>
        <w:spacing w:after="0" w:line="32"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and Secretary</w:t>
      </w:r>
    </w:p>
    <w:p>
      <w:pPr>
        <w:spacing w:after="0" w:line="21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375285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60"/>
          </w:cols>
          <w:pgMar w:left="900" w:top="584" w:right="5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2046]</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COMMON DEPOSITARY OR A NOMINEE THEREOF. THIS SECURITY MAY NOT BE TRANSFERRED TO, OR REGISTERED OR EXCHANGED IN WHOLE OR IN PART FOR A SECURITY REGISTERED IN THE NAME OF, ANY PERSON OTHER THAN SUCH DEPOSITARY OR A NOMINEE THEREOF, AND NO SUCH TRANSFER MAY BE REGISTERED, EXCEPT IN THE LIMITED CIRCUMSTANCES DESCRIBED IN THE INDENTURE. EVERY SECURITY AUTHENTICATED AND DELIVERED UPON REGISTRATION OF TRANSFER OF, OR IN EXCHANGE FOR OR IN LIEU OF, THIS SECURITY SHALL BE A GLOBAL SECURITY SUBJECT TO THE FOREGOING, EXCEPT IN SUCH LIMITED CIRCUMSTANCES.</w:t>
      </w:r>
    </w:p>
    <w:p>
      <w:pPr>
        <w:spacing w:after="0" w:line="18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UNLESS THIS SECURITY IS PRESENTED BY AN AUTHORIZED REPRESENTATIVE OF THE BANK OF NEW YORK DEPOSITORY (NOMINEES) LIMITED, AS NOMINEE OF THE BANK OF NEW YORK MELLON, LONDON BRANCH, AS COMMON DEPOSITARY FOR EUROCLEAR BANK, S.A./N.V., AS OPERATOR OF THE EUROCLEAR SYSTEM (“EUROCLEAR”) AND CLEARSTREAM BANKING, SOCIÉTÉ ANONYME, LUXEMBOURG (“CLEARSTREAM, LUXEMBOURG” AND, TOGETHER WITH EUROCLEAR, “EUROCLEAR/CLEARSTREAM”), TO THE ISSUER OR ITS AGENT FOR REGISTRATION OF TRANSFER, EXCHANGE OR PAYMENT, AND ANY SECURITY ISSUED IS REGISTERED IN THE NAME OF THE BANK OF NEW YORK DEPOSITORY (NOMINEES) LIMITED OR IN SUCH OTHER NAME AS IS REQUESTED BY AN AUTHORIZED REPRESENTATIVE OF THE BANK OF NEW YORK MELLON, LONDON BRANCH, AS COMMON DEPOSITARY FOR EUROCLEAR/CLEARSTREAM (AND ANY PAYMENT IS MADE TO THE BANK OF NEW YORK DEPOSITORY (NOMINEES) LIMITED OR TO SUCH OTHER ENTITY AS IS REQUESTED BY AN AUTHORIZED REPRESENTATIVE OF THE BANK OF NEW YORK MELLON, LONDON BRANCH, AS COMMON DEPOSITARY FOR EUROCLEAR/CLEARSTREAM), ANY TRANSFER, PLEDGE OR OTHER USE HEREOF FOR VALUE OR OTHERWISE BY OR TO ANY PERSON IS WRONGFUL INASMUCH AS THE REGISTERED OWNER HEREOF, THE BANK OF NEW YORK MELLON, LONDON BRANCH, HAS AN INTEREST HEREIN.</w:t>
      </w:r>
    </w:p>
    <w:p>
      <w:pPr>
        <w:spacing w:after="0" w:line="18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TRANSFERS OF THIS NOTE ARE LIMITED TO TRANSFERS IN WHOLE, BUT NOT IN PART, TO NOMINEES OF THE COMMON DEPOSITARY OR TO A SUCCESSOR THEREOF OR SUCH SUCCESSOR’S NOMINEE AND TRANSFERS OF PORTIONS OF THIS GLOBAL SECURITY ARE LIMITED TO TRANSFERS MADE IN ACCORDANCE WITH THE TRANSFER PROVISIONS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4.05% Note Due 2046</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No. [</w:t>
        <w:tab/>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XS1413609493</w:t>
      </w:r>
    </w:p>
    <w:p>
      <w:pPr>
        <w:spacing w:after="0" w:line="225"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tab/>
        <w:t>]</w:t>
      </w:r>
    </w:p>
    <w:p>
      <w:pPr>
        <w:spacing w:after="0" w:line="221"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xml:space="preserve">”, which term includes any successor corporation), for value received promises to pay to The Bank of New York Depository (Nominees) Limited, as nominee of The Bank of New York Mellon, London Branch, as common depositary for Euroclear Bank S.A./N.V.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Luxembourg, or registered assigns, the principal sum of $[ ] on August 1, 2046.</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February 1 and August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August 1,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January 15 and July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31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6"/>
          <w:szCs w:val="16"/>
          <w:color w:val="auto"/>
        </w:rPr>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736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2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William E. Dordelman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220" w:type="dxa"/>
            <w:vAlign w:val="bottom"/>
          </w:tcPr>
          <w:p>
            <w:pPr>
              <w:ind w:left="180"/>
              <w:spacing w:after="0"/>
              <w:rPr>
                <w:sz w:val="20"/>
                <w:szCs w:val="20"/>
                <w:color w:val="auto"/>
              </w:rPr>
            </w:pPr>
            <w:r>
              <w:rPr>
                <w:rFonts w:ascii="Arial" w:cs="Arial" w:eastAsia="Arial" w:hAnsi="Arial"/>
                <w:sz w:val="18"/>
                <w:szCs w:val="18"/>
                <w:color w:val="auto"/>
              </w:rPr>
              <w:t>Senior Vice President and Treasurer</w:t>
            </w:r>
          </w:p>
        </w:tc>
      </w:tr>
    </w:tbl>
    <w:p>
      <w:pPr>
        <w:spacing w:after="0"/>
        <w:rPr>
          <w:sz w:val="20"/>
          <w:szCs w:val="20"/>
          <w:color w:val="auto"/>
        </w:rPr>
      </w:pPr>
      <w:r>
        <w:rPr>
          <w:rFonts w:ascii="Arial" w:cs="Arial" w:eastAsia="Arial" w:hAnsi="Arial"/>
          <w:sz w:val="18"/>
          <w:szCs w:val="18"/>
          <w:color w:val="auto"/>
        </w:rPr>
        <w:t>[Seal of Comcast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26073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04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Secretary</w:t>
      </w:r>
    </w:p>
    <w:p>
      <w:pPr>
        <w:spacing w:after="0" w:line="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26, 2016</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-130810</wp:posOffset>
            </wp:positionV>
            <wp:extent cx="25730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89"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4.05% Note Due 2046</w:t>
      </w:r>
    </w:p>
    <w:p>
      <w:pPr>
        <w:spacing w:after="0" w:line="225" w:lineRule="exact"/>
        <w:rPr>
          <w:sz w:val="20"/>
          <w:szCs w:val="20"/>
          <w:color w:val="auto"/>
        </w:rPr>
      </w:pPr>
    </w:p>
    <w:p>
      <w:pPr>
        <w:ind w:left="3020" w:hanging="675"/>
        <w:spacing w:after="0"/>
        <w:tabs>
          <w:tab w:leader="none" w:pos="3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May 26, 2016. The Issuer will pay interest semi-annually in arrears on each Interest Payment Date, commencing August 1, 2016. Interest will be computed on the basis of a 360-day year of twelve 30-day months.</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3020" w:hanging="675"/>
        <w:spacing w:after="0"/>
        <w:tabs>
          <w:tab w:leader="none" w:pos="3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If any Interest Payment Date, principal payment date, date of redemption or other payment date with respect to the Securities is not a Business Day (as defined below), the required payment of principal, premium, if any, or interest will be due on the next succeeding Business Day as if made on the date that such payment was due, and no interest will accrue on that payment for the period from and after that Interest Payment Date, principal payment date, date of redemption or other payment date, as the case may be, to the date of that payment on the next succeeding Business Day.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w:t>
      </w:r>
      <w:r>
        <w:rPr>
          <w:rFonts w:ascii="Arial" w:cs="Arial" w:eastAsia="Arial" w:hAnsi="Arial"/>
          <w:sz w:val="17"/>
          <w:szCs w:val="17"/>
          <w:color w:val="auto"/>
        </w:rPr>
        <w:t xml:space="preserve"> </w:t>
      </w:r>
      <w:r>
        <w:rPr>
          <w:rFonts w:ascii="Arial" w:cs="Arial" w:eastAsia="Arial" w:hAnsi="Arial"/>
          <w:sz w:val="17"/>
          <w:szCs w:val="17"/>
          <w:b w:val="1"/>
          <w:bCs w:val="1"/>
          <w:color w:val="auto"/>
        </w:rPr>
        <w:t>Tender</w:t>
      </w:r>
      <w:r>
        <w:rPr>
          <w:rFonts w:ascii="Arial" w:cs="Arial" w:eastAsia="Arial" w:hAnsi="Arial"/>
          <w:sz w:val="17"/>
          <w:szCs w:val="17"/>
          <w:color w:val="auto"/>
        </w:rPr>
        <w:t>”). The payments of interest, and any portion of the principal shall be made by the Paying Agent, upon receipt from the Issuer of immediately</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funds by 4:00 p.m., London time one Business Day prior to the payment due date (or such other time as may be agreed to between the Issuer and the Paying Agent), directly to a Holder (by Federal funds wire transfer or otherwise) if the Holder has delivered written instructions to the Paying Agent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All payment dates with respect to the Securities, whether upon maturity, on any redemption date or on any</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Interest Payment Date, shall be determined in accordance with the time-zone applicable to The City of New York.</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Sunday, which is not a day on which banking institutions in The City of New York, London or Taipei, are authorized or required by law, regulation or executive order to close.</w:t>
      </w:r>
    </w:p>
    <w:p>
      <w:pPr>
        <w:spacing w:after="0" w:line="166" w:lineRule="exact"/>
        <w:rPr>
          <w:sz w:val="20"/>
          <w:szCs w:val="20"/>
          <w:color w:val="auto"/>
        </w:rPr>
      </w:pPr>
    </w:p>
    <w:p>
      <w:pPr>
        <w:ind w:left="3020" w:hanging="675"/>
        <w:spacing w:after="0"/>
        <w:tabs>
          <w:tab w:leader="none" w:pos="3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Initially, The Bank of New York Mellon, London Branch will act as Paying Agent. The Issuer may change any Paying Agent without notice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Holders.</w:t>
      </w:r>
    </w:p>
    <w:p>
      <w:pPr>
        <w:spacing w:after="0" w:line="211" w:lineRule="exact"/>
        <w:rPr>
          <w:sz w:val="20"/>
          <w:szCs w:val="20"/>
          <w:color w:val="auto"/>
        </w:rPr>
      </w:pPr>
    </w:p>
    <w:p>
      <w:pPr>
        <w:ind w:left="3020" w:hanging="675"/>
        <w:spacing w:after="0"/>
        <w:tabs>
          <w:tab w:leader="none" w:pos="3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Trustee, as amended by the First Supplemental Indenture dated as of November 17, 2015 by and among the Issuer, the guarantors named therein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(together,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w:t>
      </w:r>
    </w:p>
    <w:p>
      <w:pPr>
        <w:spacing w:after="0" w:line="211" w:lineRule="exact"/>
        <w:rPr>
          <w:sz w:val="20"/>
          <w:szCs w:val="20"/>
          <w:color w:val="auto"/>
        </w:rPr>
      </w:pPr>
    </w:p>
    <w:p>
      <w:pPr>
        <w:ind w:left="3020" w:hanging="675"/>
        <w:spacing w:after="0"/>
        <w:tabs>
          <w:tab w:leader="none" w:pos="3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7" w:lineRule="exact"/>
        <w:rPr>
          <w:sz w:val="20"/>
          <w:szCs w:val="20"/>
          <w:color w:val="auto"/>
        </w:rPr>
      </w:pPr>
    </w:p>
    <w:p>
      <w:pPr>
        <w:ind w:left="3020" w:hanging="675"/>
        <w:spacing w:after="0"/>
        <w:tabs>
          <w:tab w:leader="none" w:pos="3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Securities are in registered form, without coupons, in denominations of $100,000 and multiples of $1,000 in excess thereof. A Holder shall register the transfer of or exchange of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is not required to transfer or exchange any Security selected for redemption during a period of fifteen (15) days before the electronic delivery or mailing of a notice of redemption.</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2" w:name="page13"/>
    <w:bookmarkEnd w:id="12"/>
    <w:p>
      <w:pPr>
        <w:ind w:left="3020" w:hanging="675"/>
        <w:spacing w:after="0"/>
        <w:tabs>
          <w:tab w:leader="none" w:pos="3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3020" w:hanging="675"/>
        <w:spacing w:after="0"/>
        <w:tabs>
          <w:tab w:leader="none" w:pos="3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70" w:lineRule="exact"/>
        <w:rPr>
          <w:sz w:val="20"/>
          <w:szCs w:val="20"/>
          <w:color w:val="auto"/>
        </w:rPr>
      </w:pPr>
    </w:p>
    <w:p>
      <w:pPr>
        <w:ind w:left="3020" w:hanging="675"/>
        <w:spacing w:after="0"/>
        <w:tabs>
          <w:tab w:leader="none" w:pos="3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6" w:lineRule="exact"/>
        <w:rPr>
          <w:sz w:val="20"/>
          <w:szCs w:val="20"/>
          <w:color w:val="auto"/>
        </w:rPr>
      </w:pPr>
    </w:p>
    <w:p>
      <w:pPr>
        <w:ind w:left="2980" w:hanging="770"/>
        <w:spacing w:after="0"/>
        <w:tabs>
          <w:tab w:leader="none" w:pos="2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2960" w:hanging="750"/>
        <w:spacing w:after="0"/>
        <w:tabs>
          <w:tab w:leader="none" w:pos="2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66" w:lineRule="exact"/>
        <w:rPr>
          <w:sz w:val="20"/>
          <w:szCs w:val="20"/>
          <w:color w:val="auto"/>
        </w:rPr>
      </w:pPr>
    </w:p>
    <w:p>
      <w:pPr>
        <w:ind w:left="2980" w:hanging="770"/>
        <w:spacing w:after="0"/>
        <w:tabs>
          <w:tab w:leader="none" w:pos="2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Optional Redemption.</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Issuer will have the right at its option to redeem any of the Securities, in whole but not in part, on each August 1 on or after August 1, 2019, on at least 30 days,</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3" w:name="page14"/>
    <w:bookmarkEnd w:id="13"/>
    <w:p>
      <w:pPr>
        <w:ind w:right="340"/>
        <w:spacing w:after="0" w:line="342" w:lineRule="auto"/>
        <w:rPr>
          <w:sz w:val="20"/>
          <w:szCs w:val="20"/>
          <w:color w:val="auto"/>
        </w:rPr>
      </w:pPr>
      <w:r>
        <w:rPr>
          <w:rFonts w:ascii="Arial" w:cs="Arial" w:eastAsia="Arial" w:hAnsi="Arial"/>
          <w:sz w:val="16"/>
          <w:szCs w:val="16"/>
          <w:color w:val="auto"/>
        </w:rPr>
        <w:t>but not more than 60 days, prior notice electronically delivered or mailed to the registered address of each Holder of the Securities, at a Redemption Price equal to 100% of the principal amount of the Securities being redeemed plus any accrued interest to, but not including, the date of redemption.</w:t>
      </w:r>
    </w:p>
    <w:p>
      <w:pPr>
        <w:spacing w:after="0" w:line="124" w:lineRule="exact"/>
        <w:rPr>
          <w:sz w:val="20"/>
          <w:szCs w:val="20"/>
          <w:color w:val="auto"/>
        </w:rPr>
      </w:pPr>
    </w:p>
    <w:p>
      <w:pPr>
        <w:ind w:left="2980" w:hanging="770"/>
        <w:spacing w:after="0"/>
        <w:tabs>
          <w:tab w:leader="none" w:pos="2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Redemption for Tax Reasons.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Issuer will have right to redeem the Securities, in whole but not in part, on not less than 10 nor more than 60 days prior notice, at a redemption price equal to 100% of their principal amount, together with any accrued and unpaid interest to, but not including, the date of redemption 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May 13, 2016, the Issuer becomes or, based upon a written opinion of independent counsel selected by the Issuer, will become obligated to pay additional amounts as described in Section 14 herein under the heading “Payment of Additional Amounts.”</w:t>
      </w:r>
    </w:p>
    <w:p>
      <w:pPr>
        <w:spacing w:after="0" w:line="189" w:lineRule="exact"/>
        <w:rPr>
          <w:sz w:val="20"/>
          <w:szCs w:val="20"/>
          <w:color w:val="auto"/>
        </w:rPr>
      </w:pPr>
    </w:p>
    <w:p>
      <w:pPr>
        <w:ind w:left="2980" w:hanging="770"/>
        <w:spacing w:after="0"/>
        <w:tabs>
          <w:tab w:leader="none" w:pos="2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 of Additional Amounts.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Issuer, will, subject to the exceptions and limitations set forth below, pay as additional interest on the Securities such additional amounts as are necessary in order that the net payment by the Issuer or its paying agent of the principal of and interest on the Securities to a Holder who is not a United States person (as defined below), after withholding or deduction for any present or future tax, assessment or other governmental charge (“</w:t>
      </w:r>
      <w:r>
        <w:rPr>
          <w:rFonts w:ascii="Arial" w:cs="Arial" w:eastAsia="Arial" w:hAnsi="Arial"/>
          <w:sz w:val="18"/>
          <w:szCs w:val="18"/>
          <w:b w:val="1"/>
          <w:bCs w:val="1"/>
          <w:color w:val="auto"/>
        </w:rPr>
        <w:t>Tax</w:t>
      </w:r>
      <w:r>
        <w:rPr>
          <w:rFonts w:ascii="Arial" w:cs="Arial" w:eastAsia="Arial" w:hAnsi="Arial"/>
          <w:sz w:val="18"/>
          <w:szCs w:val="18"/>
          <w:color w:val="auto"/>
        </w:rPr>
        <w:t>”) imposed by the United States or a taxing authority in the United States, will not be less than the amount provided in the Securities to be then due and payable; provided, however, that the foregoing obligation to pay additional amounts shall not apply:</w:t>
      </w:r>
    </w:p>
    <w:p>
      <w:pPr>
        <w:spacing w:after="0" w:line="188" w:lineRule="exact"/>
        <w:rPr>
          <w:sz w:val="20"/>
          <w:szCs w:val="20"/>
          <w:color w:val="auto"/>
        </w:rPr>
      </w:pPr>
    </w:p>
    <w:p>
      <w:pPr>
        <w:jc w:val="both"/>
        <w:ind w:left="1300" w:right="60" w:firstLine="5"/>
        <w:spacing w:after="0" w:line="264" w:lineRule="auto"/>
        <w:tabs>
          <w:tab w:leader="none" w:pos="1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Tax that is imposed by reason of the Holder (or the beneficial owner for whose benefit such Holder holds the Securities), or a fiduciary, settlor, beneficiary, member or shareholder of the Holder if the Holder is an estate, trust, partnership or corporation, or a person holding a power over an estate or trust administered by a fiduciary Holder, being considered as:</w:t>
      </w:r>
    </w:p>
    <w:p>
      <w:pPr>
        <w:spacing w:after="0" w:line="181" w:lineRule="exact"/>
        <w:rPr>
          <w:rFonts w:ascii="Arial" w:cs="Arial" w:eastAsia="Arial" w:hAnsi="Arial"/>
          <w:sz w:val="18"/>
          <w:szCs w:val="18"/>
          <w:color w:val="auto"/>
        </w:rPr>
      </w:pPr>
    </w:p>
    <w:p>
      <w:pPr>
        <w:ind w:left="2520" w:right="360"/>
        <w:spacing w:after="0" w:line="277" w:lineRule="auto"/>
        <w:tabs>
          <w:tab w:leader="none" w:pos="3185" w:val="left"/>
        </w:tabs>
        <w:numPr>
          <w:ilvl w:val="1"/>
          <w:numId w:val="16"/>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170" w:lineRule="exact"/>
        <w:rPr>
          <w:rFonts w:ascii="Arial" w:cs="Arial" w:eastAsia="Arial" w:hAnsi="Arial"/>
          <w:sz w:val="18"/>
          <w:szCs w:val="18"/>
          <w:color w:val="auto"/>
        </w:rPr>
      </w:pPr>
    </w:p>
    <w:p>
      <w:pPr>
        <w:jc w:val="both"/>
        <w:ind w:left="2520" w:right="60"/>
        <w:spacing w:after="0" w:line="264" w:lineRule="auto"/>
        <w:tabs>
          <w:tab w:leader="none" w:pos="3195" w:val="left"/>
        </w:tabs>
        <w:numPr>
          <w:ilvl w:val="1"/>
          <w:numId w:val="16"/>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Securities, the receipt of any payment or the enforcement of any rights hereunder), including being or having been a citizen or resident of the United States;</w:t>
      </w:r>
    </w:p>
    <w:p>
      <w:pPr>
        <w:spacing w:after="0" w:line="28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ind w:left="1320" w:right="120"/>
        <w:spacing w:after="0" w:line="264" w:lineRule="auto"/>
        <w:tabs>
          <w:tab w:leader="none" w:pos="19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being or having been a personal holding company, a passive foreign investment company or a controlled foreign corporation for U.S. federal income tax purposes or a corporation that has accumulated earnings to avoid U.S. federal income tax;</w:t>
      </w:r>
    </w:p>
    <w:p>
      <w:pPr>
        <w:spacing w:after="0" w:line="181" w:lineRule="exact"/>
        <w:rPr>
          <w:rFonts w:ascii="Arial" w:cs="Arial" w:eastAsia="Arial" w:hAnsi="Arial"/>
          <w:sz w:val="18"/>
          <w:szCs w:val="18"/>
          <w:color w:val="auto"/>
        </w:rPr>
      </w:pPr>
    </w:p>
    <w:p>
      <w:pPr>
        <w:ind w:left="1320"/>
        <w:spacing w:after="0" w:line="277" w:lineRule="auto"/>
        <w:tabs>
          <w:tab w:leader="none" w:pos="1995" w:val="left"/>
        </w:tabs>
        <w:numPr>
          <w:ilvl w:val="1"/>
          <w:numId w:val="17"/>
        </w:numPr>
        <w:rPr>
          <w:rFonts w:ascii="Arial" w:cs="Arial" w:eastAsia="Arial" w:hAnsi="Arial"/>
          <w:sz w:val="18"/>
          <w:szCs w:val="18"/>
          <w:color w:val="auto"/>
        </w:rPr>
      </w:pPr>
      <w:r>
        <w:rPr>
          <w:rFonts w:ascii="Arial" w:cs="Arial" w:eastAsia="Arial" w:hAnsi="Arial"/>
          <w:sz w:val="18"/>
          <w:szCs w:val="18"/>
          <w:color w:val="auto"/>
        </w:rPr>
        <w:t>being or having been a “10-percent shareholder” of us or the applicable guarantor as defined in Section 871(h)(3) of the United States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20" w:right="420"/>
        <w:spacing w:after="0" w:line="277" w:lineRule="auto"/>
        <w:tabs>
          <w:tab w:leader="none" w:pos="1985" w:val="left"/>
        </w:tabs>
        <w:numPr>
          <w:ilvl w:val="1"/>
          <w:numId w:val="17"/>
        </w:numPr>
        <w:rPr>
          <w:rFonts w:ascii="Arial" w:cs="Arial" w:eastAsia="Arial" w:hAnsi="Arial"/>
          <w:sz w:val="18"/>
          <w:szCs w:val="18"/>
          <w:color w:val="auto"/>
        </w:rPr>
      </w:pPr>
      <w:r>
        <w:rPr>
          <w:rFonts w:ascii="Arial" w:cs="Arial" w:eastAsia="Arial" w:hAnsi="Arial"/>
          <w:sz w:val="18"/>
          <w:szCs w:val="18"/>
          <w:color w:val="auto"/>
        </w:rPr>
        <w:t>being a controlled foreign corporation that is related to us or the applicable guarantor within the meaning of Section 864(d)(4) of the Code; or</w:t>
      </w:r>
    </w:p>
    <w:p>
      <w:pPr>
        <w:spacing w:after="0" w:line="170" w:lineRule="exact"/>
        <w:rPr>
          <w:rFonts w:ascii="Arial" w:cs="Arial" w:eastAsia="Arial" w:hAnsi="Arial"/>
          <w:sz w:val="18"/>
          <w:szCs w:val="18"/>
          <w:color w:val="auto"/>
        </w:rPr>
      </w:pPr>
    </w:p>
    <w:p>
      <w:pPr>
        <w:ind w:left="1320" w:right="100"/>
        <w:spacing w:after="0" w:line="277" w:lineRule="auto"/>
        <w:tabs>
          <w:tab w:leader="none" w:pos="1965" w:val="left"/>
        </w:tabs>
        <w:numPr>
          <w:ilvl w:val="1"/>
          <w:numId w:val="17"/>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w:t>
      </w:r>
    </w:p>
    <w:p>
      <w:pPr>
        <w:spacing w:after="0" w:line="170" w:lineRule="exact"/>
        <w:rPr>
          <w:rFonts w:ascii="Arial" w:cs="Arial" w:eastAsia="Arial" w:hAnsi="Arial"/>
          <w:sz w:val="18"/>
          <w:szCs w:val="18"/>
          <w:color w:val="auto"/>
        </w:rPr>
      </w:pPr>
    </w:p>
    <w:p>
      <w:pPr>
        <w:jc w:val="both"/>
        <w:ind w:left="100" w:firstLine="5"/>
        <w:spacing w:after="0" w:line="257" w:lineRule="auto"/>
        <w:tabs>
          <w:tab w:leader="none" w:pos="7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Holder that is not the sole beneficial owner of the Securities, or a portion of the Securities,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188" w:lineRule="exact"/>
        <w:rPr>
          <w:rFonts w:ascii="Arial" w:cs="Arial" w:eastAsia="Arial" w:hAnsi="Arial"/>
          <w:sz w:val="18"/>
          <w:szCs w:val="18"/>
          <w:color w:val="auto"/>
        </w:rPr>
      </w:pPr>
    </w:p>
    <w:p>
      <w:pPr>
        <w:ind w:left="100" w:right="100" w:firstLine="5"/>
        <w:spacing w:after="0" w:line="302" w:lineRule="auto"/>
        <w:tabs>
          <w:tab w:leader="none" w:pos="7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any Tax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Securities, if compliance is required by statute, by regulation of the United States or any taxing authority therein or by an applicable income tax treaty to which the United States is a party as a precondition to exemption from such Tax;</w:t>
      </w:r>
    </w:p>
    <w:p>
      <w:pPr>
        <w:spacing w:after="0" w:line="154" w:lineRule="exact"/>
        <w:rPr>
          <w:rFonts w:ascii="Arial" w:cs="Arial" w:eastAsia="Arial" w:hAnsi="Arial"/>
          <w:sz w:val="16"/>
          <w:szCs w:val="16"/>
          <w:color w:val="auto"/>
        </w:rPr>
      </w:pPr>
    </w:p>
    <w:p>
      <w:pPr>
        <w:ind w:left="780" w:hanging="675"/>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Tax that is imposed otherwise than by withholding by us or a paying agent from the payment;</w:t>
      </w:r>
    </w:p>
    <w:p>
      <w:pPr>
        <w:spacing w:after="0" w:line="225" w:lineRule="exact"/>
        <w:rPr>
          <w:rFonts w:ascii="Arial" w:cs="Arial" w:eastAsia="Arial" w:hAnsi="Arial"/>
          <w:sz w:val="18"/>
          <w:szCs w:val="18"/>
          <w:color w:val="auto"/>
        </w:rPr>
      </w:pPr>
    </w:p>
    <w:p>
      <w:pPr>
        <w:ind w:left="100" w:right="180" w:firstLine="5"/>
        <w:spacing w:after="0" w:line="308" w:lineRule="auto"/>
        <w:tabs>
          <w:tab w:leader="none" w:pos="77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any Tax that would not have been imposed but for a change in law, regulation, or administrative or judicial interpretation that becomes effective more than 15 days after the payment becomes due or is duly provided for, whichever occurs later;</w:t>
      </w:r>
    </w:p>
    <w:p>
      <w:pPr>
        <w:spacing w:after="0" w:line="146" w:lineRule="exact"/>
        <w:rPr>
          <w:rFonts w:ascii="Arial" w:cs="Arial" w:eastAsia="Arial" w:hAnsi="Arial"/>
          <w:sz w:val="17"/>
          <w:szCs w:val="17"/>
          <w:color w:val="auto"/>
        </w:rPr>
      </w:pPr>
    </w:p>
    <w:p>
      <w:pPr>
        <w:ind w:left="780" w:hanging="675"/>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or similar Tax;</w:t>
      </w:r>
    </w:p>
    <w:p>
      <w:pPr>
        <w:spacing w:after="0" w:line="326"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60"/>
          </w:cols>
          <w:pgMar w:left="1440" w:top="584" w:right="299" w:bottom="1440" w:gutter="0" w:footer="0" w:header="0"/>
        </w:sectPr>
      </w:pPr>
    </w:p>
    <w:bookmarkStart w:id="15" w:name="page16"/>
    <w:bookmarkEnd w:id="15"/>
    <w:p>
      <w:pPr>
        <w:ind w:left="1300" w:right="340" w:firstLine="5"/>
        <w:spacing w:after="0" w:line="264" w:lineRule="auto"/>
        <w:tabs>
          <w:tab w:leader="none" w:pos="1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withholding or deduction that is imposed on a payment to an individual and that is required to be made pursuant to European Council Directive 2003/48/EC on the taxing of savings income or any law implementing or complying with, or introduced in order to conform to, such European Council Directive on the taxation of savings;</w:t>
      </w:r>
    </w:p>
    <w:p>
      <w:pPr>
        <w:spacing w:after="0" w:line="181" w:lineRule="exact"/>
        <w:rPr>
          <w:rFonts w:ascii="Arial" w:cs="Arial" w:eastAsia="Arial" w:hAnsi="Arial"/>
          <w:sz w:val="18"/>
          <w:szCs w:val="18"/>
          <w:color w:val="auto"/>
        </w:rPr>
      </w:pPr>
    </w:p>
    <w:p>
      <w:pPr>
        <w:ind w:left="1300" w:right="480" w:firstLine="5"/>
        <w:spacing w:after="0" w:line="277" w:lineRule="auto"/>
        <w:tabs>
          <w:tab w:leader="none" w:pos="1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Tax required to be withheld by any paying agent from any payment of principal of or interest on any Security, if such payment can be made without such withholding by at least one other paying agent;</w:t>
      </w:r>
    </w:p>
    <w:p>
      <w:pPr>
        <w:spacing w:after="0" w:line="170" w:lineRule="exact"/>
        <w:rPr>
          <w:rFonts w:ascii="Arial" w:cs="Arial" w:eastAsia="Arial" w:hAnsi="Arial"/>
          <w:sz w:val="18"/>
          <w:szCs w:val="18"/>
          <w:color w:val="auto"/>
        </w:rPr>
      </w:pPr>
    </w:p>
    <w:p>
      <w:pPr>
        <w:ind w:left="1300" w:right="100" w:firstLine="5"/>
        <w:spacing w:after="0" w:line="264" w:lineRule="auto"/>
        <w:tabs>
          <w:tab w:leader="none" w:pos="1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the presentation by the Holder of any Security, where presentation is required, for payment on a date more than 30 days after the date on which payment became due and payable or the date on which payment thereof is duly provided for, whichever occurs later;</w:t>
      </w:r>
    </w:p>
    <w:p>
      <w:pPr>
        <w:spacing w:after="0" w:line="181" w:lineRule="exact"/>
        <w:rPr>
          <w:rFonts w:ascii="Arial" w:cs="Arial" w:eastAsia="Arial" w:hAnsi="Arial"/>
          <w:sz w:val="18"/>
          <w:szCs w:val="18"/>
          <w:color w:val="auto"/>
        </w:rPr>
      </w:pPr>
    </w:p>
    <w:p>
      <w:pPr>
        <w:ind w:left="1300" w:right="260" w:firstLine="5"/>
        <w:spacing w:after="0" w:line="259" w:lineRule="auto"/>
        <w:tabs>
          <w:tab w:leader="none" w:pos="20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Tax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w:t>
      </w:r>
    </w:p>
    <w:p>
      <w:pPr>
        <w:spacing w:after="0" w:line="186" w:lineRule="exact"/>
        <w:rPr>
          <w:rFonts w:ascii="Arial" w:cs="Arial" w:eastAsia="Arial" w:hAnsi="Arial"/>
          <w:sz w:val="18"/>
          <w:szCs w:val="18"/>
          <w:color w:val="auto"/>
        </w:rPr>
      </w:pPr>
    </w:p>
    <w:p>
      <w:pPr>
        <w:ind w:left="2060" w:hanging="755"/>
        <w:spacing w:after="0"/>
        <w:tabs>
          <w:tab w:leader="none" w:pos="2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any combination of items (1)-(10) above.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used in this Section 14,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U.S. federal income taxation regardless of its source.</w:t>
      </w:r>
    </w:p>
    <w:p>
      <w:pPr>
        <w:spacing w:after="0" w:line="187" w:lineRule="exact"/>
        <w:rPr>
          <w:sz w:val="20"/>
          <w:szCs w:val="20"/>
          <w:color w:val="auto"/>
        </w:rPr>
      </w:pPr>
    </w:p>
    <w:p>
      <w:pPr>
        <w:ind w:left="2980" w:hanging="770"/>
        <w:spacing w:after="0"/>
        <w:tabs>
          <w:tab w:leader="none" w:pos="2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6" w:name="page17"/>
    <w:bookmarkEnd w:id="16"/>
    <w:p>
      <w:pPr>
        <w:ind w:right="100" w:firstLine="648"/>
        <w:spacing w:after="0" w:line="342" w:lineRule="auto"/>
        <w:rPr>
          <w:sz w:val="20"/>
          <w:szCs w:val="20"/>
          <w:color w:val="auto"/>
        </w:rPr>
      </w:pPr>
      <w:r>
        <w:rPr>
          <w:rFonts w:ascii="Arial" w:cs="Arial" w:eastAsia="Arial" w:hAnsi="Arial"/>
          <w:sz w:val="16"/>
          <w:szCs w:val="16"/>
          <w:color w:val="auto"/>
        </w:rPr>
        <w:t>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24" w:lineRule="exact"/>
        <w:rPr>
          <w:sz w:val="20"/>
          <w:szCs w:val="20"/>
          <w:color w:val="auto"/>
        </w:rPr>
      </w:pPr>
    </w:p>
    <w:p>
      <w:pPr>
        <w:ind w:left="2980" w:hanging="770"/>
        <w:spacing w:after="0"/>
        <w:tabs>
          <w:tab w:leader="none" w:pos="2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2980" w:hanging="770"/>
        <w:spacing w:after="0"/>
        <w:tabs>
          <w:tab w:leader="none" w:pos="2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2980" w:hanging="770"/>
        <w:spacing w:after="0"/>
        <w:tabs>
          <w:tab w:leader="none" w:pos="2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25" w:lineRule="exact"/>
        <w:rPr>
          <w:sz w:val="20"/>
          <w:szCs w:val="20"/>
          <w:color w:val="auto"/>
        </w:rPr>
      </w:pPr>
    </w:p>
    <w:p>
      <w:pPr>
        <w:ind w:left="2980" w:hanging="770"/>
        <w:spacing w:after="0"/>
        <w:tabs>
          <w:tab w:leader="none" w:pos="2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2980" w:hanging="770"/>
        <w:spacing w:after="0"/>
        <w:tabs>
          <w:tab w:leader="none" w:pos="2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ISIN Numbers.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ISIN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81" w:lineRule="exact"/>
        <w:rPr>
          <w:sz w:val="20"/>
          <w:szCs w:val="20"/>
          <w:color w:val="auto"/>
        </w:rPr>
      </w:pPr>
    </w:p>
    <w:p>
      <w:pPr>
        <w:ind w:left="2980" w:hanging="770"/>
        <w:spacing w:after="0"/>
        <w:tabs>
          <w:tab w:leader="none" w:pos="2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 substitute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another to act for him.</w:t>
      </w:r>
    </w:p>
    <w:p>
      <w:pPr>
        <w:sectPr>
          <w:pgSz w:w="11900" w:h="16838" w:orient="portrait"/>
          <w:cols w:equalWidth="0" w:num="1">
            <w:col w:w="11360"/>
          </w:cols>
          <w:pgMar w:left="240" w:top="584" w:right="29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Signed: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240"/>
        <w:spacing w:after="0" w:line="312" w:lineRule="auto"/>
        <w:rPr>
          <w:sz w:val="20"/>
          <w:szCs w:val="20"/>
          <w:color w:val="auto"/>
        </w:rPr>
      </w:pPr>
      <w:r>
        <w:rPr>
          <w:rFonts w:ascii="Arial" w:cs="Arial" w:eastAsia="Arial" w:hAnsi="Arial"/>
          <w:sz w:val="16"/>
          <w:szCs w:val="16"/>
          <w:color w:val="auto"/>
        </w:rPr>
        <w:t>_____________________________ (Signed exactly as name appears on the other side of this Security)</w:t>
      </w:r>
    </w:p>
    <w:p>
      <w:pPr>
        <w:spacing w:after="0" w:line="200" w:lineRule="exact"/>
        <w:rPr>
          <w:sz w:val="20"/>
          <w:szCs w:val="20"/>
          <w:color w:val="auto"/>
        </w:rPr>
      </w:pPr>
    </w:p>
    <w:p>
      <w:pPr>
        <w:sectPr>
          <w:pgSz w:w="11900" w:h="16838" w:orient="portrait"/>
          <w:cols w:equalWidth="0" w:num="4">
            <w:col w:w="480" w:space="340"/>
            <w:col w:w="4180" w:space="720"/>
            <w:col w:w="560" w:space="240"/>
            <w:col w:w="4840"/>
          </w:cols>
          <w:pgMar w:left="240" w:top="584" w:right="299" w:bottom="1440" w:gutter="0" w:footer="0" w:header="0"/>
          <w:type w:val="continuous"/>
        </w:sect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Signature Guarantee: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Participant in a recognized Signature Guarantee</w:t>
      </w:r>
    </w:p>
    <w:p>
      <w:pPr>
        <w:spacing w:after="0" w:line="21" w:lineRule="exact"/>
        <w:rPr>
          <w:sz w:val="20"/>
          <w:szCs w:val="20"/>
          <w:color w:val="auto"/>
        </w:rPr>
      </w:pPr>
    </w:p>
    <w:p>
      <w:pPr>
        <w:sectPr>
          <w:pgSz w:w="11900" w:h="16838" w:orient="portrait"/>
          <w:cols w:equalWidth="0" w:num="2">
            <w:col w:w="1580" w:space="720"/>
            <w:col w:w="9060"/>
          </w:cols>
          <w:pgMar w:left="240" w:top="584" w:right="299" w:bottom="1440" w:gutter="0" w:footer="0" w:header="0"/>
          <w:type w:val="continuous"/>
        </w:sectPr>
      </w:pPr>
    </w:p>
    <w:p>
      <w:pPr>
        <w:ind w:left="2300"/>
        <w:spacing w:after="0"/>
        <w:rPr>
          <w:sz w:val="20"/>
          <w:szCs w:val="20"/>
          <w:color w:val="auto"/>
        </w:rPr>
      </w:pPr>
      <w:r>
        <w:rPr>
          <w:rFonts w:ascii="Arial" w:cs="Arial" w:eastAsia="Arial" w:hAnsi="Arial"/>
          <w:sz w:val="16"/>
          <w:szCs w:val="16"/>
          <w:color w:val="auto"/>
        </w:rPr>
        <w:t>Medallion Program (or other signature guarantor</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program reasonably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COMCAST CORPORATION]</w:t>
      </w:r>
    </w:p>
    <w:p>
      <w:pPr>
        <w:spacing w:after="0" w:line="225"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May 26,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am Executive Vice President, General Counsel and Secretary of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have acted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for the Company in connection with the issuance by the Company, pursuant to the Subscription Agreement dated May 13, 2016 (the “</w:t>
      </w:r>
      <w:r>
        <w:rPr>
          <w:rFonts w:ascii="Arial" w:cs="Arial" w:eastAsia="Arial" w:hAnsi="Arial"/>
          <w:sz w:val="17"/>
          <w:szCs w:val="17"/>
          <w:b w:val="1"/>
          <w:bCs w:val="1"/>
          <w:color w:val="auto"/>
        </w:rPr>
        <w:t>Subscription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w:t>
      </w:r>
      <w:r>
        <w:rPr>
          <w:rFonts w:ascii="Arial" w:cs="Arial" w:eastAsia="Arial" w:hAnsi="Arial"/>
          <w:sz w:val="17"/>
          <w:szCs w:val="17"/>
          <w:color w:val="auto"/>
        </w:rPr>
        <w:t>”) among the Company, the Guarantors (as defined below) and Deutsche Bank AG, Taipei Branch, as the manager named therein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Manager</w:t>
      </w:r>
      <w:r>
        <w:rPr>
          <w:rFonts w:ascii="Arial" w:cs="Arial" w:eastAsia="Arial" w:hAnsi="Arial"/>
          <w:sz w:val="16"/>
          <w:szCs w:val="16"/>
          <w:color w:val="auto"/>
        </w:rPr>
        <w:t>”), of $1,430,000,000 aggregate principal amount of its 4.05% Notes due 2046 (the “</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of the Indenture dated as of September 18, 2013 (the “ </w:t>
      </w:r>
      <w:r>
        <w:rPr>
          <w:rFonts w:ascii="Arial" w:cs="Arial" w:eastAsia="Arial" w:hAnsi="Arial"/>
          <w:sz w:val="16"/>
          <w:szCs w:val="16"/>
          <w:b w:val="1"/>
          <w:bCs w:val="1"/>
          <w:color w:val="auto"/>
        </w:rPr>
        <w:t>Base Indenture</w:t>
      </w:r>
      <w:r>
        <w:rPr>
          <w:rFonts w:ascii="Arial" w:cs="Arial" w:eastAsia="Arial" w:hAnsi="Arial"/>
          <w:sz w:val="16"/>
          <w:szCs w:val="16"/>
          <w:color w:val="auto"/>
        </w:rPr>
        <w:t>”) by and among the Company, the guarantors named therein and The Bank of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November 17, 2015 (the “</w:t>
      </w:r>
      <w:r>
        <w:rPr>
          <w:rFonts w:ascii="Arial" w:cs="Arial" w:eastAsia="Arial" w:hAnsi="Arial"/>
          <w:sz w:val="16"/>
          <w:szCs w:val="16"/>
          <w:b w:val="1"/>
          <w:bCs w:val="1"/>
          <w:color w:val="auto"/>
        </w:rPr>
        <w:t>First Supplemental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Indenture</w:t>
      </w:r>
      <w:r>
        <w:rPr>
          <w:rFonts w:ascii="Arial" w:cs="Arial" w:eastAsia="Arial" w:hAnsi="Arial"/>
          <w:sz w:val="16"/>
          <w:szCs w:val="16"/>
          <w:color w:val="auto"/>
        </w:rPr>
        <w:t>” and, together with the Base Indenture, the “</w:t>
      </w:r>
      <w:r>
        <w:rPr>
          <w:rFonts w:ascii="Arial" w:cs="Arial" w:eastAsia="Arial" w:hAnsi="Arial"/>
          <w:sz w:val="16"/>
          <w:szCs w:val="16"/>
          <w:b w:val="1"/>
          <w:bCs w:val="1"/>
          <w:color w:val="auto"/>
        </w:rPr>
        <w:t>Indenture</w:t>
      </w:r>
      <w:r>
        <w:rPr>
          <w:rFonts w:ascii="Arial" w:cs="Arial" w:eastAsia="Arial" w:hAnsi="Arial"/>
          <w:sz w:val="16"/>
          <w:szCs w:val="16"/>
          <w:color w:val="auto"/>
        </w:rPr>
        <w:t>”) among the Company, the guarantors named therein and the Trustee and guaranteed on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unsecured and unsubordinated basis by Comcast Cable Communications, LLC and NBCUniversal Media, LLC (the “</w:t>
      </w:r>
      <w:r>
        <w:rPr>
          <w:rFonts w:ascii="Arial" w:cs="Arial" w:eastAsia="Arial" w:hAnsi="Arial"/>
          <w:sz w:val="18"/>
          <w:szCs w:val="18"/>
          <w:b w:val="1"/>
          <w:bCs w:val="1"/>
          <w:color w:val="auto"/>
        </w:rPr>
        <w:t>Guarantors</w:t>
      </w:r>
      <w:r>
        <w:rPr>
          <w:rFonts w:ascii="Arial" w:cs="Arial" w:eastAsia="Arial" w:hAnsi="Arial"/>
          <w:sz w:val="18"/>
          <w:szCs w:val="18"/>
          <w:color w:val="auto"/>
        </w:rPr>
        <w:t>”).</w:t>
      </w:r>
    </w:p>
    <w:p>
      <w:pPr>
        <w:spacing w:after="0" w:line="211"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ind w:left="440"/>
        <w:spacing w:after="0"/>
        <w:rPr>
          <w:sz w:val="20"/>
          <w:szCs w:val="20"/>
          <w:color w:val="auto"/>
        </w:rPr>
      </w:pPr>
      <w:r>
        <w:rPr>
          <w:rFonts w:ascii="Arial" w:cs="Arial" w:eastAsia="Arial" w:hAnsi="Arial"/>
          <w:sz w:val="18"/>
          <w:szCs w:val="18"/>
          <w:color w:val="auto"/>
        </w:rPr>
        <w:t>Based upon the foregoing, I am of the opinion that:</w:t>
      </w:r>
    </w:p>
    <w:p>
      <w:pPr>
        <w:spacing w:after="0" w:line="225" w:lineRule="exact"/>
        <w:rPr>
          <w:sz w:val="20"/>
          <w:szCs w:val="20"/>
          <w:color w:val="auto"/>
        </w:rPr>
      </w:pPr>
    </w:p>
    <w:p>
      <w:pPr>
        <w:ind w:left="620" w:hanging="171"/>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225" w:lineRule="exact"/>
        <w:rPr>
          <w:rFonts w:ascii="Arial" w:cs="Arial" w:eastAsia="Arial" w:hAnsi="Arial"/>
          <w:sz w:val="18"/>
          <w:szCs w:val="18"/>
          <w:color w:val="auto"/>
        </w:rPr>
      </w:pPr>
    </w:p>
    <w:p>
      <w:pPr>
        <w:ind w:left="620" w:hanging="171"/>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225"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17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I hereby consent to the filing of this opinion as an exhibit to a report on Form 8-K filed by the Company on the date hereof and its incorporation by reference into the Company’s registration statement on Form S-3 filed on September 18, 2013, as amended on February 19, 2014 and November 23, 2015 (File No. 333-191239).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200" w:lineRule="exact"/>
        <w:rPr>
          <w:sz w:val="20"/>
          <w:szCs w:val="20"/>
          <w:color w:val="auto"/>
        </w:rPr>
      </w:pP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Arthur R. Block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9"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584" w:right="45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DAVIS POLK &amp; WARDWELL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May 26,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We have acted as counsel to Comcast Corporation, a Pennsylvania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issuance by the Company, pursuant to the Subscription Agreement dated May 13, 2016 (the “</w:t>
      </w:r>
      <w:r>
        <w:rPr>
          <w:rFonts w:ascii="Arial" w:cs="Arial" w:eastAsia="Arial" w:hAnsi="Arial"/>
          <w:sz w:val="17"/>
          <w:szCs w:val="17"/>
          <w:b w:val="1"/>
          <w:bCs w:val="1"/>
          <w:color w:val="auto"/>
        </w:rPr>
        <w:t>Subscription Agreement</w:t>
      </w:r>
      <w:r>
        <w:rPr>
          <w:rFonts w:ascii="Arial" w:cs="Arial" w:eastAsia="Arial" w:hAnsi="Arial"/>
          <w:sz w:val="17"/>
          <w:szCs w:val="17"/>
          <w:color w:val="auto"/>
        </w:rPr>
        <w:t>”) among the Company, the Guarantors (as defined below) and Deutsche Bank AG, Taipei Branch, as the manager named therein (the “</w:t>
      </w:r>
      <w:r>
        <w:rPr>
          <w:rFonts w:ascii="Arial" w:cs="Arial" w:eastAsia="Arial" w:hAnsi="Arial"/>
          <w:sz w:val="17"/>
          <w:szCs w:val="17"/>
          <w:b w:val="1"/>
          <w:bCs w:val="1"/>
          <w:color w:val="auto"/>
        </w:rPr>
        <w:t>Manager</w:t>
      </w:r>
      <w:r>
        <w:rPr>
          <w:rFonts w:ascii="Arial" w:cs="Arial" w:eastAsia="Arial" w:hAnsi="Arial"/>
          <w:sz w:val="17"/>
          <w:szCs w:val="17"/>
          <w:color w:val="auto"/>
        </w:rPr>
        <w:t>”), of $1,430,000,000 aggregate principal amount of its 4.05% Notes due 2046 (the “</w:t>
      </w:r>
      <w:r>
        <w:rPr>
          <w:rFonts w:ascii="Arial" w:cs="Arial" w:eastAsia="Arial" w:hAnsi="Arial"/>
          <w:sz w:val="17"/>
          <w:szCs w:val="17"/>
          <w:b w:val="1"/>
          <w:bCs w:val="1"/>
          <w:color w:val="auto"/>
        </w:rPr>
        <w:t>Notes</w:t>
      </w:r>
      <w:r>
        <w:rPr>
          <w:rFonts w:ascii="Arial" w:cs="Arial" w:eastAsia="Arial" w:hAnsi="Arial"/>
          <w:sz w:val="17"/>
          <w:szCs w:val="17"/>
          <w:color w:val="auto"/>
        </w:rPr>
        <w:t xml:space="preserve">”). The Notes are to be issued pursuant to the provisions of the Indenture dated as of September 18, 2013 (the “ </w:t>
      </w:r>
      <w:r>
        <w:rPr>
          <w:rFonts w:ascii="Arial" w:cs="Arial" w:eastAsia="Arial" w:hAnsi="Arial"/>
          <w:sz w:val="17"/>
          <w:szCs w:val="17"/>
          <w:b w:val="1"/>
          <w:bCs w:val="1"/>
          <w:color w:val="auto"/>
        </w:rPr>
        <w:t>Base Indenture</w:t>
      </w:r>
      <w:r>
        <w:rPr>
          <w:rFonts w:ascii="Arial" w:cs="Arial" w:eastAsia="Arial" w:hAnsi="Arial"/>
          <w:sz w:val="17"/>
          <w:szCs w:val="17"/>
          <w:color w:val="auto"/>
        </w:rPr>
        <w:t xml:space="preserve">”) by and among the Company, the guarantors named therein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supplemented by the First Supplemental Indenture dated as of November 17, 2015 (the “</w:t>
      </w:r>
      <w:r>
        <w:rPr>
          <w:rFonts w:ascii="Arial" w:cs="Arial" w:eastAsia="Arial" w:hAnsi="Arial"/>
          <w:sz w:val="17"/>
          <w:szCs w:val="17"/>
          <w:b w:val="1"/>
          <w:bCs w:val="1"/>
          <w:color w:val="auto"/>
        </w:rPr>
        <w:t>First 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color w:val="auto"/>
        </w:rPr>
        <w:t>Indenture</w:t>
      </w:r>
      <w:r>
        <w:rPr>
          <w:rFonts w:ascii="Arial" w:cs="Arial" w:eastAsia="Arial" w:hAnsi="Arial"/>
          <w:sz w:val="17"/>
          <w:szCs w:val="17"/>
          <w:color w:val="auto"/>
        </w:rPr>
        <w:t>”) among the Company, the guarantors named therein and the Trustee and guaranteed (the “</w:t>
      </w:r>
      <w:r>
        <w:rPr>
          <w:rFonts w:ascii="Arial" w:cs="Arial" w:eastAsia="Arial" w:hAnsi="Arial"/>
          <w:sz w:val="17"/>
          <w:szCs w:val="17"/>
          <w:b w:val="1"/>
          <w:bCs w:val="1"/>
          <w:color w:val="auto"/>
        </w:rPr>
        <w:t>Guarantees</w:t>
      </w:r>
      <w:r>
        <w:rPr>
          <w:rFonts w:ascii="Arial" w:cs="Arial" w:eastAsia="Arial" w:hAnsi="Arial"/>
          <w:sz w:val="17"/>
          <w:szCs w:val="17"/>
          <w:color w:val="auto"/>
        </w:rPr>
        <w:t>”) on an unsecured and unsubordinated basis by Comcast Cable Communications, LLC and NBCUniversal Media, LLC (the “</w:t>
      </w:r>
      <w:r>
        <w:rPr>
          <w:rFonts w:ascii="Arial" w:cs="Arial" w:eastAsia="Arial" w:hAnsi="Arial"/>
          <w:sz w:val="17"/>
          <w:szCs w:val="17"/>
          <w:b w:val="1"/>
          <w:bCs w:val="1"/>
          <w:color w:val="auto"/>
        </w:rPr>
        <w:t>Guarantors</w:t>
      </w:r>
      <w:r>
        <w:rPr>
          <w:rFonts w:ascii="Arial" w:cs="Arial" w:eastAsia="Arial" w:hAnsi="Arial"/>
          <w:sz w:val="17"/>
          <w:szCs w:val="17"/>
          <w:color w:val="auto"/>
        </w:rPr>
        <w:t>”).</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additional assumptions and qualifications set forth below, we advise you that, in our opinion:</w:t>
      </w:r>
    </w:p>
    <w:p>
      <w:pPr>
        <w:spacing w:after="0" w:line="225" w:lineRule="exact"/>
        <w:rPr>
          <w:sz w:val="20"/>
          <w:szCs w:val="20"/>
          <w:color w:val="auto"/>
        </w:rPr>
      </w:pPr>
    </w:p>
    <w:p>
      <w:pPr>
        <w:ind w:right="40" w:firstLine="8"/>
        <w:spacing w:after="0" w:line="342" w:lineRule="auto"/>
        <w:tabs>
          <w:tab w:leader="none" w:pos="2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Assuming the Indenture has been duly authorized, executed and delivered by the Trustee and the Company, the Indenture is a valid and binding agreement of the Company and the Guarantors, enforceable against the Company and the Guarantors in accordance with its terms, subject to applicable bankruptcy,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Comcast Corporation</w:t>
            </w:r>
          </w:p>
        </w:tc>
        <w:tc>
          <w:tcPr>
            <w:tcW w:w="4480" w:type="dxa"/>
            <w:vAlign w:val="bottom"/>
          </w:tcPr>
          <w:p>
            <w:pPr>
              <w:jc w:val="right"/>
              <w:ind w:right="2210"/>
              <w:spacing w:after="0"/>
              <w:rPr>
                <w:sz w:val="20"/>
                <w:szCs w:val="20"/>
                <w:color w:val="auto"/>
              </w:rPr>
            </w:pPr>
            <w:r>
              <w:rPr>
                <w:rFonts w:ascii="Arial" w:cs="Arial" w:eastAsia="Arial" w:hAnsi="Arial"/>
                <w:sz w:val="18"/>
                <w:szCs w:val="18"/>
                <w:color w:val="auto"/>
              </w:rPr>
              <w:t>2</w:t>
            </w:r>
          </w:p>
        </w:tc>
        <w:tc>
          <w:tcPr>
            <w:tcW w:w="3300" w:type="dxa"/>
            <w:vAlign w:val="bottom"/>
          </w:tcPr>
          <w:p>
            <w:pPr>
              <w:ind w:left="2300"/>
              <w:spacing w:after="0"/>
              <w:rPr>
                <w:sz w:val="20"/>
                <w:szCs w:val="20"/>
                <w:color w:val="auto"/>
              </w:rPr>
            </w:pPr>
            <w:r>
              <w:rPr>
                <w:rFonts w:ascii="Arial" w:cs="Arial" w:eastAsia="Arial" w:hAnsi="Arial"/>
                <w:sz w:val="18"/>
                <w:szCs w:val="18"/>
                <w:color w:val="auto"/>
                <w:w w:val="89"/>
              </w:rPr>
              <w:t>May 26,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insolvency and similar laws affecting creditors’ rights generally, concepts of reasonableness and equitable principles of general applicability, provided that we express no opinion as to (i) the effect of fraudulent conveyance, fraudulent transfer or similar provision of applicable law on the conclusions expressed above or (ii) any provision of the Indenture that purports to avoid the effect of fraudulent conveyance, fraudulent transfer or similar provision of applicable law by limiting the amount of any Guarantor’s obligation.</w:t>
      </w:r>
    </w:p>
    <w:p>
      <w:pPr>
        <w:spacing w:after="0" w:line="187" w:lineRule="exact"/>
        <w:rPr>
          <w:sz w:val="20"/>
          <w:szCs w:val="20"/>
          <w:color w:val="auto"/>
        </w:rPr>
      </w:pPr>
    </w:p>
    <w:p>
      <w:pPr>
        <w:ind w:right="40" w:firstLine="8"/>
        <w:spacing w:after="0" w:line="272" w:lineRule="auto"/>
        <w:tabs>
          <w:tab w:leader="none" w:pos="2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Guarantees have been duly authorized, and, assuming the Notes have been duly authorized by the Company, when the Notes have been duly executed and authenticated in accordance with the provisions of the Indenture and delivered to and paid for by the Manager in accordance with the terms of the Subscription Agreement, the Notes will be valid and binding obligations of the Company and the Guarantees will be valid and binding obligations of the Guarantors, in each case enforceable against the Company and the Guarantors, respectively, in accordance with their terms, subject to applicable bankruptcy, insolvency and similar laws affecting creditors’ rights generally, concepts of reasonableness and equitable principles of general applicability, and will be entitled to the benefits of the Indenture, provided that we express no opinion as to the effect of fraudulent conveyance, fraudulent transfer or similar provision of applicable law on the conclusions expressed above.</w:t>
      </w:r>
    </w:p>
    <w:p>
      <w:pPr>
        <w:spacing w:after="0" w:line="17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connection with the opinions expressed above, we have assumed that the Company is validly existing as a corporation in good standing under the laws of the State of Pennsylvania. In addition, we have assumed that the Indenture and the Notes (collectively, the “</w:t>
      </w:r>
      <w:r>
        <w:rPr>
          <w:rFonts w:ascii="Arial" w:cs="Arial" w:eastAsia="Arial" w:hAnsi="Arial"/>
          <w:sz w:val="18"/>
          <w:szCs w:val="18"/>
          <w:b w:val="1"/>
          <w:bCs w:val="1"/>
          <w:color w:val="auto"/>
        </w:rPr>
        <w:t>Documents</w:t>
      </w:r>
      <w:r>
        <w:rPr>
          <w:rFonts w:ascii="Arial" w:cs="Arial" w:eastAsia="Arial" w:hAnsi="Arial"/>
          <w:sz w:val="18"/>
          <w:szCs w:val="18"/>
          <w:color w:val="auto"/>
        </w:rPr>
        <w:t>”)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its corporate powers, (b) do not contravene, or constitute a default under, the certificate of incorporation or bylaws, limited liability company operating agreement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 and each Guarantor.</w:t>
      </w:r>
    </w:p>
    <w:p>
      <w:pPr>
        <w:spacing w:after="0" w:line="19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are members of the Bar of the States of New York and California and the foregoing opinion is limited to the laws of the State of New York and the General Corporation and Limited Liability Company laws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w:t>
      </w:r>
    </w:p>
    <w:p>
      <w:pPr>
        <w:spacing w:after="0" w:line="154"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hereby consent to the filing of this opinion as an exhibit to a report on Form 8-K filed by the Company on the date hereof and its incorporation by reference into the Company’s registration statement on Form S-3 filed on September 18, 2013, as amended on February 19, 2014 and November 23, 2015 (File No. 333-191239). In addition, we consent to the reference to our name under the caption “Legal Matters” in the prospectus, which is a part of the registration statement. In giving this consent, we do not admit that we are in the category of persons whose consent is required under Section 7 of the Securities Act of 1933, as amended.</w:t>
      </w:r>
    </w:p>
    <w:p>
      <w:pPr>
        <w:spacing w:after="0" w:line="200" w:lineRule="exact"/>
        <w:rPr>
          <w:sz w:val="20"/>
          <w:szCs w:val="20"/>
          <w:color w:val="auto"/>
        </w:rPr>
      </w:pP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1."/>
      <w:numFmt w:val="decimal"/>
      <w:start w:val="3"/>
    </w:lvl>
  </w:abstractNum>
  <w:abstractNum w:abstractNumId="4">
    <w:nsid w:val="25E45D32"/>
    <w:multiLevelType w:val="hybridMultilevel"/>
    <w:lvl w:ilvl="0">
      <w:lvlJc w:val="left"/>
      <w:lvlText w:val="%1."/>
      <w:numFmt w:val="decimal"/>
      <w:start w:val="4"/>
    </w:lvl>
  </w:abstractNum>
  <w:abstractNum w:abstractNumId="5">
    <w:nsid w:val="519B500D"/>
    <w:multiLevelType w:val="hybridMultilevel"/>
    <w:lvl w:ilvl="0">
      <w:lvlJc w:val="left"/>
      <w:lvlText w:val="%1."/>
      <w:numFmt w:val="decimal"/>
      <w:start w:val="5"/>
    </w:lvl>
  </w:abstractNum>
  <w:abstractNum w:abstractNumId="6">
    <w:nsid w:val="431BD7B7"/>
    <w:multiLevelType w:val="hybridMultilevel"/>
    <w:lvl w:ilvl="0">
      <w:lvlJc w:val="left"/>
      <w:lvlText w:val="%1."/>
      <w:numFmt w:val="decimal"/>
      <w:start w:val="6"/>
    </w:lvl>
  </w:abstractNum>
  <w:abstractNum w:abstractNumId="7">
    <w:nsid w:val="3F2DBA31"/>
    <w:multiLevelType w:val="hybridMultilevel"/>
    <w:lvl w:ilvl="0">
      <w:lvlJc w:val="left"/>
      <w:lvlText w:val="%1."/>
      <w:numFmt w:val="decimal"/>
      <w:start w:val="7"/>
    </w:lvl>
  </w:abstractNum>
  <w:abstractNum w:abstractNumId="8">
    <w:nsid w:val="7C83E458"/>
    <w:multiLevelType w:val="hybridMultilevel"/>
    <w:lvl w:ilvl="0">
      <w:lvlJc w:val="left"/>
      <w:lvlText w:val="%1."/>
      <w:numFmt w:val="decimal"/>
      <w:start w:val="8"/>
    </w:lvl>
  </w:abstractNum>
  <w:abstractNum w:abstractNumId="9">
    <w:nsid w:val="257130A3"/>
    <w:multiLevelType w:val="hybridMultilevel"/>
    <w:lvl w:ilvl="0">
      <w:lvlJc w:val="left"/>
      <w:lvlText w:val="%1."/>
      <w:numFmt w:val="decimal"/>
      <w:start w:val="9"/>
    </w:lvl>
  </w:abstractNum>
  <w:abstractNum w:abstractNumId="10">
    <w:nsid w:val="62BBD95A"/>
    <w:multiLevelType w:val="hybridMultilevel"/>
    <w:lvl w:ilvl="0">
      <w:lvlJc w:val="left"/>
      <w:lvlText w:val="%1."/>
      <w:numFmt w:val="decimal"/>
      <w:start w:val="10"/>
    </w:lvl>
  </w:abstractNum>
  <w:abstractNum w:abstractNumId="11">
    <w:nsid w:val="436C6125"/>
    <w:multiLevelType w:val="hybridMultilevel"/>
    <w:lvl w:ilvl="0">
      <w:lvlJc w:val="left"/>
      <w:lvlText w:val="%1."/>
      <w:numFmt w:val="decimal"/>
      <w:start w:val="11"/>
    </w:lvl>
  </w:abstractNum>
  <w:abstractNum w:abstractNumId="12">
    <w:nsid w:val="628C895D"/>
    <w:multiLevelType w:val="hybridMultilevel"/>
    <w:lvl w:ilvl="0">
      <w:lvlJc w:val="left"/>
      <w:lvlText w:val="%1."/>
      <w:numFmt w:val="decimal"/>
      <w:start w:val="12"/>
    </w:lvl>
  </w:abstractNum>
  <w:abstractNum w:abstractNumId="13">
    <w:nsid w:val="333AB105"/>
    <w:multiLevelType w:val="hybridMultilevel"/>
    <w:lvl w:ilvl="0">
      <w:lvlJc w:val="left"/>
      <w:lvlText w:val="%1."/>
      <w:numFmt w:val="decimal"/>
      <w:start w:val="13"/>
    </w:lvl>
  </w:abstractNum>
  <w:abstractNum w:abstractNumId="14">
    <w:nsid w:val="721DA317"/>
    <w:multiLevelType w:val="hybridMultilevel"/>
    <w:lvl w:ilvl="0">
      <w:lvlJc w:val="left"/>
      <w:lvlText w:val="%1."/>
      <w:numFmt w:val="decimal"/>
      <w:start w:val="14"/>
    </w:lvl>
  </w:abstractNum>
  <w:abstractNum w:abstractNumId="15">
    <w:nsid w:val="2443A858"/>
    <w:multiLevelType w:val="hybridMultilevel"/>
    <w:lvl w:ilvl="0">
      <w:lvlJc w:val="left"/>
      <w:lvlText w:val="%1."/>
      <w:numFmt w:val="decimal"/>
      <w:start w:val="1"/>
    </w:lvl>
    <w:lvl w:ilvl="1">
      <w:lvlJc w:val="left"/>
      <w:lvlText w:val="%2."/>
      <w:numFmt w:val="lowerLetter"/>
      <w:start w:val="1"/>
    </w:lvl>
  </w:abstractNum>
  <w:abstractNum w:abstractNumId="16">
    <w:nsid w:val="2D1D5AE9"/>
    <w:multiLevelType w:val="hybridMultilevel"/>
    <w:lvl w:ilvl="0">
      <w:lvlJc w:val="left"/>
      <w:lvlText w:val="%1"/>
      <w:numFmt w:val="decimal"/>
      <w:start w:val="1"/>
    </w:lvl>
    <w:lvl w:ilvl="1">
      <w:lvlJc w:val="left"/>
      <w:lvlText w:val="%2."/>
      <w:numFmt w:val="lowerLetter"/>
      <w:start w:val="3"/>
    </w:lvl>
  </w:abstractNum>
  <w:abstractNum w:abstractNumId="17">
    <w:nsid w:val="6763845E"/>
    <w:multiLevelType w:val="hybridMultilevel"/>
    <w:lvl w:ilvl="0">
      <w:lvlJc w:val="left"/>
      <w:lvlText w:val="%1."/>
      <w:numFmt w:val="decimal"/>
      <w:start w:val="2"/>
    </w:lvl>
    <w:lvl w:ilvl="1">
      <w:lvlJc w:val="left"/>
      <w:lvlText w:val="%2"/>
      <w:numFmt w:val="lowerLetter"/>
      <w:start w:val="1"/>
    </w:lvl>
  </w:abstractNum>
  <w:abstractNum w:abstractNumId="18">
    <w:nsid w:val="75A2A8D4"/>
    <w:multiLevelType w:val="hybridMultilevel"/>
    <w:lvl w:ilvl="0">
      <w:lvlJc w:val="left"/>
      <w:lvlText w:val="%1."/>
      <w:numFmt w:val="decimal"/>
      <w:start w:val="7"/>
    </w:lvl>
  </w:abstractNum>
  <w:abstractNum w:abstractNumId="19">
    <w:nsid w:val="8EDBDAB"/>
    <w:multiLevelType w:val="hybridMultilevel"/>
    <w:lvl w:ilvl="0">
      <w:lvlJc w:val="left"/>
      <w:lvlText w:val="%1."/>
      <w:numFmt w:val="decimal"/>
      <w:start w:val="15"/>
    </w:lvl>
  </w:abstractNum>
  <w:abstractNum w:abstractNumId="20">
    <w:nsid w:val="79838CB2"/>
    <w:multiLevelType w:val="hybridMultilevel"/>
    <w:lvl w:ilvl="0">
      <w:lvlJc w:val="left"/>
      <w:lvlText w:val="%1."/>
      <w:numFmt w:val="decimal"/>
      <w:start w:val="16"/>
    </w:lvl>
  </w:abstractNum>
  <w:abstractNum w:abstractNumId="21">
    <w:nsid w:val="4353D0CD"/>
    <w:multiLevelType w:val="hybridMultilevel"/>
    <w:lvl w:ilvl="0">
      <w:lvlJc w:val="left"/>
      <w:lvlText w:val="%1."/>
      <w:numFmt w:val="decimal"/>
      <w:start w:val="17"/>
    </w:lvl>
  </w:abstractNum>
  <w:abstractNum w:abstractNumId="22">
    <w:nsid w:val="B03E0C6"/>
    <w:multiLevelType w:val="hybridMultilevel"/>
    <w:lvl w:ilvl="0">
      <w:lvlJc w:val="left"/>
      <w:lvlText w:val="%1."/>
      <w:numFmt w:val="decimal"/>
      <w:start w:val="18"/>
    </w:lvl>
  </w:abstractNum>
  <w:abstractNum w:abstractNumId="23">
    <w:nsid w:val="189A769B"/>
    <w:multiLevelType w:val="hybridMultilevel"/>
    <w:lvl w:ilvl="0">
      <w:lvlJc w:val="left"/>
      <w:lvlText w:val="%1."/>
      <w:numFmt w:val="decimal"/>
      <w:start w:val="19"/>
    </w:lvl>
  </w:abstractNum>
  <w:abstractNum w:abstractNumId="24">
    <w:nsid w:val="54E49EB4"/>
    <w:multiLevelType w:val="hybridMultilevel"/>
    <w:lvl w:ilvl="0">
      <w:lvlJc w:val="left"/>
      <w:lvlText w:val="%1."/>
      <w:numFmt w:val="decimal"/>
      <w:start w:val="20"/>
    </w:lvl>
  </w:abstractNum>
  <w:abstractNum w:abstractNumId="25">
    <w:nsid w:val="71F32454"/>
    <w:multiLevelType w:val="hybridMultilevel"/>
    <w:lvl w:ilvl="0">
      <w:lvlJc w:val="left"/>
      <w:lvlText w:val="%1."/>
      <w:numFmt w:val="decimal"/>
      <w:start w:val="2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2019-12-07T15:10:25Z</dcterms:created>
  <dcterms:modified xsi:type="dcterms:W3CDTF">2019-12-07T15:10:25Z</dcterms:modified>
</cp:coreProperties>
</file>