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InterActiveCorp</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45840Q 10 1</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May 11, 2004</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ind w:right="8319" w:firstLine="8"/>
        <w:spacing w:after="0" w:line="470"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 [X] Rule 13d-1(c)</w:t>
      </w:r>
    </w:p>
    <w:p>
      <w:pPr>
        <w:spacing w:after="0" w:line="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the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540" w:right="251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Nos. of above persons (entities only)</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Universal Studios, Inc.</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6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Reportng</w:t>
            </w:r>
          </w:p>
        </w:tc>
        <w:tc>
          <w:tcPr>
            <w:tcW w:w="680" w:type="dxa"/>
            <w:vAlign w:val="bottom"/>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6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56,611,308</w:t>
            </w:r>
          </w:p>
        </w:tc>
      </w:tr>
      <w:tr>
        <w:trPr>
          <w:trHeight w:val="405"/>
        </w:trPr>
        <w:tc>
          <w:tcPr>
            <w:tcW w:w="222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w w:val="97"/>
              </w:rPr>
              <w:t>Shared Dispositive Power</w:t>
            </w:r>
          </w:p>
        </w:tc>
      </w:tr>
    </w:tbl>
    <w:p>
      <w:pPr>
        <w:sectPr>
          <w:pgSz w:w="11900" w:h="16838" w:orient="portrait"/>
          <w:cols w:equalWidth="0" w:num="1">
            <w:col w:w="10219"/>
          </w:cols>
          <w:pgMar w:left="240" w:top="244" w:right="1440" w:bottom="0" w:gutter="0" w:footer="0" w:header="0"/>
        </w:sectPr>
      </w:pPr>
    </w:p>
    <w:bookmarkStart w:id="1" w:name="page2"/>
    <w:bookmarkEnd w:id="1"/>
    <w:p>
      <w:pPr>
        <w:ind w:left="3060"/>
        <w:spacing w:after="0"/>
        <w:rPr>
          <w:sz w:val="20"/>
          <w:szCs w:val="20"/>
          <w:color w:val="auto"/>
        </w:rPr>
      </w:pPr>
      <w:r>
        <w:rPr>
          <w:rFonts w:ascii="Courier New" w:cs="Courier New" w:eastAsia="Courier New" w:hAnsi="Courier New"/>
          <w:sz w:val="18"/>
          <w:szCs w:val="18"/>
          <w:color w:val="auto"/>
        </w:rPr>
        <w:t>56,611,308</w:t>
      </w:r>
    </w:p>
    <w:p>
      <w:pPr>
        <w:spacing w:after="0" w:line="207" w:lineRule="exact"/>
        <w:rPr>
          <w:sz w:val="20"/>
          <w:szCs w:val="20"/>
          <w:color w:val="auto"/>
        </w:rPr>
      </w:pPr>
    </w:p>
    <w:p>
      <w:pPr>
        <w:ind w:left="540" w:right="3359" w:hanging="532"/>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56,611,308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8% (Assumes conversion of all shares of Class B common stock beneficially owned by the reporting person into shares of common stock. Because each share of Class B common stock is entitled to ten votes per share and each share of common stock is entitled to one vote per share, the reporting person may be deemed to beneficially own equity securities of the Issuer representing approximately 14% of the voting power of the Issuer.)</w:t>
      </w:r>
    </w:p>
    <w:p>
      <w:pPr>
        <w:spacing w:after="0" w:line="204"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ectPr>
          <w:pgSz w:w="11900" w:h="16838" w:orient="portrait"/>
          <w:cols w:equalWidth="0" w:num="1">
            <w:col w:w="10219"/>
          </w:cols>
          <w:pgMar w:left="240" w:top="339" w:right="1440" w:bottom="1440" w:gutter="0" w:footer="0" w:header="0"/>
        </w:sectPr>
      </w:pPr>
    </w:p>
    <w:bookmarkStart w:id="2" w:name="page3"/>
    <w:bookmarkEnd w:id="2"/>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NBCU Acquisition Sub, Inc.</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5.</w:t>
        <w:tab/>
        <w:t>Sole Voting Power</w:t>
      </w:r>
    </w:p>
    <w:p>
      <w:pPr>
        <w:spacing w:after="0" w:line="21" w:lineRule="exact"/>
        <w:rPr>
          <w:sz w:val="20"/>
          <w:szCs w:val="20"/>
          <w:color w:val="auto"/>
        </w:rPr>
      </w:pPr>
    </w:p>
    <w:p>
      <w:pPr>
        <w:sectPr>
          <w:pgSz w:w="11900" w:h="16838" w:orient="portrait"/>
          <w:cols w:equalWidth="0" w:num="2">
            <w:col w:w="1700" w:space="620"/>
            <w:col w:w="789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Beneficially Owned</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Each Reportng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ectPr>
          <w:pgSz w:w="11900" w:h="16838" w:orient="portrait"/>
          <w:cols w:equalWidth="0" w:num="2">
            <w:col w:w="2140" w:space="720"/>
            <w:col w:w="735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Person</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2860" w:right="5479" w:hanging="534"/>
        <w:spacing w:after="0" w:line="470" w:lineRule="auto"/>
        <w:tabs>
          <w:tab w:leader="none" w:pos="275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56,611,308</w:t>
      </w:r>
    </w:p>
    <w:p>
      <w:pPr>
        <w:spacing w:after="0" w:line="11" w:lineRule="exact"/>
        <w:rPr>
          <w:rFonts w:ascii="Courier New" w:cs="Courier New" w:eastAsia="Courier New" w:hAnsi="Courier New"/>
          <w:sz w:val="18"/>
          <w:szCs w:val="18"/>
          <w:color w:val="auto"/>
        </w:rPr>
      </w:pPr>
    </w:p>
    <w:p>
      <w:pPr>
        <w:ind w:left="2860" w:right="5159" w:hanging="534"/>
        <w:spacing w:after="0" w:line="470" w:lineRule="auto"/>
        <w:tabs>
          <w:tab w:leader="none" w:pos="275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2860" w:right="4939" w:hanging="534"/>
        <w:spacing w:after="0" w:line="470" w:lineRule="auto"/>
        <w:tabs>
          <w:tab w:leader="none" w:pos="275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56,611,308</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56,611,308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 (Assumes conversion of all shares of Class B common stock beneficially</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owned by the reporting person into shares of common stock. Because each share of Class B common stock is entitled to ten votes per share and each share of common stock is entitled to one vote per share, the reporting person may be deemed to beneficially own equity securities of the Issuer representing approximately 14% of the voting power of the Issuer.)</w:t>
      </w:r>
    </w:p>
    <w:p>
      <w:pPr>
        <w:spacing w:after="0" w:line="203"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540" w:right="251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Nos. of above persons (entities only)</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NBC Universal, Inc.</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1">
            <w:col w:w="10219"/>
          </w:cols>
          <w:pgMar w:left="240" w:top="925"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5.</w:t>
        <w:tab/>
        <w:t>Sole Voting Power</w:t>
      </w:r>
    </w:p>
    <w:p>
      <w:pPr>
        <w:spacing w:after="0" w:line="21" w:lineRule="exact"/>
        <w:rPr>
          <w:sz w:val="20"/>
          <w:szCs w:val="20"/>
          <w:color w:val="auto"/>
        </w:rPr>
      </w:pPr>
    </w:p>
    <w:p>
      <w:pPr>
        <w:sectPr>
          <w:pgSz w:w="11900" w:h="16838" w:orient="portrait"/>
          <w:cols w:equalWidth="0" w:num="2">
            <w:col w:w="1920" w:space="720"/>
            <w:col w:w="757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Beneficially Owned</w:t>
      </w:r>
    </w:p>
    <w:p>
      <w:pPr>
        <w:sectPr>
          <w:pgSz w:w="11900" w:h="16838" w:orient="portrait"/>
          <w:cols w:equalWidth="0" w:num="1">
            <w:col w:w="10219"/>
          </w:cols>
          <w:pgMar w:left="240" w:top="925"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Each Reporting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ectPr>
          <w:pgSz w:w="11900" w:h="16838" w:orient="portrait"/>
          <w:cols w:equalWidth="0" w:num="2">
            <w:col w:w="2340" w:space="720"/>
            <w:col w:w="715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Person</w:t>
      </w:r>
    </w:p>
    <w:p>
      <w:pPr>
        <w:sectPr>
          <w:pgSz w:w="11900" w:h="16838" w:orient="portrait"/>
          <w:cols w:equalWidth="0" w:num="1">
            <w:col w:w="10219"/>
          </w:cols>
          <w:pgMar w:left="240" w:top="925" w:right="1440" w:bottom="1440" w:gutter="0" w:footer="0" w:header="0"/>
          <w:type w:val="continuous"/>
        </w:sectPr>
      </w:pPr>
    </w:p>
    <w:p>
      <w:pPr>
        <w:spacing w:after="0" w:line="21" w:lineRule="exact"/>
        <w:rPr>
          <w:sz w:val="20"/>
          <w:szCs w:val="20"/>
          <w:color w:val="auto"/>
        </w:rPr>
      </w:pPr>
    </w:p>
    <w:p>
      <w:pPr>
        <w:ind w:left="3060" w:right="5159" w:hanging="418"/>
        <w:spacing w:after="0" w:line="470" w:lineRule="auto"/>
        <w:tabs>
          <w:tab w:leader="none" w:pos="3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56,611,308</w:t>
      </w:r>
    </w:p>
    <w:p>
      <w:pPr>
        <w:spacing w:after="0" w:line="11" w:lineRule="exact"/>
        <w:rPr>
          <w:rFonts w:ascii="Courier New" w:cs="Courier New" w:eastAsia="Courier New" w:hAnsi="Courier New"/>
          <w:sz w:val="18"/>
          <w:szCs w:val="18"/>
          <w:color w:val="auto"/>
        </w:rPr>
      </w:pPr>
    </w:p>
    <w:p>
      <w:pPr>
        <w:ind w:left="3060" w:right="4839" w:hanging="418"/>
        <w:spacing w:after="0" w:line="470" w:lineRule="auto"/>
        <w:tabs>
          <w:tab w:leader="none" w:pos="3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3060" w:right="4619" w:hanging="418"/>
        <w:spacing w:after="0" w:line="470" w:lineRule="auto"/>
        <w:tabs>
          <w:tab w:leader="none" w:pos="3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56,611,308</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56,611,308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7" w:lineRule="exact"/>
        <w:rPr>
          <w:sz w:val="20"/>
          <w:szCs w:val="20"/>
          <w:color w:val="auto"/>
        </w:rPr>
      </w:pPr>
    </w:p>
    <w:p>
      <w:pPr>
        <w:ind w:left="540" w:right="1999" w:hanging="104"/>
        <w:spacing w:after="0" w:line="272" w:lineRule="auto"/>
        <w:rPr>
          <w:sz w:val="20"/>
          <w:szCs w:val="20"/>
          <w:color w:val="auto"/>
        </w:rPr>
      </w:pPr>
      <w:r>
        <w:rPr>
          <w:rFonts w:ascii="Courier New" w:cs="Courier New" w:eastAsia="Courier New" w:hAnsi="Courier New"/>
          <w:sz w:val="16"/>
          <w:szCs w:val="16"/>
          <w:color w:val="auto"/>
        </w:rPr>
        <w:t>8% (Assumes conversion of all shares of Class B common stock beneficially owned by the reporting person into shares of common stock. Because each share of Class B common stock is entitled to ten votes per share and each share of common stock is entitled to one vote per share, the reporting person may be deemed to beneficially own equity securities of the Issuer representing approximately 14% of the voting power of the Issuer.)</w:t>
      </w:r>
    </w:p>
    <w:p>
      <w:pPr>
        <w:spacing w:after="0" w:line="180"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ectPr>
          <w:pgSz w:w="11900" w:h="16838" w:orient="portrait"/>
          <w:cols w:equalWidth="0" w:num="1">
            <w:col w:w="10219"/>
          </w:cols>
          <w:pgMar w:left="240" w:top="925" w:right="1440" w:bottom="1440" w:gutter="0" w:footer="0" w:header="0"/>
          <w:type w:val="continuous"/>
        </w:sectPr>
      </w:pPr>
    </w:p>
    <w:bookmarkStart w:id="4" w:name="page5"/>
    <w:bookmarkEnd w:id="4"/>
    <w:p>
      <w:pPr>
        <w:ind w:left="540" w:right="251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Nos. of above persons (entities only)</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National Broadcasting Company Holding, Inc.</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spacing w:after="0" w:line="238" w:lineRule="auto"/>
        <w:rPr>
          <w:sz w:val="20"/>
          <w:szCs w:val="20"/>
          <w:color w:val="auto"/>
        </w:rPr>
      </w:pPr>
      <w:r>
        <w:rPr>
          <w:rFonts w:ascii="Courier New" w:cs="Courier New" w:eastAsia="Courier New" w:hAnsi="Courier New"/>
          <w:sz w:val="18"/>
          <w:szCs w:val="18"/>
          <w:color w:val="auto"/>
        </w:rPr>
        <w:t>Beneficially Owned</w:t>
      </w:r>
    </w:p>
    <w:p>
      <w:pPr>
        <w:spacing w:after="0"/>
        <w:tabs>
          <w:tab w:leader="none" w:pos="29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0</w:t>
      </w:r>
    </w:p>
    <w:p>
      <w:pPr>
        <w:spacing w:after="0" w:line="237" w:lineRule="auto"/>
        <w:rPr>
          <w:sz w:val="20"/>
          <w:szCs w:val="20"/>
          <w:color w:val="auto"/>
        </w:rPr>
      </w:pPr>
      <w:r>
        <w:rPr>
          <w:rFonts w:ascii="Courier New" w:cs="Courier New" w:eastAsia="Courier New" w:hAnsi="Courier New"/>
          <w:sz w:val="18"/>
          <w:szCs w:val="18"/>
          <w:color w:val="auto"/>
        </w:rPr>
        <w:t>Person</w:t>
      </w:r>
    </w:p>
    <w:p>
      <w:pPr>
        <w:ind w:left="2960" w:hanging="529"/>
        <w:spacing w:after="0" w:line="238" w:lineRule="auto"/>
        <w:tabs>
          <w:tab w:leader="none" w:pos="2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Disclaimed (See Item 4 below.)</w:t>
      </w:r>
    </w:p>
    <w:p>
      <w:pPr>
        <w:spacing w:after="0" w:line="206" w:lineRule="exact"/>
        <w:rPr>
          <w:rFonts w:ascii="Courier New" w:cs="Courier New" w:eastAsia="Courier New" w:hAnsi="Courier New"/>
          <w:sz w:val="18"/>
          <w:szCs w:val="18"/>
          <w:color w:val="auto"/>
        </w:rPr>
      </w:pPr>
    </w:p>
    <w:p>
      <w:pPr>
        <w:ind w:left="2960" w:right="4939" w:hanging="529"/>
        <w:spacing w:after="0" w:line="470" w:lineRule="auto"/>
        <w:tabs>
          <w:tab w:leader="none" w:pos="2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2540" w:right="4519" w:hanging="109"/>
        <w:spacing w:after="0" w:line="536" w:lineRule="auto"/>
        <w:tabs>
          <w:tab w:leader="none" w:pos="296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Disclaimed (See Item 4 below.)</w:t>
      </w:r>
    </w:p>
    <w:p>
      <w:pPr>
        <w:ind w:left="540" w:right="2839" w:hanging="532"/>
        <w:spacing w:after="0" w:line="536"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Beneficial ownership of all shares disclaimed (See Item 4 below.)</w:t>
      </w:r>
    </w:p>
    <w:p>
      <w:pPr>
        <w:ind w:left="540" w:hanging="532"/>
        <w:spacing w:after="0"/>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 ]</w:t>
      </w:r>
    </w:p>
    <w:p>
      <w:pPr>
        <w:spacing w:after="0" w:line="223" w:lineRule="exact"/>
        <w:rPr>
          <w:rFonts w:ascii="Courier New" w:cs="Courier New" w:eastAsia="Courier New" w:hAnsi="Courier New"/>
          <w:sz w:val="16"/>
          <w:szCs w:val="16"/>
          <w:color w:val="auto"/>
        </w:rPr>
      </w:pPr>
    </w:p>
    <w:p>
      <w:pPr>
        <w:ind w:left="540" w:right="451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Not applicable.</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ectPr>
          <w:pgSz w:w="11900" w:h="16838" w:orient="portrait"/>
          <w:cols w:equalWidth="0" w:num="1">
            <w:col w:w="10219"/>
          </w:cols>
          <w:pgMar w:left="240" w:top="1330" w:right="1440" w:bottom="1440" w:gutter="0" w:footer="0" w:header="0"/>
        </w:sectPr>
      </w:pPr>
    </w:p>
    <w:bookmarkStart w:id="5" w:name="page6"/>
    <w:bookmarkEnd w:id="5"/>
    <w:p>
      <w:pPr>
        <w:ind w:left="540" w:right="251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I.R.S. Identification Nos. of above persons (entities only)</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Electric Company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spacing w:after="0" w:line="238" w:lineRule="auto"/>
        <w:rPr>
          <w:sz w:val="20"/>
          <w:szCs w:val="20"/>
          <w:color w:val="auto"/>
        </w:rPr>
      </w:pPr>
      <w:r>
        <w:rPr>
          <w:rFonts w:ascii="Courier New" w:cs="Courier New" w:eastAsia="Courier New" w:hAnsi="Courier New"/>
          <w:sz w:val="18"/>
          <w:szCs w:val="18"/>
          <w:color w:val="auto"/>
        </w:rPr>
        <w:t>Beneficially Owned</w:t>
      </w:r>
    </w:p>
    <w:p>
      <w:pPr>
        <w:spacing w:after="0"/>
        <w:tabs>
          <w:tab w:leader="none" w:pos="2940" w:val="left"/>
        </w:tabs>
        <w:rPr>
          <w:sz w:val="20"/>
          <w:szCs w:val="20"/>
          <w:color w:val="auto"/>
        </w:rPr>
      </w:pPr>
      <w:r>
        <w:rPr>
          <w:rFonts w:ascii="Courier New" w:cs="Courier New" w:eastAsia="Courier New" w:hAnsi="Courier New"/>
          <w:sz w:val="18"/>
          <w:szCs w:val="18"/>
          <w:color w:val="auto"/>
        </w:rPr>
        <w:t>by Each Reporting</w:t>
      </w:r>
      <w:r>
        <w:rPr>
          <w:sz w:val="20"/>
          <w:szCs w:val="20"/>
          <w:color w:val="auto"/>
        </w:rPr>
        <w:tab/>
      </w:r>
      <w:r>
        <w:rPr>
          <w:rFonts w:ascii="Courier New" w:cs="Courier New" w:eastAsia="Courier New" w:hAnsi="Courier New"/>
          <w:sz w:val="16"/>
          <w:szCs w:val="16"/>
          <w:color w:val="auto"/>
        </w:rPr>
        <w:t>0</w:t>
      </w:r>
    </w:p>
    <w:p>
      <w:pPr>
        <w:spacing w:after="0" w:line="237" w:lineRule="auto"/>
        <w:rPr>
          <w:sz w:val="20"/>
          <w:szCs w:val="20"/>
          <w:color w:val="auto"/>
        </w:rPr>
      </w:pPr>
      <w:r>
        <w:rPr>
          <w:rFonts w:ascii="Courier New" w:cs="Courier New" w:eastAsia="Courier New" w:hAnsi="Courier New"/>
          <w:sz w:val="18"/>
          <w:szCs w:val="18"/>
          <w:color w:val="auto"/>
        </w:rPr>
        <w:t>Person</w:t>
      </w:r>
    </w:p>
    <w:p>
      <w:pPr>
        <w:ind w:left="2960" w:hanging="529"/>
        <w:spacing w:after="0" w:line="238" w:lineRule="auto"/>
        <w:tabs>
          <w:tab w:leader="none" w:pos="2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Disclaimed (See Item 4 below.)</w:t>
      </w:r>
    </w:p>
    <w:p>
      <w:pPr>
        <w:spacing w:after="0" w:line="206" w:lineRule="exact"/>
        <w:rPr>
          <w:rFonts w:ascii="Courier New" w:cs="Courier New" w:eastAsia="Courier New" w:hAnsi="Courier New"/>
          <w:sz w:val="18"/>
          <w:szCs w:val="18"/>
          <w:color w:val="auto"/>
        </w:rPr>
      </w:pPr>
    </w:p>
    <w:p>
      <w:pPr>
        <w:ind w:left="2960" w:right="4939" w:hanging="529"/>
        <w:spacing w:after="0" w:line="470" w:lineRule="auto"/>
        <w:tabs>
          <w:tab w:leader="none" w:pos="2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2960" w:right="4099" w:hanging="529"/>
        <w:spacing w:after="0" w:line="536" w:lineRule="auto"/>
        <w:tabs>
          <w:tab w:leader="none" w:pos="296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Disclaimed (See Item 4 below.)</w:t>
      </w:r>
    </w:p>
    <w:p>
      <w:pPr>
        <w:ind w:left="540" w:right="2839" w:hanging="532"/>
        <w:spacing w:after="0" w:line="536"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Beneficial ownership of all shares disclaimed (See Item 4 below.)</w:t>
      </w:r>
    </w:p>
    <w:p>
      <w:pPr>
        <w:ind w:left="540" w:hanging="532"/>
        <w:spacing w:after="0"/>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 ]</w:t>
      </w:r>
    </w:p>
    <w:p>
      <w:pPr>
        <w:spacing w:after="0" w:line="223" w:lineRule="exact"/>
        <w:rPr>
          <w:rFonts w:ascii="Courier New" w:cs="Courier New" w:eastAsia="Courier New" w:hAnsi="Courier New"/>
          <w:sz w:val="16"/>
          <w:szCs w:val="16"/>
          <w:color w:val="auto"/>
        </w:rPr>
      </w:pPr>
    </w:p>
    <w:p>
      <w:pPr>
        <w:ind w:left="540" w:right="451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Not applicable.</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ectPr>
          <w:pgSz w:w="11900" w:h="16838" w:orient="portrait"/>
          <w:cols w:equalWidth="0" w:num="1">
            <w:col w:w="10219"/>
          </w:cols>
          <w:pgMar w:left="240" w:top="1128" w:right="1440" w:bottom="1440" w:gutter="0" w:footer="0" w:header="0"/>
        </w:sectPr>
      </w:pPr>
    </w:p>
    <w:bookmarkStart w:id="6" w:name="page7"/>
    <w:bookmarkEnd w:id="6"/>
    <w:p>
      <w:pPr>
        <w:spacing w:after="0"/>
        <w:tabs>
          <w:tab w:leader="none" w:pos="18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InterActiveCorp</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Courier New" w:cs="Courier New" w:eastAsia="Courier New" w:hAnsi="Courier New"/>
                <w:sz w:val="18"/>
                <w:szCs w:val="18"/>
                <w:color w:val="auto"/>
              </w:rPr>
              <w:t>152 West 57th Street</w:t>
            </w:r>
          </w:p>
        </w:tc>
      </w:tr>
      <w:tr>
        <w:trPr>
          <w:trHeight w:val="203"/>
        </w:trPr>
        <w:tc>
          <w:tcPr>
            <w:tcW w:w="96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NY</w:t>
            </w:r>
          </w:p>
        </w:tc>
        <w:tc>
          <w:tcPr>
            <w:tcW w:w="342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10019</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2(a)</w:t>
            </w:r>
          </w:p>
        </w:tc>
        <w:tc>
          <w:tcPr>
            <w:tcW w:w="484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9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Courier New" w:cs="Courier New" w:eastAsia="Courier New" w:hAnsi="Courier New"/>
                <w:sz w:val="18"/>
                <w:szCs w:val="18"/>
                <w:color w:val="auto"/>
              </w:rPr>
              <w:t>Universal Studios, Inc.</w:t>
            </w:r>
          </w:p>
        </w:tc>
      </w:tr>
      <w:tr>
        <w:trPr>
          <w:trHeight w:val="203"/>
        </w:trPr>
        <w:tc>
          <w:tcPr>
            <w:tcW w:w="960" w:type="dxa"/>
            <w:vAlign w:val="bottom"/>
          </w:tcPr>
          <w:p>
            <w:pPr>
              <w:spacing w:after="0"/>
              <w:rPr>
                <w:sz w:val="17"/>
                <w:szCs w:val="17"/>
                <w:color w:val="auto"/>
              </w:rPr>
            </w:pPr>
          </w:p>
        </w:tc>
        <w:tc>
          <w:tcPr>
            <w:tcW w:w="4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NBCU Acquisition Sub, Inc.</w:t>
            </w:r>
          </w:p>
        </w:tc>
      </w:tr>
      <w:tr>
        <w:trPr>
          <w:trHeight w:val="203"/>
        </w:trPr>
        <w:tc>
          <w:tcPr>
            <w:tcW w:w="960" w:type="dxa"/>
            <w:vAlign w:val="bottom"/>
          </w:tcPr>
          <w:p>
            <w:pPr>
              <w:spacing w:after="0"/>
              <w:rPr>
                <w:sz w:val="17"/>
                <w:szCs w:val="17"/>
                <w:color w:val="auto"/>
              </w:rPr>
            </w:pPr>
          </w:p>
        </w:tc>
        <w:tc>
          <w:tcPr>
            <w:tcW w:w="4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NBC Universal, Inc.</w:t>
            </w:r>
          </w:p>
        </w:tc>
      </w:tr>
      <w:tr>
        <w:trPr>
          <w:trHeight w:val="203"/>
        </w:trPr>
        <w:tc>
          <w:tcPr>
            <w:tcW w:w="960" w:type="dxa"/>
            <w:vAlign w:val="bottom"/>
          </w:tcPr>
          <w:p>
            <w:pPr>
              <w:spacing w:after="0"/>
              <w:rPr>
                <w:sz w:val="17"/>
                <w:szCs w:val="17"/>
                <w:color w:val="auto"/>
              </w:rPr>
            </w:pPr>
          </w:p>
        </w:tc>
        <w:tc>
          <w:tcPr>
            <w:tcW w:w="4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National Broadcasting Company Holding, Inc.</w:t>
            </w:r>
          </w:p>
        </w:tc>
      </w:tr>
      <w:tr>
        <w:trPr>
          <w:trHeight w:val="203"/>
        </w:trPr>
        <w:tc>
          <w:tcPr>
            <w:tcW w:w="960" w:type="dxa"/>
            <w:vAlign w:val="bottom"/>
          </w:tcPr>
          <w:p>
            <w:pPr>
              <w:spacing w:after="0"/>
              <w:rPr>
                <w:sz w:val="17"/>
                <w:szCs w:val="17"/>
                <w:color w:val="auto"/>
              </w:rPr>
            </w:pPr>
          </w:p>
        </w:tc>
        <w:tc>
          <w:tcPr>
            <w:tcW w:w="4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General Electric Company.</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2(b)</w:t>
            </w:r>
          </w:p>
        </w:tc>
        <w:tc>
          <w:tcPr>
            <w:tcW w:w="4840" w:type="dxa"/>
            <w:vAlign w:val="bottom"/>
            <w:gridSpan w:val="2"/>
          </w:tcPr>
          <w:p>
            <w:pPr>
              <w:ind w:left="940"/>
              <w:spacing w:after="0"/>
              <w:rPr>
                <w:sz w:val="20"/>
                <w:szCs w:val="20"/>
                <w:color w:val="auto"/>
              </w:rPr>
            </w:pPr>
            <w:r>
              <w:rPr>
                <w:rFonts w:ascii="Courier New" w:cs="Courier New" w:eastAsia="Courier New" w:hAnsi="Courier New"/>
                <w:sz w:val="18"/>
                <w:szCs w:val="18"/>
                <w:color w:val="auto"/>
                <w:w w:val="97"/>
              </w:rPr>
              <w:t>Address of Principal Business Office:</w:t>
            </w:r>
          </w:p>
        </w:tc>
      </w:tr>
      <w:tr>
        <w:trPr>
          <w:trHeight w:val="405"/>
        </w:trPr>
        <w:tc>
          <w:tcPr>
            <w:tcW w:w="9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Courier New" w:cs="Courier New" w:eastAsia="Courier New" w:hAnsi="Courier New"/>
                <w:sz w:val="18"/>
                <w:szCs w:val="18"/>
                <w:color w:val="auto"/>
              </w:rPr>
              <w:t>Universal Studios, Inc.</w:t>
            </w:r>
          </w:p>
        </w:tc>
      </w:tr>
      <w:tr>
        <w:trPr>
          <w:trHeight w:val="203"/>
        </w:trPr>
        <w:tc>
          <w:tcPr>
            <w:tcW w:w="960" w:type="dxa"/>
            <w:vAlign w:val="bottom"/>
          </w:tcPr>
          <w:p>
            <w:pPr>
              <w:spacing w:after="0"/>
              <w:rPr>
                <w:sz w:val="17"/>
                <w:szCs w:val="17"/>
                <w:color w:val="auto"/>
              </w:rPr>
            </w:pPr>
          </w:p>
        </w:tc>
        <w:tc>
          <w:tcPr>
            <w:tcW w:w="4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100 Universal City Plaza</w:t>
            </w:r>
          </w:p>
        </w:tc>
      </w:tr>
      <w:tr>
        <w:trPr>
          <w:trHeight w:val="203"/>
        </w:trPr>
        <w:tc>
          <w:tcPr>
            <w:tcW w:w="960" w:type="dxa"/>
            <w:vAlign w:val="bottom"/>
          </w:tcPr>
          <w:p>
            <w:pPr>
              <w:spacing w:after="0"/>
              <w:rPr>
                <w:sz w:val="17"/>
                <w:szCs w:val="17"/>
                <w:color w:val="auto"/>
              </w:rPr>
            </w:pPr>
          </w:p>
        </w:tc>
        <w:tc>
          <w:tcPr>
            <w:tcW w:w="4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Universal City, CA  91608</w:t>
            </w:r>
          </w:p>
        </w:tc>
      </w:tr>
      <w:tr>
        <w:trPr>
          <w:trHeight w:val="405"/>
        </w:trPr>
        <w:tc>
          <w:tcPr>
            <w:tcW w:w="9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Courier New" w:cs="Courier New" w:eastAsia="Courier New" w:hAnsi="Courier New"/>
                <w:sz w:val="18"/>
                <w:szCs w:val="18"/>
                <w:color w:val="auto"/>
              </w:rPr>
              <w:t>NBCU Acquisition Sub, Inc.</w:t>
            </w:r>
          </w:p>
        </w:tc>
      </w:tr>
      <w:tr>
        <w:trPr>
          <w:trHeight w:val="203"/>
        </w:trPr>
        <w:tc>
          <w:tcPr>
            <w:tcW w:w="960" w:type="dxa"/>
            <w:vAlign w:val="bottom"/>
          </w:tcPr>
          <w:p>
            <w:pPr>
              <w:spacing w:after="0"/>
              <w:rPr>
                <w:sz w:val="17"/>
                <w:szCs w:val="17"/>
                <w:color w:val="auto"/>
              </w:rPr>
            </w:pPr>
          </w:p>
        </w:tc>
        <w:tc>
          <w:tcPr>
            <w:tcW w:w="4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NBC Universal, Inc.</w:t>
            </w:r>
          </w:p>
        </w:tc>
      </w:tr>
      <w:tr>
        <w:trPr>
          <w:trHeight w:val="203"/>
        </w:trPr>
        <w:tc>
          <w:tcPr>
            <w:tcW w:w="960" w:type="dxa"/>
            <w:vAlign w:val="bottom"/>
          </w:tcPr>
          <w:p>
            <w:pPr>
              <w:spacing w:after="0"/>
              <w:rPr>
                <w:sz w:val="17"/>
                <w:szCs w:val="17"/>
                <w:color w:val="auto"/>
              </w:rPr>
            </w:pPr>
          </w:p>
        </w:tc>
        <w:tc>
          <w:tcPr>
            <w:tcW w:w="4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National Broadcasting Company Holding, Inc.</w:t>
            </w:r>
          </w:p>
        </w:tc>
      </w:tr>
      <w:tr>
        <w:trPr>
          <w:trHeight w:val="203"/>
        </w:trPr>
        <w:tc>
          <w:tcPr>
            <w:tcW w:w="960" w:type="dxa"/>
            <w:vAlign w:val="bottom"/>
          </w:tcPr>
          <w:p>
            <w:pPr>
              <w:spacing w:after="0"/>
              <w:rPr>
                <w:sz w:val="17"/>
                <w:szCs w:val="17"/>
                <w:color w:val="auto"/>
              </w:rPr>
            </w:pPr>
          </w:p>
        </w:tc>
        <w:tc>
          <w:tcPr>
            <w:tcW w:w="4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30 Rockefeller Plaza</w:t>
            </w:r>
          </w:p>
        </w:tc>
      </w:tr>
      <w:tr>
        <w:trPr>
          <w:trHeight w:val="203"/>
        </w:trPr>
        <w:tc>
          <w:tcPr>
            <w:tcW w:w="96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NY</w:t>
            </w:r>
          </w:p>
        </w:tc>
        <w:tc>
          <w:tcPr>
            <w:tcW w:w="342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10112</w:t>
            </w:r>
          </w:p>
        </w:tc>
      </w:tr>
      <w:tr>
        <w:trPr>
          <w:trHeight w:val="405"/>
        </w:trPr>
        <w:tc>
          <w:tcPr>
            <w:tcW w:w="96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Courier New" w:cs="Courier New" w:eastAsia="Courier New" w:hAnsi="Courier New"/>
                <w:sz w:val="18"/>
                <w:szCs w:val="18"/>
                <w:color w:val="auto"/>
              </w:rPr>
              <w:t>General Electric Company</w:t>
            </w:r>
          </w:p>
        </w:tc>
      </w:tr>
      <w:tr>
        <w:trPr>
          <w:trHeight w:val="203"/>
        </w:trPr>
        <w:tc>
          <w:tcPr>
            <w:tcW w:w="960" w:type="dxa"/>
            <w:vAlign w:val="bottom"/>
          </w:tcPr>
          <w:p>
            <w:pPr>
              <w:spacing w:after="0"/>
              <w:rPr>
                <w:sz w:val="17"/>
                <w:szCs w:val="17"/>
                <w:color w:val="auto"/>
              </w:rPr>
            </w:pPr>
          </w:p>
        </w:tc>
        <w:tc>
          <w:tcPr>
            <w:tcW w:w="4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3135 Easton Turnpike</w:t>
            </w:r>
          </w:p>
        </w:tc>
      </w:tr>
      <w:tr>
        <w:trPr>
          <w:trHeight w:val="203"/>
        </w:trPr>
        <w:tc>
          <w:tcPr>
            <w:tcW w:w="96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Fairfield, CT</w:t>
            </w:r>
          </w:p>
        </w:tc>
        <w:tc>
          <w:tcPr>
            <w:tcW w:w="342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06828</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2(c)</w:t>
            </w:r>
          </w:p>
        </w:tc>
        <w:tc>
          <w:tcPr>
            <w:tcW w:w="484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Citizenship:</w:t>
            </w:r>
          </w:p>
        </w:tc>
      </w:tr>
    </w:tbl>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Each of Universal Studios, Inc., NBCU Acquisition Sub, Inc., NBC Universal and National Broadcasting Company Holding, Inc. is a corporation formed under</w:t>
      </w:r>
    </w:p>
    <w:tbl>
      <w:tblPr>
        <w:tblLayout w:type="fixed"/>
        <w:tblInd w:w="0" w:type="dxa"/>
        <w:tblCellMar>
          <w:top w:w="0" w:type="dxa"/>
          <w:left w:w="0" w:type="dxa"/>
          <w:bottom w:w="0" w:type="dxa"/>
          <w:right w:w="0" w:type="dxa"/>
        </w:tblCellMar>
      </w:tblPr>
      <w:tr>
        <w:trPr>
          <w:trHeight w:val="199"/>
        </w:trPr>
        <w:tc>
          <w:tcPr>
            <w:tcW w:w="258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w w:val="98"/>
              </w:rPr>
              <w:t>the laws of the State of</w:t>
            </w:r>
          </w:p>
        </w:tc>
        <w:tc>
          <w:tcPr>
            <w:tcW w:w="544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w w:val="97"/>
              </w:rPr>
              <w:t>Delaware. General Electric Company is a corporation</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formed under the laws of</w:t>
            </w:r>
          </w:p>
        </w:tc>
        <w:tc>
          <w:tcPr>
            <w:tcW w:w="5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State of New York.</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580" w:type="dxa"/>
            <w:vAlign w:val="bottom"/>
            <w:gridSpan w:val="3"/>
          </w:tcPr>
          <w:p>
            <w:pPr>
              <w:ind w:left="4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440" w:type="dxa"/>
            <w:vAlign w:val="bottom"/>
          </w:tcPr>
          <w:p>
            <w:pPr>
              <w:spacing w:after="0"/>
              <w:rPr>
                <w:sz w:val="24"/>
                <w:szCs w:val="24"/>
                <w:color w:val="auto"/>
              </w:rPr>
            </w:pPr>
          </w:p>
        </w:tc>
        <w:tc>
          <w:tcPr>
            <w:tcW w:w="1140" w:type="dxa"/>
            <w:vAlign w:val="bottom"/>
          </w:tcPr>
          <w:p>
            <w:pPr>
              <w:ind w:left="460"/>
              <w:spacing w:after="0"/>
              <w:rPr>
                <w:sz w:val="20"/>
                <w:szCs w:val="20"/>
                <w:color w:val="auto"/>
              </w:rPr>
            </w:pPr>
            <w:r>
              <w:rPr>
                <w:rFonts w:ascii="Courier New" w:cs="Courier New" w:eastAsia="Courier New" w:hAnsi="Courier New"/>
                <w:sz w:val="18"/>
                <w:szCs w:val="18"/>
                <w:color w:val="auto"/>
              </w:rPr>
              <w:t>Common</w:t>
            </w:r>
          </w:p>
        </w:tc>
        <w:tc>
          <w:tcPr>
            <w:tcW w:w="5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Stock</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580" w:type="dxa"/>
            <w:vAlign w:val="bottom"/>
            <w:gridSpan w:val="3"/>
          </w:tcPr>
          <w:p>
            <w:pPr>
              <w:ind w:left="4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440" w:type="dxa"/>
            <w:vAlign w:val="bottom"/>
          </w:tcPr>
          <w:p>
            <w:pPr>
              <w:spacing w:after="0"/>
              <w:rPr>
                <w:sz w:val="24"/>
                <w:szCs w:val="24"/>
                <w:color w:val="auto"/>
              </w:rPr>
            </w:pPr>
          </w:p>
        </w:tc>
        <w:tc>
          <w:tcPr>
            <w:tcW w:w="1140" w:type="dxa"/>
            <w:vAlign w:val="bottom"/>
          </w:tcPr>
          <w:p>
            <w:pPr>
              <w:ind w:left="460"/>
              <w:spacing w:after="0"/>
              <w:rPr>
                <w:sz w:val="20"/>
                <w:szCs w:val="20"/>
                <w:color w:val="auto"/>
              </w:rPr>
            </w:pPr>
            <w:r>
              <w:rPr>
                <w:rFonts w:ascii="Courier New" w:cs="Courier New" w:eastAsia="Courier New" w:hAnsi="Courier New"/>
                <w:sz w:val="18"/>
                <w:szCs w:val="18"/>
                <w:color w:val="auto"/>
              </w:rPr>
              <w:t>45840Q</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10</w:t>
            </w:r>
          </w:p>
        </w:tc>
        <w:tc>
          <w:tcPr>
            <w:tcW w:w="5120" w:type="dxa"/>
            <w:vAlign w:val="bottom"/>
          </w:tcPr>
          <w:p>
            <w:pPr>
              <w:jc w:val="right"/>
              <w:ind w:right="4872"/>
              <w:spacing w:after="0"/>
              <w:rPr>
                <w:sz w:val="20"/>
                <w:szCs w:val="20"/>
                <w:color w:val="auto"/>
              </w:rPr>
            </w:pPr>
            <w:r>
              <w:rPr>
                <w:rFonts w:ascii="Courier New" w:cs="Courier New" w:eastAsia="Courier New" w:hAnsi="Courier New"/>
                <w:sz w:val="18"/>
                <w:szCs w:val="18"/>
                <w:color w:val="auto"/>
              </w:rPr>
              <w:t>1</w:t>
            </w:r>
          </w:p>
        </w:tc>
      </w:tr>
    </w:tbl>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ind w:left="190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 through (c)</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to this Schedule 13G is hereby incorporated by reference.</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V-USA Holding LLC ("V-USA") is the direct and legal owner of 25,000,000 shares of common stock of the Issuer. USI-USA Holding LLC ("USI-USA") is the direct and legal owner of 3,341,308 shares of common stock of the Issuer and 670,000 shares of Class B common stock of the Issuer. USIE-USA Holding LLC ("USIE-USA") is the direct and legal owner of 600,000 shares of common stock of the Issuer. Sub I - USA Holding LLC ("Sub I - USA" and together with V-USA, USI-USA and USIE-USA, the "SPEs") is the direct and legal owner of 14,240,000 shares of common stock of the Issuer and 12,760,000 shares of Class B common stock of the issuer. Universal Studios, Inc. ("USI") is the sole equity member of V-USA and USI-USA. USI Entertainment Inc. ("USIE") is the sole equity member of USIE-USA and Sub I - USA. USI controls USIE through its ownership of 91.41% of USIE's outstanding common stock.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Because USI, directly or indirectly, has or shares the power to direct the voting and disposition of the shares of the Issuer held by the SPEs, USI is a beneficial owner of such shares. USI is a wholly-owned subsidiary of NBCU Acquisition Sub, Inc. ("Acquisition Sub"), which in turn is a wholly-owned subsidiary of NBC Universal, Inc. ("NBCU"), and therefore Acquisition Sub and NBCU may be deemed to also be beneficial owners of the shares of the Issuer held by the SPEs.</w:t>
      </w:r>
    </w:p>
    <w:p>
      <w:pPr>
        <w:spacing w:after="0" w:line="211"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National Broadcasting Company Holding, Inc. ("NBCH") owns 80% of the outstanding capital stock of NBCU, and NBCH is itself a wholly-owned subsidiary of General Electric Company ("GE"). As a result, each of NBCH and GE may also be deemed to be a beneficial owner of the shares of the Issuer held by the SPEs. Each of NBCH and GE disclaim beneficial ownership of all such shares.</w:t>
      </w:r>
    </w:p>
    <w:p>
      <w:pPr>
        <w:spacing w:after="0" w:line="17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Universal Studios Holding III Corp. has certain rights with respect to dividends paid on the shares of the Issuer held by the SPEs.</w:t>
      </w:r>
    </w:p>
    <w:p>
      <w:pPr>
        <w:sectPr>
          <w:pgSz w:w="11900" w:h="16838" w:orient="portrait"/>
          <w:cols w:equalWidth="0" w:num="1">
            <w:col w:w="10219"/>
          </w:cols>
          <w:pgMar w:left="240" w:top="919" w:right="1440" w:bottom="1440" w:gutter="0" w:footer="0" w:header="0"/>
        </w:sectPr>
      </w:pPr>
    </w:p>
    <w:bookmarkStart w:id="8" w:name="page9"/>
    <w:bookmarkEnd w:id="8"/>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Acquired the Security Being Reported on By the Parent Holding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Which</w:t>
      </w:r>
    </w:p>
    <w:p>
      <w:pPr>
        <w:spacing w:after="0" w:line="603" w:lineRule="exact"/>
        <w:rPr>
          <w:sz w:val="20"/>
          <w:szCs w:val="20"/>
          <w:color w:val="auto"/>
        </w:rPr>
      </w:pPr>
    </w:p>
    <w:p>
      <w:pPr>
        <w:sectPr>
          <w:pgSz w:w="11900" w:h="16838" w:orient="portrait"/>
          <w:cols w:equalWidth="0" w:num="3">
            <w:col w:w="1180" w:space="720"/>
            <w:col w:w="5800" w:space="200"/>
            <w:col w:w="2319"/>
          </w:cols>
          <w:pgMar w:left="240" w:top="919" w:right="1440" w:bottom="1440" w:gutter="0" w:footer="0" w:header="0"/>
        </w:sectPr>
      </w:pP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180" w:space="720"/>
            <w:col w:w="8319"/>
          </w:cols>
          <w:pgMar w:left="240" w:top="919"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180" w:space="720"/>
            <w:col w:w="8319"/>
          </w:cols>
          <w:pgMar w:left="240" w:top="919" w:right="1440" w:bottom="144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participant in any transaction having that purpose or effect.</w:t>
      </w:r>
    </w:p>
    <w:p>
      <w:pPr>
        <w:sectPr>
          <w:pgSz w:w="11900" w:h="16838" w:orient="portrait"/>
          <w:cols w:equalWidth="0" w:num="1">
            <w:col w:w="10219"/>
          </w:cols>
          <w:pgMar w:left="240" w:top="919"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21, 2004</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UNIVERSAL STUDIOS, INC.</w:t>
      </w:r>
    </w:p>
    <w:p>
      <w:pPr>
        <w:spacing w:after="0" w:line="201" w:lineRule="exact"/>
        <w:rPr>
          <w:sz w:val="20"/>
          <w:szCs w:val="20"/>
          <w:color w:val="auto"/>
        </w:rPr>
      </w:pPr>
    </w:p>
    <w:p>
      <w:pPr>
        <w:ind w:left="2540"/>
        <w:spacing w:after="0"/>
        <w:tabs>
          <w:tab w:leader="none" w:pos="3040" w:val="left"/>
        </w:tabs>
        <w:rPr>
          <w:sz w:val="20"/>
          <w:szCs w:val="20"/>
          <w:color w:val="auto"/>
        </w:rPr>
      </w:pPr>
      <w:r>
        <w:rPr>
          <w:rFonts w:ascii="Courier New" w:cs="Courier New" w:eastAsia="Courier New" w:hAnsi="Courier New"/>
          <w:sz w:val="18"/>
          <w:szCs w:val="18"/>
          <w:color w:val="auto"/>
        </w:rPr>
        <w:t>By:</w:t>
        <w:tab/>
        <w:t>/s/ Karen Randall</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Karen Randall</w:t>
      </w:r>
    </w:p>
    <w:p>
      <w:pPr>
        <w:ind w:left="3480"/>
        <w:spacing w:after="0" w:line="237" w:lineRule="auto"/>
        <w:rPr>
          <w:sz w:val="20"/>
          <w:szCs w:val="20"/>
          <w:color w:val="auto"/>
        </w:rPr>
      </w:pPr>
      <w:r>
        <w:rPr>
          <w:rFonts w:ascii="Courier New" w:cs="Courier New" w:eastAsia="Courier New" w:hAnsi="Courier New"/>
          <w:sz w:val="18"/>
          <w:szCs w:val="18"/>
          <w:color w:val="auto"/>
        </w:rPr>
        <w:t>Executive Vice President and General Counsel</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NBCU ACQUISITION SUB, INC.</w:t>
      </w:r>
    </w:p>
    <w:p>
      <w:pPr>
        <w:spacing w:after="0" w:line="201" w:lineRule="exact"/>
        <w:rPr>
          <w:sz w:val="20"/>
          <w:szCs w:val="20"/>
          <w:color w:val="auto"/>
        </w:rPr>
      </w:pPr>
    </w:p>
    <w:p>
      <w:pPr>
        <w:ind w:left="2540"/>
        <w:spacing w:after="0"/>
        <w:tabs>
          <w:tab w:leader="none" w:pos="3040" w:val="left"/>
        </w:tabs>
        <w:rPr>
          <w:sz w:val="20"/>
          <w:szCs w:val="20"/>
          <w:color w:val="auto"/>
        </w:rPr>
      </w:pPr>
      <w:r>
        <w:rPr>
          <w:rFonts w:ascii="Courier New" w:cs="Courier New" w:eastAsia="Courier New" w:hAnsi="Courier New"/>
          <w:sz w:val="18"/>
          <w:szCs w:val="18"/>
          <w:color w:val="auto"/>
        </w:rPr>
        <w:t>By:</w:t>
        <w:tab/>
        <w:t>/s/ Elizabeth A. Newell</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Elizabeth A. Newell</w:t>
      </w:r>
    </w:p>
    <w:p>
      <w:pPr>
        <w:ind w:left="3480"/>
        <w:spacing w:after="0" w:line="237" w:lineRule="auto"/>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NBC UNIVERSAL, INC.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Elizabeth A. Newell</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Elizabeth A. Newell</w:t>
      </w:r>
    </w:p>
    <w:p>
      <w:pPr>
        <w:ind w:left="3480"/>
        <w:spacing w:after="0" w:line="237" w:lineRule="auto"/>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NATIONAL BROADCASTING COMPANY HOLDING, INC.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Elizabeth A. Newell</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Elizabeth A. Newell</w:t>
      </w:r>
    </w:p>
    <w:p>
      <w:pPr>
        <w:ind w:left="3480"/>
        <w:spacing w:after="0" w:line="237" w:lineRule="auto"/>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GENERAL ELECTRIC COMPANY</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Michael R. McAlevey</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Michael R. McAlevey</w:t>
      </w:r>
    </w:p>
    <w:p>
      <w:pPr>
        <w:ind w:left="3480"/>
        <w:spacing w:after="0" w:line="237" w:lineRule="auto"/>
        <w:rPr>
          <w:sz w:val="20"/>
          <w:szCs w:val="20"/>
          <w:color w:val="auto"/>
        </w:rPr>
      </w:pPr>
      <w:r>
        <w:rPr>
          <w:rFonts w:ascii="Courier New" w:cs="Courier New" w:eastAsia="Courier New" w:hAnsi="Courier New"/>
          <w:sz w:val="18"/>
          <w:szCs w:val="18"/>
          <w:color w:val="auto"/>
        </w:rPr>
        <w:t>Chief Corporate and Securities Counsel</w:t>
      </w:r>
    </w:p>
    <w:p>
      <w:pPr>
        <w:ind w:left="3700"/>
        <w:spacing w:after="0" w:line="238" w:lineRule="auto"/>
        <w:rPr>
          <w:sz w:val="20"/>
          <w:szCs w:val="20"/>
          <w:color w:val="auto"/>
        </w:rPr>
      </w:pPr>
      <w:r>
        <w:rPr>
          <w:rFonts w:ascii="Courier New" w:cs="Courier New" w:eastAsia="Courier New" w:hAnsi="Courier New"/>
          <w:sz w:val="18"/>
          <w:szCs w:val="18"/>
          <w:color w:val="auto"/>
        </w:rPr>
        <w:t>and Associate Secretary</w:t>
      </w:r>
    </w:p>
    <w:p>
      <w:pPr>
        <w:sectPr>
          <w:pgSz w:w="11900" w:h="16838" w:orient="portrait"/>
          <w:cols w:equalWidth="0" w:num="1">
            <w:col w:w="10219"/>
          </w:cols>
          <w:pgMar w:left="240" w:top="919"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STATEMENT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Pursuant to Rule 13d-1(k)(1) promulgated under the Securities Exchange Act of 1934, as amended, the undersigned agree that the Statement on Schedule 13G and any amendments thereto to which this exhibit is attached is filed on behalf of each of them.</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21, 2004</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UNIVERSAL STUDIOS, INC.</w:t>
      </w:r>
    </w:p>
    <w:p>
      <w:pPr>
        <w:spacing w:after="0" w:line="201" w:lineRule="exact"/>
        <w:rPr>
          <w:sz w:val="20"/>
          <w:szCs w:val="20"/>
          <w:color w:val="auto"/>
        </w:rPr>
      </w:pPr>
    </w:p>
    <w:p>
      <w:pPr>
        <w:ind w:left="2220"/>
        <w:spacing w:after="0"/>
        <w:tabs>
          <w:tab w:leader="none" w:pos="2720" w:val="left"/>
        </w:tabs>
        <w:rPr>
          <w:sz w:val="20"/>
          <w:szCs w:val="20"/>
          <w:color w:val="auto"/>
        </w:rPr>
      </w:pPr>
      <w:r>
        <w:rPr>
          <w:rFonts w:ascii="Courier New" w:cs="Courier New" w:eastAsia="Courier New" w:hAnsi="Courier New"/>
          <w:sz w:val="18"/>
          <w:szCs w:val="18"/>
          <w:color w:val="auto"/>
        </w:rPr>
        <w:t>By:</w:t>
        <w:tab/>
        <w:t>/s/ Karen Randall</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Karen Randall</w:t>
      </w:r>
    </w:p>
    <w:p>
      <w:pPr>
        <w:ind w:left="3160"/>
        <w:spacing w:after="0" w:line="237" w:lineRule="auto"/>
        <w:rPr>
          <w:sz w:val="20"/>
          <w:szCs w:val="20"/>
          <w:color w:val="auto"/>
        </w:rPr>
      </w:pPr>
      <w:r>
        <w:rPr>
          <w:rFonts w:ascii="Courier New" w:cs="Courier New" w:eastAsia="Courier New" w:hAnsi="Courier New"/>
          <w:sz w:val="18"/>
          <w:szCs w:val="18"/>
          <w:color w:val="auto"/>
        </w:rPr>
        <w:t>Executive Vice President and General Counsel</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NBCU ACQUISITION SUB, INC.</w:t>
      </w:r>
    </w:p>
    <w:p>
      <w:pPr>
        <w:spacing w:after="0" w:line="201" w:lineRule="exact"/>
        <w:rPr>
          <w:sz w:val="20"/>
          <w:szCs w:val="20"/>
          <w:color w:val="auto"/>
        </w:rPr>
      </w:pPr>
    </w:p>
    <w:p>
      <w:pPr>
        <w:ind w:left="2220"/>
        <w:spacing w:after="0"/>
        <w:tabs>
          <w:tab w:leader="none" w:pos="2720" w:val="left"/>
        </w:tabs>
        <w:rPr>
          <w:sz w:val="20"/>
          <w:szCs w:val="20"/>
          <w:color w:val="auto"/>
        </w:rPr>
      </w:pPr>
      <w:r>
        <w:rPr>
          <w:rFonts w:ascii="Courier New" w:cs="Courier New" w:eastAsia="Courier New" w:hAnsi="Courier New"/>
          <w:sz w:val="18"/>
          <w:szCs w:val="18"/>
          <w:color w:val="auto"/>
        </w:rPr>
        <w:t>By:</w:t>
        <w:tab/>
        <w:t>/s/ Elizabeth A. Newell</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Elizabeth A. Newell</w:t>
      </w:r>
    </w:p>
    <w:p>
      <w:pPr>
        <w:ind w:left="3160"/>
        <w:spacing w:after="0" w:line="237" w:lineRule="auto"/>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NBC UNIVERSAL,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Elizabeth A. Newell</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Elizabeth A. Newell</w:t>
      </w:r>
    </w:p>
    <w:p>
      <w:pPr>
        <w:ind w:left="3160"/>
        <w:spacing w:after="0" w:line="237" w:lineRule="auto"/>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NATIONAL BROADCASTING COMPANY HOLDING,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Elizabeth A. Newell</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Elizabeth A. Newell</w:t>
      </w:r>
    </w:p>
    <w:p>
      <w:pPr>
        <w:ind w:left="3160"/>
        <w:spacing w:after="0" w:line="237" w:lineRule="auto"/>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GENERAL ELECTRIC COMPANY</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Michael R. McAlevey</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Michael R. McAlevey</w:t>
      </w:r>
    </w:p>
    <w:p>
      <w:pPr>
        <w:ind w:left="3160"/>
        <w:spacing w:after="0" w:line="237" w:lineRule="auto"/>
        <w:rPr>
          <w:sz w:val="20"/>
          <w:szCs w:val="20"/>
          <w:color w:val="auto"/>
        </w:rPr>
      </w:pPr>
      <w:r>
        <w:rPr>
          <w:rFonts w:ascii="Courier New" w:cs="Courier New" w:eastAsia="Courier New" w:hAnsi="Courier New"/>
          <w:sz w:val="18"/>
          <w:szCs w:val="18"/>
          <w:color w:val="auto"/>
        </w:rPr>
        <w:t>Chief Corporate and Securities Counsel</w:t>
      </w:r>
    </w:p>
    <w:p>
      <w:pPr>
        <w:ind w:left="3380"/>
        <w:spacing w:after="0" w:line="238" w:lineRule="auto"/>
        <w:rPr>
          <w:sz w:val="20"/>
          <w:szCs w:val="20"/>
          <w:color w:val="auto"/>
        </w:rPr>
      </w:pPr>
      <w:r>
        <w:rPr>
          <w:rFonts w:ascii="Courier New" w:cs="Courier New" w:eastAsia="Courier New" w:hAnsi="Courier New"/>
          <w:sz w:val="18"/>
          <w:szCs w:val="18"/>
          <w:color w:val="auto"/>
        </w:rPr>
        <w:t>and Associate Secretary</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lvl w:ilvl="1">
      <w:lvlJc w:val="left"/>
      <w:lvlText w:val="(%2)"/>
      <w:numFmt w:val="lowerLetter"/>
      <w:start w:val="1"/>
    </w:lvl>
  </w:abstractNum>
  <w:abstractNum w:abstractNumId="2">
    <w:nsid w:val="216231B"/>
    <w:multiLevelType w:val="hybridMultilevel"/>
    <w:lvl w:ilvl="0">
      <w:lvlJc w:val="left"/>
      <w:lvlText w:val="%1."/>
      <w:numFmt w:val="decimal"/>
      <w:start w:val="9"/>
    </w:lvl>
  </w:abstractNum>
  <w:abstractNum w:abstractNumId="3">
    <w:nsid w:val="1F16E9E8"/>
    <w:multiLevelType w:val="hybridMultilevel"/>
    <w:lvl w:ilvl="0">
      <w:lvlJc w:val="left"/>
      <w:lvlText w:val="%1."/>
      <w:numFmt w:val="decimal"/>
      <w:start w:val="12"/>
    </w:lvl>
  </w:abstractNum>
  <w:abstractNum w:abstractNumId="4">
    <w:nsid w:val="1190CDE7"/>
    <w:multiLevelType w:val="hybridMultilevel"/>
    <w:lvl w:ilvl="0">
      <w:lvlJc w:val="left"/>
      <w:lvlText w:val="%1."/>
      <w:numFmt w:val="decimal"/>
      <w:start w:val="1"/>
    </w:lvl>
    <w:lvl w:ilvl="1">
      <w:lvlJc w:val="left"/>
      <w:lvlText w:val="(%2)"/>
      <w:numFmt w:val="lowerLetter"/>
      <w:start w:val="1"/>
    </w:lvl>
  </w:abstractNum>
  <w:abstractNum w:abstractNumId="5">
    <w:nsid w:val="66EF438D"/>
    <w:multiLevelType w:val="hybridMultilevel"/>
    <w:lvl w:ilvl="0">
      <w:lvlJc w:val="left"/>
      <w:lvlText w:val="%1"/>
      <w:numFmt w:val="decimal"/>
      <w:start w:val="1"/>
    </w:lvl>
    <w:lvl w:ilvl="1">
      <w:lvlJc w:val="left"/>
      <w:lvlText w:val="%2."/>
      <w:numFmt w:val="decimal"/>
      <w:start w:val="6"/>
    </w:lvl>
  </w:abstractNum>
  <w:abstractNum w:abstractNumId="6">
    <w:nsid w:val="140E0F76"/>
    <w:multiLevelType w:val="hybridMultilevel"/>
    <w:lvl w:ilvl="0">
      <w:lvlJc w:val="left"/>
      <w:lvlText w:val="%1."/>
      <w:numFmt w:val="decimal"/>
      <w:start w:val="9"/>
    </w:lvl>
    <w:lvl w:ilvl="1">
      <w:lvlJc w:val="left"/>
      <w:lvlText w:val="%2"/>
      <w:numFmt w:val="decimal"/>
      <w:start w:val="1"/>
    </w:lvl>
  </w:abstractNum>
  <w:abstractNum w:abstractNumId="7">
    <w:nsid w:val="3352255A"/>
    <w:multiLevelType w:val="hybridMultilevel"/>
    <w:lvl w:ilvl="0">
      <w:lvlJc w:val="left"/>
      <w:lvlText w:val="%1."/>
      <w:numFmt w:val="decimal"/>
      <w:start w:val="12"/>
    </w:lvl>
  </w:abstractNum>
  <w:abstractNum w:abstractNumId="8">
    <w:nsid w:val="109CF92E"/>
    <w:multiLevelType w:val="hybridMultilevel"/>
    <w:lvl w:ilvl="0">
      <w:lvlJc w:val="left"/>
      <w:lvlText w:val="%1."/>
      <w:numFmt w:val="decimal"/>
      <w:start w:val="1"/>
    </w:lvl>
    <w:lvl w:ilvl="1">
      <w:lvlJc w:val="left"/>
      <w:lvlText w:val="(%2)"/>
      <w:numFmt w:val="lowerLetter"/>
      <w:start w:val="1"/>
    </w:lvl>
  </w:abstractNum>
  <w:abstractNum w:abstractNumId="9">
    <w:nsid w:val="DED7263"/>
    <w:multiLevelType w:val="hybridMultilevel"/>
    <w:lvl w:ilvl="0">
      <w:lvlJc w:val="left"/>
      <w:lvlText w:val="%1"/>
      <w:numFmt w:val="decimal"/>
      <w:start w:val="1"/>
    </w:lvl>
    <w:lvl w:ilvl="1">
      <w:lvlJc w:val="left"/>
      <w:lvlText w:val="%2."/>
      <w:numFmt w:val="decimal"/>
      <w:start w:val="6"/>
    </w:lvl>
  </w:abstractNum>
  <w:abstractNum w:abstractNumId="10">
    <w:nsid w:val="7FDCC233"/>
    <w:multiLevelType w:val="hybridMultilevel"/>
    <w:lvl w:ilvl="0">
      <w:lvlJc w:val="left"/>
      <w:lvlText w:val="%1."/>
      <w:numFmt w:val="decimal"/>
      <w:start w:val="9"/>
    </w:lvl>
    <w:lvl w:ilvl="1">
      <w:lvlJc w:val="left"/>
      <w:lvlText w:val="%2"/>
      <w:numFmt w:val="decimal"/>
      <w:start w:val="1"/>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decimal"/>
      <w:start w:val="1"/>
    </w:lvl>
    <w:lvl w:ilvl="1">
      <w:lvlJc w:val="left"/>
      <w:lvlText w:val="%2."/>
      <w:numFmt w:val="decimal"/>
      <w:start w:val="6"/>
    </w:lvl>
  </w:abstractNum>
  <w:abstractNum w:abstractNumId="14">
    <w:nsid w:val="4E6AFB66"/>
    <w:multiLevelType w:val="hybridMultilevel"/>
    <w:lvl w:ilvl="0">
      <w:lvlJc w:val="left"/>
      <w:lvlText w:val="%1."/>
      <w:numFmt w:val="decimal"/>
      <w:start w:val="9"/>
    </w:lvl>
    <w:lvl w:ilvl="1">
      <w:lvlJc w:val="left"/>
      <w:lvlText w:val="%2"/>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decimal"/>
      <w:start w:val="6"/>
    </w:lvl>
  </w:abstractNum>
  <w:abstractNum w:abstractNumId="17">
    <w:nsid w:val="431BD7B7"/>
    <w:multiLevelType w:val="hybridMultilevel"/>
    <w:lvl w:ilvl="0">
      <w:lvlJc w:val="left"/>
      <w:lvlText w:val="%1."/>
      <w:numFmt w:val="decimal"/>
      <w:start w:val="9"/>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2019-12-13T23:33:32Z</dcterms:created>
  <dcterms:modified xsi:type="dcterms:W3CDTF">2019-12-13T23:33:32Z</dcterms:modified>
</cp:coreProperties>
</file>