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60"/>
        <w:spacing w:after="0"/>
        <w:rPr>
          <w:sz w:val="20"/>
          <w:szCs w:val="20"/>
          <w:color w:val="auto"/>
        </w:rPr>
      </w:pPr>
      <w:r>
        <w:rPr>
          <w:rFonts w:ascii="Courier New" w:cs="Courier New" w:eastAsia="Courier New" w:hAnsi="Courier New"/>
          <w:sz w:val="18"/>
          <w:szCs w:val="18"/>
          <w:color w:val="auto"/>
        </w:rPr>
        <w:t>Filed by Comcast Corporation</w:t>
      </w:r>
    </w:p>
    <w:p>
      <w:pPr>
        <w:spacing w:after="0" w:line="29" w:lineRule="exact"/>
        <w:rPr>
          <w:sz w:val="24"/>
          <w:szCs w:val="24"/>
          <w:color w:val="auto"/>
        </w:rPr>
      </w:pPr>
    </w:p>
    <w:p>
      <w:pPr>
        <w:ind w:left="4960"/>
        <w:spacing w:after="0"/>
        <w:rPr>
          <w:sz w:val="20"/>
          <w:szCs w:val="20"/>
          <w:color w:val="auto"/>
        </w:rPr>
      </w:pPr>
      <w:r>
        <w:rPr>
          <w:rFonts w:ascii="Courier New" w:cs="Courier New" w:eastAsia="Courier New" w:hAnsi="Courier New"/>
          <w:sz w:val="18"/>
          <w:szCs w:val="18"/>
          <w:color w:val="auto"/>
        </w:rPr>
        <w:t>Pursuant to Rule 425 under the</w:t>
      </w:r>
    </w:p>
    <w:p>
      <w:pPr>
        <w:ind w:left="4960"/>
        <w:spacing w:after="0"/>
        <w:rPr>
          <w:sz w:val="20"/>
          <w:szCs w:val="20"/>
          <w:color w:val="auto"/>
        </w:rPr>
      </w:pPr>
      <w:r>
        <w:rPr>
          <w:rFonts w:ascii="Courier New" w:cs="Courier New" w:eastAsia="Courier New" w:hAnsi="Courier New"/>
          <w:sz w:val="16"/>
          <w:szCs w:val="16"/>
          <w:color w:val="auto"/>
        </w:rPr>
        <w:t>Securities Act of 1933 and deemed</w:t>
      </w:r>
    </w:p>
    <w:p>
      <w:pPr>
        <w:spacing w:after="0" w:line="20" w:lineRule="exact"/>
        <w:rPr>
          <w:sz w:val="24"/>
          <w:szCs w:val="24"/>
          <w:color w:val="auto"/>
        </w:rPr>
      </w:pPr>
    </w:p>
    <w:p>
      <w:pPr>
        <w:ind w:left="4960"/>
        <w:spacing w:after="0"/>
        <w:rPr>
          <w:sz w:val="20"/>
          <w:szCs w:val="20"/>
          <w:color w:val="auto"/>
        </w:rPr>
      </w:pPr>
      <w:r>
        <w:rPr>
          <w:rFonts w:ascii="Courier New" w:cs="Courier New" w:eastAsia="Courier New" w:hAnsi="Courier New"/>
          <w:sz w:val="18"/>
          <w:szCs w:val="18"/>
          <w:color w:val="auto"/>
        </w:rPr>
        <w:t>filed pursuant to Rule 14a-12</w:t>
      </w:r>
    </w:p>
    <w:p>
      <w:pPr>
        <w:ind w:left="4960"/>
        <w:spacing w:after="0"/>
        <w:rPr>
          <w:sz w:val="20"/>
          <w:szCs w:val="20"/>
          <w:color w:val="auto"/>
        </w:rPr>
      </w:pPr>
      <w:r>
        <w:rPr>
          <w:rFonts w:ascii="Courier New" w:cs="Courier New" w:eastAsia="Courier New" w:hAnsi="Courier New"/>
          <w:sz w:val="16"/>
          <w:szCs w:val="16"/>
          <w:color w:val="auto"/>
        </w:rPr>
        <w:t>under the Securities Exchange Act</w:t>
      </w:r>
    </w:p>
    <w:p>
      <w:pPr>
        <w:spacing w:after="0" w:line="21" w:lineRule="exact"/>
        <w:rPr>
          <w:sz w:val="24"/>
          <w:szCs w:val="24"/>
          <w:color w:val="auto"/>
        </w:rPr>
      </w:pPr>
    </w:p>
    <w:p>
      <w:pPr>
        <w:ind w:left="4960"/>
        <w:spacing w:after="0"/>
        <w:rPr>
          <w:sz w:val="20"/>
          <w:szCs w:val="20"/>
          <w:color w:val="auto"/>
        </w:rPr>
      </w:pPr>
      <w:r>
        <w:rPr>
          <w:rFonts w:ascii="Courier New" w:cs="Courier New" w:eastAsia="Courier New" w:hAnsi="Courier New"/>
          <w:sz w:val="18"/>
          <w:szCs w:val="18"/>
          <w:color w:val="auto"/>
        </w:rPr>
        <w:t>of 1934</w:t>
      </w:r>
    </w:p>
    <w:p>
      <w:pPr>
        <w:spacing w:after="0" w:line="169" w:lineRule="exact"/>
        <w:rPr>
          <w:sz w:val="24"/>
          <w:szCs w:val="24"/>
          <w:color w:val="auto"/>
        </w:rPr>
      </w:pPr>
    </w:p>
    <w:p>
      <w:pPr>
        <w:ind w:left="4960"/>
        <w:spacing w:after="0"/>
        <w:rPr>
          <w:sz w:val="20"/>
          <w:szCs w:val="20"/>
          <w:color w:val="auto"/>
        </w:rPr>
      </w:pPr>
      <w:r>
        <w:rPr>
          <w:rFonts w:ascii="Courier New" w:cs="Courier New" w:eastAsia="Courier New" w:hAnsi="Courier New"/>
          <w:sz w:val="18"/>
          <w:szCs w:val="18"/>
          <w:color w:val="auto"/>
        </w:rPr>
        <w:t>Subject Company: AT&amp;T Corp.</w:t>
      </w:r>
    </w:p>
    <w:p>
      <w:pPr>
        <w:spacing w:after="0" w:line="31" w:lineRule="exact"/>
        <w:rPr>
          <w:sz w:val="24"/>
          <w:szCs w:val="24"/>
          <w:color w:val="auto"/>
        </w:rPr>
      </w:pPr>
    </w:p>
    <w:p>
      <w:pPr>
        <w:ind w:left="4960"/>
        <w:spacing w:after="0"/>
        <w:rPr>
          <w:sz w:val="20"/>
          <w:szCs w:val="20"/>
          <w:color w:val="auto"/>
        </w:rPr>
      </w:pPr>
      <w:r>
        <w:rPr>
          <w:rFonts w:ascii="Courier New" w:cs="Courier New" w:eastAsia="Courier New" w:hAnsi="Courier New"/>
          <w:sz w:val="18"/>
          <w:szCs w:val="18"/>
          <w:color w:val="auto"/>
        </w:rPr>
        <w:t>Commission File No. 1-1105</w:t>
      </w:r>
    </w:p>
    <w:p>
      <w:pPr>
        <w:spacing w:after="0" w:line="169" w:lineRule="exact"/>
        <w:rPr>
          <w:sz w:val="24"/>
          <w:szCs w:val="24"/>
          <w:color w:val="auto"/>
        </w:rPr>
      </w:pPr>
    </w:p>
    <w:p>
      <w:pPr>
        <w:ind w:left="4960"/>
        <w:spacing w:after="0"/>
        <w:rPr>
          <w:sz w:val="20"/>
          <w:szCs w:val="20"/>
          <w:color w:val="auto"/>
        </w:rPr>
      </w:pPr>
      <w:r>
        <w:rPr>
          <w:rFonts w:ascii="Courier New" w:cs="Courier New" w:eastAsia="Courier New" w:hAnsi="Courier New"/>
          <w:sz w:val="18"/>
          <w:szCs w:val="18"/>
          <w:color w:val="auto"/>
        </w:rPr>
        <w:t>Date: July 19, 2001</w:t>
      </w: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The following letter was sent to Comcast employees: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 LOGO]</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Thursday, July 19, 2001</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Comcasters:</w:t>
      </w:r>
    </w:p>
    <w:p>
      <w:pPr>
        <w:spacing w:after="0" w:line="201" w:lineRule="exact"/>
        <w:rPr>
          <w:sz w:val="24"/>
          <w:szCs w:val="24"/>
          <w:color w:val="auto"/>
        </w:rPr>
      </w:pPr>
    </w:p>
    <w:p>
      <w:pPr>
        <w:ind w:right="1999" w:firstLine="1053"/>
        <w:spacing w:after="0" w:line="274" w:lineRule="auto"/>
        <w:rPr>
          <w:sz w:val="20"/>
          <w:szCs w:val="20"/>
          <w:color w:val="auto"/>
        </w:rPr>
      </w:pPr>
      <w:r>
        <w:rPr>
          <w:rFonts w:ascii="Courier New" w:cs="Courier New" w:eastAsia="Courier New" w:hAnsi="Courier New"/>
          <w:sz w:val="18"/>
          <w:szCs w:val="18"/>
          <w:color w:val="auto"/>
        </w:rPr>
        <w:t>As you may have read in today's newspapers, the AT&amp;T Board of Directors rejected our proposal to merge with AT&amp;T Broadband. Importantly, the AT&amp;T Board also said they have decided to delay the vote on their broadband tracking stock proposal.</w:t>
      </w:r>
    </w:p>
    <w:p>
      <w:pPr>
        <w:spacing w:after="0" w:line="82" w:lineRule="exact"/>
        <w:rPr>
          <w:sz w:val="24"/>
          <w:szCs w:val="24"/>
          <w:color w:val="auto"/>
        </w:rPr>
      </w:pPr>
    </w:p>
    <w:p>
      <w:pPr>
        <w:ind w:right="1779" w:firstLine="1053"/>
        <w:spacing w:after="0" w:line="260" w:lineRule="auto"/>
        <w:rPr>
          <w:sz w:val="20"/>
          <w:szCs w:val="20"/>
          <w:color w:val="auto"/>
        </w:rPr>
      </w:pPr>
      <w:r>
        <w:rPr>
          <w:rFonts w:ascii="Courier New" w:cs="Courier New" w:eastAsia="Courier New" w:hAnsi="Courier New"/>
          <w:sz w:val="18"/>
          <w:szCs w:val="18"/>
          <w:color w:val="auto"/>
        </w:rPr>
        <w:t>Since our July 8 offer, their shareholders have responded favorably to our proposal, and AT&amp;T stock has risen dramatically, adding about $14 billion in market valuation to AT&amp;T. In their press release yesterday, AT&amp;T stated that management will "explore financial and strategic alternatives." We assume that we will be part of that process. Consequently, we see this announcement as positive news for our company.</w:t>
      </w:r>
    </w:p>
    <w:p>
      <w:pPr>
        <w:spacing w:after="0" w:line="93" w:lineRule="exact"/>
        <w:rPr>
          <w:sz w:val="24"/>
          <w:szCs w:val="24"/>
          <w:color w:val="auto"/>
        </w:rPr>
      </w:pPr>
    </w:p>
    <w:p>
      <w:pPr>
        <w:ind w:right="2099" w:firstLine="1053"/>
        <w:spacing w:after="0" w:line="318" w:lineRule="auto"/>
        <w:rPr>
          <w:sz w:val="20"/>
          <w:szCs w:val="20"/>
          <w:color w:val="auto"/>
        </w:rPr>
      </w:pPr>
      <w:r>
        <w:rPr>
          <w:rFonts w:ascii="Courier New" w:cs="Courier New" w:eastAsia="Courier New" w:hAnsi="Courier New"/>
          <w:sz w:val="16"/>
          <w:szCs w:val="16"/>
          <w:color w:val="auto"/>
        </w:rPr>
        <w:t>During the last ten days we have had dozens of meetings with major AT&amp;T and Comcast shareholders. During these visits we have been struck by how positively our company is viewed and how confident investors are in our operating team. That should make all of you proud to work for Comcast.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right="1999" w:firstLine="1053"/>
        <w:spacing w:after="0" w:line="347" w:lineRule="auto"/>
        <w:rPr>
          <w:sz w:val="20"/>
          <w:szCs w:val="20"/>
          <w:color w:val="auto"/>
        </w:rPr>
      </w:pPr>
      <w:r>
        <w:rPr>
          <w:rFonts w:ascii="Courier New" w:cs="Courier New" w:eastAsia="Courier New" w:hAnsi="Courier New"/>
          <w:sz w:val="18"/>
          <w:szCs w:val="18"/>
          <w:color w:val="auto"/>
        </w:rPr>
        <w:t>Our proposal is off to a very good start. We appreciate your support during this process and will keep you updated in the weeks ahead.</w:t>
      </w: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4"/>
          <w:szCs w:val="24"/>
          <w:color w:val="auto"/>
        </w:rPr>
      </w:pP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/s/ Brian L. Roberts</w:t>
            </w:r>
          </w:p>
        </w:tc>
        <w:tc>
          <w:tcPr>
            <w:tcW w:w="4840" w:type="dxa"/>
            <w:vAlign w:val="bottom"/>
            <w:gridSpan w:val="2"/>
          </w:tcPr>
          <w:p>
            <w:pPr>
              <w:ind w:left="1260"/>
              <w:spacing w:after="0"/>
              <w:rPr>
                <w:sz w:val="20"/>
                <w:szCs w:val="20"/>
                <w:color w:val="auto"/>
              </w:rPr>
            </w:pPr>
            <w:r>
              <w:rPr>
                <w:rFonts w:ascii="Courier New" w:cs="Courier New" w:eastAsia="Courier New" w:hAnsi="Courier New"/>
                <w:sz w:val="18"/>
                <w:szCs w:val="18"/>
                <w:color w:val="auto"/>
              </w:rPr>
              <w:t>/s/ Stephen B. Burke</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Brian L. Roberts</w:t>
            </w:r>
          </w:p>
        </w:tc>
        <w:tc>
          <w:tcPr>
            <w:tcW w:w="206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Stephen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 Burke</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w:t>
            </w:r>
          </w:p>
        </w:tc>
        <w:tc>
          <w:tcPr>
            <w:tcW w:w="4840" w:type="dxa"/>
            <w:vAlign w:val="bottom"/>
            <w:gridSpan w:val="2"/>
          </w:tcPr>
          <w:p>
            <w:pPr>
              <w:ind w:left="126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96"/>
        </w:trPr>
        <w:tc>
          <w:tcPr>
            <w:tcW w:w="3380" w:type="dxa"/>
            <w:vAlign w:val="bottom"/>
          </w:tcPr>
          <w:p>
            <w:pPr>
              <w:spacing w:after="0"/>
              <w:rPr>
                <w:sz w:val="20"/>
                <w:szCs w:val="20"/>
                <w:color w:val="auto"/>
              </w:rPr>
            </w:pPr>
            <w:r>
              <w:rPr>
                <w:rFonts w:ascii="Courier New" w:cs="Courier New" w:eastAsia="Courier New" w:hAnsi="Courier New"/>
                <w:sz w:val="18"/>
                <w:szCs w:val="18"/>
                <w:color w:val="auto"/>
              </w:rPr>
              <w:t>Comcast Corporation</w:t>
            </w:r>
          </w:p>
        </w:tc>
        <w:tc>
          <w:tcPr>
            <w:tcW w:w="2060" w:type="dxa"/>
            <w:vAlign w:val="bottom"/>
          </w:tcPr>
          <w:p>
            <w:pPr>
              <w:ind w:left="1260"/>
              <w:spacing w:after="0"/>
              <w:rPr>
                <w:sz w:val="20"/>
                <w:szCs w:val="20"/>
                <w:color w:val="auto"/>
              </w:rPr>
            </w:pPr>
            <w:r>
              <w:rPr>
                <w:rFonts w:ascii="Courier New" w:cs="Courier New" w:eastAsia="Courier New" w:hAnsi="Courier New"/>
                <w:sz w:val="18"/>
                <w:szCs w:val="18"/>
                <w:color w:val="auto"/>
              </w:rPr>
              <w:t>Comcast</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w w:val="96"/>
              </w:rPr>
              <w:t>Cable Communications, Inc.</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18"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1" w:lineRule="exact"/>
        <w:rPr>
          <w:sz w:val="20"/>
          <w:szCs w:val="20"/>
          <w:color w:val="auto"/>
        </w:rPr>
      </w:pPr>
    </w:p>
    <w:p>
      <w:pPr>
        <w:ind w:right="1779" w:firstLine="1053"/>
        <w:spacing w:after="0" w:line="273" w:lineRule="auto"/>
        <w:rPr>
          <w:sz w:val="20"/>
          <w:szCs w:val="20"/>
          <w:color w:val="auto"/>
        </w:rPr>
      </w:pPr>
      <w:r>
        <w:rPr>
          <w:rFonts w:ascii="Courier New" w:cs="Courier New" w:eastAsia="Courier New" w:hAnsi="Courier New"/>
          <w:sz w:val="16"/>
          <w:szCs w:val="16"/>
          <w:color w:val="auto"/>
        </w:rPr>
        <w:t>This filing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Corporation ("Comcast")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 (1) the businesses of Comcast and AT&amp;T Broadband may not be integrated successfully or such integration may be more difficult, time-consuming or costly than expected; (2) expected combination benefits from the transaction may not be fully realized or realized within the expected time frame; (3) revenues following the transaction may be lower than expected; (4) operating costs, customer loss and business disruption, including, without limitation, difficulties in maintaining relationships with employees, customers, clients or suppliers, may be greater than expected following the transaction; (5) the regulatory approvals required for the transaction may not be obtained on the proposed terms or on the anticipated schedule; (6) the effects of legislative and regulatory changes; (7) the potential for increased competition; (8) technological changes; (9) the need to generate substantial growth in the subscriber base by successfully launching, marketing and providing services in identified markets; (10) pricing pressures which could affect demand for Comcast's services; (11) Comcast's ability to expand its distribution; (12) changes in labor, programming, equipment and capital costs; (13) Comcast's continued ability to create or acquire programming and products that customers will find attractive; (14) future acquisitions, strategic partnerships and divestitures; (15) general business and economic conditions; and (16) other risks described from time to time in Comcast's periodic reports filed with the Securities and Exchange Commission (the "Commission").</w:t>
      </w:r>
    </w:p>
    <w:p>
      <w:pPr>
        <w:spacing w:after="0" w:line="200" w:lineRule="exact"/>
        <w:rPr>
          <w:sz w:val="20"/>
          <w:szCs w:val="20"/>
          <w:color w:val="auto"/>
        </w:rPr>
      </w:pPr>
    </w:p>
    <w:p>
      <w:pPr>
        <w:spacing w:after="0" w:line="30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Subject to future developments, Comcast may file with the Commission</w:t>
      </w:r>
    </w:p>
    <w:p>
      <w:pPr>
        <w:spacing w:after="0" w:line="31" w:lineRule="exact"/>
        <w:rPr>
          <w:sz w:val="20"/>
          <w:szCs w:val="20"/>
          <w:color w:val="auto"/>
        </w:rPr>
      </w:pPr>
    </w:p>
    <w:p>
      <w:pPr>
        <w:ind w:right="1779" w:firstLine="8"/>
        <w:spacing w:after="0" w:line="245"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preliminary proxy statement for solicitation of proxies from the shareholders of AT&amp;T Corp. ("AT&amp;T") in connection with AT&amp;T's special meeting which is scheduled to take place in September 2001 and (ii) a registration statement to register the Comcast shares to be issued in the proposed transaction. Investors and security holders are urged to read the proxy statement and registration statement (when and if available) and any other relevant documents filed with the Commission, as well as any amendments or supplements to those documents, because they will contain important information. Investors and security holders may obtain a free copy of the proxy statement and the registration statement (when and if available) and other relevant documents at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096" w:right="1440" w:bottom="1440" w:gutter="0" w:footer="0" w:header="0"/>
        </w:sectPr>
      </w:pPr>
    </w:p>
    <w:bookmarkStart w:id="2" w:name="page3"/>
    <w:bookmarkEnd w:id="2"/>
    <w:p>
      <w:pPr>
        <w:ind w:right="1779"/>
        <w:spacing w:after="0" w:line="265" w:lineRule="auto"/>
        <w:rPr>
          <w:sz w:val="20"/>
          <w:szCs w:val="20"/>
          <w:color w:val="auto"/>
        </w:rPr>
      </w:pPr>
      <w:r>
        <w:rPr>
          <w:rFonts w:ascii="Courier New" w:cs="Courier New" w:eastAsia="Courier New" w:hAnsi="Courier New"/>
          <w:sz w:val="18"/>
          <w:szCs w:val="18"/>
          <w:color w:val="auto"/>
        </w:rPr>
        <w:t>the Commission's Internet web site at www.sec.gov. The proxy statement and registration statement (when and if available) and such other documents may also be obtained free of charge from Comcast by directing such request to: Comcast Corporation, 1500 Market Street, Philadelphia, Pennsylvania 19102-2148, Attention: General Counsel.</w:t>
      </w:r>
    </w:p>
    <w:p>
      <w:pPr>
        <w:spacing w:after="0" w:line="90" w:lineRule="exact"/>
        <w:rPr>
          <w:sz w:val="20"/>
          <w:szCs w:val="20"/>
          <w:color w:val="auto"/>
        </w:rPr>
      </w:pPr>
    </w:p>
    <w:p>
      <w:pPr>
        <w:ind w:right="1779" w:firstLine="1053"/>
        <w:spacing w:after="0" w:line="265" w:lineRule="auto"/>
        <w:rPr>
          <w:sz w:val="20"/>
          <w:szCs w:val="20"/>
          <w:color w:val="auto"/>
        </w:rPr>
      </w:pPr>
      <w:r>
        <w:rPr>
          <w:rFonts w:ascii="Courier New" w:cs="Courier New" w:eastAsia="Courier New" w:hAnsi="Courier New"/>
          <w:sz w:val="18"/>
          <w:szCs w:val="18"/>
          <w:color w:val="auto"/>
        </w:rPr>
        <w:t>Comcast, its directors and certain other Comcast employees and advisors may be deemed to be "participants" in Comcast's solicitation of proxies from AT&amp;T's shareholders. A detailed list of the names, affiliations and interests of the participants in the solicitation is contained in a filing made by Comcast with the Commission pursuant to Rule 14a-12 on July 9,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sectPr>
      <w:pgSz w:w="11900" w:h="16838" w:orient="portrait"/>
      <w:cols w:equalWidth="0" w:num="1">
        <w:col w:w="10219"/>
      </w:cols>
      <w:pgMar w:left="240" w:top="8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2019-12-16T10:12:37Z</dcterms:created>
  <dcterms:modified xsi:type="dcterms:W3CDTF">2019-12-16T10:12:37Z</dcterms:modified>
</cp:coreProperties>
</file>