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333-266390</w:t>
      </w:r>
    </w:p>
    <w:p>
      <w:pPr>
        <w:spacing w:after="0" w:line="135" w:lineRule="exact"/>
        <w:rPr>
          <w:sz w:val="24"/>
          <w:szCs w:val="24"/>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color w:val="DE1A1E"/>
        </w:rPr>
        <w:t>The information in this preliminary prospectus supplement is not complete and may be changed. This preliminary prospectus supplement and the accompanying prospectus are part of an effective registration statement filed with the Securities and Exchange Commission under the Securities Act of 1933. This preliminary prospectus supplement and the accompanying prospectus are neither offers to sell these securities nor solicitations of offers to buy these securities in any jurisdiction where such offer or sale is not permitted.</w:t>
      </w:r>
    </w:p>
    <w:p>
      <w:pPr>
        <w:spacing w:after="0" w:line="10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DE1A1E"/>
        </w:rPr>
        <w:t>SUBJECT TO COMPLETION, DATED SEPTEMBER 23, 2024</w:t>
      </w:r>
    </w:p>
    <w:p>
      <w:pPr>
        <w:spacing w:after="0" w:line="11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July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160020</wp:posOffset>
            </wp:positionV>
            <wp:extent cx="1388745"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8745"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tbl>
      <w:tblPr>
        <w:tblLayout w:type="fixed"/>
        <w:tblInd w:w="3940" w:type="dxa"/>
        <w:tblCellMar>
          <w:top w:w="0" w:type="dxa"/>
          <w:left w:w="0" w:type="dxa"/>
          <w:bottom w:w="0" w:type="dxa"/>
          <w:right w:w="0" w:type="dxa"/>
        </w:tblCellMar>
      </w:tblPr>
      <w:tr>
        <w:trPr>
          <w:trHeight w:val="297"/>
        </w:trPr>
        <w:tc>
          <w:tcPr>
            <w:tcW w:w="28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3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w w:val="72"/>
              </w:rPr>
              <w:t xml:space="preserve">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1780" w:type="dxa"/>
            <w:vAlign w:val="bottom"/>
          </w:tcPr>
          <w:p>
            <w:pPr>
              <w:ind w:left="100"/>
              <w:spacing w:after="0"/>
              <w:rPr>
                <w:sz w:val="20"/>
                <w:szCs w:val="20"/>
                <w:color w:val="auto"/>
              </w:rPr>
            </w:pPr>
            <w:r>
              <w:rPr>
                <w:rFonts w:ascii="Times New Roman" w:cs="Times New Roman" w:eastAsia="Times New Roman" w:hAnsi="Times New Roman"/>
                <w:sz w:val="25"/>
                <w:szCs w:val="25"/>
                <w:b w:val="1"/>
                <w:bCs w:val="1"/>
                <w:color w:val="auto"/>
                <w:w w:val="99"/>
              </w:rPr>
              <w:t>% Notes due 20</w:t>
            </w:r>
          </w:p>
        </w:tc>
      </w:tr>
      <w:tr>
        <w:trPr>
          <w:trHeight w:val="297"/>
        </w:trPr>
        <w:tc>
          <w:tcPr>
            <w:tcW w:w="28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3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w w:val="72"/>
              </w:rPr>
              <w:t xml:space="preserve">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1780" w:type="dxa"/>
            <w:vAlign w:val="bottom"/>
          </w:tcPr>
          <w:p>
            <w:pPr>
              <w:ind w:left="100"/>
              <w:spacing w:after="0"/>
              <w:rPr>
                <w:sz w:val="20"/>
                <w:szCs w:val="20"/>
                <w:color w:val="auto"/>
              </w:rPr>
            </w:pPr>
            <w:r>
              <w:rPr>
                <w:rFonts w:ascii="Times New Roman" w:cs="Times New Roman" w:eastAsia="Times New Roman" w:hAnsi="Times New Roman"/>
                <w:sz w:val="25"/>
                <w:szCs w:val="25"/>
                <w:b w:val="1"/>
                <w:bCs w:val="1"/>
                <w:color w:val="auto"/>
                <w:w w:val="99"/>
              </w:rPr>
              <w:t>% Notes due 20</w:t>
            </w:r>
          </w:p>
        </w:tc>
      </w:tr>
      <w:tr>
        <w:trPr>
          <w:trHeight w:val="334"/>
        </w:trPr>
        <w:tc>
          <w:tcPr>
            <w:tcW w:w="28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3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w w:val="72"/>
              </w:rPr>
              <w:t xml:space="preserve">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1780" w:type="dxa"/>
            <w:vAlign w:val="bottom"/>
          </w:tcPr>
          <w:p>
            <w:pPr>
              <w:ind w:left="100"/>
              <w:spacing w:after="0"/>
              <w:rPr>
                <w:sz w:val="20"/>
                <w:szCs w:val="20"/>
                <w:color w:val="auto"/>
              </w:rPr>
            </w:pPr>
            <w:r>
              <w:rPr>
                <w:rFonts w:ascii="Times New Roman" w:cs="Times New Roman" w:eastAsia="Times New Roman" w:hAnsi="Times New Roman"/>
                <w:sz w:val="25"/>
                <w:szCs w:val="25"/>
                <w:b w:val="1"/>
                <w:bCs w:val="1"/>
                <w:color w:val="auto"/>
                <w:w w:val="99"/>
              </w:rPr>
              <w:t>% Notes due 20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149225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2"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16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 xml:space="preserve">We are offering €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xml:space="preserve">of    </w:t>
            </w:r>
          </w:p>
        </w:tc>
        <w:tc>
          <w:tcPr>
            <w:tcW w:w="3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 xml:space="preserve">% notes due 20   (the “euro notes due       </w:t>
            </w:r>
          </w:p>
        </w:tc>
        <w:tc>
          <w:tcPr>
            <w:tcW w:w="160" w:type="dxa"/>
            <w:vAlign w:val="bottom"/>
          </w:tcPr>
          <w:p>
            <w:pPr>
              <w:jc w:val="right"/>
              <w:ind w:right="74"/>
              <w:spacing w:after="0"/>
              <w:rPr>
                <w:sz w:val="20"/>
                <w:szCs w:val="20"/>
                <w:color w:val="auto"/>
              </w:rPr>
            </w:pPr>
            <w:r>
              <w:rPr>
                <w:rFonts w:ascii="Times New Roman" w:cs="Times New Roman" w:eastAsia="Times New Roman" w:hAnsi="Times New Roman"/>
                <w:sz w:val="2"/>
                <w:szCs w:val="2"/>
                <w:color w:val="auto"/>
                <w:w w:val="97"/>
              </w:rPr>
              <w:t> </w:t>
            </w: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 </w:t>
            </w:r>
          </w:p>
        </w:tc>
        <w:tc>
          <w:tcPr>
            <w:tcW w:w="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    </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of      % notes due 20 </w:t>
            </w:r>
          </w:p>
        </w:tc>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“euro notes due            ” and,</w:t>
            </w:r>
          </w:p>
        </w:tc>
      </w:tr>
      <w:tr>
        <w:trPr>
          <w:trHeight w:val="203"/>
        </w:trPr>
        <w:tc>
          <w:tcPr>
            <w:tcW w:w="24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together with the euro notes due 20 </w:t>
            </w:r>
          </w:p>
        </w:tc>
        <w:tc>
          <w:tcPr>
            <w:tcW w:w="36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 the “euro notes”) and £         of      % notes due 20 </w:t>
            </w:r>
          </w:p>
        </w:tc>
        <w:tc>
          <w:tcPr>
            <w:tcW w:w="47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(the “sterling notes” and, together with the euro notes, the “notes”). The</w:t>
            </w:r>
          </w:p>
        </w:tc>
      </w:tr>
      <w:tr>
        <w:trPr>
          <w:trHeight w:val="203"/>
        </w:trPr>
        <w:tc>
          <w:tcPr>
            <w:tcW w:w="3240" w:type="dxa"/>
            <w:vAlign w:val="bottom"/>
            <w:gridSpan w:val="5"/>
          </w:tcPr>
          <w:p>
            <w:pPr>
              <w:spacing w:after="0"/>
              <w:rPr>
                <w:sz w:val="20"/>
                <w:szCs w:val="20"/>
                <w:color w:val="auto"/>
              </w:rPr>
            </w:pPr>
            <w:r>
              <w:rPr>
                <w:rFonts w:ascii="Times New Roman" w:cs="Times New Roman" w:eastAsia="Times New Roman" w:hAnsi="Times New Roman"/>
                <w:sz w:val="16"/>
                <w:szCs w:val="16"/>
                <w:color w:val="auto"/>
                <w:w w:val="95"/>
              </w:rPr>
              <w:t>euro notes due 20   will bear interest at a rate of  </w:t>
            </w:r>
          </w:p>
        </w:tc>
        <w:tc>
          <w:tcPr>
            <w:tcW w:w="230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2"/>
              </w:rPr>
              <w:t>   % per year and will mature on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 </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84"/>
              </w:rPr>
              <w:t>   , 20 </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and the euro notes due 20 </w:t>
            </w:r>
          </w:p>
        </w:tc>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will bear interest at a rate of       % per</w:t>
            </w:r>
          </w:p>
        </w:tc>
      </w:tr>
      <w:tr>
        <w:trPr>
          <w:trHeight w:val="203"/>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w w:val="96"/>
              </w:rPr>
              <w:t>year and will mature on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4"/>
              </w:rPr>
              <w:t>, 20 </w:t>
            </w:r>
          </w:p>
        </w:tc>
        <w:tc>
          <w:tcPr>
            <w:tcW w:w="3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8"/>
              </w:rPr>
              <w:t>. The sterling notes will bear interest at a rate of  </w:t>
            </w:r>
          </w:p>
        </w:tc>
        <w:tc>
          <w:tcPr>
            <w:tcW w:w="24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w w:val="96"/>
              </w:rPr>
              <w:t>   % per year and will mature on  </w:t>
            </w:r>
          </w:p>
        </w:tc>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8"/>
              </w:rPr>
              <w:t>         , 20   . We will pay interest on the</w:t>
            </w:r>
          </w:p>
        </w:tc>
      </w:tr>
      <w:tr>
        <w:trPr>
          <w:trHeight w:val="210"/>
        </w:trPr>
        <w:tc>
          <w:tcPr>
            <w:tcW w:w="32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 xml:space="preserve">notes on         of each year, beginning on        </w:t>
            </w:r>
          </w:p>
        </w:tc>
        <w:tc>
          <w:tcPr>
            <w:tcW w:w="764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 2025. We may redeem any of the notes at any time by paying the applicable redemption price described under the</w:t>
            </w:r>
          </w:p>
        </w:tc>
      </w:tr>
    </w:tbl>
    <w:p>
      <w:pPr>
        <w:ind w:left="120" w:right="420"/>
        <w:spacing w:after="0" w:line="288" w:lineRule="auto"/>
        <w:rPr>
          <w:sz w:val="20"/>
          <w:szCs w:val="20"/>
          <w:color w:val="auto"/>
        </w:rPr>
      </w:pPr>
      <w:r>
        <w:rPr>
          <w:rFonts w:ascii="Times New Roman" w:cs="Times New Roman" w:eastAsia="Times New Roman" w:hAnsi="Times New Roman"/>
          <w:sz w:val="16"/>
          <w:szCs w:val="16"/>
          <w:color w:val="auto"/>
        </w:rPr>
        <w:t>heading “Description of the Notes—Optional Redemption.” In addition, we may redeem the notes in whole but not in part, at any time at our option, in the event of certain developments affecting United States taxation as described under the heading “Description of the Notes—Redemption for Tax Reasons.”</w:t>
      </w:r>
    </w:p>
    <w:p>
      <w:pPr>
        <w:spacing w:after="0" w:line="64" w:lineRule="exact"/>
        <w:rPr>
          <w:sz w:val="24"/>
          <w:szCs w:val="24"/>
          <w:color w:val="auto"/>
        </w:rPr>
      </w:pPr>
    </w:p>
    <w:p>
      <w:pPr>
        <w:ind w:left="120" w:right="220" w:firstLine="440"/>
        <w:spacing w:after="0" w:line="298" w:lineRule="auto"/>
        <w:rPr>
          <w:sz w:val="20"/>
          <w:szCs w:val="20"/>
          <w:color w:val="auto"/>
        </w:rPr>
      </w:pPr>
      <w:r>
        <w:rPr>
          <w:rFonts w:ascii="Times New Roman" w:cs="Times New Roman" w:eastAsia="Times New Roman" w:hAnsi="Times New Roman"/>
          <w:sz w:val="16"/>
          <w:szCs w:val="16"/>
          <w:color w:val="auto"/>
        </w:rPr>
        <w:t>The euro notes will be issued in minimum denominations of €100,000 and integral multiples of €1,000 in excess thereof, and the sterling notes will be issued in minimum denominations of £100,000 and integral multiples of £1,000 in excess thereof.</w:t>
      </w:r>
    </w:p>
    <w:p>
      <w:pPr>
        <w:spacing w:after="0" w:line="56" w:lineRule="exact"/>
        <w:rPr>
          <w:sz w:val="24"/>
          <w:szCs w:val="24"/>
          <w:color w:val="auto"/>
        </w:rPr>
      </w:pPr>
    </w:p>
    <w:p>
      <w:pPr>
        <w:ind w:left="120" w:right="380" w:firstLine="440"/>
        <w:spacing w:after="0" w:line="298" w:lineRule="auto"/>
        <w:rPr>
          <w:sz w:val="20"/>
          <w:szCs w:val="20"/>
          <w:color w:val="auto"/>
        </w:rPr>
      </w:pPr>
      <w:r>
        <w:rPr>
          <w:rFonts w:ascii="Times New Roman" w:cs="Times New Roman" w:eastAsia="Times New Roman" w:hAnsi="Times New Roman"/>
          <w:sz w:val="16"/>
          <w:szCs w:val="16"/>
          <w:color w:val="auto"/>
        </w:rPr>
        <w:t>The notes will be unsecured and will rank equally with all of our and our guarantors’ unsecured and unsubordinated indebtedness. The notes will be fully and unconditionally guaranteed by our wholly-owned subsidiaries named in this prospectus supplement and in the accompanying prospectus.</w:t>
      </w:r>
    </w:p>
    <w:p>
      <w:pPr>
        <w:spacing w:after="0" w:line="56" w:lineRule="exact"/>
        <w:rPr>
          <w:sz w:val="24"/>
          <w:szCs w:val="24"/>
          <w:color w:val="auto"/>
        </w:rPr>
      </w:pPr>
    </w:p>
    <w:p>
      <w:pPr>
        <w:ind w:left="120" w:right="80" w:firstLine="440"/>
        <w:spacing w:after="0" w:line="275" w:lineRule="auto"/>
        <w:rPr>
          <w:sz w:val="20"/>
          <w:szCs w:val="20"/>
          <w:color w:val="auto"/>
        </w:rPr>
      </w:pPr>
      <w:r>
        <w:rPr>
          <w:rFonts w:ascii="Times New Roman" w:cs="Times New Roman" w:eastAsia="Times New Roman" w:hAnsi="Times New Roman"/>
          <w:sz w:val="16"/>
          <w:szCs w:val="16"/>
          <w:color w:val="auto"/>
        </w:rPr>
        <w:t>Each series of the notes is a new issue of securities with no established trading market. We currently intend to apply to list the notes on the NASDAQ Global Market (“NASDAQ”). The listing applications will be subject to approval by NASDAQ. If such listings are obtained, we have no obligation to maintain such listings for any series of the notes and we may delist any series of the notes at any time. We currently expect trading in the notes on NASDAQ to begin within 30 days after the original issue date.</w:t>
      </w:r>
    </w:p>
    <w:p>
      <w:pPr>
        <w:spacing w:after="0" w:line="62" w:lineRule="exact"/>
        <w:rPr>
          <w:sz w:val="24"/>
          <w:szCs w:val="24"/>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20"/>
          <w:szCs w:val="20"/>
          <w:b w:val="1"/>
          <w:bCs w:val="1"/>
          <w:color w:val="auto"/>
        </w:rPr>
        <w:t>Investing in these securities involves certain risks. See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beginning on page S-6 of this prospectus supplement and “Item 1A—Risk Factors” beginning on page 20 of Comcast Corporation’s (“Comcast”) Annual Report on Form 10-K for the year ended December 31, 2023, which is incorporated by reference herein.</w:t>
      </w:r>
    </w:p>
    <w:p>
      <w:pPr>
        <w:spacing w:after="0" w:line="64"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Price to</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Proceeds to Us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4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320" w:type="dxa"/>
            <w:vAlign w:val="bottom"/>
            <w:gridSpan w:val="4"/>
          </w:tcPr>
          <w:p>
            <w:pPr>
              <w:jc w:val="center"/>
              <w:ind w:left="1681"/>
              <w:spacing w:after="0"/>
              <w:rPr>
                <w:sz w:val="20"/>
                <w:szCs w:val="20"/>
                <w:color w:val="auto"/>
              </w:rPr>
            </w:pPr>
            <w:r>
              <w:rPr>
                <w:rFonts w:ascii="Times New Roman" w:cs="Times New Roman" w:eastAsia="Times New Roman" w:hAnsi="Times New Roman"/>
                <w:sz w:val="14"/>
                <w:szCs w:val="14"/>
                <w:b w:val="1"/>
                <w:bCs w:val="1"/>
                <w:color w:val="auto"/>
              </w:rPr>
              <w:t>Investors</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5"/>
              </w:rPr>
              <w:t>Per euro note due 20 </w:t>
            </w:r>
          </w:p>
        </w:tc>
        <w:tc>
          <w:tcPr>
            <w:tcW w:w="1940" w:type="dxa"/>
            <w:vAlign w:val="bottom"/>
            <w:tcBorders>
              <w:top w:val="single" w:sz="8" w:color="CCEEFF"/>
            </w:tcBorders>
            <w:shd w:val="clear" w:color="auto" w:fill="CCEEFF"/>
          </w:tcPr>
          <w:p>
            <w:pPr>
              <w:jc w:val="right"/>
              <w:ind w:right="1679"/>
              <w:spacing w:after="0"/>
              <w:rPr>
                <w:sz w:val="20"/>
                <w:szCs w:val="20"/>
                <w:color w:val="auto"/>
              </w:rPr>
            </w:pPr>
            <w:r>
              <w:rPr>
                <w:rFonts w:ascii="Times New Roman" w:cs="Times New Roman" w:eastAsia="Times New Roman" w:hAnsi="Times New Roman"/>
                <w:sz w:val="12"/>
                <w:szCs w:val="12"/>
                <w:color w:val="auto"/>
              </w:rPr>
              <w:t>(1)</w:t>
            </w:r>
          </w:p>
        </w:tc>
        <w:tc>
          <w:tcPr>
            <w:tcW w:w="1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87"/>
              </w:rPr>
              <w:t> </w:t>
            </w:r>
          </w:p>
        </w:tc>
        <w:tc>
          <w:tcPr>
            <w:tcW w:w="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center"/>
              <w:ind w:left="179"/>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87"/>
              </w:rPr>
              <w:t> </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940" w:type="dxa"/>
            <w:vAlign w:val="bottom"/>
          </w:tcPr>
          <w:p>
            <w:pPr>
              <w:spacing w:after="0"/>
              <w:rPr>
                <w:sz w:val="17"/>
                <w:szCs w:val="17"/>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 </w:t>
            </w:r>
          </w:p>
        </w:tc>
        <w:tc>
          <w:tcPr>
            <w:tcW w:w="16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w w:val="87"/>
              </w:rPr>
              <w:t> </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center"/>
              <w:ind w:left="179"/>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87"/>
              </w:rPr>
              <w:t> </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5"/>
              </w:rPr>
              <w:t>Per euro note due 20 </w:t>
            </w:r>
          </w:p>
        </w:tc>
        <w:tc>
          <w:tcPr>
            <w:tcW w:w="1940" w:type="dxa"/>
            <w:vAlign w:val="bottom"/>
            <w:shd w:val="clear" w:color="auto" w:fill="CCEEFF"/>
          </w:tcPr>
          <w:p>
            <w:pPr>
              <w:jc w:val="right"/>
              <w:ind w:right="1679"/>
              <w:spacing w:after="0"/>
              <w:rPr>
                <w:sz w:val="20"/>
                <w:szCs w:val="20"/>
                <w:color w:val="auto"/>
              </w:rPr>
            </w:pPr>
            <w:r>
              <w:rPr>
                <w:rFonts w:ascii="Times New Roman" w:cs="Times New Roman" w:eastAsia="Times New Roman" w:hAnsi="Times New Roman"/>
                <w:sz w:val="12"/>
                <w:szCs w:val="12"/>
                <w:color w:val="auto"/>
              </w:rPr>
              <w:t>(1)</w:t>
            </w:r>
          </w:p>
        </w:tc>
        <w:tc>
          <w:tcPr>
            <w:tcW w:w="17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46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89"/>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87"/>
              </w:rPr>
              <w:t> </w:t>
            </w:r>
          </w:p>
        </w:tc>
        <w:tc>
          <w:tcPr>
            <w:tcW w:w="46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89"/>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87"/>
              </w:rPr>
              <w:t>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940" w:type="dxa"/>
            <w:vAlign w:val="bottom"/>
          </w:tcPr>
          <w:p>
            <w:pPr>
              <w:spacing w:after="0"/>
              <w:rPr>
                <w:sz w:val="17"/>
                <w:szCs w:val="17"/>
                <w:color w:val="auto"/>
              </w:rPr>
            </w:pPr>
          </w:p>
        </w:tc>
        <w:tc>
          <w:tcPr>
            <w:tcW w:w="1940" w:type="dxa"/>
            <w:vAlign w:val="bottom"/>
            <w:gridSpan w:val="2"/>
          </w:tcPr>
          <w:p>
            <w:pPr>
              <w:jc w:val="right"/>
              <w:ind w:right="2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Per sterling note</w:t>
            </w:r>
            <w:r>
              <w:rPr>
                <w:rFonts w:ascii="Times New Roman" w:cs="Times New Roman" w:eastAsia="Times New Roman" w:hAnsi="Times New Roman"/>
                <w:sz w:val="23"/>
                <w:szCs w:val="23"/>
                <w:color w:val="auto"/>
                <w:vertAlign w:val="superscript"/>
              </w:rPr>
              <w:t>(1)</w:t>
            </w:r>
          </w:p>
        </w:tc>
        <w:tc>
          <w:tcPr>
            <w:tcW w:w="19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46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89"/>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87"/>
              </w:rPr>
              <w:t> </w:t>
            </w:r>
          </w:p>
        </w:tc>
        <w:tc>
          <w:tcPr>
            <w:tcW w:w="46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89"/>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87"/>
              </w:rPr>
              <w:t>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940" w:type="dxa"/>
            <w:vAlign w:val="bottom"/>
          </w:tcPr>
          <w:p>
            <w:pPr>
              <w:spacing w:after="0"/>
              <w:rPr>
                <w:sz w:val="18"/>
                <w:szCs w:val="18"/>
                <w:color w:val="auto"/>
              </w:rPr>
            </w:pPr>
          </w:p>
        </w:tc>
        <w:tc>
          <w:tcPr>
            <w:tcW w:w="1940" w:type="dxa"/>
            <w:vAlign w:val="bottom"/>
            <w:gridSpan w:val="2"/>
          </w:tcPr>
          <w:p>
            <w:pPr>
              <w:jc w:val="right"/>
              <w:ind w:right="2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771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7"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Plus accrued interest, if any, from             , 2024, if settlement occurs after that date.</w:t>
      </w:r>
    </w:p>
    <w:p>
      <w:pPr>
        <w:spacing w:after="0" w:line="125" w:lineRule="exact"/>
        <w:rPr>
          <w:sz w:val="24"/>
          <w:szCs w:val="24"/>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(the “SEC” or the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69" w:lineRule="exact"/>
        <w:rPr>
          <w:sz w:val="24"/>
          <w:szCs w:val="24"/>
          <w:color w:val="auto"/>
        </w:rPr>
      </w:pPr>
    </w:p>
    <w:p>
      <w:pPr>
        <w:ind w:left="120" w:right="120" w:firstLine="440"/>
        <w:spacing w:after="0" w:line="298" w:lineRule="auto"/>
        <w:rPr>
          <w:sz w:val="20"/>
          <w:szCs w:val="20"/>
          <w:color w:val="auto"/>
        </w:rPr>
      </w:pPr>
      <w:r>
        <w:rPr>
          <w:rFonts w:ascii="Times New Roman" w:cs="Times New Roman" w:eastAsia="Times New Roman" w:hAnsi="Times New Roman"/>
          <w:sz w:val="16"/>
          <w:szCs w:val="16"/>
          <w:color w:val="auto"/>
        </w:rPr>
        <w:t>The notes will be ready for delivery only through the delivery system of Clearstream Banking, S.A. (“Clearstream”) and Euroclear Bank SA/NV (“Euroclear”) in book-entry form on or about         , 2024, which is the       business day following the date of this prospectus supplement. See “Underwriting.”</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i w:val="1"/>
          <w:iCs w:val="1"/>
          <w:color w:val="auto"/>
        </w:rPr>
        <w:t>Joint Book-Running Managers</w:t>
      </w:r>
    </w:p>
    <w:p>
      <w:pPr>
        <w:spacing w:after="0" w:line="237" w:lineRule="exact"/>
        <w:rPr>
          <w:sz w:val="24"/>
          <w:szCs w:val="24"/>
          <w:color w:val="auto"/>
        </w:rPr>
      </w:pPr>
    </w:p>
    <w:p>
      <w:pPr>
        <w:ind w:left="2580"/>
        <w:spacing w:after="0"/>
        <w:tabs>
          <w:tab w:leader="none" w:pos="7760" w:val="left"/>
        </w:tabs>
        <w:rPr>
          <w:sz w:val="20"/>
          <w:szCs w:val="20"/>
          <w:color w:val="auto"/>
        </w:rPr>
      </w:pPr>
      <w:r>
        <w:rPr>
          <w:rFonts w:ascii="Times New Roman" w:cs="Times New Roman" w:eastAsia="Times New Roman" w:hAnsi="Times New Roman"/>
          <w:sz w:val="25"/>
          <w:szCs w:val="25"/>
          <w:b w:val="1"/>
          <w:bCs w:val="1"/>
          <w:color w:val="auto"/>
        </w:rPr>
        <w:t>Barclays</w:t>
      </w:r>
      <w:r>
        <w:rPr>
          <w:sz w:val="20"/>
          <w:szCs w:val="20"/>
          <w:color w:val="auto"/>
        </w:rPr>
        <w:tab/>
      </w:r>
      <w:r>
        <w:rPr>
          <w:rFonts w:ascii="Times New Roman" w:cs="Times New Roman" w:eastAsia="Times New Roman" w:hAnsi="Times New Roman"/>
          <w:sz w:val="25"/>
          <w:szCs w:val="25"/>
          <w:b w:val="1"/>
          <w:bCs w:val="1"/>
          <w:color w:val="auto"/>
        </w:rPr>
        <w:t>BNP PARIBAS</w:t>
      </w:r>
    </w:p>
    <w:p>
      <w:pPr>
        <w:spacing w:after="0" w:line="124" w:lineRule="exact"/>
        <w:rPr>
          <w:sz w:val="24"/>
          <w:szCs w:val="24"/>
          <w:color w:val="auto"/>
        </w:rPr>
      </w:pPr>
    </w:p>
    <w:p>
      <w:pPr>
        <w:ind w:left="1980"/>
        <w:spacing w:after="0"/>
        <w:tabs>
          <w:tab w:leader="none" w:pos="7960" w:val="left"/>
        </w:tabs>
        <w:rPr>
          <w:sz w:val="20"/>
          <w:szCs w:val="20"/>
          <w:color w:val="auto"/>
        </w:rPr>
      </w:pPr>
      <w:r>
        <w:rPr>
          <w:rFonts w:ascii="Times New Roman" w:cs="Times New Roman" w:eastAsia="Times New Roman" w:hAnsi="Times New Roman"/>
          <w:sz w:val="18"/>
          <w:szCs w:val="18"/>
          <w:b w:val="1"/>
          <w:bCs w:val="1"/>
          <w:color w:val="auto"/>
        </w:rPr>
        <w:t>Goldman Sachs &amp; Co. LLC</w:t>
      </w:r>
      <w:r>
        <w:rPr>
          <w:sz w:val="20"/>
          <w:szCs w:val="20"/>
          <w:color w:val="auto"/>
        </w:rPr>
        <w:tab/>
      </w:r>
      <w:r>
        <w:rPr>
          <w:rFonts w:ascii="Times New Roman" w:cs="Times New Roman" w:eastAsia="Times New Roman" w:hAnsi="Times New Roman"/>
          <w:sz w:val="18"/>
          <w:szCs w:val="18"/>
          <w:b w:val="1"/>
          <w:bCs w:val="1"/>
          <w:color w:val="auto"/>
        </w:rPr>
        <w:t>Morgan Stanley</w:t>
      </w:r>
    </w:p>
    <w:p>
      <w:pPr>
        <w:sectPr>
          <w:pgSz w:w="11900" w:h="16838" w:orient="portrait"/>
          <w:cols w:equalWidth="0" w:num="1">
            <w:col w:w="11140"/>
          </w:cols>
          <w:pgMar w:left="320" w:top="225" w:right="439" w:bottom="1440" w:gutter="0" w:footer="0" w:header="0"/>
        </w:sectPr>
      </w:pPr>
    </w:p>
    <w:p>
      <w:pPr>
        <w:spacing w:after="0" w:line="124" w:lineRule="exact"/>
        <w:rPr>
          <w:sz w:val="24"/>
          <w:szCs w:val="24"/>
          <w:color w:val="auto"/>
        </w:rPr>
      </w:pPr>
    </w:p>
    <w:p>
      <w:pPr>
        <w:jc w:val="center"/>
        <w:ind w:right="-119"/>
        <w:spacing w:after="0"/>
        <w:tabs>
          <w:tab w:leader="none" w:pos="160" w:val="left"/>
        </w:tabs>
        <w:rPr>
          <w:sz w:val="20"/>
          <w:szCs w:val="20"/>
          <w:color w:val="auto"/>
        </w:rPr>
      </w:pPr>
      <w:r>
        <w:rPr>
          <w:rFonts w:ascii="Times New Roman" w:cs="Times New Roman" w:eastAsia="Times New Roman" w:hAnsi="Times New Roman"/>
          <w:sz w:val="16"/>
          <w:szCs w:val="16"/>
          <w:b w:val="1"/>
          <w:bCs w:val="1"/>
          <w:color w:val="auto"/>
        </w:rPr>
        <w:t xml:space="preserve">The date of this prospectus supplement is           </w:t>
      </w:r>
      <w:r>
        <w:rPr>
          <w:sz w:val="20"/>
          <w:szCs w:val="20"/>
          <w:color w:val="auto"/>
        </w:rPr>
        <w:tab/>
      </w:r>
      <w:r>
        <w:rPr>
          <w:rFonts w:ascii="Times New Roman" w:cs="Times New Roman" w:eastAsia="Times New Roman" w:hAnsi="Times New Roman"/>
          <w:sz w:val="15"/>
          <w:szCs w:val="15"/>
          <w:b w:val="1"/>
          <w:bCs w:val="1"/>
          <w:color w:val="auto"/>
        </w:rPr>
        <w:t>, 2024.</w:t>
      </w:r>
    </w:p>
    <w:p>
      <w:pPr>
        <w:sectPr>
          <w:pgSz w:w="11900" w:h="16838" w:orient="portrait"/>
          <w:cols w:equalWidth="0" w:num="1">
            <w:col w:w="11140"/>
          </w:cols>
          <w:pgMar w:left="32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40" w:type="dxa"/>
            <w:vAlign w:val="bottom"/>
            <w:gridSpan w:val="4"/>
          </w:tcPr>
          <w:p>
            <w:pPr>
              <w:jc w:val="center"/>
              <w:ind w:right="45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453"/>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45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08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4080" w:type="dxa"/>
            <w:vAlign w:val="bottom"/>
            <w:gridSpan w:val="18"/>
            <w:vMerge w:val="continue"/>
          </w:tcPr>
          <w:p>
            <w:pPr>
              <w:spacing w:after="0"/>
              <w:rPr>
                <w:sz w:val="14"/>
                <w:szCs w:val="14"/>
                <w:color w:val="auto"/>
              </w:rPr>
            </w:pPr>
          </w:p>
        </w:tc>
        <w:tc>
          <w:tcPr>
            <w:tcW w:w="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iv</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122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24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660" w:type="dxa"/>
            <w:vAlign w:val="bottom"/>
            <w:gridSpan w:val="5"/>
          </w:tcPr>
          <w:p>
            <w:pPr>
              <w:spacing w:after="0"/>
              <w:rPr>
                <w:sz w:val="17"/>
                <w:szCs w:val="17"/>
                <w:color w:val="auto"/>
              </w:rPr>
            </w:pP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2320" w:type="dxa"/>
            <w:vAlign w:val="bottom"/>
            <w:gridSpan w:val="7"/>
          </w:tcPr>
          <w:p>
            <w:pPr>
              <w:spacing w:after="0"/>
              <w:rPr>
                <w:sz w:val="17"/>
                <w:szCs w:val="17"/>
                <w:color w:val="auto"/>
              </w:rPr>
            </w:pP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4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Consequences</w:t>
            </w: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196"/>
        </w:trPr>
        <w:tc>
          <w:tcPr>
            <w:tcW w:w="352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56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S-31</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080" w:type="dxa"/>
            <w:vAlign w:val="bottom"/>
            <w:gridSpan w:val="14"/>
          </w:tcPr>
          <w:p>
            <w:pPr>
              <w:spacing w:after="0"/>
              <w:rPr>
                <w:sz w:val="17"/>
                <w:szCs w:val="17"/>
                <w:color w:val="auto"/>
              </w:rPr>
            </w:pP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S-31</w:t>
            </w:r>
          </w:p>
        </w:tc>
        <w:tc>
          <w:tcPr>
            <w:tcW w:w="0" w:type="dxa"/>
            <w:vAlign w:val="bottom"/>
          </w:tcPr>
          <w:p>
            <w:pPr>
              <w:spacing w:after="0"/>
              <w:rPr>
                <w:sz w:val="1"/>
                <w:szCs w:val="1"/>
                <w:color w:val="auto"/>
              </w:rPr>
            </w:pPr>
          </w:p>
        </w:tc>
      </w:tr>
      <w:tr>
        <w:trPr>
          <w:trHeight w:val="453"/>
        </w:trPr>
        <w:tc>
          <w:tcPr>
            <w:tcW w:w="5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40" w:type="dxa"/>
            <w:vAlign w:val="bottom"/>
            <w:gridSpan w:val="4"/>
          </w:tcPr>
          <w:p>
            <w:pPr>
              <w:jc w:val="center"/>
              <w:ind w:right="45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0" w:type="dxa"/>
            <w:vAlign w:val="bottom"/>
          </w:tcPr>
          <w:p>
            <w:pPr>
              <w:spacing w:after="0"/>
              <w:rPr>
                <w:sz w:val="1"/>
                <w:szCs w:val="1"/>
                <w:color w:val="auto"/>
              </w:rPr>
            </w:pPr>
          </w:p>
        </w:tc>
      </w:tr>
      <w:tr>
        <w:trPr>
          <w:trHeight w:val="418"/>
        </w:trPr>
        <w:tc>
          <w:tcPr>
            <w:tcW w:w="16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440" w:type="dxa"/>
            <w:vAlign w:val="bottom"/>
            <w:gridSpan w:val="8"/>
          </w:tcPr>
          <w:p>
            <w:pPr>
              <w:spacing w:after="0"/>
              <w:rPr>
                <w:sz w:val="24"/>
                <w:szCs w:val="24"/>
                <w:color w:val="auto"/>
              </w:rPr>
            </w:pPr>
          </w:p>
        </w:tc>
        <w:tc>
          <w:tcPr>
            <w:tcW w:w="69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The Companies</w:t>
            </w:r>
          </w:p>
        </w:tc>
        <w:tc>
          <w:tcPr>
            <w:tcW w:w="2920" w:type="dxa"/>
            <w:vAlign w:val="bottom"/>
            <w:gridSpan w:val="13"/>
          </w:tcPr>
          <w:p>
            <w:pPr>
              <w:spacing w:after="0"/>
              <w:rPr>
                <w:sz w:val="17"/>
                <w:szCs w:val="17"/>
                <w:color w:val="auto"/>
              </w:rPr>
            </w:pP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4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Caution Concerning Forward-Looking Statements</w:t>
            </w: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60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480" w:type="dxa"/>
            <w:vAlign w:val="bottom"/>
          </w:tcPr>
          <w:p>
            <w:pPr>
              <w:spacing w:after="0"/>
              <w:rPr>
                <w:sz w:val="17"/>
                <w:szCs w:val="17"/>
                <w:color w:val="auto"/>
              </w:rPr>
            </w:pP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2900" w:type="dxa"/>
            <w:vAlign w:val="bottom"/>
            <w:gridSpan w:val="12"/>
          </w:tcPr>
          <w:p>
            <w:pPr>
              <w:spacing w:after="0"/>
              <w:rPr>
                <w:sz w:val="17"/>
                <w:szCs w:val="17"/>
                <w:color w:val="auto"/>
              </w:rPr>
            </w:pP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 and Guarantees</w:t>
            </w:r>
          </w:p>
        </w:tc>
        <w:tc>
          <w:tcPr>
            <w:tcW w:w="740" w:type="dxa"/>
            <w:vAlign w:val="bottom"/>
            <w:gridSpan w:val="3"/>
          </w:tcPr>
          <w:p>
            <w:pPr>
              <w:spacing w:after="0"/>
              <w:rPr>
                <w:sz w:val="17"/>
                <w:szCs w:val="17"/>
                <w:color w:val="auto"/>
              </w:rPr>
            </w:pP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4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Global Securities</w:t>
            </w: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040" w:type="dxa"/>
            <w:vAlign w:val="bottom"/>
            <w:gridSpan w:val="6"/>
          </w:tcPr>
          <w:p>
            <w:pPr>
              <w:spacing w:after="0"/>
              <w:rPr>
                <w:sz w:val="17"/>
                <w:szCs w:val="17"/>
                <w:color w:val="auto"/>
              </w:rPr>
            </w:pP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660" w:type="dxa"/>
            <w:vAlign w:val="bottom"/>
            <w:gridSpan w:val="10"/>
          </w:tcPr>
          <w:p>
            <w:pPr>
              <w:spacing w:after="0"/>
              <w:rPr>
                <w:sz w:val="17"/>
                <w:szCs w:val="17"/>
                <w:color w:val="auto"/>
              </w:rPr>
            </w:pP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080" w:type="dxa"/>
            <w:vAlign w:val="bottom"/>
            <w:gridSpan w:val="14"/>
          </w:tcPr>
          <w:p>
            <w:pPr>
              <w:spacing w:after="0"/>
              <w:rPr>
                <w:sz w:val="17"/>
                <w:szCs w:val="17"/>
                <w:color w:val="auto"/>
              </w:rPr>
            </w:pP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580" w:type="dxa"/>
            <w:vAlign w:val="bottom"/>
            <w:gridSpan w:val="9"/>
            <w:shd w:val="clear" w:color="auto" w:fill="0000EE"/>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have not, and the underwriters have not, authorized anyone to provide any information other than that contained or incorporated by reference in this prospectus supplement, the accompanying prospectus or any free writing prospectus prepared by or on behalf of us or to which we have referred you. We and the underwriters take no responsibility for, and can provide no assurance as to the reliability of, any other information that others may give you. If information in this prospectus supplement is inconsistent with the accompanying prospectus, you should rely on this prospectus supplement.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notes are being offered for sale only in jurisdictions where it is lawful to make such offers. The distribution of this prospectus supplement and the accompanying prospectus and the offering of the notes in certain jurisdictions may be restricted by law. Persons outside the United States who receive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authorized or in which the person making such offer or solicitation is not qualified to do so or to any person to whom it is unlawful to make such offer or solicitation. See “Underwriting.”</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refer to Comcast Corporation in this prospectus supplement as “Comcast,” and Comcast and its consolidated subsidiaries as “we,” “us,” “our” or comparable terms. We refer to Comcast Cable Communications, LLC and its consolidated subsidiaries as “Comcast Cable,” NBCUniversal Media, LLC and its consolidated subsidiaries as “NBCUniversal,” and both of them collectively as the “guarantors.” References in this prospectus supplement to “$,” “dollars,” “USD” or “U.S. dollars” are to the lawful currency of the United States of America; references to “€” or “euro” are to the single currency introduced at the third stage of the European Economic and Monetary Union pursuant to the Treaty establishing the European Community, as amended; and references to “£,” “GBP” or “sterling” are to the lawful currency of the United Kingdom.</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ISSUE OF THE EURO NOTES, BARCLAYS BANK PLC, IN ITS ROLE AS STABILIZATION MANAGER (INCLUDING ANY PERSONS ACTING ON ITS BEHALF, THE “EURO STABILIZATION MANAGER”) MAY OVER-ALLOT THE EURO NOTES OR EFFECT TRANSACTIONS WITH A VIEW TO SUPPORTING THE MARKET PRICE OF THE EURO NOTES AT A LEVEL HIGHER THAN THAT WHICH MIGHT OTHERWISE PREVAIL. HOWEVER, STABILIZATION MAY NOT NECESSARILY OCCUR. ANY STABILIZATION ACTION MAY BEGIN ON OR AFTER THE DATE ON WHICH ADEQUATE PUBLIC DISCLOSURE OF THE TERMS OF THE OFFER OF THE EURO NOTES IS MADE AND, IF BEGUN, MAY CEASE AT ANY TIME, BUT IT MUST END NO LATER THAN THE EARLIER OF 30 DAYS AFTER THE ISSUE DATE OF THE EURO NOTES AND 60 DAYS AFTER THE DATE OF THE ALLOTMENT OF THE EURO NOTES. ANY STABILIZATION ACTION OR OVER-ALLOTMENT MUST BE CONDUCTED BY THE EURO STABILIZATION MANAGER IN ACCORDANCE WITH ALL APPLICABLE LAWS AND RULES.</w:t>
      </w:r>
    </w:p>
    <w:p>
      <w:pPr>
        <w:spacing w:after="0" w:line="18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ISSUE OF THE STERLING NOTES, BNP PARIBAS, IN ITS ROLE AS STABILIZATION MANAGER (INCLUDING ANY PERSONS ACTING ON ITS BEHALF, THE “STERLING STABILIZATION MANAGER”) MAY OVER-ALLOT THE STERLING NOTES OR EFFECT TRANSACTIONS WITH A VIEW TO SUPPORTING THE MARKET PRICE OF THE STERLING NOTES AT A LEVEL HIGHER THAN THAT WHICH MIGHT OTHERWISE PREVAIL. HOWEVER, STABILIZATION MAY NOT NECESSARILY OCCUR. ANY STABILIZATION ACTION MAY BEGIN ON OR AFTER THE DATE ON WHICH ADEQUATE PUBLIC DISCLOSURE OF THE TERMS OF THE OFFER OF THE STERLING NOTES IS MADE AND, IF BEGUN, MAY CEASE AT ANY TIME, BUT IT MUST END NO LATER THAN THE EARLIER OF 30 DAYS AFTER THE ISSUE DATE OF THE STERLING NOTES AND 60 DAYS AFTER THE DATE OF THE ALLOTMENT OF THE STERLING NOTES. ANY STABILIZATION ACTION OR OVER-ALLOTMENT MUST BE CONDUCTED BY THE STERLING STABILIZATION MANAGER IN ACCORDANCE WITH ALL APPLICABLE LAWS AND RULES.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 (“EEA”)</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9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any member state of the EEA will be made pursuant to an exemption under the Prospectus Regulation from the requirement to publish a prospectus for offers of notes. Accordingly, any person making or intending to make an offer in a member state of the EEA of securities which are the subject of the offering contemplated in this prospectus supplement may only do so in circumstances in which no obligation arises for the issuer or any underwriter to publish a</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prospectus pursuant to Article 3 of the Prospectus Regulation, in each case, in relation to such offer. This prospectus supplement is not a prospectus for the purposes of the Prospectus Regulation.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MIFID II product governance/Professional investors and Eligible Counter Parties (“ECPs”) only target market</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Solely for the purposes of each manufacturer’s product approval process, the target market assessment in respect of the notes has led to the conclusion that: (i) the target market for the notes is eligible counterparties and professional clients only, each as defined in Directive 2014/65/EU (as amended, “MiFID II”); and (ii) all channels for distribution of the notes to eligible counterparties and professional clients are appropriate. Any person subsequently offering, selling or recommending the notes (an “EU distributor”) should take into consideration the manufacturers’ target market assessment; however, an EU distributor subject to MiFID II is responsible for undertaking its own target market assessment in respect of the notes (by either adopting or refining the manufacturers’ target market assessment) and determining appropriate distribution channels.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 (“UK”)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UK. For these purposes, a retail investor means a person who is one (or more) of: (i) a retail client, as defined in point (8) of Article 2 of Regulation (EU) No 2017/565 as it forms part of domestic law by virtue of the European Union (Withdrawal) Act 2018 (“EUWA”); (ii) a customer within the meaning of the provisions of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(the “UK Prospectus Regulation”).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94"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This prospectus supplement has been prepared on the basis that any offer of notes in the United Kingdom will be made pursuant to an exemption under the UK Prospectus Regulation from the requirement to publish a prospectus for offers of notes. Accordingly, any person making or intending to make an offer in the United Kingdom of securities which are the subject of the offering contemplated in this prospectus supplement may only do so in circumstances in which no obligation arises for the issuer or any underwriter to publish a prospectus pursuant to Article 3 of the UK Prospectus Regulation, in each case, in relation to such offer. This prospectus supplement is not a prospectus for the purposes of the UK Prospectus Regulation.</w:t>
      </w:r>
    </w:p>
    <w:p>
      <w:pPr>
        <w:spacing w:after="0" w:line="2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UK MIFIR product governance / Professional investors and ECPs only target market</w:t>
      </w:r>
    </w:p>
    <w:p>
      <w:pPr>
        <w:spacing w:after="0" w:line="121" w:lineRule="exact"/>
        <w:rPr>
          <w:sz w:val="20"/>
          <w:szCs w:val="20"/>
          <w:color w:val="auto"/>
        </w:rPr>
      </w:pPr>
    </w:p>
    <w:p>
      <w:pPr>
        <w:ind w:left="120" w:right="260" w:firstLine="440"/>
        <w:spacing w:after="0" w:line="254" w:lineRule="auto"/>
        <w:rPr>
          <w:sz w:val="20"/>
          <w:szCs w:val="20"/>
          <w:color w:val="auto"/>
        </w:rPr>
      </w:pPr>
      <w:r>
        <w:rPr>
          <w:rFonts w:ascii="Times New Roman" w:cs="Times New Roman" w:eastAsia="Times New Roman" w:hAnsi="Times New Roman"/>
          <w:sz w:val="18"/>
          <w:szCs w:val="18"/>
          <w:color w:val="auto"/>
        </w:rPr>
        <w:t>Solely for the purposes of each manufacturer’s product approval process, the target market assessment in respect of the notes has led to the conclusion that: (i) the target market for the notes is only eligible counterparties, as defined in the FCA Handbook Conduct of Business Sourcebook (“COBS”), and professional clients, as defined in Regulation (EU) No 600/2014 as it forms part of domestic law by virtue of the European Union (Withdrawal) Act 2018 (“UK MiFIR”); and (ii) all channels for distribution of the notes to eligible counterparties and professional clients are appropriate. Any person subsequently offering, selling or recommending the notes (a “UK distributor”) should take into consideration the manufacturers’ target market assessment; however, a UK distributor subject to the FCA Handbook Product Intervention and Product Governance Sourcebook (the “UK MiFIR Product Governance Rules”) is responsible for undertaking its own target market assessment in respect of the notes (by either adopting or refining the manufacturers’ target market assessment) and determining appropriate distribution channels.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file annual reports on Form 10-K, quarterly reports on Form 10-Q, current reports on Form 8-K, proxy statements and information statements and amendments to reports filed or furnished pursuant to the Securities Exchange Act of 1934, as amended (the “Exchange Act”), with the SEC. The SEC maintains an internet website at www.sec.gov that contains periodic and current reports, proxy and information statements, and other information regarding registrants that file electronically with the SEC. 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supplement incorporates by reference the documents of Comcast set forth below that we have previously filed with the SEC:</w:t>
      </w:r>
    </w:p>
    <w:p>
      <w:pPr>
        <w:spacing w:after="0" w:line="13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Annual Report on </w:t>
      </w:r>
      <w:hyperlink r:id="rId1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on January 31, 2024.</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Quarterly Report on </w:t>
      </w:r>
      <w:hyperlink r:id="rId1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quarter ended March 31, 2024, filed on April 25, 2024 and Comcast’s Quarterly Report on </w:t>
      </w:r>
      <w:hyperlink r:id="rId17">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June 30, 2024, filed on July 23, 2024.</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Current Reports on Form 8-K, filed on </w:t>
      </w:r>
      <w:hyperlink r:id="rId18">
        <w:r>
          <w:rPr>
            <w:rFonts w:ascii="Times New Roman" w:cs="Times New Roman" w:eastAsia="Times New Roman" w:hAnsi="Times New Roman"/>
            <w:sz w:val="18"/>
            <w:szCs w:val="18"/>
            <w:u w:val="single" w:color="auto"/>
            <w:color w:val="0000EE"/>
          </w:rPr>
          <w:t>April 15, 2024</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May 17, 2024</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May 22,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1">
        <w:r>
          <w:rPr>
            <w:rFonts w:ascii="Times New Roman" w:cs="Times New Roman" w:eastAsia="Times New Roman" w:hAnsi="Times New Roman"/>
            <w:sz w:val="18"/>
            <w:szCs w:val="18"/>
            <w:u w:val="single" w:color="auto"/>
            <w:color w:val="0000EE"/>
          </w:rPr>
          <w:t>June 12,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sections of Comcast’s </w:t>
      </w:r>
      <w:hyperlink r:id="rId22">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on Schedule 14A for the 2024 annual meeting of shareholders incorporated by reference in Comcast’s Annual Report on </w:t>
      </w:r>
      <w:hyperlink r:id="rId1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w:t>
      </w:r>
    </w:p>
    <w:p>
      <w:pPr>
        <w:spacing w:after="0" w:line="162" w:lineRule="exact"/>
        <w:rPr>
          <w:rFonts w:ascii="Times New Roman" w:cs="Times New Roman" w:eastAsia="Times New Roman" w:hAnsi="Times New Roman"/>
          <w:sz w:val="18"/>
          <w:szCs w:val="18"/>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into this prospectus supplement and the accompanying prospectus additional documents that we may file with the SEC under Sections 13(a), 13(c), 14 or 15(d) of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20"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55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We are a global media and technology company that reaches customers, viewers and guests worldwide through the connectivity and platforms services we provide and the content and experiences we create. We deliver broadband, wireless, video and voice services primarily under the Xfinity, Comcast Business and Sky brands; produce, distribute and stream leading entertainment, sports and news through brands including NBC, Telemundo, Universal, Peacock and Sky; and own and operate Universal theme parks.</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operate two primary businesses:</w:t>
      </w:r>
    </w:p>
    <w:p>
      <w:pPr>
        <w:spacing w:after="0" w:line="127" w:lineRule="exact"/>
        <w:rPr>
          <w:sz w:val="20"/>
          <w:szCs w:val="20"/>
          <w:color w:val="auto"/>
        </w:rPr>
      </w:pPr>
    </w:p>
    <w:p>
      <w:pPr>
        <w:ind w:left="1240" w:right="500" w:hanging="415"/>
        <w:spacing w:after="0" w:line="26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Connectivity &amp; Platforms</w:t>
      </w:r>
      <w:r>
        <w:rPr>
          <w:rFonts w:ascii="Times New Roman" w:cs="Times New Roman" w:eastAsia="Times New Roman" w:hAnsi="Times New Roman"/>
          <w:sz w:val="18"/>
          <w:szCs w:val="18"/>
          <w:color w:val="auto"/>
        </w:rPr>
        <w:t>: Contains our broadband, wireless, video and wireline voice businesses in the United States,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Kingdom and Italy (collectively, the “Connectivity &amp; Platforms markets”). Also includes the operations of our Sky-branded entertainment television networks in the United Kingdom and Italy. Our Connectivity &amp; Platforms business is reported in two segments:</w:t>
      </w:r>
    </w:p>
    <w:p>
      <w:pPr>
        <w:spacing w:after="0" w:line="81" w:lineRule="exact"/>
        <w:rPr>
          <w:rFonts w:ascii="Times New Roman" w:cs="Times New Roman" w:eastAsia="Times New Roman" w:hAnsi="Times New Roman"/>
          <w:sz w:val="18"/>
          <w:szCs w:val="18"/>
          <w:color w:val="auto"/>
        </w:rPr>
      </w:pPr>
    </w:p>
    <w:p>
      <w:pPr>
        <w:ind w:left="1640" w:right="380" w:hanging="289"/>
        <w:spacing w:after="0" w:line="286" w:lineRule="auto"/>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Residential Connectivity &amp; Platforms Segment</w:t>
      </w:r>
      <w:r>
        <w:rPr>
          <w:rFonts w:ascii="Times New Roman" w:cs="Times New Roman" w:eastAsia="Times New Roman" w:hAnsi="Times New Roman"/>
          <w:sz w:val="18"/>
          <w:szCs w:val="18"/>
          <w:color w:val="auto"/>
        </w:rPr>
        <w:t>: Includes our residential broadband and wireless services, residential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video services, Sky-branded entertainment television networks and advertising.</w:t>
      </w:r>
    </w:p>
    <w:p>
      <w:pPr>
        <w:spacing w:after="0" w:line="60" w:lineRule="exact"/>
        <w:rPr>
          <w:rFonts w:ascii="Times New Roman" w:cs="Times New Roman" w:eastAsia="Times New Roman" w:hAnsi="Times New Roman"/>
          <w:sz w:val="18"/>
          <w:szCs w:val="18"/>
          <w:color w:val="auto"/>
        </w:rPr>
      </w:pPr>
    </w:p>
    <w:p>
      <w:pPr>
        <w:ind w:left="1640" w:right="60" w:hanging="289"/>
        <w:spacing w:after="0" w:line="268" w:lineRule="auto"/>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Business Services Connectivity Segment</w:t>
      </w:r>
      <w:r>
        <w:rPr>
          <w:rFonts w:ascii="Times New Roman" w:cs="Times New Roman" w:eastAsia="Times New Roman" w:hAnsi="Times New Roman"/>
          <w:sz w:val="18"/>
          <w:szCs w:val="18"/>
          <w:color w:val="auto"/>
        </w:rPr>
        <w:t>: Includes our service offerings for small business locations in the United States,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include broadband, wireline voice and wireless services, as well as our service offerings for medium-sized customers and larger enterprises.</w:t>
      </w:r>
    </w:p>
    <w:p>
      <w:pPr>
        <w:spacing w:after="0" w:line="76" w:lineRule="exact"/>
        <w:rPr>
          <w:rFonts w:ascii="Times New Roman" w:cs="Times New Roman" w:eastAsia="Times New Roman" w:hAnsi="Times New Roman"/>
          <w:sz w:val="18"/>
          <w:szCs w:val="18"/>
          <w:color w:val="auto"/>
        </w:rPr>
      </w:pPr>
    </w:p>
    <w:p>
      <w:pPr>
        <w:ind w:left="1240" w:right="280" w:hanging="415"/>
        <w:spacing w:after="0" w:line="268"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Content &amp; Experiences</w:t>
      </w:r>
      <w:r>
        <w:rPr>
          <w:rFonts w:ascii="Times New Roman" w:cs="Times New Roman" w:eastAsia="Times New Roman" w:hAnsi="Times New Roman"/>
          <w:sz w:val="18"/>
          <w:szCs w:val="18"/>
          <w:color w:val="auto"/>
        </w:rPr>
        <w:t>: Contains our media and entertainment businesses that produce and distribute entertainment, sports, news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content for global audiences and that own and operate theme parks and attractions in the United States and Asia. Our Content &amp; Experiences business is reported in three segments:</w:t>
      </w:r>
    </w:p>
    <w:p>
      <w:pPr>
        <w:spacing w:after="0" w:line="76" w:lineRule="exact"/>
        <w:rPr>
          <w:rFonts w:ascii="Times New Roman" w:cs="Times New Roman" w:eastAsia="Times New Roman" w:hAnsi="Times New Roman"/>
          <w:sz w:val="18"/>
          <w:szCs w:val="18"/>
          <w:color w:val="auto"/>
        </w:rPr>
      </w:pPr>
    </w:p>
    <w:p>
      <w:pPr>
        <w:ind w:left="1640" w:right="380" w:hanging="289"/>
        <w:spacing w:after="0" w:line="268" w:lineRule="auto"/>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Media Segment</w:t>
      </w:r>
      <w:r>
        <w:rPr>
          <w:rFonts w:ascii="Times New Roman" w:cs="Times New Roman" w:eastAsia="Times New Roman" w:hAnsi="Times New Roman"/>
          <w:sz w:val="18"/>
          <w:szCs w:val="18"/>
          <w:color w:val="auto"/>
        </w:rPr>
        <w:t>: Includes primarily NBCUniversal’s national and regional cable networks, NBC and Telemundo broadcast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networks and owned local broadcast television stations, Peacock direct-to-consumer streaming service and international television networks, including Sky Sports networks in the United Kingdom and Italy.</w:t>
      </w:r>
    </w:p>
    <w:p>
      <w:pPr>
        <w:spacing w:after="0" w:line="76" w:lineRule="exact"/>
        <w:rPr>
          <w:rFonts w:ascii="Times New Roman" w:cs="Times New Roman" w:eastAsia="Times New Roman" w:hAnsi="Times New Roman"/>
          <w:sz w:val="18"/>
          <w:szCs w:val="18"/>
          <w:color w:val="auto"/>
        </w:rPr>
      </w:pPr>
    </w:p>
    <w:p>
      <w:pPr>
        <w:ind w:left="1640" w:right="660" w:hanging="289"/>
        <w:spacing w:after="0" w:line="286" w:lineRule="auto"/>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Studios Segment</w:t>
      </w:r>
      <w:r>
        <w:rPr>
          <w:rFonts w:ascii="Times New Roman" w:cs="Times New Roman" w:eastAsia="Times New Roman" w:hAnsi="Times New Roman"/>
          <w:sz w:val="18"/>
          <w:szCs w:val="18"/>
          <w:color w:val="auto"/>
        </w:rPr>
        <w:t>: Includes primarily our NBCUniversal and Sky film and television studio production and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w:t>
      </w:r>
    </w:p>
    <w:p>
      <w:pPr>
        <w:spacing w:after="0" w:line="60" w:lineRule="exact"/>
        <w:rPr>
          <w:rFonts w:ascii="Times New Roman" w:cs="Times New Roman" w:eastAsia="Times New Roman" w:hAnsi="Times New Roman"/>
          <w:sz w:val="18"/>
          <w:szCs w:val="18"/>
          <w:color w:val="auto"/>
        </w:rPr>
      </w:pPr>
    </w:p>
    <w:p>
      <w:pPr>
        <w:ind w:left="1640" w:right="200" w:hanging="289"/>
        <w:spacing w:after="0" w:line="286" w:lineRule="auto"/>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Theme Parks Segment</w:t>
      </w:r>
      <w:r>
        <w:rPr>
          <w:rFonts w:ascii="Times New Roman" w:cs="Times New Roman" w:eastAsia="Times New Roman" w:hAnsi="Times New Roman"/>
          <w:sz w:val="18"/>
          <w:szCs w:val="18"/>
          <w:color w:val="auto"/>
        </w:rPr>
        <w:t>: Includes primarily the operations of the following Universal theme parks: Universal Orlando Resort,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Universal Studios Hollywood, Universal Studios Japan and Universal Beijing Resort.</w:t>
      </w:r>
    </w:p>
    <w:p>
      <w:pPr>
        <w:spacing w:after="0" w:line="159" w:lineRule="exact"/>
        <w:rPr>
          <w:sz w:val="20"/>
          <w:szCs w:val="20"/>
          <w:color w:val="auto"/>
        </w:rPr>
      </w:pPr>
    </w:p>
    <w:p>
      <w:pPr>
        <w:ind w:left="300" w:right="280" w:firstLine="426"/>
        <w:spacing w:after="0" w:line="266" w:lineRule="auto"/>
        <w:rPr>
          <w:sz w:val="20"/>
          <w:szCs w:val="20"/>
          <w:color w:val="auto"/>
        </w:rPr>
      </w:pPr>
      <w:r>
        <w:rPr>
          <w:rFonts w:ascii="Times New Roman" w:cs="Times New Roman" w:eastAsia="Times New Roman" w:hAnsi="Times New Roman"/>
          <w:sz w:val="18"/>
          <w:szCs w:val="18"/>
          <w:color w:val="auto"/>
        </w:rPr>
        <w:t>Our other business interests consist primarily of our Sky-branded video services and television networks in Germany, Comcast Spectacor, which owns the Philadelphia Flyers and the Wells Fargo Center arena in Philadelphia, Pennsylvania, and Xumo, our consolidated streaming platform joint venture with Charter Communications.</w:t>
      </w:r>
    </w:p>
    <w:p>
      <w:pPr>
        <w:spacing w:after="0" w:line="176" w:lineRule="exact"/>
        <w:rPr>
          <w:sz w:val="20"/>
          <w:szCs w:val="20"/>
          <w:color w:val="auto"/>
        </w:rPr>
      </w:pPr>
    </w:p>
    <w:p>
      <w:pPr>
        <w:jc w:val="both"/>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this prospectus supplement. For instructions on how to find copies of these and our other filings incorporated by reference in this prospectus supplement, see “Available Information” in this prospectus supplement.</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721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6998970" cy="27216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Comcast’s principal executive offices are located at One Comcast Center, Philadelphia, Pennsylvania 19103-2838. Comcast’s telephone number is (215) 286-1700. The address of our website is www.comcastcorporation.com. The information on, or accessible through, our website is not part of this prospectus supplement or the accompanying prospectus.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Guarantors</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Our obligations, including the payment of principal, premium, if any, and interest on the notes will be fully and unconditionally guaranteed by each of Comcast Cable and NBCUniversal. In this prospectus supplement, we refer to these guarantors as the guarantors and to these guarantees as the guarantees.</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w:t>
      </w:r>
    </w:p>
    <w:p>
      <w:pPr>
        <w:spacing w:after="0" w:line="131" w:lineRule="exact"/>
        <w:rPr>
          <w:sz w:val="20"/>
          <w:szCs w:val="20"/>
          <w:color w:val="auto"/>
        </w:rPr>
      </w:pPr>
    </w:p>
    <w:p>
      <w:pPr>
        <w:ind w:left="1240" w:right="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guarantor’s capital stock; or</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guarantor.</w:t>
      </w:r>
    </w:p>
    <w:p>
      <w:pPr>
        <w:spacing w:after="0" w:line="225" w:lineRule="exact"/>
        <w:rPr>
          <w:sz w:val="20"/>
          <w:szCs w:val="20"/>
          <w:color w:val="auto"/>
        </w:rPr>
      </w:pPr>
    </w:p>
    <w:p>
      <w:pPr>
        <w:ind w:left="300" w:right="400" w:firstLine="426"/>
        <w:spacing w:after="0" w:line="282" w:lineRule="auto"/>
        <w:rPr>
          <w:sz w:val="20"/>
          <w:szCs w:val="20"/>
          <w:color w:val="auto"/>
        </w:rPr>
      </w:pPr>
      <w:r>
        <w:rPr>
          <w:rFonts w:ascii="Times New Roman" w:cs="Times New Roman" w:eastAsia="Times New Roman" w:hAnsi="Times New Roman"/>
          <w:sz w:val="18"/>
          <w:szCs w:val="18"/>
          <w:color w:val="auto"/>
        </w:rPr>
        <w:t>Comcast Cable’s principal place of business is One Comcast Center, Philadelphia, Pennsylvania 19103-2838. NBCUniversal’s principal executive offices are located at 30 Rockefeller Plaza, New York, New York 10112-0015.</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44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6998970" cy="6244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59"/>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3160" w:type="dxa"/>
            <w:vAlign w:val="bottom"/>
            <w:gridSpan w:val="5"/>
          </w:tcPr>
          <w:p>
            <w:pPr>
              <w:ind w:left="1360"/>
              <w:spacing w:after="0"/>
              <w:rPr>
                <w:sz w:val="20"/>
                <w:szCs w:val="20"/>
                <w:color w:val="auto"/>
              </w:rPr>
            </w:pPr>
            <w:r>
              <w:rPr>
                <w:rFonts w:ascii="Times New Roman" w:cs="Times New Roman" w:eastAsia="Times New Roman" w:hAnsi="Times New Roman"/>
                <w:sz w:val="18"/>
                <w:szCs w:val="18"/>
                <w:color w:val="auto"/>
              </w:rPr>
              <w:t>Comcast Corporation.</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73"/>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Offered</w:t>
            </w:r>
          </w:p>
        </w:tc>
        <w:tc>
          <w:tcPr>
            <w:tcW w:w="15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2"/>
              </w:rPr>
              <w:t> </w:t>
            </w:r>
          </w:p>
        </w:tc>
        <w:tc>
          <w:tcPr>
            <w:tcW w:w="2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7"/>
              </w:rPr>
              <w:t>aggregate principal amount of  </w:t>
            </w: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euro notes due 20   .</w:t>
            </w:r>
          </w:p>
        </w:tc>
      </w:tr>
      <w:tr>
        <w:trPr>
          <w:trHeight w:val="473"/>
        </w:trPr>
        <w:tc>
          <w:tcPr>
            <w:tcW w:w="2680" w:type="dxa"/>
            <w:vAlign w:val="bottom"/>
          </w:tcPr>
          <w:p>
            <w:pPr>
              <w:spacing w:after="0"/>
              <w:rPr>
                <w:sz w:val="24"/>
                <w:szCs w:val="24"/>
                <w:color w:val="auto"/>
              </w:rPr>
            </w:pPr>
          </w:p>
        </w:tc>
        <w:tc>
          <w:tcPr>
            <w:tcW w:w="15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2"/>
              </w:rPr>
              <w:t> </w:t>
            </w:r>
          </w:p>
        </w:tc>
        <w:tc>
          <w:tcPr>
            <w:tcW w:w="2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7"/>
              </w:rPr>
              <w:t>aggregate principal amount of  </w:t>
            </w: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euro notes due 20   .</w:t>
            </w:r>
          </w:p>
        </w:tc>
      </w:tr>
      <w:tr>
        <w:trPr>
          <w:trHeight w:val="459"/>
        </w:trPr>
        <w:tc>
          <w:tcPr>
            <w:tcW w:w="2680" w:type="dxa"/>
            <w:vAlign w:val="bottom"/>
          </w:tcPr>
          <w:p>
            <w:pPr>
              <w:spacing w:after="0"/>
              <w:rPr>
                <w:sz w:val="24"/>
                <w:szCs w:val="24"/>
                <w:color w:val="auto"/>
              </w:rPr>
            </w:pPr>
          </w:p>
        </w:tc>
        <w:tc>
          <w:tcPr>
            <w:tcW w:w="2080" w:type="dxa"/>
            <w:vAlign w:val="bottom"/>
            <w:gridSpan w:val="4"/>
          </w:tcPr>
          <w:p>
            <w:pPr>
              <w:jc w:val="right"/>
              <w:ind w:right="4"/>
              <w:spacing w:after="0"/>
              <w:rPr>
                <w:sz w:val="20"/>
                <w:szCs w:val="20"/>
                <w:color w:val="auto"/>
              </w:rPr>
            </w:pPr>
            <w:r>
              <w:rPr>
                <w:rFonts w:ascii="Times New Roman" w:cs="Times New Roman" w:eastAsia="Times New Roman" w:hAnsi="Times New Roman"/>
                <w:sz w:val="18"/>
                <w:szCs w:val="18"/>
                <w:color w:val="auto"/>
              </w:rPr>
              <w:t xml:space="preserve">£          </w:t>
            </w:r>
          </w:p>
        </w:tc>
        <w:tc>
          <w:tcPr>
            <w:tcW w:w="2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7"/>
              </w:rPr>
              <w:t>aggregate principal amount of  </w:t>
            </w: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4"/>
              </w:rPr>
              <w:t>% sterling notes due 20   .</w:t>
            </w:r>
          </w:p>
        </w:tc>
      </w:tr>
      <w:tr>
        <w:trPr>
          <w:trHeight w:val="459"/>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Maturity</w:t>
            </w:r>
          </w:p>
        </w:tc>
        <w:tc>
          <w:tcPr>
            <w:tcW w:w="3160" w:type="dxa"/>
            <w:vAlign w:val="bottom"/>
            <w:gridSpan w:val="5"/>
          </w:tcPr>
          <w:p>
            <w:pPr>
              <w:ind w:left="1360"/>
              <w:spacing w:after="0"/>
              <w:rPr>
                <w:sz w:val="20"/>
                <w:szCs w:val="20"/>
                <w:color w:val="auto"/>
              </w:rPr>
            </w:pPr>
            <w:r>
              <w:rPr>
                <w:rFonts w:ascii="Times New Roman" w:cs="Times New Roman" w:eastAsia="Times New Roman" w:hAnsi="Times New Roman"/>
                <w:sz w:val="18"/>
                <w:szCs w:val="18"/>
                <w:color w:val="auto"/>
                <w:w w:val="99"/>
              </w:rPr>
              <w:t>The euro notes due 20 </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2"/>
              </w:rPr>
              <w:t>will mature on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20   .</w:t>
            </w:r>
          </w:p>
        </w:tc>
      </w:tr>
      <w:tr>
        <w:trPr>
          <w:trHeight w:val="473"/>
        </w:trPr>
        <w:tc>
          <w:tcPr>
            <w:tcW w:w="2680" w:type="dxa"/>
            <w:vAlign w:val="bottom"/>
          </w:tcPr>
          <w:p>
            <w:pPr>
              <w:spacing w:after="0"/>
              <w:rPr>
                <w:sz w:val="24"/>
                <w:szCs w:val="24"/>
                <w:color w:val="auto"/>
              </w:rPr>
            </w:pPr>
          </w:p>
        </w:tc>
        <w:tc>
          <w:tcPr>
            <w:tcW w:w="3160" w:type="dxa"/>
            <w:vAlign w:val="bottom"/>
            <w:gridSpan w:val="5"/>
          </w:tcPr>
          <w:p>
            <w:pPr>
              <w:ind w:left="1360"/>
              <w:spacing w:after="0"/>
              <w:rPr>
                <w:sz w:val="20"/>
                <w:szCs w:val="20"/>
                <w:color w:val="auto"/>
              </w:rPr>
            </w:pPr>
            <w:r>
              <w:rPr>
                <w:rFonts w:ascii="Times New Roman" w:cs="Times New Roman" w:eastAsia="Times New Roman" w:hAnsi="Times New Roman"/>
                <w:sz w:val="18"/>
                <w:szCs w:val="18"/>
                <w:color w:val="auto"/>
                <w:w w:val="99"/>
              </w:rPr>
              <w:t>The euro notes due 20 </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2"/>
              </w:rPr>
              <w:t>will mature on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20   .</w:t>
            </w:r>
          </w:p>
        </w:tc>
      </w:tr>
    </w:tbl>
    <w:p>
      <w:pPr>
        <w:spacing w:after="0" w:line="2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The sterling notes will mature on             , 20   .</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36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w w:val="96"/>
              </w:rPr>
              <w:t>Interest on the euro notes due 20 </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will accrue at the rate of  </w:t>
            </w:r>
          </w:p>
        </w:tc>
        <w:tc>
          <w:tcPr>
            <w:tcW w:w="2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per year, payable</w:t>
            </w:r>
          </w:p>
        </w:tc>
      </w:tr>
      <w:tr>
        <w:trPr>
          <w:trHeight w:val="234"/>
        </w:trPr>
        <w:tc>
          <w:tcPr>
            <w:tcW w:w="3000" w:type="dxa"/>
            <w:vAlign w:val="bottom"/>
          </w:tcPr>
          <w:p>
            <w:pPr>
              <w:spacing w:after="0"/>
              <w:rPr>
                <w:sz w:val="20"/>
                <w:szCs w:val="20"/>
                <w:color w:val="auto"/>
              </w:rPr>
            </w:pPr>
          </w:p>
        </w:tc>
        <w:tc>
          <w:tcPr>
            <w:tcW w:w="348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5"/>
              </w:rPr>
              <w:t>annually in cash in arrears on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5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         , beginning  </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    </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 2025.</w:t>
            </w:r>
          </w:p>
        </w:tc>
      </w:tr>
      <w:tr>
        <w:trPr>
          <w:trHeight w:val="441"/>
        </w:trPr>
        <w:tc>
          <w:tcPr>
            <w:tcW w:w="3000" w:type="dxa"/>
            <w:vAlign w:val="bottom"/>
          </w:tcPr>
          <w:p>
            <w:pPr>
              <w:spacing w:after="0"/>
              <w:rPr>
                <w:sz w:val="24"/>
                <w:szCs w:val="24"/>
                <w:color w:val="auto"/>
              </w:rPr>
            </w:pPr>
          </w:p>
        </w:tc>
        <w:tc>
          <w:tcPr>
            <w:tcW w:w="36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w w:val="96"/>
              </w:rPr>
              <w:t>Interest on the euro notes due 20 </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will accrue at the rate of  </w:t>
            </w:r>
          </w:p>
        </w:tc>
        <w:tc>
          <w:tcPr>
            <w:tcW w:w="2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per year, payable</w:t>
            </w:r>
          </w:p>
        </w:tc>
      </w:tr>
      <w:tr>
        <w:trPr>
          <w:trHeight w:val="234"/>
        </w:trPr>
        <w:tc>
          <w:tcPr>
            <w:tcW w:w="3000" w:type="dxa"/>
            <w:vAlign w:val="bottom"/>
          </w:tcPr>
          <w:p>
            <w:pPr>
              <w:spacing w:after="0"/>
              <w:rPr>
                <w:sz w:val="20"/>
                <w:szCs w:val="20"/>
                <w:color w:val="auto"/>
              </w:rPr>
            </w:pPr>
          </w:p>
        </w:tc>
        <w:tc>
          <w:tcPr>
            <w:tcW w:w="348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5"/>
              </w:rPr>
              <w:t>annually in cash in arrears on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      , beginning           </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2025.</w:t>
            </w:r>
          </w:p>
        </w:tc>
      </w:tr>
      <w:tr>
        <w:trPr>
          <w:trHeight w:val="441"/>
        </w:trPr>
        <w:tc>
          <w:tcPr>
            <w:tcW w:w="3000" w:type="dxa"/>
            <w:vAlign w:val="bottom"/>
          </w:tcPr>
          <w:p>
            <w:pPr>
              <w:spacing w:after="0"/>
              <w:rPr>
                <w:sz w:val="24"/>
                <w:szCs w:val="24"/>
                <w:color w:val="auto"/>
              </w:rPr>
            </w:pPr>
          </w:p>
        </w:tc>
        <w:tc>
          <w:tcPr>
            <w:tcW w:w="524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w w:val="98"/>
              </w:rPr>
              <w:t>Interest on the sterling notes will accrue at the rate of  </w:t>
            </w: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per year, payable annually in</w:t>
            </w:r>
          </w:p>
        </w:tc>
      </w:tr>
      <w:tr>
        <w:trPr>
          <w:trHeight w:val="234"/>
        </w:trPr>
        <w:tc>
          <w:tcPr>
            <w:tcW w:w="3000" w:type="dxa"/>
            <w:vAlign w:val="bottom"/>
          </w:tcPr>
          <w:p>
            <w:pPr>
              <w:spacing w:after="0"/>
              <w:rPr>
                <w:sz w:val="20"/>
                <w:szCs w:val="20"/>
                <w:color w:val="auto"/>
              </w:rPr>
            </w:pPr>
          </w:p>
        </w:tc>
        <w:tc>
          <w:tcPr>
            <w:tcW w:w="5640" w:type="dxa"/>
            <w:vAlign w:val="bottom"/>
            <w:gridSpan w:val="4"/>
          </w:tcPr>
          <w:p>
            <w:pPr>
              <w:ind w:left="1220"/>
              <w:spacing w:after="0"/>
              <w:rPr>
                <w:sz w:val="20"/>
                <w:szCs w:val="20"/>
                <w:color w:val="auto"/>
              </w:rPr>
            </w:pPr>
            <w:r>
              <w:rPr>
                <w:rFonts w:ascii="Times New Roman" w:cs="Times New Roman" w:eastAsia="Times New Roman" w:hAnsi="Times New Roman"/>
                <w:sz w:val="18"/>
                <w:szCs w:val="18"/>
                <w:color w:val="auto"/>
              </w:rPr>
              <w:t>cash in arrears on             , beginning             , 2025.</w:t>
            </w:r>
          </w:p>
        </w:tc>
        <w:tc>
          <w:tcPr>
            <w:tcW w:w="2380" w:type="dxa"/>
            <w:vAlign w:val="bottom"/>
          </w:tcPr>
          <w:p>
            <w:pPr>
              <w:spacing w:after="0"/>
              <w:rPr>
                <w:sz w:val="20"/>
                <w:szCs w:val="20"/>
                <w:color w:val="auto"/>
              </w:rPr>
            </w:pPr>
          </w:p>
        </w:tc>
      </w:tr>
      <w:tr>
        <w:trPr>
          <w:trHeight w:val="441"/>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Currency of Payments</w:t>
            </w:r>
          </w:p>
        </w:tc>
        <w:tc>
          <w:tcPr>
            <w:tcW w:w="802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All payments of principal of, and premium, if any, and interest on, the euro notes, including</w:t>
            </w:r>
          </w:p>
        </w:tc>
      </w:tr>
      <w:tr>
        <w:trPr>
          <w:trHeight w:val="216"/>
        </w:trPr>
        <w:tc>
          <w:tcPr>
            <w:tcW w:w="3000" w:type="dxa"/>
            <w:vAlign w:val="bottom"/>
          </w:tcPr>
          <w:p>
            <w:pPr>
              <w:spacing w:after="0"/>
              <w:rPr>
                <w:sz w:val="18"/>
                <w:szCs w:val="18"/>
                <w:color w:val="auto"/>
              </w:rPr>
            </w:pPr>
          </w:p>
        </w:tc>
        <w:tc>
          <w:tcPr>
            <w:tcW w:w="802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any payments made upon any redemption or repurchase of the euro notes, will be made in</w:t>
            </w:r>
          </w:p>
        </w:tc>
      </w:tr>
      <w:tr>
        <w:trPr>
          <w:trHeight w:val="216"/>
        </w:trPr>
        <w:tc>
          <w:tcPr>
            <w:tcW w:w="3000" w:type="dxa"/>
            <w:vAlign w:val="bottom"/>
          </w:tcPr>
          <w:p>
            <w:pPr>
              <w:spacing w:after="0"/>
              <w:rPr>
                <w:sz w:val="18"/>
                <w:szCs w:val="18"/>
                <w:color w:val="auto"/>
              </w:rPr>
            </w:pPr>
          </w:p>
        </w:tc>
        <w:tc>
          <w:tcPr>
            <w:tcW w:w="802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euro. All payments of principal of, and premium, if any, and interest on, the sterling notes,</w:t>
            </w:r>
          </w:p>
        </w:tc>
      </w:tr>
      <w:tr>
        <w:trPr>
          <w:trHeight w:val="216"/>
        </w:trPr>
        <w:tc>
          <w:tcPr>
            <w:tcW w:w="3000" w:type="dxa"/>
            <w:vAlign w:val="bottom"/>
          </w:tcPr>
          <w:p>
            <w:pPr>
              <w:spacing w:after="0"/>
              <w:rPr>
                <w:sz w:val="18"/>
                <w:szCs w:val="18"/>
                <w:color w:val="auto"/>
              </w:rPr>
            </w:pPr>
          </w:p>
        </w:tc>
        <w:tc>
          <w:tcPr>
            <w:tcW w:w="802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including any payments made upon any redemption or repurchase of the sterling notes, will</w:t>
            </w:r>
          </w:p>
        </w:tc>
      </w:tr>
      <w:tr>
        <w:trPr>
          <w:trHeight w:val="234"/>
        </w:trPr>
        <w:tc>
          <w:tcPr>
            <w:tcW w:w="3000" w:type="dxa"/>
            <w:vAlign w:val="bottom"/>
          </w:tcPr>
          <w:p>
            <w:pPr>
              <w:spacing w:after="0"/>
              <w:rPr>
                <w:sz w:val="20"/>
                <w:szCs w:val="20"/>
                <w:color w:val="auto"/>
              </w:rPr>
            </w:pPr>
          </w:p>
        </w:tc>
        <w:tc>
          <w:tcPr>
            <w:tcW w:w="34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be made in GBP.</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41"/>
        </w:trPr>
        <w:tc>
          <w:tcPr>
            <w:tcW w:w="3000" w:type="dxa"/>
            <w:vAlign w:val="bottom"/>
          </w:tcPr>
          <w:p>
            <w:pPr>
              <w:spacing w:after="0"/>
              <w:rPr>
                <w:sz w:val="24"/>
                <w:szCs w:val="24"/>
                <w:color w:val="auto"/>
              </w:rPr>
            </w:pPr>
          </w:p>
        </w:tc>
        <w:tc>
          <w:tcPr>
            <w:tcW w:w="802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If euro or GBP is unavailable to us due to the imposition of exchange controls or other</w:t>
            </w:r>
          </w:p>
        </w:tc>
      </w:tr>
      <w:tr>
        <w:trPr>
          <w:trHeight w:val="216"/>
        </w:trPr>
        <w:tc>
          <w:tcPr>
            <w:tcW w:w="3000" w:type="dxa"/>
            <w:vAlign w:val="bottom"/>
          </w:tcPr>
          <w:p>
            <w:pPr>
              <w:spacing w:after="0"/>
              <w:rPr>
                <w:sz w:val="18"/>
                <w:szCs w:val="18"/>
                <w:color w:val="auto"/>
              </w:rPr>
            </w:pPr>
          </w:p>
        </w:tc>
        <w:tc>
          <w:tcPr>
            <w:tcW w:w="802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circumstances beyond our control or is no longer used for the settlement of transactions by</w:t>
            </w:r>
          </w:p>
        </w:tc>
      </w:tr>
      <w:tr>
        <w:trPr>
          <w:trHeight w:val="216"/>
        </w:trPr>
        <w:tc>
          <w:tcPr>
            <w:tcW w:w="3000" w:type="dxa"/>
            <w:vAlign w:val="bottom"/>
          </w:tcPr>
          <w:p>
            <w:pPr>
              <w:spacing w:after="0"/>
              <w:rPr>
                <w:sz w:val="18"/>
                <w:szCs w:val="18"/>
                <w:color w:val="auto"/>
              </w:rPr>
            </w:pPr>
          </w:p>
        </w:tc>
        <w:tc>
          <w:tcPr>
            <w:tcW w:w="802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public institutions within the international banking community or, with respect to the euro</w:t>
            </w:r>
          </w:p>
        </w:tc>
      </w:tr>
      <w:tr>
        <w:trPr>
          <w:trHeight w:val="216"/>
        </w:trPr>
        <w:tc>
          <w:tcPr>
            <w:tcW w:w="3000" w:type="dxa"/>
            <w:vAlign w:val="bottom"/>
          </w:tcPr>
          <w:p>
            <w:pPr>
              <w:spacing w:after="0"/>
              <w:rPr>
                <w:sz w:val="18"/>
                <w:szCs w:val="18"/>
                <w:color w:val="auto"/>
              </w:rPr>
            </w:pPr>
          </w:p>
        </w:tc>
        <w:tc>
          <w:tcPr>
            <w:tcW w:w="802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notes, the euro is no longer used by the then member states of the European Economic and</w:t>
            </w:r>
          </w:p>
        </w:tc>
      </w:tr>
      <w:tr>
        <w:trPr>
          <w:trHeight w:val="216"/>
        </w:trPr>
        <w:tc>
          <w:tcPr>
            <w:tcW w:w="3000" w:type="dxa"/>
            <w:vAlign w:val="bottom"/>
          </w:tcPr>
          <w:p>
            <w:pPr>
              <w:spacing w:after="0"/>
              <w:rPr>
                <w:sz w:val="18"/>
                <w:szCs w:val="18"/>
                <w:color w:val="auto"/>
              </w:rPr>
            </w:pPr>
          </w:p>
        </w:tc>
        <w:tc>
          <w:tcPr>
            <w:tcW w:w="802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Monetary Union that have adopted the euro as their currency, then all payments in respect</w:t>
            </w:r>
          </w:p>
        </w:tc>
      </w:tr>
      <w:tr>
        <w:trPr>
          <w:trHeight w:val="216"/>
        </w:trPr>
        <w:tc>
          <w:tcPr>
            <w:tcW w:w="3000" w:type="dxa"/>
            <w:vAlign w:val="bottom"/>
          </w:tcPr>
          <w:p>
            <w:pPr>
              <w:spacing w:after="0"/>
              <w:rPr>
                <w:sz w:val="18"/>
                <w:szCs w:val="18"/>
                <w:color w:val="auto"/>
              </w:rPr>
            </w:pPr>
          </w:p>
        </w:tc>
        <w:tc>
          <w:tcPr>
            <w:tcW w:w="802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of the applicable series of notes will be made in U.S. dollars until the euro or GBP, as</w:t>
            </w:r>
          </w:p>
        </w:tc>
      </w:tr>
      <w:tr>
        <w:trPr>
          <w:trHeight w:val="216"/>
        </w:trPr>
        <w:tc>
          <w:tcPr>
            <w:tcW w:w="3000" w:type="dxa"/>
            <w:vAlign w:val="bottom"/>
          </w:tcPr>
          <w:p>
            <w:pPr>
              <w:spacing w:after="0"/>
              <w:rPr>
                <w:sz w:val="18"/>
                <w:szCs w:val="18"/>
                <w:color w:val="auto"/>
              </w:rPr>
            </w:pPr>
          </w:p>
        </w:tc>
        <w:tc>
          <w:tcPr>
            <w:tcW w:w="802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applicable, is again available to us or so used. See “Description of the Notes—Euro Notes</w:t>
            </w:r>
          </w:p>
        </w:tc>
      </w:tr>
      <w:tr>
        <w:trPr>
          <w:trHeight w:val="234"/>
        </w:trPr>
        <w:tc>
          <w:tcPr>
            <w:tcW w:w="3000" w:type="dxa"/>
            <w:vAlign w:val="bottom"/>
          </w:tcPr>
          <w:p>
            <w:pPr>
              <w:spacing w:after="0"/>
              <w:rPr>
                <w:sz w:val="20"/>
                <w:szCs w:val="20"/>
                <w:color w:val="auto"/>
              </w:rPr>
            </w:pPr>
          </w:p>
        </w:tc>
        <w:tc>
          <w:tcPr>
            <w:tcW w:w="524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w w:val="99"/>
              </w:rPr>
              <w:t>—Issuance in Euro; Sterling Notes—Issuance in GBP.”</w:t>
            </w:r>
          </w:p>
        </w:tc>
        <w:tc>
          <w:tcPr>
            <w:tcW w:w="4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41"/>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802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The notes will be unsecured and will rank equally with all of our and the guarantors’</w:t>
            </w:r>
          </w:p>
        </w:tc>
      </w:tr>
      <w:tr>
        <w:trPr>
          <w:trHeight w:val="234"/>
        </w:trPr>
        <w:tc>
          <w:tcPr>
            <w:tcW w:w="3000" w:type="dxa"/>
            <w:vAlign w:val="bottom"/>
          </w:tcPr>
          <w:p>
            <w:pPr>
              <w:spacing w:after="0"/>
              <w:rPr>
                <w:sz w:val="20"/>
                <w:szCs w:val="20"/>
                <w:color w:val="auto"/>
              </w:rPr>
            </w:pPr>
          </w:p>
        </w:tc>
        <w:tc>
          <w:tcPr>
            <w:tcW w:w="524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unsecured and unsubordinated indebtedness.</w:t>
            </w:r>
          </w:p>
        </w:tc>
        <w:tc>
          <w:tcPr>
            <w:tcW w:w="4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172"/>
        </w:trPr>
        <w:tc>
          <w:tcPr>
            <w:tcW w:w="300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r>
      <w:tr>
        <w:trPr>
          <w:trHeight w:val="361"/>
        </w:trPr>
        <w:tc>
          <w:tcPr>
            <w:tcW w:w="3000" w:type="dxa"/>
            <w:vAlign w:val="bottom"/>
          </w:tcPr>
          <w:p>
            <w:pPr>
              <w:spacing w:after="0"/>
              <w:rPr>
                <w:sz w:val="24"/>
                <w:szCs w:val="24"/>
                <w:color w:val="auto"/>
              </w:rPr>
            </w:pPr>
          </w:p>
        </w:tc>
        <w:tc>
          <w:tcPr>
            <w:tcW w:w="348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S-3</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5"/>
        </w:trPr>
        <w:tc>
          <w:tcPr>
            <w:tcW w:w="324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Guarantors</w:t>
            </w:r>
          </w:p>
        </w:tc>
        <w:tc>
          <w:tcPr>
            <w:tcW w:w="7780" w:type="dxa"/>
            <w:vAlign w:val="bottom"/>
            <w:tcBorders>
              <w:top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Comcast Cable Communications, LLC and NBCUniversal Media, LLC.</w:t>
            </w:r>
          </w:p>
        </w:tc>
      </w:tr>
      <w:tr>
        <w:trPr>
          <w:trHeight w:val="454"/>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Guarantees</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The guarantors will fully and unconditionally guarantee the notes, including the payment of</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principal, premium, if any, and interest. The guarantees will rank equally with all other</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general unsecured and unsubordinated obligations of the guarantors.</w:t>
            </w:r>
          </w:p>
        </w:tc>
      </w:tr>
      <w:tr>
        <w:trPr>
          <w:trHeight w:val="441"/>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We may, at our option, redeem any series of notes, in whole or in part, at any time at the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applicable redemption price determined as set forth under the heading “Description of the</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Notes—Optional Redemption.”</w:t>
            </w:r>
          </w:p>
        </w:tc>
      </w:tr>
      <w:tr>
        <w:trPr>
          <w:trHeight w:val="441"/>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Redemption for Tax Reasons</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We may, at our option, redeem any series of notes, in whole but not in part, if the tax laws</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of the United States (or any taxing authority in the United States) change and we become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obligated to pay additional amounts on the notes as described under “Description of the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Notes—Payment of Additional Amounts.” This redemption would be at 100% of the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principal amount, together with accrued and unpaid interest on the notes to the date fixed</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for redemption. See “Description of the Notes—Redemption for Tax Reasons.”</w:t>
            </w:r>
          </w:p>
        </w:tc>
      </w:tr>
      <w:tr>
        <w:trPr>
          <w:trHeight w:val="441"/>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Additional Amounts</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We will, subject to certain exceptions and limitations set forth herein, pay additional</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amounts on the notes as are necessary in order that the net payment by us of the principal</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of and interest on the notes to a holder who is not a United States person, after withholding</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or deduction for any present or future tax, assessment or other governmental charge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imposed by the United States or a taxing authority in the United States will not be less than</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the amount provided in the notes to be then due and payable. See “Description of the Notes</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—Payment of Additional Amounts.”</w:t>
            </w:r>
          </w:p>
        </w:tc>
      </w:tr>
      <w:tr>
        <w:trPr>
          <w:trHeight w:val="441"/>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We intend to use the net proceeds from this offering, after deducting underwriters’ discount</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and expenses, for working capital and general corporate purposes, including the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redemption in full of our outstanding 5.250% Notes due November 7, 2025 and the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repayment of certain of our other debt with near-term maturities. We expect to deliver a</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notice of redemption in respect of the 5.250% Notes due November 7, 2025 on the date</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hereof.</w:t>
            </w:r>
          </w:p>
        </w:tc>
      </w:tr>
      <w:tr>
        <w:trPr>
          <w:trHeight w:val="459"/>
        </w:trPr>
        <w:tc>
          <w:tcPr>
            <w:tcW w:w="324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This prospectus supplement is not a notice of redemption.</w:t>
            </w:r>
          </w:p>
        </w:tc>
      </w:tr>
      <w:tr>
        <w:trPr>
          <w:trHeight w:val="441"/>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Denominations</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We will issue the euro notes in minimum denominations of €100,000 and integral multiples</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of €1,000 in excess thereof, and we will issue the sterling notes in minimum denominations</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of £100,000 and integral multiples of £1,000 in excess thereof.</w:t>
            </w:r>
          </w:p>
        </w:tc>
      </w:tr>
      <w:tr>
        <w:trPr>
          <w:trHeight w:val="441"/>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Book-Entry</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The notes will be issued in book-entry form and will be represented by global notes</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deposited with a common depositary on behalf of Euroclear and Clearstream and registered</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in the name of the common</w:t>
            </w:r>
          </w:p>
        </w:tc>
      </w:tr>
      <w:tr>
        <w:trPr>
          <w:trHeight w:val="172"/>
        </w:trPr>
        <w:tc>
          <w:tcPr>
            <w:tcW w:w="3240" w:type="dxa"/>
            <w:vAlign w:val="bottom"/>
            <w:tcBorders>
              <w:left w:val="single" w:sz="8" w:color="auto"/>
              <w:bottom w:val="single" w:sz="8" w:color="auto"/>
            </w:tcBorders>
          </w:tcPr>
          <w:p>
            <w:pPr>
              <w:spacing w:after="0"/>
              <w:rPr>
                <w:sz w:val="14"/>
                <w:szCs w:val="14"/>
                <w:color w:val="auto"/>
              </w:rPr>
            </w:pPr>
          </w:p>
        </w:tc>
        <w:tc>
          <w:tcPr>
            <w:tcW w:w="7780" w:type="dxa"/>
            <w:vAlign w:val="bottom"/>
            <w:tcBorders>
              <w:bottom w:val="single" w:sz="8" w:color="auto"/>
              <w:right w:val="single" w:sz="8" w:color="auto"/>
            </w:tcBorders>
          </w:tcPr>
          <w:p>
            <w:pPr>
              <w:spacing w:after="0"/>
              <w:rPr>
                <w:sz w:val="14"/>
                <w:szCs w:val="14"/>
                <w:color w:val="auto"/>
              </w:rPr>
            </w:pPr>
          </w:p>
        </w:tc>
      </w:tr>
      <w:tr>
        <w:trPr>
          <w:trHeight w:val="361"/>
        </w:trPr>
        <w:tc>
          <w:tcPr>
            <w:tcW w:w="3240" w:type="dxa"/>
            <w:vAlign w:val="bottom"/>
          </w:tcPr>
          <w:p>
            <w:pPr>
              <w:spacing w:after="0"/>
              <w:rPr>
                <w:sz w:val="24"/>
                <w:szCs w:val="24"/>
                <w:color w:val="auto"/>
              </w:rPr>
            </w:pPr>
          </w:p>
        </w:tc>
        <w:tc>
          <w:tcPr>
            <w:tcW w:w="77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320" w:type="dxa"/>
            <w:vAlign w:val="bottom"/>
            <w:tcBorders>
              <w:top w:val="single" w:sz="8" w:color="auto"/>
              <w:left w:val="single" w:sz="8" w:color="auto"/>
            </w:tcBorders>
          </w:tcPr>
          <w:p>
            <w:pPr>
              <w:spacing w:after="0"/>
              <w:rPr>
                <w:sz w:val="24"/>
                <w:szCs w:val="24"/>
                <w:color w:val="auto"/>
              </w:rPr>
            </w:pPr>
          </w:p>
        </w:tc>
        <w:tc>
          <w:tcPr>
            <w:tcW w:w="7700" w:type="dxa"/>
            <w:vAlign w:val="bottom"/>
            <w:tcBorders>
              <w:top w:val="single" w:sz="8" w:color="auto"/>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depositary or its nominee. Beneficial interests in any of the notes will be shown on, and</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transfers will be effected only through, records maintained by Euroclear and Clearstream</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and their participants, and these beneficial interests may not be exchanged for certificated</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notes, except in limited circumstances. See “Description of the Notes—Book-Entry</w:t>
            </w:r>
          </w:p>
        </w:tc>
      </w:tr>
      <w:tr>
        <w:trPr>
          <w:trHeight w:val="234"/>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System” in this prospectus supplement.</w:t>
            </w:r>
          </w:p>
        </w:tc>
      </w:tr>
      <w:tr>
        <w:trPr>
          <w:trHeight w:val="473"/>
        </w:trPr>
        <w:tc>
          <w:tcPr>
            <w:tcW w:w="33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 and Registrar</w:t>
            </w:r>
          </w:p>
        </w:tc>
        <w:tc>
          <w:tcPr>
            <w:tcW w:w="3180" w:type="dxa"/>
            <w:vAlign w:val="bottom"/>
            <w:gridSpan w:val="12"/>
          </w:tcPr>
          <w:p>
            <w:pPr>
              <w:ind w:left="900"/>
              <w:spacing w:after="0"/>
              <w:rPr>
                <w:sz w:val="20"/>
                <w:szCs w:val="20"/>
                <w:color w:val="auto"/>
              </w:rPr>
            </w:pPr>
            <w:r>
              <w:rPr>
                <w:rFonts w:ascii="Times New Roman" w:cs="Times New Roman" w:eastAsia="Times New Roman" w:hAnsi="Times New Roman"/>
                <w:sz w:val="18"/>
                <w:szCs w:val="18"/>
                <w:color w:val="auto"/>
                <w:w w:val="99"/>
              </w:rPr>
              <w:t>The Bank of New York Mellon</w:t>
            </w:r>
          </w:p>
        </w:tc>
        <w:tc>
          <w:tcPr>
            <w:tcW w:w="4520" w:type="dxa"/>
            <w:vAlign w:val="bottom"/>
            <w:tcBorders>
              <w:right w:val="single" w:sz="8" w:color="auto"/>
            </w:tcBorders>
          </w:tcPr>
          <w:p>
            <w:pPr>
              <w:spacing w:after="0"/>
              <w:rPr>
                <w:sz w:val="24"/>
                <w:szCs w:val="24"/>
                <w:color w:val="auto"/>
              </w:rPr>
            </w:pPr>
          </w:p>
        </w:tc>
      </w:tr>
      <w:tr>
        <w:trPr>
          <w:trHeight w:val="473"/>
        </w:trPr>
        <w:tc>
          <w:tcPr>
            <w:tcW w:w="33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Paying Agent</w:t>
            </w: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The Bank of New York Mellon, London Branch</w:t>
            </w:r>
          </w:p>
        </w:tc>
      </w:tr>
      <w:tr>
        <w:trPr>
          <w:trHeight w:val="454"/>
        </w:trPr>
        <w:tc>
          <w:tcPr>
            <w:tcW w:w="33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Listing and Trading</w:t>
            </w: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We intend to apply to list each series of the notes on NASDAQ. The listing applications</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will be subject to approval by NASDAQ. If such listings are obtained, we have no</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obligation to maintain such listings for any series of the notes and we may delist any series</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of the notes at any time. We currently expect trading in the notes on NASDAQ to begin</w:t>
            </w:r>
          </w:p>
        </w:tc>
      </w:tr>
      <w:tr>
        <w:trPr>
          <w:trHeight w:val="234"/>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within 30 days after the original issue date.</w:t>
            </w:r>
          </w:p>
        </w:tc>
      </w:tr>
      <w:tr>
        <w:trPr>
          <w:trHeight w:val="459"/>
        </w:trPr>
        <w:tc>
          <w:tcPr>
            <w:tcW w:w="33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Code / CUSIP / ISIN</w:t>
            </w:r>
          </w:p>
        </w:tc>
        <w:tc>
          <w:tcPr>
            <w:tcW w:w="100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 </w:t>
            </w:r>
          </w:p>
        </w:tc>
        <w:tc>
          <w:tcPr>
            <w:tcW w:w="4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 euro notes due 20</w:t>
            </w:r>
          </w:p>
        </w:tc>
      </w:tr>
      <w:tr>
        <w:trPr>
          <w:trHeight w:val="473"/>
        </w:trPr>
        <w:tc>
          <w:tcPr>
            <w:tcW w:w="3320" w:type="dxa"/>
            <w:vAlign w:val="bottom"/>
            <w:tcBorders>
              <w:left w:val="single" w:sz="8" w:color="auto"/>
            </w:tcBorders>
          </w:tcPr>
          <w:p>
            <w:pPr>
              <w:spacing w:after="0"/>
              <w:rPr>
                <w:sz w:val="24"/>
                <w:szCs w:val="24"/>
                <w:color w:val="auto"/>
              </w:rPr>
            </w:pPr>
          </w:p>
        </w:tc>
        <w:tc>
          <w:tcPr>
            <w:tcW w:w="100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 </w:t>
            </w:r>
          </w:p>
        </w:tc>
        <w:tc>
          <w:tcPr>
            <w:tcW w:w="4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 euro notes due 20</w:t>
            </w:r>
          </w:p>
        </w:tc>
      </w:tr>
      <w:tr>
        <w:trPr>
          <w:trHeight w:val="459"/>
        </w:trPr>
        <w:tc>
          <w:tcPr>
            <w:tcW w:w="3320" w:type="dxa"/>
            <w:vAlign w:val="bottom"/>
            <w:tcBorders>
              <w:left w:val="single" w:sz="8" w:color="auto"/>
            </w:tcBorders>
          </w:tcPr>
          <w:p>
            <w:pPr>
              <w:spacing w:after="0"/>
              <w:rPr>
                <w:sz w:val="24"/>
                <w:szCs w:val="24"/>
                <w:color w:val="auto"/>
              </w:rPr>
            </w:pPr>
          </w:p>
        </w:tc>
        <w:tc>
          <w:tcPr>
            <w:tcW w:w="100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 </w:t>
            </w:r>
          </w:p>
        </w:tc>
        <w:tc>
          <w:tcPr>
            <w:tcW w:w="4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 sterling notes</w:t>
            </w:r>
          </w:p>
        </w:tc>
      </w:tr>
      <w:tr>
        <w:trPr>
          <w:trHeight w:val="441"/>
        </w:trPr>
        <w:tc>
          <w:tcPr>
            <w:tcW w:w="33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Additional Notes</w:t>
            </w: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We have the ability to “reopen” a series of these notes and issue additional notes of such</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series. Additional notes of such series will be consolidated with and form a single series</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with the notes then outstanding of such series; provided that the additional notes are</w:t>
            </w:r>
          </w:p>
        </w:tc>
      </w:tr>
      <w:tr>
        <w:trPr>
          <w:trHeight w:val="234"/>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fungible with the notes of such series for U.S. federal income tax purposes.</w:t>
            </w:r>
          </w:p>
        </w:tc>
      </w:tr>
      <w:tr>
        <w:trPr>
          <w:trHeight w:val="441"/>
        </w:trPr>
        <w:tc>
          <w:tcPr>
            <w:tcW w:w="33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Investing in these notes involves certain risks. See “Risk Factors” beginning on page S-6 of</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this prospectus supplement and “Item 1A—Risk Factors” beginning on page 20 of our</w:t>
            </w:r>
          </w:p>
        </w:tc>
      </w:tr>
      <w:tr>
        <w:trPr>
          <w:trHeight w:val="234"/>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2023.</w:t>
            </w:r>
          </w:p>
        </w:tc>
      </w:tr>
      <w:tr>
        <w:trPr>
          <w:trHeight w:val="172"/>
        </w:trPr>
        <w:tc>
          <w:tcPr>
            <w:tcW w:w="3320" w:type="dxa"/>
            <w:vAlign w:val="bottom"/>
            <w:tcBorders>
              <w:left w:val="single" w:sz="8" w:color="auto"/>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520" w:type="dxa"/>
            <w:vAlign w:val="bottom"/>
            <w:tcBorders>
              <w:bottom w:val="single" w:sz="8" w:color="auto"/>
              <w:right w:val="single" w:sz="8" w:color="auto"/>
            </w:tcBorders>
          </w:tcPr>
          <w:p>
            <w:pPr>
              <w:spacing w:after="0"/>
              <w:rPr>
                <w:sz w:val="14"/>
                <w:szCs w:val="14"/>
                <w:color w:val="auto"/>
              </w:rPr>
            </w:pPr>
          </w:p>
        </w:tc>
      </w:tr>
      <w:tr>
        <w:trPr>
          <w:trHeight w:val="361"/>
        </w:trPr>
        <w:tc>
          <w:tcPr>
            <w:tcW w:w="3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the notes involves risks. Before deciding whether to purchase the notes, you should consider the risks discussed below or elsewhere in this prospectus supplement, including those set forth in our filings with the SEC that we have incorporated by reference in this prospectus supplement and the accompanying prospectus. Additional risks and uncertainties not presently known to us or that we currently believe to be immaterial may also impair our business operations.</w:t>
      </w:r>
    </w:p>
    <w:p>
      <w:pPr>
        <w:spacing w:after="0" w:line="288"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Any of the risks discussed below or elsewhere in this prospectus supplement or in our SEC filings incorporated by reference in this prospectus supplement and the accompanying prospectus, and other risks we have not anticipated or discussed, could have a material impact on our business, prospects, financial condition or results of operations. In that case, our ability to pay interest on the notes when due or to repay the notes at maturity could be adversely affected, and the trading price of the notes could decline substantially.</w:t>
      </w:r>
    </w:p>
    <w:p>
      <w:pPr>
        <w:spacing w:after="0" w:line="286"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color w:val="auto"/>
        </w:rPr>
        <w:t>An investment in the notes by a holder whose home currency is not the euro, with respect to the euro notes, or not GBP, with respect to the sterling notes, entails significant risks.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 investment in the notes by a holder whose home currency is not the euro, with respect to the euro notes, or not GBP, with respect to the sterling notes, entails significant risks. These risks include the possibility of significant changes in rates of exchange between the holder’s functional currency and the euro or GBP, as applicable, the possibility of the imposition or subsequent modification of foreign exchange controls and tax consequences as a result of any foreign exchange gains resulting from an investment in the notes. These risks generally depend on factors over which we have no control, such as economic, financial and political events and the supply of and demand for the relevant currencies.</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recent years, rates of exchange between the euro and GBP, on the one hand, and certain currencies, on the other, have been highly volatile, and each holder should be aware that volatility may be expected to continue in the future. However, the exchange rates of a holder’s home currency for the euro or for the GBP, as applicable, and the fluctuations in those exchange rates that have occurred in the past are not necessarily indicative of the exchange rates or the fluctuations that may occur during the term of the notes. Foreign currency exchange rates may be affected by, among other factors, existing and expected rates of inflation, existing and expected interest rate levels, the balance of payments between countries and the extent of governmental surpluses or deficits in various countries. Depreciation of the euro or GBP, as applicable, against the holder’s functional currency would result in a decrease in the effective yield of the notes below the coupon rate and, in certain circumstances, could result in a loss to the holder.</w:t>
      </w:r>
    </w:p>
    <w:p>
      <w:pPr>
        <w:spacing w:after="0" w:line="189" w:lineRule="exact"/>
        <w:rPr>
          <w:sz w:val="20"/>
          <w:szCs w:val="20"/>
          <w:color w:val="auto"/>
        </w:rPr>
      </w:pPr>
    </w:p>
    <w:p>
      <w:pPr>
        <w:jc w:val="both"/>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Appreciation of the euro or GBP, as applicable, in relation to the investor’s home currency would have the opposite effect. All of these factors are, in turn, sensitive to the monetary, fiscal and trade policies pursued by the governments of various countries important to international trade and finance.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notes permit us to make payments in U.S. dollars if we are unable to obtain euro or GBP.</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If the euro is unavailable to us due to the imposition of exchange controls or other circumstances beyond our control, or if the euro is no longer used by the member states of the European Economic and Monetary Union that have adopted the euro as their currency or for the settlement of transactions by public institutions within the international banking community, then all payments in respect of the euro notes will be made in U.S. dollars until the euro is again available to us or so used. If GBP is unavailable to us due to the imposition of exchange controls or other circumstances beyond our control or is no longer used for the settlement of transactions by public institutions within the international banking community, then all payments in respect of the sterling notes will be made in U.S. dollars until GBP is again available to us or so used. The amount payable on any date in euro or GBP, as applicable, will be converted into U.S. dollars at the Market Exchange Rate (as defined below) or, if such Market Exchange Rate is not then available, on the basis of the then most recent U.S. dollar/euro exchange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rate or U.S. dollar/GBP exchange rate, as applicable. Any payment in respect of the notes so made in U.S. dollars will not constitute an event of default under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 a lawsuit for payment on the notes, holders of the notes may bear currency exchange risk.</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indenture is, and the notes will be, governed by the laws of the State of New York. A New York state statute presently in effect, but subject to amendment, would require a New York state court hearing such a lawsuit to render its decision or award in euro or GBP, as applicable. The judgment entered on that award, however, will be denominated in U.S. dollars, and converted at the exchange rate prevailing on the date of entry of the judgment. Consequently, in a lawsuit for payment on the notes, holders of such notes would bear currency exchange risk until a New York state court judgment is entered, which could be a long time. A Federal court sitting in New York with diversity jurisdiction over a dispute arising in connection with the notes would apply the foregoing New York law.</w:t>
      </w:r>
    </w:p>
    <w:p>
      <w:pPr>
        <w:spacing w:after="0" w:line="187"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courts outside of New York, investors may not be able to obtain a judgment in a currency other than U.S. dollars. For example, a judgment for money in an action based on the notes in many other U.S. federal or state courts ordinarily would be enforced in the United States only in U.S. dollars. The date used to determine the rate of conversion of euro or GBP, as applicable, into U.S. dollars would depend upon various factors, including which court renders the judgment and when the judgment is rendered.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There may be no public trading market for the notes.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notes are new issues of securities for which there is currently no established trading market. A market for the notes may not develop or, if one does develop, it may not be maintained. If a market develops, the notes could trade at prices that may be higher or lower than the initial offering price or the price at which you purchased the notes, depending on many factors, including prevailing interest rates, our financial performance, the amount of indebtedness we have outstanding, the market for similar securities, the redemption and repayment features of the notes and the time remaining to maturity of the notes. Although we intend to apply for listing the notes for trading on the NASDAQ, no assurance can be given as to the liquidity of, or trading markets for, the notes. The listing applications will be subject to approval by NASDAQ. If such listings are obtained, we may delist any series of the notes at any time. If an active market for the notes fails to develop or be sustained, the trading price and liquidity of the notes could be adversely affected.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Trading in the clearing systems is subject to minimum denomination requirements.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euro notes will be issued only in minimum denominations of €100,000 and integral multiples of €1,000 in excess thereof. It is possible that the clearing systems may process trades that could result in amounts being held in denominations smaller than the minimum denominations. If definitive notes are required to be issued in relation to such euro notes in accordance with the provisions of the relevant global notes, a beneficial owner who does not have the minimum denomination or any integral multiple of €1,000 in excess thereof in its account with the relevant clearing system at the relevant time may not receive all of its entitlement in the form of definitive notes unless and until such time as its holding satisfies the minimum denomination requirement.</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sterling notes will be issued only in minimum denominations of £100,000 and integral multiples of £1,000 in excess thereof. It is possible that the clearing systems may process trades that could result in amounts being held in denominations smaller than the minimum denominations. If definitive notes are required to be issued in relation to such sterling notes in accordance with the provisions of the relevant global notes, a beneficial owner who does not have the minimum denomination or any integral multiple of £1,000 in excess thereof in its account with their relevant clearing system at the relevant time may not receive all of its entitlement in the form of definitive notes unless and until such time as its holding satisfies the minimum denomination requirement.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Holders of the notes will receive payments in euro or GBP, as applicable.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All payments of principal, premium, if any, and interest in respect of the notes will be paid in euro or GBP, as applicable, subject to certain limited exceptions, as described in this prospectus supplement. We, the underwriters, the trustee and the paying agent with respect to the notes will not be obligated to convert, or to assist any registered owner or beneficial owner of the notes in converting payments of interest, principal, premium or any redemption price in euro or GBP made with respect to such notes into U.S. dollars or any other currency.</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intend to use the net proceeds from this offering, after deducting underwriters’ discount and expenses, for working capital and general corporate purposes, including the redemption in full of our outstanding 5.250% Notes due November 7, 2025 and the repayment of certain of our other debt with near-term maturities. We expect to deliver a notice of redemption in respect of the 5.250% Notes due November 7, 2025 on the date hereof.</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supplement is not a notice of redemption.</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980"/>
          </w:cols>
          <w:pgMar w:left="320" w:top="455" w:right="5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547"/>
        </w:trPr>
        <w:tc>
          <w:tcPr>
            <w:tcW w:w="1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4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DESCRIPTION OF THE NOTES</w:t>
            </w:r>
          </w:p>
        </w:tc>
        <w:tc>
          <w:tcPr>
            <w:tcW w:w="3560" w:type="dxa"/>
            <w:vAlign w:val="bottom"/>
          </w:tcPr>
          <w:p>
            <w:pPr>
              <w:spacing w:after="0"/>
              <w:rPr>
                <w:sz w:val="24"/>
                <w:szCs w:val="24"/>
                <w:color w:val="auto"/>
              </w:rPr>
            </w:pPr>
          </w:p>
        </w:tc>
      </w:tr>
      <w:tr>
        <w:trPr>
          <w:trHeight w:val="412"/>
        </w:trPr>
        <w:tc>
          <w:tcPr>
            <w:tcW w:w="2120" w:type="dxa"/>
            <w:vAlign w:val="bottom"/>
            <w:gridSpan w:val="2"/>
          </w:tcPr>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We are offering €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i w:val="1"/>
                <w:iCs w:val="1"/>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w w:val="77"/>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aggregate principal amount of our     </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 euro notes due 20   , €    </w:t>
            </w: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w w:val="97"/>
              </w:rPr>
              <w:t>      aggregate principal amount of our       %</w:t>
            </w:r>
          </w:p>
        </w:tc>
      </w:tr>
      <w:tr>
        <w:trPr>
          <w:trHeight w:val="236"/>
        </w:trPr>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euro notes due 20   and £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i w:val="1"/>
                <w:iCs w:val="1"/>
                <w:color w:val="auto"/>
                <w:w w:val="76"/>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w w:val="94"/>
              </w:rPr>
              <w:t>   aggregate principal amount of our  </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89"/>
              </w:rPr>
              <w:t>   % sterling notes due 20 </w:t>
            </w: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The euro notes due 20   , the euro notes due</w:t>
            </w:r>
          </w:p>
        </w:tc>
      </w:tr>
    </w:tbl>
    <w:p>
      <w:pPr>
        <w:ind w:left="120"/>
        <w:spacing w:after="0" w:line="267"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20  and the sterling notes will each be a separate series of securities issued under a senior indenture dated September 18, 2013, entered into among us, the guarantors and The Bank of New York Mellon, as trustee, as amended by the first supplemental indenture dated as of November 17, 2015, entered into among us, the guarantors and The Bank of New York Mellon, as trustee, and as further amended by the second supplemental indenture dated as of July 29, 2022, entered into among us, the guarantors and The Bank of New York Mellon, as trustee (as amended, the “indenture”). The notes will be our direct unsecured and unsubordinated obligations and will be fully and unconditionally guaranteed by Comcast Cable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provided that the additional notes are fungible with the notes of such series for U.S. federal income tax purposes. Copies of the indenture and the form of notes are available from us upon request.</w:t>
      </w:r>
    </w:p>
    <w:p>
      <w:pPr>
        <w:spacing w:after="0" w:line="289"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Basic Terms of the Notes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w:t>
      </w:r>
    </w:p>
    <w:p>
      <w:pPr>
        <w:spacing w:after="0" w:line="131" w:lineRule="exact"/>
        <w:rPr>
          <w:sz w:val="20"/>
          <w:szCs w:val="20"/>
          <w:color w:val="auto"/>
        </w:rPr>
      </w:pPr>
    </w:p>
    <w:p>
      <w:pPr>
        <w:ind w:left="1080" w:right="2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rank equally with all of our other unsecured and unsubordinated debt and will be entitled to the benefits of the guarantees described below;</w:t>
      </w:r>
    </w:p>
    <w:p>
      <w:pPr>
        <w:spacing w:after="0" w:line="6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36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auto"/>
              </w:rPr>
              <w:t xml:space="preserve">will be issued in initial aggregate principal amounts of €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and £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3000" w:type="dxa"/>
            <w:vAlign w:val="bottom"/>
            <w:gridSpan w:val="6"/>
          </w:tcPr>
          <w:p>
            <w:pPr>
              <w:jc w:val="right"/>
              <w:ind w:right="910"/>
              <w:spacing w:after="0"/>
              <w:rPr>
                <w:sz w:val="20"/>
                <w:szCs w:val="20"/>
                <w:color w:val="auto"/>
              </w:rPr>
            </w:pPr>
            <w:r>
              <w:rPr>
                <w:rFonts w:ascii="Times New Roman" w:cs="Times New Roman" w:eastAsia="Times New Roman" w:hAnsi="Times New Roman"/>
                <w:sz w:val="18"/>
                <w:szCs w:val="18"/>
                <w:color w:val="auto"/>
                <w:w w:val="99"/>
              </w:rPr>
              <w:t>      comprised as follows:</w:t>
            </w:r>
          </w:p>
        </w:tc>
        <w:tc>
          <w:tcPr>
            <w:tcW w:w="1320" w:type="dxa"/>
            <w:vAlign w:val="bottom"/>
          </w:tcPr>
          <w:p>
            <w:pPr>
              <w:spacing w:after="0"/>
              <w:rPr>
                <w:sz w:val="20"/>
                <w:szCs w:val="20"/>
                <w:color w:val="auto"/>
              </w:rPr>
            </w:pPr>
          </w:p>
        </w:tc>
      </w:tr>
      <w:tr>
        <w:trPr>
          <w:trHeight w:val="319"/>
        </w:trPr>
        <w:tc>
          <w:tcPr>
            <w:tcW w:w="240" w:type="dxa"/>
            <w:vAlign w:val="bottom"/>
          </w:tcPr>
          <w:p>
            <w:pPr>
              <w:spacing w:after="0"/>
              <w:rPr>
                <w:sz w:val="24"/>
                <w:szCs w:val="24"/>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88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w w:val="97"/>
              </w:rPr>
              <w:t>initial aggregate principal amount of  </w:t>
            </w:r>
          </w:p>
        </w:tc>
        <w:tc>
          <w:tcPr>
            <w:tcW w:w="16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3"/>
              </w:rPr>
              <w:t>% euro notes due 20 </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7"/>
              </w:rPr>
              <w:t>, maturing on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5"/>
              </w:rPr>
              <w:t>, 20   , with interest payable annually</w:t>
            </w:r>
          </w:p>
        </w:tc>
      </w:tr>
      <w:tr>
        <w:trPr>
          <w:trHeight w:val="234"/>
        </w:trPr>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87"/>
              </w:rPr>
              <w:t>on each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4"/>
              </w:rPr>
              <w:t>, beginning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360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w w:val="93"/>
              </w:rPr>
              <w:t>   , 2025, to holders of record on the preceding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28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0"/>
                <w:szCs w:val="20"/>
                <w:color w:val="auto"/>
              </w:rPr>
            </w:pPr>
          </w:p>
        </w:tc>
      </w:tr>
      <w:tr>
        <w:trPr>
          <w:trHeight w:val="319"/>
        </w:trPr>
        <w:tc>
          <w:tcPr>
            <w:tcW w:w="240" w:type="dxa"/>
            <w:vAlign w:val="bottom"/>
          </w:tcPr>
          <w:p>
            <w:pPr>
              <w:spacing w:after="0"/>
              <w:rPr>
                <w:sz w:val="24"/>
                <w:szCs w:val="24"/>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88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w w:val="97"/>
              </w:rPr>
              <w:t>initial aggregate principal amount of  </w:t>
            </w:r>
          </w:p>
        </w:tc>
        <w:tc>
          <w:tcPr>
            <w:tcW w:w="16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3"/>
              </w:rPr>
              <w:t>% euro notes due 20 </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7"/>
              </w:rPr>
              <w:t>, maturing on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5"/>
              </w:rPr>
              <w:t>, 20   , with interest payable annually</w:t>
            </w:r>
          </w:p>
        </w:tc>
      </w:tr>
      <w:tr>
        <w:trPr>
          <w:trHeight w:val="234"/>
        </w:trPr>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87"/>
              </w:rPr>
              <w:t>on each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4"/>
              </w:rPr>
              <w:t>, beginning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360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w w:val="93"/>
              </w:rPr>
              <w:t>   , 2025, to holders of record on the preceding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28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0"/>
                <w:szCs w:val="20"/>
                <w:color w:val="auto"/>
              </w:rPr>
            </w:pPr>
          </w:p>
        </w:tc>
      </w:tr>
      <w:tr>
        <w:trPr>
          <w:trHeight w:val="319"/>
        </w:trPr>
        <w:tc>
          <w:tcPr>
            <w:tcW w:w="240" w:type="dxa"/>
            <w:vAlign w:val="bottom"/>
          </w:tcPr>
          <w:p>
            <w:pPr>
              <w:spacing w:after="0"/>
              <w:rPr>
                <w:sz w:val="24"/>
                <w:szCs w:val="24"/>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88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w w:val="97"/>
              </w:rPr>
              <w:t>initial aggregate principal amount of  </w:t>
            </w:r>
          </w:p>
        </w:tc>
        <w:tc>
          <w:tcPr>
            <w:tcW w:w="18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w w:val="93"/>
              </w:rPr>
              <w:t>% sterling notes due 20 </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4"/>
              </w:rPr>
              <w:t>, maturing on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20   ,           </w:t>
            </w:r>
          </w:p>
        </w:tc>
        <w:tc>
          <w:tcPr>
            <w:tcW w:w="1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 interest</w:t>
            </w:r>
          </w:p>
        </w:tc>
      </w:tr>
      <w:tr>
        <w:trPr>
          <w:trHeight w:val="234"/>
        </w:trPr>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6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 xml:space="preserve">payable annually on each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beginning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020" w:type="dxa"/>
            <w:vAlign w:val="bottom"/>
            <w:gridSpan w:val="8"/>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 2025, to holders of record on the preceding           </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and</w:t>
            </w:r>
          </w:p>
        </w:tc>
      </w:tr>
    </w:tbl>
    <w:p>
      <w:pPr>
        <w:spacing w:after="0" w:line="103" w:lineRule="exact"/>
        <w:rPr>
          <w:sz w:val="20"/>
          <w:szCs w:val="20"/>
          <w:color w:val="auto"/>
        </w:rPr>
      </w:pPr>
    </w:p>
    <w:p>
      <w:pPr>
        <w:ind w:left="1080" w:right="2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issuable in fully registered form, in denominations of €100,000 and in multiples of €1,000 in excess thereof and in denominations of £100,000 and in multiples of £1,000 in excess thereof for the euro notes and sterling notes,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Payments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Interest on the notes will be computed on the basis of the actual number of days in the period for which interest is being calculated and the actual number of days from and including the last date to which interest was paid on the notes (or         , 2024 if no interest has been paid on the notes), to but excluding the next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46"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scheduled interest payment date. This payment convention is referred to as ACTUAL/ACTUAL (ICMA) as defined in the rulebook of the International Capital Market Association.</w:t>
      </w:r>
    </w:p>
    <w:p>
      <w:pPr>
        <w:spacing w:after="0" w:line="162"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term “business day” means any day other than a Saturday or Sunday (i) which is not a day on which banking institutions in The City of New York or London are authorized or obligated by law, regulation or executive order to close and (ii) in the case of the euro notes, on which the Trans-European Automated Real-Time Gross Settlement Express Transfer System (the TARGET2 system) or any successor thereto is open.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more information on payment and transfer procedures for the notes, see “—Book-Entry System”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Euro Notes—Issuance in Euro; Sterling Notes—Issuance in GBP</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Principal, premium, if any, and interest payments in respect of the euro notes will be payable in euro. If euro is unavailable to us due to the imposition of exchange controls or other circumstances beyond our control, then all payments in respect of the euro notes will be made in U.S. dollars until euro is again available to us. The amount payable on any date in euro will be converted into U.S. dollars at the Market Exchange Rate (as defined below) or, if such Market Exchange Rate is not then available, on the basis of the most recently available market exchange rate for euro. Any payment in respect of the euro notes so made in U.S. dollars will not constitute an event of default under the indenture.</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Principal, premium, if any, and interest payments in respect of the sterling notes will be payable in GBP. If GBP is unavailable to us due to the imposition of exchange controls or other circumstances beyond our control, then all payments in respect of the sterling notes will be made in U.S. dollars until GBP is again available to us. The amount payable on any date in GBP will be converted into U.S. dollars at the Market Exchange Rate (as defined below) or, if such Market Exchange Rate is not then available, on the basis of the most recently available market exchange rate for GBP. Any payment in respect of the sterling notes so made in U.S. dollars will not constitute an event of default under the indenture.</w:t>
      </w:r>
    </w:p>
    <w:p>
      <w:pPr>
        <w:spacing w:after="0" w:line="183"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amount payable on any date in euro or GBP, as applicable, will be converted into U.S. dollars at the Market Exchange Rate (as defined below) or, if such Market Exchange Rate is not then available, on the basis of the then most recent U.S. dollar/euro exchange rate or U.S. dollar/GBP exchange rate, as applicable. Any payment in respect of the notes so made in U.S. dollars will not constitute an event of default under the indenture. Neither the trustee nor the paying agent will be responsible for obtaining exchange rates, effecting currency conversions or otherwise handling re-denominations.</w:t>
      </w:r>
    </w:p>
    <w:p>
      <w:pPr>
        <w:spacing w:after="0" w:line="164"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“Market Exchange Rate” means the noon buying rate in The City of New York for cable transfers of euro or GBP, as applicable, as certified for customs purposes (or, if not so certified, as otherwise determined) by the Federal Reserve Bank of New York.</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Investors will be subject to foreign exchange risks as to payments of principal of, and premium, if any, and interest on, the notes that may have important economic and tax consequences to them. See “Risk Factors” and “Material U.S. Federal Income Tax Consequences.”</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As of        , 2024, the euro/USD rate of exchange was €    /U.S.$    , and the GBP/USD rate of exchange was £        /U.S.$    , each as reported by Bloomberg L.P.</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notes constitute new issues of securities for which there are no established trading markets. We intend to apply to list each series of the notes on NASDAQ. The listing applications will be subject to approval by NASDAQ. If such listings are obtained, we have no obligation to maintain such listings for any series of the notes, and we may delist any series of the notes at any time. We currently expect trading in the notes on NASDAQ to begin within 30 days after the original issue date.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28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1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306"/>
        </w:trPr>
        <w:tc>
          <w:tcPr>
            <w:tcW w:w="32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Prior to 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71"/>
              </w:rPr>
              <w:t>, 20 </w:t>
            </w:r>
          </w:p>
        </w:tc>
        <w:tc>
          <w:tcPr>
            <w:tcW w:w="8880" w:type="dxa"/>
            <w:vAlign w:val="bottom"/>
            <w:gridSpan w:val="8"/>
          </w:tcPr>
          <w:p>
            <w:pPr>
              <w:ind w:left="60"/>
              <w:spacing w:after="0"/>
              <w:rPr>
                <w:sz w:val="20"/>
                <w:szCs w:val="20"/>
                <w:color w:val="auto"/>
              </w:rPr>
            </w:pPr>
            <w:r>
              <w:rPr>
                <w:rFonts w:ascii="Times New Roman" w:cs="Times New Roman" w:eastAsia="Times New Roman" w:hAnsi="Times New Roman"/>
                <w:sz w:val="18"/>
                <w:szCs w:val="18"/>
                <w:color w:val="auto"/>
              </w:rPr>
              <w:t>         (            month(s) prior to the maturity date of the euro notes due 20            ) with respect to the euro notes due</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83"/>
              </w:rPr>
              <w:t>20 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88"/>
              </w:rPr>
              <w:t>(the “20 </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2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5"/>
              </w:rPr>
              <w:t>Euro Notes Par Call Date”), prior to 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7"/>
              </w:rPr>
              <w:t>      , 20 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(            month(s) prior to the maturity date of the euro</w:t>
            </w:r>
          </w:p>
        </w:tc>
      </w:tr>
      <w:tr>
        <w:trPr>
          <w:trHeight w:val="216"/>
        </w:trPr>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5"/>
              </w:rPr>
              <w:t>notes due 20 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6"/>
              </w:rPr>
              <w:t>) with respect to the euro notes due 20 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4"/>
              </w:rPr>
              <w:t>(the “20 </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Euro Notes Par Call Date”) and prior to            , 20          </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0480" w:type="dxa"/>
            <w:vAlign w:val="bottom"/>
            <w:gridSpan w:val="14"/>
          </w:tcPr>
          <w:p>
            <w:pPr>
              <w:ind w:left="100"/>
              <w:spacing w:after="0"/>
              <w:rPr>
                <w:sz w:val="20"/>
                <w:szCs w:val="20"/>
                <w:color w:val="auto"/>
              </w:rPr>
            </w:pPr>
            <w:r>
              <w:rPr>
                <w:rFonts w:ascii="Times New Roman" w:cs="Times New Roman" w:eastAsia="Times New Roman" w:hAnsi="Times New Roman"/>
                <w:sz w:val="18"/>
                <w:szCs w:val="18"/>
                <w:color w:val="auto"/>
              </w:rPr>
              <w:t>   month(s) prior to the maturity date of the sterling notes) with respect to the sterling notes (the “Sterling Notes Par Call Date” and, together</w:t>
            </w:r>
          </w:p>
        </w:tc>
      </w:tr>
      <w:tr>
        <w:trPr>
          <w:trHeight w:val="234"/>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86"/>
              </w:rPr>
              <w:t>with the 20 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Euro Notes Par Call Date and the 20 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6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Euro Notes Par Call Date, each a “Par Call Date”), we may redeem such notes at our</w:t>
            </w:r>
          </w:p>
        </w:tc>
      </w:tr>
    </w:tbl>
    <w:p>
      <w:pPr>
        <w:ind w:left="120" w:right="200"/>
        <w:spacing w:after="0" w:line="260" w:lineRule="auto"/>
        <w:rPr>
          <w:sz w:val="20"/>
          <w:szCs w:val="20"/>
          <w:color w:val="auto"/>
        </w:rPr>
      </w:pPr>
      <w:r>
        <w:rPr>
          <w:rFonts w:ascii="Times New Roman" w:cs="Times New Roman" w:eastAsia="Times New Roman" w:hAnsi="Times New Roman"/>
          <w:sz w:val="18"/>
          <w:szCs w:val="18"/>
          <w:color w:val="auto"/>
        </w:rPr>
        <w:t>option, in whole or in part, at any time and from time to time, at a redemption price (expressed as a percentage of the principal amount and rounded to three decimal places) equal to the greater of:</w:t>
      </w:r>
    </w:p>
    <w:p>
      <w:pPr>
        <w:spacing w:after="0" w:line="87" w:lineRule="exact"/>
        <w:rPr>
          <w:sz w:val="20"/>
          <w:szCs w:val="20"/>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(assuming, for this purpose, that such notes mature on the applicable Par Call Date) on an annual basis (ACTUAL/ACTUAL (ICMA)) at</w:t>
      </w:r>
    </w:p>
    <w:tbl>
      <w:tblPr>
        <w:tblLayout w:type="fixed"/>
        <w:tblInd w:w="1080" w:type="dxa"/>
        <w:tblCellMar>
          <w:top w:w="0" w:type="dxa"/>
          <w:left w:w="0" w:type="dxa"/>
          <w:bottom w:w="0" w:type="dxa"/>
          <w:right w:w="0" w:type="dxa"/>
        </w:tblCellMar>
      </w:tblPr>
      <w:tr>
        <w:trPr>
          <w:trHeight w:val="20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w w:val="97"/>
              </w:rPr>
              <w:t>the applicable comparable government bond rate, as defined below, plus 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basis points, in the case of the euro notes due</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20            ,            basis points, in the case of the euro notes due 20 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basis points, in the case of the sterling</w:t>
            </w:r>
          </w:p>
        </w:tc>
      </w:tr>
      <w:tr>
        <w:trPr>
          <w:trHeight w:val="23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as applicable, less (b) interest accrued to the date of redemption, and</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60" w:type="dxa"/>
            <w:vAlign w:val="bottom"/>
          </w:tcPr>
          <w:p>
            <w:pPr>
              <w:spacing w:after="0"/>
              <w:rPr>
                <w:sz w:val="20"/>
                <w:szCs w:val="20"/>
                <w:color w:val="auto"/>
              </w:rPr>
            </w:pPr>
          </w:p>
        </w:tc>
      </w:tr>
    </w:tbl>
    <w:p>
      <w:pPr>
        <w:spacing w:after="0" w:line="103" w:lineRule="exact"/>
        <w:rPr>
          <w:sz w:val="20"/>
          <w:szCs w:val="20"/>
          <w:color w:val="auto"/>
        </w:rPr>
      </w:pPr>
    </w:p>
    <w:p>
      <w:pPr>
        <w:ind w:left="560" w:right="4120" w:hanging="12"/>
        <w:spacing w:after="0" w:line="445" w:lineRule="auto"/>
        <w:tabs>
          <w:tab w:leader="none" w:pos="109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principal amount of the notes of the applicable series to be redeemed, plus, in either case, accrued and unpaid interest thereon to the redemption date.</w:t>
      </w:r>
    </w:p>
    <w:p>
      <w:pPr>
        <w:spacing w:after="0" w:line="3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or after the 20        Euro Notes Par Call Date, in the case of the euro notes due 20        , the 20        Euro Notes Par Call Date, in the case of the euro notes due 20        , and the Sterling Notes Par Call Date, in the case of the sterling notes, as applicable, we may redeem such</w:t>
      </w:r>
    </w:p>
    <w:p>
      <w:pPr>
        <w:ind w:left="120" w:right="300"/>
        <w:spacing w:after="0" w:line="260" w:lineRule="auto"/>
        <w:rPr>
          <w:sz w:val="20"/>
          <w:szCs w:val="20"/>
          <w:color w:val="auto"/>
        </w:rPr>
      </w:pPr>
      <w:r>
        <w:rPr>
          <w:rFonts w:ascii="Times New Roman" w:cs="Times New Roman" w:eastAsia="Times New Roman" w:hAnsi="Times New Roman"/>
          <w:sz w:val="18"/>
          <w:szCs w:val="18"/>
          <w:color w:val="auto"/>
        </w:rPr>
        <w:t>series of notes, in whole or in part, at any time and from time to time, at a redemption price equal to 100% of the principal amount of the notes being redeemed, plus accrued and unpaid interest thereon to the redemption date.</w:t>
      </w:r>
    </w:p>
    <w:p>
      <w:pPr>
        <w:spacing w:after="0" w:line="18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term “comparable government bond” means (i) with respect to the euro notes, in relation to any comparable government bond rate calculation, at the discretion of an independent investment banker selected by us, a German government bond whose maturity is closest to the maturity of the applicable series of euro notes to be redeemed (assuming for this purpose that each series of euro notes matured on the related Par Call Date), or if such independent investment banker in its discretion determines that such similar bond is not in issue, such other German government bond as such independent investment banker may, with the advice of three brokers of, and/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market makers in, German government bonds selected by us, determine to be appropriate for determining the comparable government bond rate and</w:t>
      </w:r>
    </w:p>
    <w:p>
      <w:pPr>
        <w:spacing w:after="0" w:line="27" w:lineRule="exact"/>
        <w:rPr>
          <w:sz w:val="20"/>
          <w:szCs w:val="20"/>
          <w:color w:val="auto"/>
        </w:rPr>
      </w:pPr>
    </w:p>
    <w:p>
      <w:pPr>
        <w:ind w:left="120" w:right="20" w:hanging="4"/>
        <w:spacing w:after="0" w:line="252" w:lineRule="auto"/>
        <w:tabs>
          <w:tab w:leader="none" w:pos="3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sterling notes, in relation to any comparable government bond rate calculation, at the discretion of an independent investment banker selected by us, a United Kingdom government bond whose maturity is closest to the maturity of the applicable series of sterling notes to be redeemed (assuming for this purpose that each series of sterling notes matured on the related Par Call Date), or if such independent investment banker in its discretion determines that such similar bond is not in issue, such other United Kingdom government bond as such independent investment banker may, with the advice of three brokers of, and/or market makers in, United Kingdom government bonds selected by us, determine to be appropriate for determining the comparable government bond rate.</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term “comparable government bond rate” means the yield to maturity, expressed as a percentage (rounded to three decimal places, with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0.0005 being rounded upwards), on the third business day prior to the date fixed for redemption, of the applicable comparable government bond on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basis of the middle market price of such comparable government bond prevailing at 11:00 a.m. (London time) on such business day as determined by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independent investment banker selected by us.</w:t>
      </w:r>
    </w:p>
    <w:p>
      <w:pPr>
        <w:spacing w:after="0" w:line="20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term “independent investment banker” means each of Barclays Bank PLC and BNP Paribas (or their respective successors), or if each such firm is unwilling or unable to select the comparable government bond, an independent investment banking institution of international standing appointed by us.</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notes are also subject to redemption prior to maturity if certain events occur involving United States taxation. If any of these special tax events occur, the notes may be redeemed at a redemption price of 100% of their principal amount plus accrued and unpaid interest to the date fixed for redemption. See “—Redemption for Tax Reasons.”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determination of the redemption price shall be conclusive and binding for all purposes, absent manifest error.</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applicable series of notes to be redeemed.</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the case of a partial redemption, selection of the applicable series of notes for redemption will be made, if such series of notes are in the form of one or more global securities, in accordance with the procedures of Clearstream and Euroclear (or another depositary) or, if such series of notes are not in the form of one or more global securities, by lot. No notes of any series of a principal amount of €100,000 or less with respect to the euro notes, or £100,000 or less with respect to the sterling notes, will be redeemed in part. If any note of a series is to be redeemed in part only, the notice of redemption that relates to such note will state the portion of the principal amount of the applicable note to be redeemed. A new note of any series in a principal amount equal to the unredeemed portion of the applicable note will be issued in the name of the holder of such note upon surrender for cancellation of such original note. For so long as any series of notes are registered in the name of Clearstream and Euroclear (or another depositary) or such depositary’s nominee, the redemption of such series of notes shall be done in accordance with the policies and procedures of the depositary.</w:t>
      </w:r>
    </w:p>
    <w:p>
      <w:pPr>
        <w:spacing w:after="0" w:line="19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redemption date, interest will cease to accrue on the applicable series of notes or portions thereof called for redemption.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of Additional Amounts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will, subject to the exceptions and limitations set forth below, pay as additional interest in respect of the notes such additional amounts as are necessary in order that the net payment by us or our paying agent of the principal of and interest in respect of the notes to a beneficial owner who is not a United States person (as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defined below), after withholding or deduction for any present or future tax, assessment or other governmental charge imposed by the United States or a taxing authority in the United States, will not be less than the amount provided in the notes to be then due and payable; provided, however, that the foregoing obligation to pay additional amounts shall not apply:</w:t>
      </w:r>
    </w:p>
    <w:p>
      <w:pPr>
        <w:spacing w:after="0" w:line="81" w:lineRule="exact"/>
        <w:rPr>
          <w:sz w:val="20"/>
          <w:szCs w:val="20"/>
          <w:color w:val="auto"/>
        </w:rPr>
      </w:pPr>
    </w:p>
    <w:p>
      <w:pPr>
        <w:ind w:left="1080" w:right="160" w:hanging="532"/>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tax, assessment or other governmental charge that is imposed by reason of the holder (or the beneficial owner for whose benefit such holder holds such note), or a fiduciary, settlor, beneficiary, member or shareholder of the holder or beneficial owner if the holder or beneficial owner is an estate, trust, partnership, corporation or other entity, or a person holding a power over an estate or trust administered by a fiduciary holder, being considered as:</w:t>
      </w:r>
    </w:p>
    <w:p>
      <w:pPr>
        <w:spacing w:after="0" w:line="85" w:lineRule="exact"/>
        <w:rPr>
          <w:rFonts w:ascii="Times New Roman" w:cs="Times New Roman" w:eastAsia="Times New Roman" w:hAnsi="Times New Roman"/>
          <w:sz w:val="18"/>
          <w:szCs w:val="18"/>
          <w:color w:val="auto"/>
        </w:rPr>
      </w:pPr>
    </w:p>
    <w:p>
      <w:pPr>
        <w:ind w:left="1540" w:right="220" w:hanging="439"/>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engaged in a trade or business in the United States or having or having had a permanent establishment in the United States;</w:t>
      </w:r>
    </w:p>
    <w:p>
      <w:pPr>
        <w:spacing w:after="0" w:line="67" w:lineRule="exact"/>
        <w:rPr>
          <w:rFonts w:ascii="Times New Roman" w:cs="Times New Roman" w:eastAsia="Times New Roman" w:hAnsi="Times New Roman"/>
          <w:sz w:val="18"/>
          <w:szCs w:val="18"/>
          <w:color w:val="auto"/>
        </w:rPr>
      </w:pPr>
    </w:p>
    <w:p>
      <w:pPr>
        <w:ind w:left="1540" w:right="200" w:hanging="439"/>
        <w:spacing w:after="0" w:line="266"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 current or former connection with the United States (other than a connection arising solely as a result of the ownership of the notes or the receipt of any payment or the enforcement of any rights thereunder), including being or having been a citizen or resident of the United States;</w:t>
      </w:r>
    </w:p>
    <w:p>
      <w:pPr>
        <w:spacing w:after="0" w:line="81" w:lineRule="exact"/>
        <w:rPr>
          <w:rFonts w:ascii="Times New Roman" w:cs="Times New Roman" w:eastAsia="Times New Roman" w:hAnsi="Times New Roman"/>
          <w:sz w:val="18"/>
          <w:szCs w:val="18"/>
          <w:color w:val="auto"/>
        </w:rPr>
      </w:pPr>
    </w:p>
    <w:p>
      <w:pPr>
        <w:jc w:val="both"/>
        <w:ind w:left="1540" w:hanging="439"/>
        <w:spacing w:after="0" w:line="266"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a personal holding company, a passive foreign investment company or a controlled foreign corporation for U.S. federal income tax purposes, a foreign-tax exempt organization, or a corporation that has accumulated earnings to avoid U.S. federal income tax;</w:t>
      </w:r>
    </w:p>
    <w:p>
      <w:pPr>
        <w:spacing w:after="0" w:line="81" w:lineRule="exact"/>
        <w:rPr>
          <w:rFonts w:ascii="Times New Roman" w:cs="Times New Roman" w:eastAsia="Times New Roman" w:hAnsi="Times New Roman"/>
          <w:sz w:val="18"/>
          <w:szCs w:val="18"/>
          <w:color w:val="auto"/>
        </w:rPr>
      </w:pPr>
    </w:p>
    <w:p>
      <w:pPr>
        <w:ind w:left="1540" w:right="340" w:hanging="439"/>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a “10-percent shareholder” of the issuer or applicable guarantor as defined in Section 871(h)(3) of the U.S. Internal Revenue Code of 1986, as amended (the “Code”), or any successor provision; or</w:t>
      </w:r>
    </w:p>
    <w:p>
      <w:pPr>
        <w:spacing w:after="0" w:line="67" w:lineRule="exact"/>
        <w:rPr>
          <w:rFonts w:ascii="Times New Roman" w:cs="Times New Roman" w:eastAsia="Times New Roman" w:hAnsi="Times New Roman"/>
          <w:sz w:val="18"/>
          <w:szCs w:val="18"/>
          <w:color w:val="auto"/>
        </w:rPr>
      </w:pPr>
    </w:p>
    <w:p>
      <w:pPr>
        <w:ind w:left="1540" w:right="120" w:hanging="439"/>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 bank receiving payments on an extension of credit made pursuant to a loan agreement entered into in the ordinary course of its trade or business, as described in Section 881(c)(3) of the Code or any successor provision;</w:t>
      </w:r>
    </w:p>
    <w:p>
      <w:pPr>
        <w:spacing w:after="0" w:line="67"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holder that is not the sole beneficial owner of the notes, or a portion of the notes, or that is a fiduciary, partnership, limited liability company or other fiscally transparent entity, but only to the extent that a beneficial owner with respect to the holder, a beneficiary or settlor with respect to the fiduciary, or a beneficial owner or member of the partnership, limited liability company or other fiscally transparent entity, would not have been entitled to the payment of an additional amount had the beneficiary, settlor, beneficial owner or member received directly its beneficial or distributive share of the payment;</w:t>
      </w:r>
    </w:p>
    <w:p>
      <w:pPr>
        <w:spacing w:after="0" w:line="88"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tax, assessment or other governmental charge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or reduction in such tax, assessment or other governmental charge;</w:t>
      </w:r>
    </w:p>
    <w:p>
      <w:pPr>
        <w:spacing w:after="0" w:line="88"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is imposed otherwise than by withholding by us or an applicable withholding agent from the payment;</w:t>
      </w:r>
    </w:p>
    <w:p>
      <w:pPr>
        <w:spacing w:after="0" w:line="67" w:lineRule="exact"/>
        <w:rPr>
          <w:rFonts w:ascii="Times New Roman" w:cs="Times New Roman" w:eastAsia="Times New Roman" w:hAnsi="Times New Roman"/>
          <w:sz w:val="18"/>
          <w:szCs w:val="18"/>
          <w:color w:val="auto"/>
        </w:rPr>
      </w:pPr>
    </w:p>
    <w:p>
      <w:pPr>
        <w:ind w:left="1080" w:right="200" w:hanging="532"/>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81"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estate, inheritance, gift, sales, excise, transfer, wealth, capital gains or personal property tax or similar tax, assessment or other governmental charge or excise tax imposed on the transfer of notes;</w:t>
      </w:r>
    </w:p>
    <w:p>
      <w:pPr>
        <w:spacing w:after="0" w:line="67"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00" w:hanging="532"/>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is imposed or withheld solely by reason of the beneficial owner being a bank</w:t>
      </w:r>
    </w:p>
    <w:p>
      <w:pPr>
        <w:spacing w:after="0" w:line="27" w:lineRule="exact"/>
        <w:rPr>
          <w:rFonts w:ascii="Times New Roman" w:cs="Times New Roman" w:eastAsia="Times New Roman" w:hAnsi="Times New Roman"/>
          <w:sz w:val="18"/>
          <w:szCs w:val="18"/>
          <w:color w:val="auto"/>
        </w:rPr>
      </w:pPr>
    </w:p>
    <w:p>
      <w:pPr>
        <w:ind w:left="1080" w:right="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purchasing the notes in the ordinary course of its lending business or (ii) that is neither (A) buying the notes for investment purposes only nor (B) buying the notes for resale to a third party that either is not a bank or holding the notes for investment purposes only;</w:t>
      </w:r>
    </w:p>
    <w:p>
      <w:pPr>
        <w:spacing w:after="0" w:line="86"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whether currently in effect or as published and amended from time to time; or</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combination of items (1) through (10) above.</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we are required to pay additional amounts with respect to the notes, we will notify the trustee and paying agent pursuant to an officer’s certificate that specifies the amount of such additional amounts payable and the time when such amounts are payable. If the trustee and the paying agent do not receive such an officer’s certificate from us, the trustee and paying agent may rely on the absence of such an officer’s certificate in assuming that no such additional amounts are payable.</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notes are also subject to redemption prior to maturity if certain events occur involving U.S. taxation. If any of these special tax events occur, the notes may be redeemed at a redemption price of 100% of their principal amount plus accrued and unpaid interest to the date fixed for redemption. See “—Redemption for Tax Reasons.”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notes are subject in all cases to any tax, fiscal or other law or regulation or administrative or judicial interpretation applicable to the notes. Except as specifically provided under this heading “—Payment of Additional Amounts,” we will not be required to make any payment for any tax, assessment or other governmental charge imposed by any government or a political subdivision or taxing authority of or in any government or political subdivision.</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used under this heading “—Payment of Additional Amounts” and under the heading “—Redemption for Tax Reasons,” the term “United States” means the United States of America, the states of the United States, and the District of Columbia,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or any estate or trust the income of which is subject to U.S. federal income taxation regardless of its source.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for Tax Reasons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as a result of any change in, or amendment to, the laws (or any regulations or rulings promulgated under the laws) of the United States (or any taxing authority in the United States), or any change in, or amendment to, an official position regarding the application or interpretation of such laws, regulations or rulings, which change or amendment is announced or becomes effective on or after the date of this prospectus supplement, we become or, based upon a written opinion of independent counsel selected by us, will become obligated to pay additional amounts as described under the heading “—Payment of Additional Amounts” with respect to the notes, then we may at any time at our option redeem, in whole, but not in part, the notes on not less than 15 nor more than 30 days’ prior notice, at a redemption price equal to 100% of their principal amount, together with accrued and unpaid interest on the notes to, but not including, the date fixed for redemption.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Mandatory Redemption or Sinking Fund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will be no mandatory redemption prior to maturity or sinking fund payments for the notes.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Debt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does not limit the amount of debt we may issue under the indenture or otherwise.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System</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obtained the information in this section concerning Clearstream and Euroclear, or its successor, as operator of the Euroclear System, and their book-entry systems and procedures from sources that we believe to be reliable. We take no responsibility for an accurate portrayal of this information. In addition, the description of the clearing systems in this section reflects our understanding of the rules and procedures of Clearstream and Euroclear as they are currently in effect. Those clearing systems could change their rules and procedures at any time.</w:t>
      </w:r>
    </w:p>
    <w:p>
      <w:pPr>
        <w:spacing w:after="0" w:line="180" w:lineRule="exact"/>
        <w:rPr>
          <w:sz w:val="20"/>
          <w:szCs w:val="20"/>
          <w:color w:val="auto"/>
        </w:rPr>
      </w:pPr>
    </w:p>
    <w:p>
      <w:pPr>
        <w:jc w:val="both"/>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The notes of each series will initially be represented by one or more fully registered global notes. Each such global note will be deposited with, or on behalf of, a common depositary, and registered in the name of the nominee of the common depositary for the accounts of Clearstream and Euroclear. Except as set forth below, the global notes may be transferred, in whole and not in part, only to Euroclear or Clearstream or their respective nominees.</w:t>
      </w:r>
    </w:p>
    <w:p>
      <w:pPr>
        <w:spacing w:after="0" w:line="2"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You may hold your interests in the global notes in Europe through Clearstream or Euroclear, either as a participant in such systems or indirectly through organizations that are participants in such systems. Clearstream and Euroclear will hold interests in the global notes on behalf of their respective participating organizations or customers through customers’ securities accounts in Clearstream’s or Euroclear’s names on the books of their respective depositaries. Book-entry interests in the notes and all transfers relating to the notes will be reflected in the book-entry records of Clearstream and Euroclear.</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distribution of the notes will be cleared through Clearstream and Euroclear. Any secondary market trading of book-entry interests in the notes will take place through Clearstream and Euroclear participants and will settle in same-day funds. Owners of book-entry interests in the notes will receive payments relating to their notes in euro or GBP, as applicable, except as described above under “—Euro Notes—Issuance in Euro; Sterling Notes— Issuance in GBP.”</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Clearstream and Euroclear have established electronic securities and payment transfer, processing, depositary and custodial links among themselves and others, either directly or through custodians and depositaries. These links allow book-entry interests in the notes to be issued, held and transferred among the clearing systems without the physical transfer of certificates. Special procedures to facilitate clearance and settlement have been established among these clearing systems to trade securities across borders in the secondary market. The policies of Clearstream and Euroclear will govern payments, transfers, exchange and other matters relating to the investor’s interest in the notes held by them. Neither we nor the trustee or paying agent have any responsibility for any aspect of the records kept by Clearstream or Euroclear or any of their direct or indirect participants. We, the paying agent and the trustee also do not supervise these systems in any way. Clearstream and Euroclear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w:t>
      </w:r>
    </w:p>
    <w:p>
      <w:pPr>
        <w:spacing w:after="0" w:line="188"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the depositary and, if such person is not a participant, on the procedures of the participant through which such person owns its interest, in order to exercise any rights of a holder of notes.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description of the clearing systems in this section reflects our understanding of the rules and procedures of Clearstream and Euroclear as they are currently in effect. These systems could change their rules and procedures at any time. We have obtained the information in this section concerning Clearstream and Euroclear and their book-entry systems and procedures from sources that we believe to be reliable, but we take no responsibility for the accuracy of this information.</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Clearstream</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Clearstream has advised that it is incorporated under the laws of Luxembourg as a professional depositary. Clearstream holds securities for its participating organizations (“Clearstream Participants”). Clearstream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w:t>
      </w:r>
    </w:p>
    <w:p>
      <w:pPr>
        <w:spacing w:after="0" w:line="194"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Distributions with respect to interests in the global notes held beneficially through Clearstream will be credited to cash accounts of Clearstream Participants in accordance with its rules and procedures.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Euroclear</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Euroclear has advised that it was created in 1968 to hold securities for its participants (“Euroclear Participants”) and to clear and settle transactions between Euroclear Participants through simultaneous electronic book-entry delivery against payment, thereby eliminating the need for physical movement of certificates and eliminating any risk from lack of simultaneous transfers of securities and cash. Euroclear provides various other services, including securities lending and borrowing and interfaces with domestic markets in several countries.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Euroclear is operated by Euroclear Bank SA/NV (the “Euroclear Operator”). All operations are conducted by the Euroclear Operator, and all Euroclear securities clearance accounts and Euroclear cash accounts are accounts with the Euroclear Operator.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Terms and Conditions Governing Use of Euroclear and the related Operating Procedures of the Euroclear System, or the Euroclear Terms and Conditions, and applicable Belgian law govern securities clearance accounts and cash accounts with the Euroclear Operator. Specifically, these terms and conditions govern transfers of securities and cash within Euroclear, withdrawals of securities and cash from Euroclear, and receipt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8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Distributions with respect to interests in the global notes held beneficially through Euroclear will be credited to the cash accounts of Euroclear Participants in accordance with the Euroclear Terms and Conditions.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Clearance and Settlement Procedures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understand that investors that hold their notes through Clearstream or Euroclear accounts will follow the settlement procedures that are applicable to conventional eurobonds in registered form. Notes will be credited to the securities custody accounts of Clearstream Participants and Euroclear Participants on the business day following the settlement date, for value on the settlement date. They will be credited either free of payment or against payment for value on the settlement date.</w:t>
      </w:r>
    </w:p>
    <w:p>
      <w:pPr>
        <w:spacing w:after="0" w:line="180"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We understand that secondary market trading between Clearstream Participants and/or Euroclear Participants will occur in the ordinary way following the applicable rules and operating procedures of Clearstream and Euroclear. Secondary market trading will be settled using procedures applicable to conventional eurobonds in registered form.</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You should be aware that investors will only be able to make and receive deliveries, payments and other communications involving the notes through Clearstream and Euroclear on days when those systems are open for business. Those systems may not be open for business on days when banks, brokers and other institutions are open for business in the United States.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addition, because of time-zone differences, there may be problems with completing transactions involving Clearstream and Euroclear on the same business day as in the United States. U.S. investors who wish to transfer their interests in the notes, or to make or receive a payment or delivery of the notes, on a particular day, may find that the transactions will not be performed until the next business day in Luxembourg or Brussels, depending on whether Clearstream or Euroclear is used.</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Clearstream or Euroclear will credit payments to the cash accounts of Clearstream Participants or Euroclear Participants, as applicable, in accordance with the relevant system’s rules and procedures, to the extent received by its depositary. Clearstream or the Euroclear Operator, as the case may be, will take any other action permitted to be taken by a holder under the indenture on behalf of a Clearstream Participant or Euroclear Participant only in accordance with its relevant rules and procedures.</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Clearstream and Euroclear have agreed to the foregoing procedures in order to facilitate transfers of interests in the notes among participants of Clearstream and Euroclear. However, they are under no obligation to perform or continue to perform those procedures, and they may discontinue those procedures at any time.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Certificated Notes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If Clearstream or Euroclear is at any time unwilling or unable to continue as depositary, and a successor depositary is not appointed by us within 90 days, we will issue euro notes of like tenor in minimum denominations of €100,000 principal amount and integral multiples of €1,000 in excess thereof and sterling notes of like tenor in minimum denominations of £100,000 principal amount and integral multiples of £1,000 in excess thereof, in each case in definitive form in exchange for an applicable registered global note that had been held by the depositary. Any notes issued in definitive form in exchange for a registered global note will be registered in the name or names that the depositary gives to the trustee or other relevant agent of the trustee. It is expected that the depositary’s instructions will be based upon directions received by the depositary from participants with respect to ownership of beneficial interests in the applicable registered global note that had been held by the depositary. In addition, we may at any time determine that the notes of an applicable series shall no longer be represented by a global note and will issue notes in definitive form in exchange for such global note pursuant to the procedure described above.</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Same-Day Payment</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indenture requires payments to be made in respect of the applicable notes represented by the global notes (including principal, premium and interest) by wire transfer of immediately available funds to the accounts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specified by the holder thereof or, if no such account is specified, by mailing a check to such holder’s registered address.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Payments (including principal, premium and interest) and transfers with respect to notes in certificated form may be executed at the office or agency maintained for such purpose within the City of London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 The paying agent for the notes will initially be The Bank of New York Mellon, London Branch.</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080"/>
          </w:cols>
          <w:pgMar w:left="320" w:top="455"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the material U.S. federal income tax consequences of ownership and disposition of the notes. This discussion only applies to notes that meet all of the following conditions:</w:t>
      </w:r>
    </w:p>
    <w:p>
      <w:pPr>
        <w:spacing w:after="0" w:line="67" w:lineRule="exact"/>
        <w:rPr>
          <w:sz w:val="20"/>
          <w:szCs w:val="20"/>
          <w:color w:val="auto"/>
        </w:rPr>
      </w:pPr>
    </w:p>
    <w:p>
      <w:pPr>
        <w:jc w:val="both"/>
        <w:ind w:left="1080" w:right="12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beneficially owned by those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applicable series of notes is sold for money;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held as capital assets.</w:t>
      </w:r>
    </w:p>
    <w:p>
      <w:pPr>
        <w:spacing w:after="0" w:line="225"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This discussion does not describe all of the tax consequences that may be relevant to beneficial owners of notes in light of their particular circumstances or to beneficial owners of notes subject to special rules, such as:</w:t>
      </w:r>
    </w:p>
    <w:p>
      <w:pPr>
        <w:spacing w:after="0" w:line="67"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the alternative minimum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or foreign currencies using a mark-to-market method of tax accounting;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notes as part of a hedge, straddle or other integrated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classified as partnerships for U.S. federal income tax purposes;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for U.S. federal income tax purposes to conform the timing of income accruals with respect to the notes to their financial statements under Section 451 of the Code.</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classified as a partnership for U.S. federal income tax purposes holds notes, the tax treatment of a partner will generally depend upon the status of the partner and the activities of the partnership. A partner of a partnership holding notes is urged to consult his, her or its tax advisor.</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summary is based on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non-U.S. taxing jurisdiction.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for U.S.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herein, the term “U.S. Holder” means a beneficial owner of a note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of the District of Columbia;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080"/>
          </w:cols>
          <w:pgMar w:left="320" w:top="455"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of Interest</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Interest paid on a note will be taxable to a U.S. Holder as ordinary interest income at the time it accrues or is received in accordance with the U.S. Holder’s method of accounting for U.S. federal income tax purposes. It is expected, and this discussion assumes, that each series of the notes will be issued without original issue discount for U.S. federal income tax purposes.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 U.S. Holder that uses the cash method of accounting and that receives a payment of interest (or receives proceeds from a sale, exchange or other disposition attributable to accrued interest) in euro or GBP will be required to include in income the U.S. dollar value of the euro or GBP payment (determined based on the respective spot rate on the date the payment is received), and this U.S. dollar value will be the U.S. Holder’s tax basis in the euro or GBP received. Any such U.S. Holder generally will not recognize foreign currency gain or loss with respect to the receipt of interest payments.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 U.S. Holder that uses the accrual method of tax accounting will be required to include in income the U.S. dollar value of the amount of interest income that accrues with respect to a note during an accrual period. The U.S. dollar value of the accrued income will generally be determined by translating the income at the average rate of exchange for the accrual period or, with respect to an accrual period that spans two taxable years, at the average rate for the partial period within the relevant taxable year. A U.S. Holder that uses the accrual method of tax accounting may elect to translate interest income for an interest accrual period into U.S. dollars at the spot rate on the last day of the interest accrual period (or, in the case of a partial accrual period, the spot rate on the last day of the taxable year) or, if the date of receipt is within five business days of the last day of the interest accrual period, the spot rate on the date of receipt. A U.S. Holder that makes this election must apply it consistently to all debt instruments from year to year and cannot change the election without the consent of the Internal Revenue Service (the “IRS”).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 accrual method U.S. Holder will generally recognize any foreign currency gain or loss (which will be treated as U.S. source ordinary income or loss) with respect to accrued interest on the date the interest payment (or proceeds from a sale, exchange or other disposition attributable to accrued interest) is received. The amount of ordinary income or loss recognized will generally be equal to the difference between the U.S. dollar value of the euro or GBP payment received (determined based on the respective spot rate on the date the payment is received) in respect of the accrual period and the U.S. dollar value of interest income that has accrued during the accrual period (as determined above). The U.S. Holder’s tax basis in the euro or GBP received will generally be equal to its U.S. dollar value based on the respective spot rate on the date the payment is received. As discussed below under “—Sale, Exchange or Retirement of the Notes,” the amount of foreign currency gain or loss recognized with respect to accrued but unpaid interest upon a taxable disposition of a note may be limited by the total amount of gain or loss realized upon such disposition.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Exchange or Retirement of the Notes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U.S. Holder’s tax basis in a note will generally be the U.S. dollar value of the euro or GBP amount paid for the note, determined on the date of the purchase. A U.S. Holder who purchases a note with previously owned euro or GBP will generally recognize ordinary income or loss in an amount equal to the difference, if any, between such U.S. Holder’s tax basis in the euro or GBP and the U.S. dollar value of the note on the date of purchase. If a series of notes is traded on an established securities market (as determined under applicable regulations), a cash method taxpayer who buys a note of that series will have a tax basis in the note equal to the U.S. dollar value of the euro or GBP amount paid for the note, determined on the settlement date, and such a taxpayer will recognize ordinary income or loss on any previously owned euro or GBP based on such value. An accrual method taxpayer may elect the same treatment for all purchases (and sales, as discussed below) of notes traded on an established securities market. This election by accrual method taxpayers cannot be changed without the consent of the IRS.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Upon the sale, exchange or retirement of a note, a U.S. Holder will recognize taxable gain or loss equal to the difference between the amount realized on the sale, exchange or retirement and the U.S. Holder’s tax basis in the note. For these purposes, the amount realized does not include any amount attributable to accrued interest. Amounts attributable to accrued interest are treated as interest as described under “—Payments of Interest” above. If a note is sold, exchanged or otherwise disposed of in a taxable transaction for an amount denominated in euro or GBP, a U.S. Holder’s amount realized generally will be equal to the U.S. dollar value of the euro or GBP received in the sale, exchange or other taxable disposition calculated at the spot rate in effect on the date of the disposition. If a series of notes is traded on an established securities market (as determined under applicable regulations), a cash method taxpayer who buys or sells a note of that series is required to translate units of euro or GBP paid or received into U.S. dollars at the spot rate on the settlement date of the purchase or sale and an accrual method taxpayer may elect the same treatment for all purchases and sales of notes traded on an established securities market. This election by accrual method taxpayers cannot be changed without the consent of the IRS. Except to the extent of foreign currency gain or loss (as described below), gain or loss recognized on the sale, exchange or retirement of a note will generally be capital gain or loss and will be long-term capital gain or loss if at the time of the sale, exchange or retirement the note has been held by the U.S. Holder for more than one year. The deductibility of capital losses is subject to limitations under the Code.</w:t>
      </w:r>
    </w:p>
    <w:p>
      <w:pPr>
        <w:spacing w:after="0" w:line="190"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A U.S. Holder may recognize foreign currency gain or loss upon the sale, exchange or other taxable disposition of a note as a result of fluctuations in the euro-U.S. or GBP-U.S. dollar exchange rate. Gain or loss attributable to such fluctuations will be equal to the difference between (i) the U.S. dollar value of the U.S. Holder’s purchase price in euro or GBP of the note, determined using the spot rate on the date the note is disposed of, and</w:t>
      </w:r>
    </w:p>
    <w:p>
      <w:pPr>
        <w:spacing w:after="0" w:line="2" w:lineRule="exact"/>
        <w:rPr>
          <w:sz w:val="20"/>
          <w:szCs w:val="20"/>
          <w:color w:val="auto"/>
        </w:rPr>
      </w:pPr>
    </w:p>
    <w:p>
      <w:pPr>
        <w:ind w:left="120" w:right="20" w:hanging="4"/>
        <w:spacing w:after="0" w:line="251" w:lineRule="auto"/>
        <w:tabs>
          <w:tab w:leader="none" w:pos="3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dollar value of the U.S. Holder’s purchase price in euro or GBP of the note, determined using the spot rate on the date the U.S. Holder acquired the note (although if the notes are traded on an established securities market (as determined under applicable regulations), such gain or loss will, in the case of a cash method or electing accrual method taxpayer, be determined based on the spot rates on the settlement dates of such disposition and acquisition). The foreign currency gain or loss (together with any foreign currency gain or loss with respect to accrued but unpaid interest) will be recognized only to the extent of the total gain or loss realized by a U.S. Holder on the sale, exchange or other taxable disposition of the note. Any such gain or loss generally will be U.S. source ordinary income or loss. If a U.S. Holder recognizes a loss upon a sale, exchange or other taxable disposition of a note and such loss is above certain thresholds (which thresholds are, in the case of individuals and trusts, significantly lower for foreign currency losses than for other loss transactions), the U.S. Holder may be required to file a disclosure statement with the IRS. U.S. Holders should consult their tax advisors regarding this reporting obligation.</w:t>
      </w:r>
    </w:p>
    <w:p>
      <w:pPr>
        <w:spacing w:after="0" w:line="193"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A U.S. Holder will have a tax basis in any euro or GBP received on the sale, exchange or other taxable disposition of a note equal to the U.S. dollar value of the euro or GBP, determined on the date of receipt of the euro or GBP. Any gain or loss realized by a U.S. Holder on a sale or other taxable disposition of euro or GBP (including its exchange for U.S. dollars) will generally be treated as U.S. source ordinary income or loss.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Information returns generally will be filed with the IRS in connection with payments on the notes and the proceeds from a sale or other disposition of the notes. A U.S. Holder will be subject to backup withholding on these payments if the U.S. Holder fails to provide its correct taxpayer identification number to the applicable withholding agent and comply with certain certification procedures or otherwise establish an exemption from backup withholding. 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for Non-U.S.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herein, the term “Non-U.S. Holder” means a beneficial owner of a note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not a U.S. citizen and who is classified as a nonresident for U.S. federal income tax purposes;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estate or trust.</w:t>
      </w:r>
    </w:p>
    <w:p>
      <w:pPr>
        <w:spacing w:after="0" w:line="225"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term “Non-U.S. Holder” does not include a beneficial owner of a note who is an individual present in the United States for 183 days or more in the taxable year of disposition or a former citizen or former resident of the United States. Such a beneficial owner is urged to consult his or her own tax advisor regarding the U.S. federal income tax consequences of the sale, exchange or other disposition of a note.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on a Note</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Subject to the discussions below concerning backup withholding and FATCA (as defined below), payments of principal, premium, if any, and interest on the notes by us or any paying agent to a Non-U.S. Holder generally will not be subject to U.S. federal withholding tax, provided that, in the case of interest not effectively connected with the conduct of a trade or business in the United States:</w:t>
      </w:r>
    </w:p>
    <w:p>
      <w:pPr>
        <w:spacing w:after="0" w:line="81" w:lineRule="exact"/>
        <w:rPr>
          <w:sz w:val="20"/>
          <w:szCs w:val="20"/>
          <w:color w:val="auto"/>
        </w:rPr>
      </w:pPr>
    </w:p>
    <w:p>
      <w:pPr>
        <w:ind w:left="1080" w:right="40" w:hanging="424"/>
        <w:spacing w:after="0" w:line="312" w:lineRule="auto"/>
        <w:tabs>
          <w:tab w:leader="none" w:pos="10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Non-U.S. Holder does not own, actually or constructively, 10% or more of the total combined voting power of all classes of Comcast’s stock entitled to vote and is not a controlled foreign corporation related, directly or indirectly, to Comcast through stock ownership; and</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requirement described below has been fulfilled with respect to the beneficial owner, as discussed below.</w:t>
      </w:r>
    </w:p>
    <w:p>
      <w:pPr>
        <w:spacing w:after="0" w:line="225" w:lineRule="exact"/>
        <w:rPr>
          <w:sz w:val="20"/>
          <w:szCs w:val="20"/>
          <w:color w:val="auto"/>
        </w:rPr>
      </w:pPr>
    </w:p>
    <w:p>
      <w:pPr>
        <w:ind w:left="120" w:right="620" w:firstLine="440"/>
        <w:spacing w:after="0" w:line="312" w:lineRule="auto"/>
        <w:rPr>
          <w:sz w:val="20"/>
          <w:szCs w:val="20"/>
          <w:color w:val="auto"/>
        </w:rPr>
      </w:pPr>
      <w:r>
        <w:rPr>
          <w:rFonts w:ascii="Times New Roman" w:cs="Times New Roman" w:eastAsia="Times New Roman" w:hAnsi="Times New Roman"/>
          <w:sz w:val="17"/>
          <w:szCs w:val="17"/>
          <w:color w:val="auto"/>
        </w:rPr>
        <w:t>Interest on a note described above will not be exempt from withholding tax unless the beneficial owner of that note certifies on a properly executed IRS Form W-8BEN or W-8BEN-E (or successor form), as appropriate, under penalties of perjury, that it is not a U.S. person.</w:t>
      </w:r>
    </w:p>
    <w:p>
      <w:pPr>
        <w:spacing w:after="0" w:line="140"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If a Non-U.S. Holder is engaged in a trade or business in the United States, and if interest on a note is effectively connected with the conduct of such trade or business (and, if required by an applicable income tax treaty, is attributable to a U.S. permanent establishment or a fixed base of the Non-U.S. Holder), the Non-U.S. Holder will generally not be subject to the withholding discussed in the preceding paragraphs if a properly executed, applicable Form W-8 (generally an IRS Form W-8ECI) is provided to the applicable withholding agent.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Exchange, Redemption or Other Disposition of a Note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discussions below concerning backup withholding and FATCA, a Non-U.S. Holder will not be subject to U.S. federal income tax on gain recognized on the sale, exchange, redemption or other disposition of a note, unless the gain is effectively connected with the conduct by the Non-U.S. Holder of a trade or business in the United States.</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If a Non-U.S. Holder is engaged in a trade or business in the United States, and if gain recognized by the Non-U.S. Holder on a sale, exchange, redemption or other disposition of a note is effectively connected with the conduct of such trade or business, the Non-U.S. Holder will generally be taxed in the same manner as a U.S.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person, subject to an applicable income tax treaty providing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Information returns generally will be filed with the IRS in connection with interest payments on the notes. Unless a Non-U.S. Holder complies with certification procedures to establish that it is not a U.S. person, information returns may be filed with the IRS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provided that the required information is timely furnished to the IRS.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Provisions commonly referred to as “FATCA” generally impose withholding of 30% on payments of U.S.-source interest and, subject to the discussion of certain proposed U.S. Treasury regulations below,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under FATCA will apply to the applicable payments regardless of whether the recipient is a beneficial owner or acts as an intermediary with respect to such payments.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w:t>
      </w:r>
    </w:p>
    <w:p>
      <w:pPr>
        <w:spacing w:after="0" w:line="188"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U.S. Treasury Department has released proposed regulations which, if finalized in their present form, would eliminate FATCA withholding on the gross proceeds of a sale, exchange, redemption or other disposition of a note (other than amounts treated as interest). In the preamble to the proposed regulations, the U.S. Treasury Department indicated that taxpayers may rely on the proposed regulations until final regulations are issued.</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effects of FATCA on their investment in the notes. We will not pay additional amounts with respect to any withholding taxes imposed under FATCA.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intend to offer the notes through the underwriters named below. Subject to the terms and conditions contained in an underwriting agreement, we have agreed to sell to the underwriters and the underwriters severally and not jointly have agreed to purchase from us, the principal amount of the notes listed opposite their names below.</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 of Euro</w:t>
            </w:r>
          </w:p>
        </w:tc>
        <w:tc>
          <w:tcPr>
            <w:tcW w:w="70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 of Euro</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Notes Due 20</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Notes Due 20</w:t>
            </w:r>
          </w:p>
        </w:tc>
        <w:tc>
          <w:tcPr>
            <w:tcW w:w="700" w:type="dxa"/>
            <w:vAlign w:val="bottom"/>
          </w:tcPr>
          <w:p>
            <w:pPr>
              <w:spacing w:after="0"/>
              <w:rPr>
                <w:sz w:val="12"/>
                <w:szCs w:val="12"/>
                <w:color w:val="auto"/>
              </w:rPr>
            </w:pPr>
          </w:p>
        </w:tc>
        <w:tc>
          <w:tcPr>
            <w:tcW w:w="9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Sterling Notes</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660" w:type="dxa"/>
            <w:vAlign w:val="bottom"/>
            <w:vMerge w:val="restart"/>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24"/>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24"/>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203"/>
        </w:trPr>
        <w:tc>
          <w:tcPr>
            <w:tcW w:w="3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Barclays Bank PLC</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BNP Paribas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International plc</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8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several underwriters against certain liabilities, including liabilities under the Securities Act of 1933, as amended, or to contribute to payments the several underwriters may be required to make in respect of those liabilities.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It is expected that delivery of the notes will be made against payment therefor on or about         , 2024, which is the         business day following the date hereof (such settlement cycle being referred to as “T+        ”). Under Rule 15c6-1 under the Securities Exchange Act of 1934, as amended, trades in the secondary market generally are required to settle in one business day unless the parties to any such trade expressly agree otherwise. Accordingly, purchasers who wish to trade the notes prior to the business day preceding the settlement date will be required, by virtue of the fact that the notes initially will settle in T+        , to specify an alternative settlement cycle at the time of any such trade to prevent failed settlement and should consult their own advisors.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underwriters have advised us that they propose initially to offer the euro notes to the public at the public offering price on the cover page of</w:t>
      </w:r>
    </w:p>
    <w:p>
      <w:pPr>
        <w:spacing w:after="0" w:line="27" w:lineRule="exact"/>
        <w:rPr>
          <w:sz w:val="20"/>
          <w:szCs w:val="20"/>
          <w:color w:val="auto"/>
        </w:rPr>
      </w:pPr>
    </w:p>
    <w:p>
      <w:pPr>
        <w:ind w:left="120" w:right="20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to dealers at that price less a concession not in excess of         % and        % of the principal amount of the euro notes due 20  and the euro notes due 20  , respectively. The underwriters may allow, and the dealers may reallow, a discount not in excess of         % and         % of the principal amount of the euro notes due 20  and the euro notes due 20  , respectively, to other dealers. After the initial public offering, the public offering prices, concessions and discounts may be changed.</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080"/>
          </w:cols>
          <w:pgMar w:left="320" w:top="455"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they propose initially to offer the sterling notes to the public at the public offering price on the cover page of this prospectus supplement, and to dealers at that price less a concession not in excess of         % of the principal amount of the sterling notes. The underwriters may allow, and the dealers may reallow, a discount not in excess of         % of the principal amount of the sterling notes to other dealers. After the initial public offering, the public offering prices, concessions and discounts may be changed.</w:t>
      </w:r>
    </w:p>
    <w:p>
      <w:pPr>
        <w:sectPr>
          <w:pgSz w:w="11900" w:h="16838" w:orient="portrait"/>
          <w:cols w:equalWidth="0" w:num="1">
            <w:col w:w="11100"/>
          </w:cols>
          <w:pgMar w:left="320" w:top="455" w:right="479" w:bottom="1440" w:gutter="0" w:footer="0" w:header="0"/>
        </w:sectPr>
      </w:pP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The expenses of the offering, not including the underwriting discount, are estimated to be $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22" w:lineRule="exact"/>
        <w:rPr>
          <w:sz w:val="20"/>
          <w:szCs w:val="20"/>
          <w:color w:val="auto"/>
        </w:rPr>
      </w:pPr>
    </w:p>
    <w:p>
      <w:pPr>
        <w:sectPr>
          <w:pgSz w:w="11900" w:h="16838" w:orient="portrait"/>
          <w:cols w:equalWidth="0" w:num="4">
            <w:col w:w="7180" w:space="120"/>
            <w:col w:w="60" w:space="120"/>
            <w:col w:w="60" w:space="180"/>
            <w:col w:w="3380"/>
          </w:cols>
          <w:pgMar w:left="320" w:top="455" w:right="479" w:bottom="1440" w:gutter="0" w:footer="0" w:header="0"/>
          <w:type w:val="continuous"/>
        </w:sectPr>
      </w:pPr>
    </w:p>
    <w:p>
      <w:pPr>
        <w:spacing w:after="0" w:line="1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intend to apply to list the notes on the NASDAQ. The listing application will be subject to approval by the NASDAQ. If such a listing is obtained, we have no obligation to maintain such listing, and we may delist the notes at any time. Although the underwriters have informed us that they currently intend to make a market in the notes after we complete the offering, they have no obligation to do so and may discontinue making a market at any time without notice. We cannot assure you that liquid trading markets for the notes will develop, that you will be able to sell your notes at a particular time or that the price you receive when you sell will be favorable.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and Short Positions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8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260" w:firstLine="440"/>
        <w:spacing w:after="0" w:line="281" w:lineRule="auto"/>
        <w:rPr>
          <w:sz w:val="20"/>
          <w:szCs w:val="20"/>
          <w:color w:val="auto"/>
        </w:rPr>
      </w:pPr>
      <w:r>
        <w:rPr>
          <w:rFonts w:ascii="Times New Roman" w:cs="Times New Roman" w:eastAsia="Times New Roman" w:hAnsi="Times New Roman"/>
          <w:sz w:val="17"/>
          <w:szCs w:val="17"/>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 Furthermore, certain of the underwriters and their respective affiliates may, from time to time, enter into arms-length transactions with us in the ordinary course of their business.</w:t>
      </w:r>
    </w:p>
    <w:p>
      <w:pPr>
        <w:spacing w:after="0" w:line="16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our securities and instruments, including our outstanding debt. Therefore, since proceeds from this offering will be used to repay outstanding debt, certain of the underwriters and/or their respective affiliates may receive proceeds from this offering. Certain of the underwriters or their affiliates that have a lending relationship with us routinely hedge, and certain other of those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00"/>
          </w:cols>
          <w:pgMar w:left="320" w:top="455" w:right="47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any member state of the EEA will be made pursuant to an exemption under the Prospectus Regulation from the requirement to publish a prospectus for offers of notes. Accordingly, any person making or intending to make an offer in any member state of the EEA of securities which are the subject of the offering contemplated in this prospectus supplement may only do so in circumstances in which no obligation arises for the issuer or any underwriter to publish a prospectus pursuant to Article 3 of the Prospectus Regulation, in each case, in relation to such offer. This prospectus supplement is not a prospectus for the purposes of the Prospectus Regulation.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120" w:right="180" w:firstLine="44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(the “UK”). For these purposes, (a) a retail investor means a person who is one (or more) of: (i) a retail client, as defined in point (8) of Article 2 of Regulation (EU) No 2017/565 as it forms part of domestic law by virtue of the European Union (Withdrawal) Act 2018 (as amended, “EUWA”); (ii) a customer within the meaning of the provisions of the Financial Services and Markets Act 2000 (as amended, “FSMA”) and any rules or regulations made under the FSMA to implement Directive (EU) 2016/97, where that customer would not qualify as a professional client, as defined in point (8) of Article 2(1) of Regulation (EU) No 600/2014 as it forms part of domestic law by virtue of the EUWA; or</w:t>
      </w:r>
    </w:p>
    <w:p>
      <w:pPr>
        <w:spacing w:after="0" w:line="5" w:lineRule="exact"/>
        <w:rPr>
          <w:sz w:val="20"/>
          <w:szCs w:val="20"/>
          <w:color w:val="auto"/>
        </w:rPr>
      </w:pPr>
    </w:p>
    <w:p>
      <w:pPr>
        <w:ind w:left="120" w:hanging="4"/>
        <w:spacing w:after="0" w:line="252" w:lineRule="auto"/>
        <w:tabs>
          <w:tab w:leader="none" w:pos="4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Article 2 of Regulation (EU) 2017/1129 as it forms part of domestic law by virtue of the EUWA (the “UK Prospectus Regulation”); and (b)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9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the UK will be made pursuant to an exemption under the UK Prospectus Regulation from the requirement to publish a prospectus for offers of notes. Accordingly, any person making or intending to make an offer in the United Kingdom of securities which are the subject of the offering contemplated in this prospectus supplement may only do so in circumstances in which no obligation arises for the issuer or any underwriter to publish a prospectus pursuant to Article 3 of the UK Prospectus Regulation, in each case, in relation to such offer. This prospectus supplement is not a prospectus for the purposes of the UK Prospectus Regulation.</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notes may not be offered or sold by means of any document other than to persons whose ordinary business is to buy or sell shares or debentures, whether as principal or agent, or in circumstances that do not constitute an 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Korea</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notes may not be offered, sold and delivered directly or indirectly, or offered or sold to any person for reoffering or resale, directly or indirectly, in Korea or to any resident of Korea except pursuant to the applicable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laws and regulations of Korea, including the Korea Securities and Exchange Act and the Foreign Exchange Transaction Law and the decrees and regulations thereunder. The notes have not been and will not be registered with the Financial Services Commission of Korea for public offering in Korea. Furthermore, the notes may not be resold to Korean residents unless the purchaser of the notes complies with all applicable regulatory requirements (including but not limited to government approval requirements under the Foreign Exchange Transaction Law and its subordinate decrees and regulations) in connection with the purchase of the notes.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(as defined in Section 4A of the Securities and Futures Act 2001 of Singapore, as modified or amended from time to time (the “SFA”)) pursuant to Section 274 of the SFA, (ii) to a relevant person (as defined in Section 275(2) of the SFA) pursuant to Section 275(1A) of the SFA, and in accordance with the conditions specified in Section 275 of the SFA or (iii) otherwise pursuant to, and in accordance with the conditions of, any other applicable provision of the SFA.</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 (i) to an institutional investor or to a relevant person, or to any person arising from an offer referred to in Section 275(1A) or Section 276(4) (i)(B) of the SFA; (ii) where no consideration is or will be given for the transfer; (iii) where the transfer is by operation of law; (iv) as specified in Section 276(7) of the SFA; or (v) as specified in Regulation 37A of the Securities and Futures (Offers of Investments) (Securities and Securities-based Derivatives Contracts) Regulations 2018.</w:t>
      </w:r>
    </w:p>
    <w:p>
      <w:pPr>
        <w:spacing w:after="0" w:line="19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Singapore Securities and Futures Act Product Classification – Solely for the purposes of its obligations pursuant to Sections 309B(1)(a) and 309B(1)(c) of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is not intended to constitute an offer or solicitation to purchase or invest in the notes described herein.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United Arab Emirates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offering of the notes has not been approved or licensed by the UAE Central Bank, the UAE Securities and Commodities Authority (“SCA”), the Dubai Financial Services Authority (“DFSA”) or any other relevant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licensing authorities in the UAE, and the notes may not be offered to the public in the UAE (including the DIFC). This prospectus supplement is being issued to a limited number of institutional and individual investors:</w:t>
      </w:r>
    </w:p>
    <w:p>
      <w:pPr>
        <w:spacing w:after="0" w:line="67" w:lineRule="exact"/>
        <w:rPr>
          <w:sz w:val="20"/>
          <w:szCs w:val="20"/>
          <w:color w:val="auto"/>
        </w:rPr>
      </w:pPr>
    </w:p>
    <w:p>
      <w:pPr>
        <w:ind w:left="1300" w:right="20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meet the criteria of a “Qualified Investor” as defined in the SCA Board of Directors Decision No. 3 R.M. of 2017 (but excluding subparagraph 1(d) in the “Qualified Investor” definition relating to natural persons);</w:t>
      </w:r>
    </w:p>
    <w:p>
      <w:pPr>
        <w:spacing w:after="0" w:line="67"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their request and confirmation that they understand that the notes have not been approved or licensed by or registered with the UAE Central Bank, the SCA, DFSA or any other relevant licensing authorities or governmental agencies in the UAE; and</w:t>
      </w:r>
    </w:p>
    <w:p>
      <w:pPr>
        <w:spacing w:after="0" w:line="67"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their confirmation that they understand that the prospectus supplement must not be provided to any person other than the original recipient, and may not be reproduced or used for any other purpose.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Investors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purchaser and holder of the notes (or any interest therein) will be deemed to have represented by its purchase or holding of the notes that either (a) it is not, and its purchase and holding of the notes is not made on behalf of or with assets of, (i) an employee benefit plan that is subject to Title I of the Employee Retirement Income Security Act of 1974, as amended (“ERISA”), (ii) a plan, account or other arrangement that is subject to Section 4975 of the Internal Revenue Code of 1986, as amended (the “Code”), (iii) an entity whose underlying assets include the assets of any such employee benefit plan, plan, account or arrangement or (iv) a governmental, church or non-U.S. plan that is subject to any state, local or other federal law or non-U.S. law that is substantially similar to the provisions of Title I of ERISA or Section 4975 of the Code (“Similar Law”), or (b) its purchase, holding and subsequent disposition of the notes will not constitute or result in a non-exempt prohibited transaction under Section 406 of ERISA or Section 4975 of the Code or violate any Similar Law.</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Various legal matters relating to the offering will be passed upon for us by Elizabeth Wideman, Esquire, Senior Vice President, Senior Deputy General Counsel and Assistant Secretary of Comcast Corporation, Francis M. Buono, Esquire, Executive Vice President, Legal Regulatory Affairs and Senior Deputy General Counsel of Comcast Corporation, and by Davis Polk &amp; Wardwell LLP, New York, New York. Cahill Gordon &amp; Reindel LLP, New York, New York, is representing the underwriters.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Comcast Corporation as of December 31, 2023 and 2022, and for each of the three years in the period ended December 31, 2023, incorporated by reference in this Prospectus Supplement by reference to Comcast Corporation’s annual report on Form 10-K for the year ended December 31, 2023, and the effectiveness of Comcast Corporation’s internal control over financial reporting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217170</wp:posOffset>
            </wp:positionV>
            <wp:extent cx="1388745" cy="4883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38874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types of securities that may be offered and sold from time to time by Comcast Corporation or by selling security holders under this prospectus:</w:t>
      </w:r>
    </w:p>
    <w:p>
      <w:pPr>
        <w:sectPr>
          <w:pgSz w:w="11900" w:h="16838" w:orient="portrait"/>
          <w:cols w:equalWidth="0" w:num="1">
            <w:col w:w="11060"/>
          </w:cols>
          <w:pgMar w:left="320" w:top="455" w:right="519" w:bottom="1440" w:gutter="0" w:footer="0" w:header="0"/>
        </w:sectPr>
      </w:pP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•   Unsecured senior debt securities</w:t>
      </w:r>
    </w:p>
    <w:p>
      <w:pPr>
        <w:spacing w:after="0" w:line="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 Preferred stock</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 Warrants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 Depositary shares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 Purchase contracts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 Class A common stock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 Units</w:t>
      </w:r>
    </w:p>
    <w:p>
      <w:pPr>
        <w:spacing w:after="0" w:line="415" w:lineRule="exact"/>
        <w:rPr>
          <w:sz w:val="20"/>
          <w:szCs w:val="20"/>
          <w:color w:val="auto"/>
        </w:rPr>
      </w:pPr>
    </w:p>
    <w:p>
      <w:pPr>
        <w:sectPr>
          <w:pgSz w:w="11900" w:h="16838" w:orient="portrait"/>
          <w:cols w:equalWidth="0" w:num="2">
            <w:col w:w="5300" w:space="720"/>
            <w:col w:w="5040"/>
          </w:cols>
          <w:pgMar w:left="320" w:top="455" w:right="519" w:bottom="1440" w:gutter="0" w:footer="0" w:header="0"/>
          <w:type w:val="continuous"/>
        </w:sectPr>
      </w:pPr>
    </w:p>
    <w:p>
      <w:pPr>
        <w:spacing w:after="0" w:line="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indicated in the relevant prospectus supplement, the securities may be fully and unconditionally guaranteed by a number of our wholly owned subsidiaries named in this prospectus.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Class A common stock is quoted on the Nasdaq Global Select Market under the ticker symbol “CMCSA.” On July 28, 2022, the reported last sale price on the Nasdaq Global Select Market for our Class A common stock was $39.41.</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 Maturity</w:t>
            </w:r>
          </w:p>
        </w:tc>
        <w:tc>
          <w:tcPr>
            <w:tcW w:w="3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 Redemption terms</w:t>
            </w:r>
          </w:p>
        </w:tc>
        <w:tc>
          <w:tcPr>
            <w:tcW w:w="27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 Subsidiary guarantees</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 Dividends</w:t>
            </w:r>
          </w:p>
        </w:tc>
        <w:tc>
          <w:tcPr>
            <w:tcW w:w="3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 Liquidation amount</w:t>
            </w:r>
          </w:p>
        </w:tc>
        <w:tc>
          <w:tcPr>
            <w:tcW w:w="27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 Currency of payments</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 Conversion or exchange rights</w:t>
            </w:r>
          </w:p>
        </w:tc>
        <w:tc>
          <w:tcPr>
            <w:tcW w:w="3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 Sinking fund terms</w:t>
            </w:r>
          </w:p>
        </w:tc>
        <w:tc>
          <w:tcPr>
            <w:tcW w:w="2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6"/>
              </w:rPr>
              <w:t>•   Amount payable at maturity</w:t>
            </w: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 Interest rate</w:t>
            </w:r>
          </w:p>
        </w:tc>
        <w:tc>
          <w:tcPr>
            <w:tcW w:w="3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 Listing on a securities exchange</w:t>
            </w:r>
          </w:p>
        </w:tc>
        <w:tc>
          <w:tcPr>
            <w:tcW w:w="2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these securities involves certain risks. See “Item 1A—Risk Factors” beginning on page 22 of our Annual Report on Form 10-K for the fiscal year ended December 31, 2021, which is incorporated by reference herein.</w:t>
      </w:r>
    </w:p>
    <w:p>
      <w:pPr>
        <w:spacing w:after="0" w:line="155" w:lineRule="exact"/>
        <w:rPr>
          <w:sz w:val="20"/>
          <w:szCs w:val="20"/>
          <w:color w:val="auto"/>
        </w:rPr>
      </w:pPr>
    </w:p>
    <w:p>
      <w:pPr>
        <w:jc w:val="both"/>
        <w:ind w:left="120" w:right="5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Securities and Exchange Commission (the “SEC” or the “Commission”) and state securities regulators have not approved or disapproved of these securities, or determined if this prospectus is truthful or complete. Any representation to the contrary is a criminal offense.</w:t>
      </w:r>
    </w:p>
    <w:p>
      <w:pPr>
        <w:spacing w:after="0" w:line="175"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date of this prospectus is July 29, 2022</w:t>
      </w:r>
    </w:p>
    <w:p>
      <w:pPr>
        <w:sectPr>
          <w:pgSz w:w="11900" w:h="16838" w:orient="portrait"/>
          <w:cols w:equalWidth="0" w:num="1">
            <w:col w:w="11060"/>
          </w:cols>
          <w:pgMar w:left="320" w:top="455" w:right="51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90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6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440" w:type="dxa"/>
            <w:vAlign w:val="bottom"/>
            <w:gridSpan w:val="5"/>
            <w:vMerge w:val="restart"/>
          </w:tcPr>
          <w:p>
            <w:pPr>
              <w:spacing w:after="0"/>
              <w:rPr>
                <w:sz w:val="24"/>
                <w:szCs w:val="24"/>
                <w:color w:val="auto"/>
              </w:rPr>
            </w:pPr>
          </w:p>
        </w:tc>
        <w:tc>
          <w:tcPr>
            <w:tcW w:w="6560" w:type="dxa"/>
            <w:vAlign w:val="bottom"/>
          </w:tcPr>
          <w:p>
            <w:pPr>
              <w:spacing w:after="0"/>
              <w:rPr>
                <w:sz w:val="24"/>
                <w:szCs w:val="24"/>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1"/>
        </w:trPr>
        <w:tc>
          <w:tcPr>
            <w:tcW w:w="1640" w:type="dxa"/>
            <w:vAlign w:val="bottom"/>
            <w:tcBorders>
              <w:bottom w:val="single" w:sz="8" w:color="0000EE"/>
            </w:tcBorders>
            <w:gridSpan w:val="9"/>
            <w:vMerge w:val="continue"/>
          </w:tcPr>
          <w:p>
            <w:pPr>
              <w:spacing w:after="0"/>
              <w:rPr>
                <w:sz w:val="13"/>
                <w:szCs w:val="13"/>
                <w:color w:val="auto"/>
              </w:rPr>
            </w:pPr>
          </w:p>
        </w:tc>
        <w:tc>
          <w:tcPr>
            <w:tcW w:w="2440" w:type="dxa"/>
            <w:vAlign w:val="bottom"/>
            <w:gridSpan w:val="5"/>
            <w:vMerge w:val="continue"/>
          </w:tcPr>
          <w:p>
            <w:pPr>
              <w:spacing w:after="0"/>
              <w:rPr>
                <w:sz w:val="13"/>
                <w:szCs w:val="13"/>
                <w:color w:val="auto"/>
              </w:rPr>
            </w:pPr>
          </w:p>
        </w:tc>
        <w:tc>
          <w:tcPr>
            <w:tcW w:w="6560" w:type="dxa"/>
            <w:vAlign w:val="bottom"/>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The Companies</w:t>
            </w:r>
          </w:p>
        </w:tc>
        <w:tc>
          <w:tcPr>
            <w:tcW w:w="2940" w:type="dxa"/>
            <w:vAlign w:val="bottom"/>
            <w:gridSpan w:val="11"/>
          </w:tcPr>
          <w:p>
            <w:pPr>
              <w:spacing w:after="0"/>
              <w:rPr>
                <w:sz w:val="18"/>
                <w:szCs w:val="18"/>
                <w:color w:val="auto"/>
              </w:rPr>
            </w:pPr>
          </w:p>
        </w:tc>
        <w:tc>
          <w:tcPr>
            <w:tcW w:w="6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Caution Concerning Forward-Looking Statements</w:t>
            </w:r>
          </w:p>
        </w:tc>
        <w:tc>
          <w:tcPr>
            <w:tcW w:w="460" w:type="dxa"/>
            <w:vAlign w:val="bottom"/>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2900" w:type="dxa"/>
            <w:vAlign w:val="bottom"/>
            <w:gridSpan w:val="9"/>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 and Guarantees</w:t>
            </w:r>
          </w:p>
        </w:tc>
        <w:tc>
          <w:tcPr>
            <w:tcW w:w="700" w:type="dxa"/>
            <w:vAlign w:val="bottom"/>
            <w:gridSpan w:val="3"/>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Global Securities</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040" w:type="dxa"/>
            <w:vAlign w:val="bottom"/>
            <w:gridSpan w:val="4"/>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660" w:type="dxa"/>
            <w:vAlign w:val="bottom"/>
            <w:gridSpan w:val="7"/>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080" w:type="dxa"/>
            <w:vAlign w:val="bottom"/>
            <w:gridSpan w:val="12"/>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580" w:type="dxa"/>
            <w:vAlign w:val="bottom"/>
            <w:gridSpan w:val="8"/>
            <w:shd w:val="clear" w:color="auto" w:fill="0000EE"/>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360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Part II Information Not Required in Prospectus</w:t>
            </w:r>
          </w:p>
        </w:tc>
        <w:tc>
          <w:tcPr>
            <w:tcW w:w="480" w:type="dxa"/>
            <w:vAlign w:val="bottom"/>
            <w:gridSpan w:val="2"/>
          </w:tcPr>
          <w:p>
            <w:pPr>
              <w:spacing w:after="0"/>
              <w:rPr>
                <w:sz w:val="17"/>
                <w:szCs w:val="17"/>
                <w:color w:val="auto"/>
              </w:rPr>
            </w:pPr>
          </w:p>
        </w:tc>
        <w:tc>
          <w:tcPr>
            <w:tcW w:w="6560" w:type="dxa"/>
            <w:vAlign w:val="bottom"/>
          </w:tcPr>
          <w:p>
            <w:pPr>
              <w:spacing w:after="0"/>
              <w:rPr>
                <w:sz w:val="17"/>
                <w:szCs w:val="17"/>
                <w:color w:val="auto"/>
              </w:rPr>
            </w:pPr>
          </w:p>
        </w:tc>
        <w:tc>
          <w:tcPr>
            <w:tcW w:w="34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II-1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83"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We refer to Comcast Corporation in this prospectus as “Comcast,” and Comcast and its consolidated subsidiaries as “we,” “us,” “our” or comparable terms; Comcast Holdings Corporation as “Comcast Holdings” and Sky Limited and its consolidated subsidiaries as “Sky.” We refer to Comcast Cable Communications, LLC and its consolidated subsidiaries as “Comcast Cable,” NBCUniversal Media, LLC and its consolidated subsidiaries as “NBCUniversal,” and both of them collectively as the “Guarantors.”</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“Available Information.”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 global media and technology company with three primary businesses, Comcast Cable, NBCUniversal and Sky.</w:t>
      </w:r>
    </w:p>
    <w:p>
      <w:pPr>
        <w:spacing w:after="0" w:line="225"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We present our operations in five reportable business segments: (1) Comcast Cable in one reportable business segment, referred to as Cable Communications; (2) NBCUniversal in three reportable business segments: Media, Studios and Theme Parks (collectively, the “NBCUniversal segments”); and (3) Sky in one reportable business segment.</w:t>
      </w:r>
    </w:p>
    <w:p>
      <w:pPr>
        <w:spacing w:after="0" w:line="77" w:lineRule="exact"/>
        <w:rPr>
          <w:sz w:val="20"/>
          <w:szCs w:val="20"/>
          <w:color w:val="auto"/>
        </w:rPr>
      </w:pPr>
    </w:p>
    <w:p>
      <w:pPr>
        <w:ind w:left="1080" w:right="120" w:hanging="424"/>
        <w:spacing w:after="0" w:line="268"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Cable Communications: </w:t>
      </w:r>
      <w:r>
        <w:rPr>
          <w:rFonts w:ascii="Times New Roman" w:cs="Times New Roman" w:eastAsia="Times New Roman" w:hAnsi="Times New Roman"/>
          <w:sz w:val="18"/>
          <w:szCs w:val="18"/>
          <w:color w:val="auto"/>
        </w:rPr>
        <w:t>Consists of the operations of Comcast Cable, which is a leading provider of broadband, video, voice, wireless,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services to residential customers in the United States under the Xfinity brand; we also provide these and other services to business customers and sell advertising.</w:t>
      </w:r>
    </w:p>
    <w:p>
      <w:pPr>
        <w:spacing w:after="0" w:line="76" w:lineRule="exact"/>
        <w:rPr>
          <w:rFonts w:ascii="Times New Roman" w:cs="Times New Roman" w:eastAsia="Times New Roman" w:hAnsi="Times New Roman"/>
          <w:sz w:val="18"/>
          <w:szCs w:val="18"/>
          <w:color w:val="auto"/>
        </w:rPr>
      </w:pPr>
    </w:p>
    <w:p>
      <w:pPr>
        <w:jc w:val="both"/>
        <w:ind w:left="1080" w:right="320" w:hanging="424"/>
        <w:spacing w:after="0" w:line="317" w:lineRule="auto"/>
        <w:tabs>
          <w:tab w:leader="none" w:pos="10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Media: </w:t>
      </w:r>
      <w:r>
        <w:rPr>
          <w:rFonts w:ascii="Times New Roman" w:cs="Times New Roman" w:eastAsia="Times New Roman" w:hAnsi="Times New Roman"/>
          <w:sz w:val="17"/>
          <w:szCs w:val="17"/>
          <w:color w:val="auto"/>
        </w:rPr>
        <w:t>Consists primarily of NBCUniversal’s television and streaming platforms, including national, regional and international 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networks; the NBC and Telemundo broadcast networks, NBC and Telemundo owned local broadcast television stations; and Peacock.</w:t>
      </w:r>
    </w:p>
    <w:p>
      <w:pPr>
        <w:spacing w:after="0" w:line="37"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Studios: </w:t>
      </w:r>
      <w:r>
        <w:rPr>
          <w:rFonts w:ascii="Times New Roman" w:cs="Times New Roman" w:eastAsia="Times New Roman" w:hAnsi="Times New Roman"/>
          <w:sz w:val="18"/>
          <w:szCs w:val="18"/>
          <w:color w:val="auto"/>
        </w:rPr>
        <w:t>Consists primarily of NBCUniversal’s film and television studio production and distribution operations.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Theme Parks: </w:t>
      </w:r>
      <w:r>
        <w:rPr>
          <w:rFonts w:ascii="Times New Roman" w:cs="Times New Roman" w:eastAsia="Times New Roman" w:hAnsi="Times New Roman"/>
          <w:sz w:val="18"/>
          <w:szCs w:val="18"/>
          <w:color w:val="auto"/>
        </w:rPr>
        <w:t>Consists primarily of our Universal theme parks in Orlando, Florida; Hollywood, California; Osaka, Japan; and Beijing,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China.</w:t>
      </w:r>
    </w:p>
    <w:p>
      <w:pPr>
        <w:spacing w:after="0" w:line="60" w:lineRule="exact"/>
        <w:rPr>
          <w:rFonts w:ascii="Times New Roman" w:cs="Times New Roman" w:eastAsia="Times New Roman" w:hAnsi="Times New Roman"/>
          <w:sz w:val="18"/>
          <w:szCs w:val="18"/>
          <w:color w:val="auto"/>
        </w:rPr>
      </w:pPr>
    </w:p>
    <w:p>
      <w:pPr>
        <w:ind w:left="1080" w:right="120" w:hanging="424"/>
        <w:spacing w:after="0" w:line="268"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Sky: </w:t>
      </w:r>
      <w:r>
        <w:rPr>
          <w:rFonts w:ascii="Times New Roman" w:cs="Times New Roman" w:eastAsia="Times New Roman" w:hAnsi="Times New Roman"/>
          <w:sz w:val="18"/>
          <w:szCs w:val="18"/>
          <w:color w:val="auto"/>
        </w:rPr>
        <w:t>Consists of the operations of Sky, one of Europe’s leading entertainment companies, which primarily includes a direct-to-consumer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providing video, broadband, voice and wireless phone services, and a content business, operating entertainment networks, the Sky News broadcast network and Sky Sports networks.</w:t>
      </w:r>
    </w:p>
    <w:p>
      <w:pPr>
        <w:spacing w:after="0" w:line="17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other business interests consist primarily of the operations of Comcast Spectacor, which owns the Philadelphia Flyers and the Wells Fargo Center arena in Philadelphia, Pennsylvania, and other business initiatives.</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“Available Information” in this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Guarantors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w:t>
      </w:r>
    </w:p>
    <w:p>
      <w:pPr>
        <w:spacing w:after="0" w:line="131" w:lineRule="exact"/>
        <w:rPr>
          <w:sz w:val="20"/>
          <w:szCs w:val="20"/>
          <w:color w:val="auto"/>
        </w:rPr>
      </w:pPr>
    </w:p>
    <w:p>
      <w:pPr>
        <w:ind w:left="1080" w:right="2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Guarantor’s capital stock;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Guarantor.</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320" w:top="455" w:right="5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Comcast Cable Communications, LLC</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Comcast Cable, which was incorporated in 1981 as a Delaware corporation, became a Delaware limited liability company in 2003 and is an indirect wholly owned subsidiary of ours.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NBCUniversal Media, LLC</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principal executive offices of Comcast and Comcast Cable are located at One Comcast Center, Philadelphia, Pennsylvania 19103-2838, and our telephone number is (215) 286-1700.</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principal executive offices of NBCUniversal are located at 30 Rockefeller Plaza, New York, New York 10112-0015, and its telephone number is (212) 664-4444.</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We maintain a website at http://www.comcastcorporation.com where general information about us is available. We are not incorporating the contents of the website into this 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229"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 —Risk Factors” in our Annual Report on Form 10-K for the year ended December 31, 2021 incorporated herein by reference. Actual events or our actual results may differ materially from any of our forward-looking statements. We undertake no obligation to update any forward-looking statements.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businesses may be affected by, among other things, the following:</w:t>
      </w:r>
    </w:p>
    <w:p>
      <w:pPr>
        <w:spacing w:after="0" w:line="13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had, and may continue to have, a material adverse effect on our businesses and results of operations;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operate in highly competitive and dynamic industries, and our businesses and results of operations could be adversely affected if we do not compete effectively;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continue to adversely affect our businesses and challenge existing business models;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advertisers’ expenditures or changes in advertising markets could negatively impact our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programming expenses for our video services are increasing, which could adversely affect our Cable Communications’ video businesses;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programming distribution and licensing agreements, or the renewal of these agreements on less favorable terms, could adversely affect its businesses;</w:t>
      </w:r>
    </w:p>
    <w:p>
      <w:pPr>
        <w:spacing w:after="0" w:line="67" w:lineRule="exact"/>
        <w:rPr>
          <w:rFonts w:ascii="Times New Roman" w:cs="Times New Roman" w:eastAsia="Times New Roman" w:hAnsi="Times New Roman"/>
          <w:sz w:val="18"/>
          <w:szCs w:val="18"/>
          <w:color w:val="auto"/>
        </w:rPr>
      </w:pPr>
    </w:p>
    <w:p>
      <w:pPr>
        <w:jc w:val="both"/>
        <w:ind w:left="1080" w:right="680" w:hanging="424"/>
        <w:spacing w:after="0" w:line="312" w:lineRule="auto"/>
        <w:tabs>
          <w:tab w:leader="none" w:pos="10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favorable European telecommunications access regulations, the loss of Sky’s transmission access agreements with satellite or telecommunications providers or the renewal of these agreements on less favorable terms could adversely affect Sky’s businesses;</w:t>
      </w:r>
    </w:p>
    <w:p>
      <w:pPr>
        <w:spacing w:after="0" w:line="45" w:lineRule="exact"/>
        <w:rPr>
          <w:rFonts w:ascii="Times New Roman" w:cs="Times New Roman" w:eastAsia="Times New Roman" w:hAnsi="Times New Roman"/>
          <w:sz w:val="17"/>
          <w:szCs w:val="17"/>
          <w:color w:val="auto"/>
        </w:rPr>
      </w:pPr>
    </w:p>
    <w:p>
      <w:pPr>
        <w:ind w:left="1080" w:right="2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using and protecting certain intellectual property rights and on not infringing the intellectual property rights of others;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necessary hardware, software and operational support;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keeping pace with technological developments;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 attack, information or security breach, or technology disruption or failure may negatively impact our ability to conduct our business or result in the misuse of confidential information, all of which could adversely affect our business, reputation and results of operations;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may have a negative impact on our businesses;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including our acquisitions of Sky, and other strategic initiatives present many risks, and we may not realize the financial and strategic goals that we had contemplated;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relating to doing business internationally that could adversely affect our businesses;</w:t>
      </w:r>
    </w:p>
    <w:p>
      <w:pPr>
        <w:spacing w:after="0" w:line="130" w:lineRule="exact"/>
        <w:rPr>
          <w:rFonts w:ascii="Times New Roman" w:cs="Times New Roman" w:eastAsia="Times New Roman" w:hAnsi="Times New Roman"/>
          <w:sz w:val="18"/>
          <w:szCs w:val="18"/>
          <w:color w:val="auto"/>
        </w:rPr>
      </w:pPr>
    </w:p>
    <w:p>
      <w:pPr>
        <w:ind w:left="5580" w:right="140" w:hanging="4924"/>
        <w:spacing w:after="0" w:line="454" w:lineRule="auto"/>
        <w:tabs>
          <w:tab w:leader="none" w:pos="10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severe weather and other uncontrollable events could adversely affect our business, reputation and results of operations; 4</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management personnel or popular on-air and creative talent could have an adverse effect on our businesses;</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regulation by federal, state, local and foreign authorities, which impose additional costs and restrictions on our businesses;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litigation or governmental investigation results could require us to pay significant amounts or lead to onerous operating procedures;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whether involving employees or sports organizations, may disrupt our operations and adversely affect our businesses;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320" w:top="455" w:right="5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intend to pay quarterly dividends at an annualized rate currently of $1.08 per share, although each dividend is subject to approval by our Board of Directors. Our Board of Directors retains the right to change our dividend policy at any time.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 AND GUARANTEES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 and the second supplemental indenture dated as of July 29, 2022, entered into among us, the guarantors named therein and The Bank of New York Mellon, as trustee.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senior indenture is included as an exhibit to the registration statement of which this prospectus is a part.</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should look in the applicable prospectus supplement for the following terms of the debt securities being offered:</w:t>
      </w:r>
    </w:p>
    <w:p>
      <w:pPr>
        <w:spacing w:after="0" w:line="13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their principal amount (i.e., price) at which the debt securities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debt securities will mature and the right, if any, to extend such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if any, per year, at which the debt securities will bear interest, or the method of determining such rate or rates;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that extension;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payment of additional amounts for taxes and any provision for redemption, if we must pay such additional amounts in respect of any debt security;</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debt securities may be converted or exchanged for the cash value of other securities issued by us or by a third party;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“reopen” a series of the debt securities and issue additional debt securities of such series; and</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62"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section, the following terms have the meanings set forth below.</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“Aggregate Debt” means, with respect to an Obligor, the sum of the following as of the date of determination:</w:t>
      </w:r>
    </w:p>
    <w:p>
      <w:pPr>
        <w:spacing w:after="0" w:line="117" w:lineRule="exact"/>
        <w:rPr>
          <w:sz w:val="20"/>
          <w:szCs w:val="20"/>
          <w:color w:val="auto"/>
        </w:rPr>
      </w:pPr>
    </w:p>
    <w:p>
      <w:pPr>
        <w:ind w:left="120" w:right="460" w:firstLine="436"/>
        <w:spacing w:after="0" w:line="282" w:lineRule="auto"/>
        <w:tabs>
          <w:tab w:leader="none" w:pos="80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such Obligor’s Indebtedness incurred after the date of initial issuance of the senior debt securities and secured by Liens not permitted by the first sentence under “—Limitation on Liens Securing Indebtedness”; and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55" w:right="5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36"/>
        <w:spacing w:after="0" w:line="282" w:lineRule="auto"/>
        <w:tabs>
          <w:tab w:leader="none" w:pos="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Obligor’s Attributable Liens in respect of sale and lease-back transactions entered into after the date of the initial issuance of the senior debt securities pursuant to the second paragraph of “—Limitation on Sale and Lease-Back Transactions.”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“Attributable Liens” means in connection with a sale and lease-back transaction of an Obligor the lesser of:</w:t>
      </w:r>
    </w:p>
    <w:p>
      <w:pPr>
        <w:spacing w:after="0" w:line="225" w:lineRule="exact"/>
        <w:rPr>
          <w:sz w:val="20"/>
          <w:szCs w:val="20"/>
          <w:color w:val="auto"/>
        </w:rPr>
      </w:pPr>
    </w:p>
    <w:p>
      <w:pPr>
        <w:ind w:left="120" w:right="640" w:firstLine="436"/>
        <w:spacing w:after="0" w:line="282" w:lineRule="auto"/>
        <w:tabs>
          <w:tab w:leader="none" w:pos="80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assets subject to such transaction (as determined in good faith by our board of directors (in our case) or the equivalent governing body of any Guarantor); and</w:t>
      </w:r>
    </w:p>
    <w:p>
      <w:pPr>
        <w:spacing w:after="0" w:line="161" w:lineRule="exact"/>
        <w:rPr>
          <w:rFonts w:ascii="Times New Roman" w:cs="Times New Roman" w:eastAsia="Times New Roman" w:hAnsi="Times New Roman"/>
          <w:sz w:val="18"/>
          <w:szCs w:val="18"/>
          <w:color w:val="auto"/>
        </w:rPr>
      </w:pPr>
    </w:p>
    <w:p>
      <w:pPr>
        <w:ind w:left="120" w:right="160" w:firstLine="436"/>
        <w:spacing w:after="0" w:line="266" w:lineRule="auto"/>
        <w:tabs>
          <w:tab w:leader="none" w:pos="8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“Capital Lease”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“Consolidated Net Worth” of any Person means, as of any date of determination, stockholders’ equity or members’ capital of such Person as reflected on the most recent consolidated balance sheet of such Person and prepared in accordance with GAAP.</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“Indebtedness”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“Lien” means any lien, security interest, charge or encumbrance of any kind (including any conditional sale or other title retention agreement, any lease in the nature thereof, and any agreement to give any security interest).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“Obligor” means us and the Guarantors.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“Permitted Liens” means, with respect to an Obligor:</w:t>
      </w:r>
    </w:p>
    <w:p>
      <w:pPr>
        <w:spacing w:after="0" w:line="117" w:lineRule="exact"/>
        <w:rPr>
          <w:sz w:val="20"/>
          <w:szCs w:val="20"/>
          <w:color w:val="auto"/>
        </w:rPr>
      </w:pPr>
    </w:p>
    <w:p>
      <w:pPr>
        <w:ind w:left="120" w:right="80" w:firstLine="436"/>
        <w:spacing w:after="0" w:line="266" w:lineRule="auto"/>
        <w:tabs>
          <w:tab w:leader="none" w:pos="80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75" w:lineRule="exact"/>
        <w:rPr>
          <w:rFonts w:ascii="Times New Roman" w:cs="Times New Roman" w:eastAsia="Times New Roman" w:hAnsi="Times New Roman"/>
          <w:sz w:val="18"/>
          <w:szCs w:val="18"/>
          <w:color w:val="auto"/>
        </w:rPr>
      </w:pPr>
    </w:p>
    <w:p>
      <w:pPr>
        <w:ind w:left="120" w:firstLine="436"/>
        <w:spacing w:after="0" w:line="255"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88" w:lineRule="exact"/>
        <w:rPr>
          <w:rFonts w:ascii="Times New Roman" w:cs="Times New Roman" w:eastAsia="Times New Roman" w:hAnsi="Times New Roman"/>
          <w:sz w:val="18"/>
          <w:szCs w:val="18"/>
          <w:color w:val="auto"/>
        </w:rPr>
      </w:pPr>
    </w:p>
    <w:p>
      <w:pPr>
        <w:ind w:left="120" w:right="580" w:firstLine="436"/>
        <w:spacing w:after="0" w:line="282" w:lineRule="auto"/>
        <w:tabs>
          <w:tab w:leader="none" w:pos="80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161" w:lineRule="exact"/>
        <w:rPr>
          <w:rFonts w:ascii="Times New Roman" w:cs="Times New Roman" w:eastAsia="Times New Roman" w:hAnsi="Times New Roman"/>
          <w:sz w:val="18"/>
          <w:szCs w:val="18"/>
          <w:color w:val="auto"/>
        </w:rPr>
      </w:pPr>
    </w:p>
    <w:p>
      <w:pPr>
        <w:ind w:left="120" w:right="180" w:firstLine="436"/>
        <w:spacing w:after="0" w:line="282"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61" w:lineRule="exact"/>
        <w:rPr>
          <w:rFonts w:ascii="Times New Roman" w:cs="Times New Roman" w:eastAsia="Times New Roman" w:hAnsi="Times New Roman"/>
          <w:sz w:val="18"/>
          <w:szCs w:val="18"/>
          <w:color w:val="auto"/>
        </w:rPr>
      </w:pPr>
    </w:p>
    <w:p>
      <w:pPr>
        <w:ind w:left="120" w:right="120" w:firstLine="436"/>
        <w:spacing w:after="0" w:line="282" w:lineRule="auto"/>
        <w:tabs>
          <w:tab w:leader="none" w:pos="80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reimbursement obligations with respect to letters of credit that encumber documents and other Property relating to such letters of credit and the products and proceeds thereof;</w:t>
      </w:r>
    </w:p>
    <w:p>
      <w:pPr>
        <w:spacing w:after="0" w:line="161" w:lineRule="exact"/>
        <w:rPr>
          <w:rFonts w:ascii="Times New Roman" w:cs="Times New Roman" w:eastAsia="Times New Roman" w:hAnsi="Times New Roman"/>
          <w:sz w:val="18"/>
          <w:szCs w:val="18"/>
          <w:color w:val="auto"/>
        </w:rPr>
      </w:pPr>
    </w:p>
    <w:p>
      <w:pPr>
        <w:ind w:left="120" w:right="120" w:firstLine="436"/>
        <w:spacing w:after="0" w:line="266" w:lineRule="auto"/>
        <w:tabs>
          <w:tab w:leader="none" w:pos="7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us or any Guarantor;</w:t>
      </w:r>
    </w:p>
    <w:p>
      <w:pPr>
        <w:spacing w:after="0" w:line="225" w:lineRule="exact"/>
        <w:rPr>
          <w:rFonts w:ascii="Times New Roman" w:cs="Times New Roman" w:eastAsia="Times New Roman" w:hAnsi="Times New Roman"/>
          <w:sz w:val="18"/>
          <w:szCs w:val="18"/>
          <w:color w:val="auto"/>
        </w:rPr>
      </w:pPr>
    </w:p>
    <w:p>
      <w:pPr>
        <w:ind w:left="120" w:right="60" w:firstLine="436"/>
        <w:spacing w:after="0" w:line="266"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75" w:lineRule="exact"/>
        <w:rPr>
          <w:rFonts w:ascii="Times New Roman" w:cs="Times New Roman" w:eastAsia="Times New Roman" w:hAnsi="Times New Roman"/>
          <w:sz w:val="18"/>
          <w:szCs w:val="18"/>
          <w:color w:val="auto"/>
        </w:rPr>
      </w:pPr>
    </w:p>
    <w:p>
      <w:pPr>
        <w:ind w:left="120" w:right="260" w:firstLine="436"/>
        <w:spacing w:after="0" w:line="282" w:lineRule="auto"/>
        <w:tabs>
          <w:tab w:leader="none" w:pos="7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61" w:lineRule="exact"/>
        <w:rPr>
          <w:rFonts w:ascii="Times New Roman" w:cs="Times New Roman" w:eastAsia="Times New Roman" w:hAnsi="Times New Roman"/>
          <w:sz w:val="18"/>
          <w:szCs w:val="18"/>
          <w:color w:val="auto"/>
        </w:rPr>
      </w:pPr>
    </w:p>
    <w:p>
      <w:pPr>
        <w:ind w:left="120" w:right="500" w:firstLine="436"/>
        <w:spacing w:after="0" w:line="282" w:lineRule="auto"/>
        <w:tabs>
          <w:tab w:leader="none" w:pos="7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61" w:lineRule="exact"/>
        <w:rPr>
          <w:rFonts w:ascii="Times New Roman" w:cs="Times New Roman" w:eastAsia="Times New Roman" w:hAnsi="Times New Roman"/>
          <w:sz w:val="18"/>
          <w:szCs w:val="18"/>
          <w:color w:val="auto"/>
        </w:rPr>
      </w:pPr>
    </w:p>
    <w:p>
      <w:pPr>
        <w:ind w:left="120" w:right="60" w:firstLine="436"/>
        <w:spacing w:after="0" w:line="266"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pledges or deposits of Property to secure performance in connection with operating leases made in the ordinary course of business to which such Obligor is a party as lessee, provided that the aggregate value of all such pledges and deposits in connection with any such lease does not at any time exceed 16 2/3% of the annual fixed rentals payable under such lease;</w:t>
      </w:r>
    </w:p>
    <w:p>
      <w:pPr>
        <w:spacing w:after="0" w:line="175" w:lineRule="exact"/>
        <w:rPr>
          <w:rFonts w:ascii="Times New Roman" w:cs="Times New Roman" w:eastAsia="Times New Roman" w:hAnsi="Times New Roman"/>
          <w:sz w:val="18"/>
          <w:szCs w:val="18"/>
          <w:color w:val="auto"/>
        </w:rPr>
      </w:pPr>
    </w:p>
    <w:p>
      <w:pPr>
        <w:ind w:left="780" w:hanging="224"/>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20" w:firstLine="436"/>
        <w:spacing w:after="0" w:line="282" w:lineRule="auto"/>
        <w:tabs>
          <w:tab w:leader="none" w:pos="8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53"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“margin stock” (as defined in Regulation U of the Board of Governors of the Federal Reserve System);</w:t>
      </w:r>
    </w:p>
    <w:p>
      <w:pPr>
        <w:spacing w:after="0" w:line="117" w:lineRule="exact"/>
        <w:rPr>
          <w:rFonts w:ascii="Times New Roman" w:cs="Times New Roman" w:eastAsia="Times New Roman" w:hAnsi="Times New Roman"/>
          <w:sz w:val="18"/>
          <w:szCs w:val="18"/>
          <w:color w:val="auto"/>
        </w:rPr>
      </w:pPr>
    </w:p>
    <w:p>
      <w:pPr>
        <w:ind w:left="120" w:right="260" w:firstLine="436"/>
        <w:spacing w:after="0" w:line="282" w:lineRule="auto"/>
        <w:tabs>
          <w:tab w:leader="none" w:pos="8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permitted under sale and lease-back transactions, and any renewals or extensions thereof, so long as the Indebtedness secured thereby does not exceed $300,000,000 in the aggregate;</w:t>
      </w:r>
    </w:p>
    <w:p>
      <w:pPr>
        <w:spacing w:after="0" w:line="53" w:lineRule="exact"/>
        <w:rPr>
          <w:rFonts w:ascii="Times New Roman" w:cs="Times New Roman" w:eastAsia="Times New Roman" w:hAnsi="Times New Roman"/>
          <w:sz w:val="18"/>
          <w:szCs w:val="18"/>
          <w:color w:val="auto"/>
        </w:rPr>
      </w:pPr>
    </w:p>
    <w:p>
      <w:pPr>
        <w:ind w:left="120" w:right="200" w:firstLine="436"/>
        <w:spacing w:after="0" w:line="282" w:lineRule="auto"/>
        <w:tabs>
          <w:tab w:leader="none" w:pos="8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53" w:lineRule="exact"/>
        <w:rPr>
          <w:rFonts w:ascii="Times New Roman" w:cs="Times New Roman" w:eastAsia="Times New Roman" w:hAnsi="Times New Roman"/>
          <w:sz w:val="18"/>
          <w:szCs w:val="18"/>
          <w:color w:val="auto"/>
        </w:rPr>
      </w:pPr>
    </w:p>
    <w:p>
      <w:pPr>
        <w:ind w:left="120" w:right="300" w:firstLine="436"/>
        <w:spacing w:after="0" w:line="266" w:lineRule="auto"/>
        <w:tabs>
          <w:tab w:leader="none" w:pos="8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67" w:lineRule="exact"/>
        <w:rPr>
          <w:rFonts w:ascii="Times New Roman" w:cs="Times New Roman" w:eastAsia="Times New Roman" w:hAnsi="Times New Roman"/>
          <w:sz w:val="18"/>
          <w:szCs w:val="18"/>
          <w:color w:val="auto"/>
        </w:rPr>
      </w:pPr>
    </w:p>
    <w:p>
      <w:pPr>
        <w:ind w:left="120" w:right="140" w:firstLine="436"/>
        <w:spacing w:after="0" w:line="266" w:lineRule="auto"/>
        <w:tabs>
          <w:tab w:leader="none" w:pos="7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67"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Take-or-pay obligations arising in the ordinary course of business.</w:t>
      </w:r>
    </w:p>
    <w:p>
      <w:pPr>
        <w:spacing w:after="0" w:line="225"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“Person”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“Property” means with respect to any Person any property or asset, whether real, personal or mixed, or tangible or intangible, including shares of capital stock.</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“Subsidiary”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Terms of the Senior Debt Securities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w:t>
      </w:r>
    </w:p>
    <w:p>
      <w:pPr>
        <w:spacing w:after="0" w:line="131" w:lineRule="exact"/>
        <w:rPr>
          <w:sz w:val="20"/>
          <w:szCs w:val="20"/>
          <w:color w:val="auto"/>
        </w:rPr>
      </w:pPr>
    </w:p>
    <w:p>
      <w:pPr>
        <w:ind w:left="1080" w:right="3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Guarantor’s capital stock,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Guarantor.</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and the Guarantors have agreed to some restrictions on our activities for the benefit of holders of all series of senior debt securities issued under the senior indenture. The restrictive covenants summarized below</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will apply, unless the covenants are waived or amended, so long as any of the senior debt securities are outstanding.</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 Securing Indebtedness.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With respect to the senior debt securities of each series, each Obligor will covenant under the senior indenture 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85"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as of the date of initial issuance of the senior debt securities of such series;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after the date of initial issuance of the senior debt securities of such series, created in favor of the registered holders of the senior debt securities of such series;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58"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 and Lease-Back Transactions.</w:t>
      </w:r>
    </w:p>
    <w:p>
      <w:pPr>
        <w:spacing w:after="0" w:line="121" w:lineRule="exact"/>
        <w:rPr>
          <w:sz w:val="20"/>
          <w:szCs w:val="20"/>
          <w:color w:val="auto"/>
        </w:rPr>
      </w:pPr>
    </w:p>
    <w:p>
      <w:pPr>
        <w:jc w:val="both"/>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With respect to the senior debt securities of each series, each Obligor will covenant under the senior indenture not to enter into any sale and lease-back transaction for the sale and leasing back of any Property, whether owned at the time the senior indenture is executed or acquired afterward, unless:</w:t>
      </w:r>
    </w:p>
    <w:p>
      <w:pPr>
        <w:spacing w:after="0" w:line="45"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entered into prior to the date of the initial issuance of the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for the sale and leasing back to such Obligor of any Property by one of its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involves a lease for less than three years;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 would be entitled to incur Indebtedness secured by a mortgage on the Property to be leased in an amount equal to the Attributable Liens with respect to such sale and lease-back transaction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360"/>
        <w:spacing w:after="0" w:line="282" w:lineRule="auto"/>
        <w:rPr>
          <w:sz w:val="20"/>
          <w:szCs w:val="20"/>
          <w:color w:val="auto"/>
        </w:rPr>
      </w:pPr>
      <w:r>
        <w:rPr>
          <w:rFonts w:ascii="Times New Roman" w:cs="Times New Roman" w:eastAsia="Times New Roman" w:hAnsi="Times New Roman"/>
          <w:sz w:val="18"/>
          <w:szCs w:val="18"/>
          <w:color w:val="auto"/>
        </w:rPr>
        <w:t>without equally and ratably securing the senior debt securities of such series pursuant to the first paragraph of “—Limitation on Liens Securing Indebtedness” above; or</w:t>
      </w:r>
    </w:p>
    <w:p>
      <w:pPr>
        <w:spacing w:after="0" w:line="67" w:lineRule="exact"/>
        <w:rPr>
          <w:sz w:val="20"/>
          <w:szCs w:val="20"/>
          <w:color w:val="auto"/>
        </w:rPr>
      </w:pPr>
    </w:p>
    <w:p>
      <w:pPr>
        <w:ind w:left="108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Consolidation, Merger and Sale of Assets.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not consolidate or combine with or merge with or into or, directly or indirectly, sell, assign, convey, 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81" w:lineRule="exact"/>
        <w:rPr>
          <w:sz w:val="20"/>
          <w:szCs w:val="20"/>
          <w:color w:val="auto"/>
        </w:rPr>
      </w:pPr>
    </w:p>
    <w:p>
      <w:pPr>
        <w:ind w:left="1080" w:right="14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81"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or series of transactions on a pro forma basis, no default has occurred and is continuing;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restrictions in the third bullet above shall not be applicable to:</w:t>
      </w:r>
    </w:p>
    <w:p>
      <w:pPr>
        <w:spacing w:after="0" w:line="131" w:lineRule="exact"/>
        <w:rPr>
          <w:sz w:val="20"/>
          <w:szCs w:val="20"/>
          <w:color w:val="auto"/>
        </w:rPr>
      </w:pPr>
    </w:p>
    <w:p>
      <w:pPr>
        <w:ind w:left="1080" w:right="10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67"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us, and may exercise every right and power of ours under the indenture with the same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55"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effect 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Existence.</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Except as permitted under “—Consolidation, Merger and Sale of Assets,” the indenture requires us to do or cause to be done all things 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Information.</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will furnish to the trustee any document or report we are required to file with the SEC pursuant to Section 13 or Section 15(d) of the 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following will constitute an event of default in the senior indenture with respect to the senior debt securities of any series: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default in paying interest on the senior debt securities of such series when it becomes due and the default continues for a period of 30 days 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more;</w:t>
      </w:r>
    </w:p>
    <w:p>
      <w:pPr>
        <w:spacing w:after="0" w:line="207" w:lineRule="exact"/>
        <w:rPr>
          <w:sz w:val="20"/>
          <w:szCs w:val="20"/>
          <w:color w:val="auto"/>
        </w:rPr>
      </w:pPr>
    </w:p>
    <w:p>
      <w:pPr>
        <w:ind w:left="820" w:hanging="264"/>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paying principal on the senior debt securities of such series when due;</w:t>
      </w:r>
    </w:p>
    <w:p>
      <w:pPr>
        <w:spacing w:after="0" w:line="225" w:lineRule="exact"/>
        <w:rPr>
          <w:rFonts w:ascii="Times New Roman" w:cs="Times New Roman" w:eastAsia="Times New Roman" w:hAnsi="Times New Roman"/>
          <w:sz w:val="18"/>
          <w:szCs w:val="18"/>
          <w:color w:val="auto"/>
        </w:rPr>
      </w:pPr>
    </w:p>
    <w:p>
      <w:pPr>
        <w:jc w:val="both"/>
        <w:ind w:left="120" w:right="40" w:firstLine="436"/>
        <w:spacing w:after="0" w:line="261" w:lineRule="auto"/>
        <w:tabs>
          <w:tab w:leader="none" w:pos="8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79"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events of bankruptcy, insolvency, reorganization, administration or similar proceedings with respect to us or any Obligor have occurred;</w:t>
      </w:r>
    </w:p>
    <w:p>
      <w:pPr>
        <w:spacing w:after="0" w:line="38"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w:t>
      </w:r>
    </w:p>
    <w:p>
      <w:pPr>
        <w:spacing w:after="0" w:line="206" w:lineRule="exact"/>
        <w:rPr>
          <w:rFonts w:ascii="Times New Roman" w:cs="Times New Roman" w:eastAsia="Times New Roman" w:hAnsi="Times New Roman"/>
          <w:sz w:val="17"/>
          <w:szCs w:val="17"/>
          <w:color w:val="auto"/>
        </w:rPr>
      </w:pPr>
    </w:p>
    <w:p>
      <w:pPr>
        <w:ind w:left="800" w:hanging="244"/>
        <w:spacing w:after="0"/>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shall not be (or shall be claimed by the relevant Guarantor not to be) in full force and effect.</w:t>
      </w:r>
    </w:p>
    <w:p>
      <w:pPr>
        <w:spacing w:after="0" w:line="225" w:lineRule="exact"/>
        <w:rPr>
          <w:sz w:val="20"/>
          <w:szCs w:val="20"/>
          <w:color w:val="auto"/>
        </w:rPr>
      </w:pPr>
    </w:p>
    <w:p>
      <w:pPr>
        <w:jc w:val="both"/>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6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80"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9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furnish to the trustee an annual statement as to compliance with all conditions and covenants under the senior indenture within 120 days of the end of each fiscal year.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Discharge and Defeasance</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may terminate our obligations and the obligations of the Guarantors under the indenture with respect to the senior debt securities of any series and the Guarantees of such series of senior debt securities, when:</w:t>
      </w:r>
    </w:p>
    <w:p>
      <w:pPr>
        <w:spacing w:after="0" w:line="67"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senior debt securities of such series that have been authenticated and delivered have been canceled or delivered to the trustee for cancellation; or</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258"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88"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then due and payable under the indenture with respect to the senior debt securities of such series; and</w:t>
      </w:r>
    </w:p>
    <w:p>
      <w:pPr>
        <w:spacing w:after="0" w:line="67" w:lineRule="exact"/>
        <w:rPr>
          <w:rFonts w:ascii="Times New Roman" w:cs="Times New Roman" w:eastAsia="Times New Roman" w:hAnsi="Times New Roman"/>
          <w:sz w:val="18"/>
          <w:szCs w:val="18"/>
          <w:color w:val="auto"/>
        </w:rPr>
      </w:pPr>
    </w:p>
    <w:p>
      <w:pPr>
        <w:jc w:val="both"/>
        <w:ind w:left="1080" w:right="48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8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the senior debt securities of such series to receive principal or interest when due;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 the provisions relating to the resignation and removal of the trustee and the appointment of a successor trustee;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“—Events of Default” will no longer constitute an event of default for that series.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 with respect to outstanding senior debt securities and Guarantees of any series:</w:t>
      </w:r>
    </w:p>
    <w:p>
      <w:pPr>
        <w:spacing w:after="0" w:line="131" w:lineRule="exact"/>
        <w:rPr>
          <w:sz w:val="20"/>
          <w:szCs w:val="20"/>
          <w:color w:val="auto"/>
        </w:rPr>
      </w:pPr>
    </w:p>
    <w:p>
      <w:pPr>
        <w:ind w:left="1080" w:hanging="424"/>
        <w:spacing w:after="0" w:line="312" w:lineRule="auto"/>
        <w:tabs>
          <w:tab w:leader="none" w:pos="10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Obligations (measured with respect to the scheduled payments of principal and interest thereon);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cash and U.S. Government Obligations;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85" w:lineRule="exact"/>
        <w:rPr>
          <w:sz w:val="20"/>
          <w:szCs w:val="20"/>
          <w:color w:val="auto"/>
        </w:rPr>
      </w:pPr>
    </w:p>
    <w:p>
      <w:pPr>
        <w:ind w:left="1080" w:right="80" w:hanging="424"/>
        <w:spacing w:after="0" w:line="261"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we have delivered to the trustee an opinion of counsel stating that, as a result of an Internal Revenue Service (“IRS”) ruling or a change in applicable federal income tax law, 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85"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85"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88"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guarantees or any other material agreement or instrument to which we are a party;</w:t>
      </w:r>
    </w:p>
    <w:p>
      <w:pPr>
        <w:spacing w:after="0" w:line="81"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Modification and Waiver</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the Guarantors and the trustee may amend or modify the senior indenture or the senior debt securities of any series without notice to or the consent of any holder in order to:</w:t>
      </w:r>
    </w:p>
    <w:p>
      <w:pPr>
        <w:spacing w:after="0" w:line="67" w:lineRule="exact"/>
        <w:rPr>
          <w:sz w:val="20"/>
          <w:szCs w:val="20"/>
          <w:color w:val="auto"/>
        </w:rPr>
      </w:pPr>
    </w:p>
    <w:p>
      <w:pPr>
        <w:ind w:left="1080" w:right="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ambiguities, omissions, defects or inconsistencies in the senior indenture in a manner that does not adversely affect the interests of the holders in any material respect;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would provide any additional rights or benefits to the holders of the senior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or add guarantors with respect to the senior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senior debt securities of any series;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320" w:top="455" w:right="5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 or terms of senior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senior debt securities in addition to or in place of certificated senior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of appointment by a successor trustee;</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the indenture under the Trust Indenture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any provision in the indenture to this “Description of Debt Securities and Guarantees”;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holder in any material respect.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94" w:lineRule="exact"/>
        <w:rPr>
          <w:sz w:val="20"/>
          <w:szCs w:val="20"/>
          <w:color w:val="auto"/>
        </w:rPr>
      </w:pPr>
    </w:p>
    <w:p>
      <w:pPr>
        <w:ind w:left="1080" w:right="4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or extend the fixed maturity, of the senior debt securities of such series or alter or waive the redemption provisions of the senior debt securities of such series;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in which principal, any premium or interest is paid;</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outstanding of senior debt securities of such series which must consent to an amendment, supplement or waiver or consent to take any 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the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payment default with respect to the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interest rate or extend the time for payment of interest on the senior debt securities of such series;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ranking of the senior debt securities of such series.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 Personal Liability of Incorporators, Stockholders, Officers, Directors, or Employees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Concerning the Trustee</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senior indenture, including any Guarantee, and each senior debt security is governed by and construed in accordance with the laws of the State of New York.</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Trustee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have normal banking relationships with the trustee under the senior indenture in the ordinary course of business.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Convertible Debt Securities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5"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8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87"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60"/>
          </w:cols>
          <w:pgMar w:left="320" w:top="455" w:right="5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Subject to the preferential rights of any preferred stock then outstanding, holders of our Class A common stock and Class B common stock are entitled to receive, from time to time, when, as and if declared, in the discretion of our Board of Directors, such cash dividends as our Board of Directors may from time to time determine, out of such funds as are legally available therefor, in proportion to the number of shares held by them, respectively, without regard to class.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Holders of our Class A common stock and Class B common stock will also be entitled to receive, from time to time, when, as and if declared by our Board of Directors, such dividends of our stock or other property as our Board of Directors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intend to pay quarterly dividends at an annualized rate currently of $1.08 per share, although each dividend is subject to approval by our Board of Directors. See “Dividend Policy”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a general matter, on all matters submitted for a vote to holders of all classes of our voting stock, holders of our Class A common 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Approval Rights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articles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of incorporation or by-law amendments (such as an amendment to the articles of incorporation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Shareholder</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Brian L. Roberts, our Chairman, Chief Executive Officer and President, beneficially owns all outstanding shares of our Class B common stock, which has a nondilutable 33 1/3%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of June 30, 2022, if Mr. Roberts were to convert the Class B common stock he beneficially owns into Class A common stock, Mr. Roberts would beneficially own approximately 1% of the Class A common stock that would be outstanding after the conversion.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of Class B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Class B common stock is convertible share for share into Class A common stock, subject to certain restrictions.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Preference on Liquidation</w:t>
      </w:r>
    </w:p>
    <w:p>
      <w:pPr>
        <w:spacing w:after="0" w:line="121"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Mergers, Consolidations, Etc.</w:t>
      </w:r>
    </w:p>
    <w:p>
      <w:pPr>
        <w:spacing w:after="0" w:line="121" w:lineRule="exact"/>
        <w:rPr>
          <w:sz w:val="20"/>
          <w:szCs w:val="20"/>
          <w:color w:val="auto"/>
        </w:rPr>
      </w:pPr>
    </w:p>
    <w:p>
      <w:pPr>
        <w:jc w:val="both"/>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Our articles of incorporation provide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Equiniti Trust Company D/B/A EQ Shareowner Services, P.O. Box 64854, St.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Paul, Minnesota 55164-0854. Its telephone number is (888) 883-8903.</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or selling security holders may sell the securities being offered hereby in four ways:</w:t>
      </w:r>
    </w:p>
    <w:p>
      <w:pPr>
        <w:spacing w:after="0" w:line="131"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customers or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As to matters governed by Pennsylvania law, Elizabeth Wideman, Esquire, Senior Vice President, Senior Deputy General Counsel and Assistant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LLP will represent the underwriters.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Comcast Corporation as of December 31, 2021 and 2020, and for each of the three years in the period ended December 31, 2021, incorporated by reference in this Prospectus by reference to Comcast Corporation’s annual report on Form 10-K for the year ended December 31, 2021, and the effectiveness of Comcast Corporation’s internal control over financial reporting have been audited by Deloitte &amp; Touche LLP, an independent registered public accounting firm, as stated in their report. Such financial statements are incorporated by reference in reliance upon the report of such firm given upon their authority as experts in accounting and auditing.</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Comcast files annual and quarterly reports and separate special reports and other information with the SEC. Comcast Cable and NBCUniversal do not currently file information with the SEC. Although Comcast Cable and NBCUniversal would normally be required to file information with the SEC on an ongoing basis, we expect that they will continue to be exempt from this filing obligation for as long as we continue to file our information with the SEC. Our SEC filings, including the complete registration statement and all of the exhibits to it, are available through the SEC’s website at http://www.sec.gov.</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incorporates by reference the documents set forth below that we have previously filed with the SEC:</w:t>
      </w:r>
    </w:p>
    <w:p>
      <w:pPr>
        <w:spacing w:after="0" w:line="131"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Annual Report on </w:t>
      </w:r>
      <w:hyperlink r:id="rId8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on February 2, 2022.</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Quarterly Reports on Form 10-Q for the quarters ended </w:t>
      </w:r>
      <w:hyperlink r:id="rId88">
        <w:r>
          <w:rPr>
            <w:rFonts w:ascii="Times New Roman" w:cs="Times New Roman" w:eastAsia="Times New Roman" w:hAnsi="Times New Roman"/>
            <w:sz w:val="18"/>
            <w:szCs w:val="18"/>
            <w:u w:val="single" w:color="auto"/>
            <w:color w:val="0000EE"/>
          </w:rPr>
          <w:t>March 31,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89">
        <w:r>
          <w:rPr>
            <w:rFonts w:ascii="Times New Roman" w:cs="Times New Roman" w:eastAsia="Times New Roman" w:hAnsi="Times New Roman"/>
            <w:sz w:val="18"/>
            <w:szCs w:val="18"/>
            <w:u w:val="single" w:color="auto"/>
            <w:color w:val="0000EE"/>
          </w:rPr>
          <w:t>June 30, 2022</w:t>
        </w:r>
      </w:hyperlink>
      <w:r>
        <w:rPr>
          <w:rFonts w:ascii="Times New Roman" w:cs="Times New Roman" w:eastAsia="Times New Roman" w:hAnsi="Times New Roman"/>
          <w:sz w:val="18"/>
          <w:szCs w:val="18"/>
          <w:color w:val="auto"/>
        </w:rPr>
        <w:t>, filed on April 28, 2022 and July 28, 2022, respectively.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Current Report on Form 8-K filed on </w:t>
      </w:r>
      <w:hyperlink r:id="rId90">
        <w:r>
          <w:rPr>
            <w:rFonts w:ascii="Times New Roman" w:cs="Times New Roman" w:eastAsia="Times New Roman" w:hAnsi="Times New Roman"/>
            <w:sz w:val="18"/>
            <w:szCs w:val="18"/>
            <w:u w:val="single" w:color="auto"/>
            <w:color w:val="0000EE"/>
          </w:rPr>
          <w:t>June 3,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sections of Comcast’s Definitive Proxy Statement on </w:t>
      </w:r>
      <w:hyperlink r:id="rId91">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2022 annual meeting of shareholders incorporated by reference in Comcast’s Annual Report on </w:t>
      </w:r>
      <w:hyperlink r:id="rId8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included in Item 3.02 under the caption “Amended and Restated Description of our Class A Common Stock” in Comcast’s Current Report on </w:t>
      </w:r>
      <w:hyperlink r:id="rId92">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December 15, 2015, as the same may be further amended from time to time.</w:t>
      </w:r>
    </w:p>
    <w:p>
      <w:pPr>
        <w:spacing w:after="0" w:line="162" w:lineRule="exact"/>
        <w:rPr>
          <w:rFonts w:ascii="Times New Roman" w:cs="Times New Roman" w:eastAsia="Times New Roman" w:hAnsi="Times New Roman"/>
          <w:sz w:val="18"/>
          <w:szCs w:val="18"/>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into this prospectus additional documents that we may file with the SEC under Sections 13(a), 13(c), 14 or 15(d) of the Exchange Act until we sell all of the securities we are offering. Any statement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16"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55"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652780</wp:posOffset>
            </wp:positionV>
            <wp:extent cx="1388745" cy="4889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1388745" cy="48895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3800" w:type="dxa"/>
        <w:tblCellMar>
          <w:top w:w="0" w:type="dxa"/>
          <w:left w:w="0" w:type="dxa"/>
          <w:bottom w:w="0" w:type="dxa"/>
          <w:right w:w="0" w:type="dxa"/>
        </w:tblCellMar>
      </w:tblPr>
      <w:tr>
        <w:trPr>
          <w:trHeight w:val="297"/>
        </w:trPr>
        <w:tc>
          <w:tcPr>
            <w:tcW w:w="28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3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w w:val="72"/>
              </w:rPr>
              <w:t xml:space="preserve">  </w:t>
            </w:r>
          </w:p>
        </w:tc>
        <w:tc>
          <w:tcPr>
            <w:tcW w:w="1940" w:type="dxa"/>
            <w:vAlign w:val="bottom"/>
          </w:tcPr>
          <w:p>
            <w:pPr>
              <w:ind w:left="100"/>
              <w:spacing w:after="0"/>
              <w:rPr>
                <w:sz w:val="20"/>
                <w:szCs w:val="20"/>
                <w:color w:val="auto"/>
              </w:rPr>
            </w:pPr>
            <w:r>
              <w:rPr>
                <w:rFonts w:ascii="Times New Roman" w:cs="Times New Roman" w:eastAsia="Times New Roman" w:hAnsi="Times New Roman"/>
                <w:sz w:val="25"/>
                <w:szCs w:val="25"/>
                <w:b w:val="1"/>
                <w:bCs w:val="1"/>
                <w:color w:val="auto"/>
                <w:w w:val="94"/>
              </w:rPr>
              <w:t>% Notes due 20 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b w:val="1"/>
                <w:bCs w:val="1"/>
                <w:color w:val="auto"/>
                <w:w w:val="79"/>
              </w:rPr>
              <w:t> </w:t>
            </w:r>
          </w:p>
        </w:tc>
      </w:tr>
      <w:tr>
        <w:trPr>
          <w:trHeight w:val="297"/>
        </w:trPr>
        <w:tc>
          <w:tcPr>
            <w:tcW w:w="28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3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w w:val="72"/>
              </w:rPr>
              <w:t xml:space="preserve">  </w:t>
            </w:r>
          </w:p>
        </w:tc>
        <w:tc>
          <w:tcPr>
            <w:tcW w:w="1940" w:type="dxa"/>
            <w:vAlign w:val="bottom"/>
          </w:tcPr>
          <w:p>
            <w:pPr>
              <w:ind w:left="100"/>
              <w:spacing w:after="0"/>
              <w:rPr>
                <w:sz w:val="20"/>
                <w:szCs w:val="20"/>
                <w:color w:val="auto"/>
              </w:rPr>
            </w:pPr>
            <w:r>
              <w:rPr>
                <w:rFonts w:ascii="Times New Roman" w:cs="Times New Roman" w:eastAsia="Times New Roman" w:hAnsi="Times New Roman"/>
                <w:sz w:val="25"/>
                <w:szCs w:val="25"/>
                <w:b w:val="1"/>
                <w:bCs w:val="1"/>
                <w:color w:val="auto"/>
                <w:w w:val="94"/>
              </w:rPr>
              <w:t>% Notes due 20 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b w:val="1"/>
                <w:bCs w:val="1"/>
                <w:color w:val="auto"/>
                <w:w w:val="79"/>
              </w:rPr>
              <w:t> </w:t>
            </w:r>
          </w:p>
        </w:tc>
      </w:tr>
      <w:tr>
        <w:trPr>
          <w:trHeight w:val="334"/>
        </w:trPr>
        <w:tc>
          <w:tcPr>
            <w:tcW w:w="28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3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w w:val="72"/>
              </w:rPr>
              <w:t xml:space="preserve">  </w:t>
            </w:r>
          </w:p>
        </w:tc>
        <w:tc>
          <w:tcPr>
            <w:tcW w:w="1940" w:type="dxa"/>
            <w:vAlign w:val="bottom"/>
          </w:tcPr>
          <w:p>
            <w:pPr>
              <w:ind w:left="100"/>
              <w:spacing w:after="0"/>
              <w:rPr>
                <w:sz w:val="20"/>
                <w:szCs w:val="20"/>
                <w:color w:val="auto"/>
              </w:rPr>
            </w:pPr>
            <w:r>
              <w:rPr>
                <w:rFonts w:ascii="Times New Roman" w:cs="Times New Roman" w:eastAsia="Times New Roman" w:hAnsi="Times New Roman"/>
                <w:sz w:val="25"/>
                <w:szCs w:val="25"/>
                <w:b w:val="1"/>
                <w:bCs w:val="1"/>
                <w:color w:val="auto"/>
                <w:w w:val="94"/>
              </w:rPr>
              <w:t>% Notes due 20 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b w:val="1"/>
                <w:bCs w:val="1"/>
                <w:color w:val="auto"/>
                <w:w w:val="79"/>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1649095</wp:posOffset>
            </wp:positionV>
            <wp:extent cx="1474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20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Barclays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BNP PARIBAS</w:t>
      </w:r>
    </w:p>
    <w:p>
      <w:pPr>
        <w:spacing w:after="0" w:line="1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Goldman Sachs &amp; Co. LLC</w:t>
      </w:r>
    </w:p>
    <w:p>
      <w:pPr>
        <w:spacing w:after="0" w:line="1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735965</wp:posOffset>
            </wp:positionV>
            <wp:extent cx="1474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lvl w:ilvl="1">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2"/>
    </w:lvl>
  </w:abstractNum>
  <w:abstractNum w:abstractNumId="8">
    <w:nsid w:val="71F32454"/>
    <w:multiLevelType w:val="hybridMultilevel"/>
    <w:lvl w:ilvl="0">
      <w:lvlJc w:val="left"/>
      <w:lvlText w:val="(%1)"/>
      <w:numFmt w:val="lowerRoman"/>
      <w:start w:val="2"/>
    </w:lvl>
  </w:abstractNum>
  <w:abstractNum w:abstractNumId="9">
    <w:nsid w:val="2CA88611"/>
    <w:multiLevelType w:val="hybridMultilevel"/>
    <w:lvl w:ilvl="0">
      <w:lvlJc w:val="left"/>
      <w:lvlText w:val="(%1)"/>
      <w:numFmt w:val="decimal"/>
      <w:start w:val="1"/>
    </w:lvl>
    <w:lvl w:ilvl="1">
      <w:lvlJc w:val="left"/>
      <w:lvlText w:val="(%2)"/>
      <w:numFmt w:val="lowerLetter"/>
      <w:start w:val="1"/>
    </w:lvl>
  </w:abstractNum>
  <w:abstractNum w:abstractNumId="10">
    <w:nsid w:val="836C40E"/>
    <w:multiLevelType w:val="hybridMultilevel"/>
    <w:lvl w:ilvl="0">
      <w:lvlJc w:val="left"/>
      <w:lvlText w:val="(%1)"/>
      <w:numFmt w:val="decimal"/>
      <w:start w:val="8"/>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lowerRoman"/>
      <w:start w:val="2"/>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1)"/>
      <w:numFmt w:val="lowerRoman"/>
      <w:start w:val="3"/>
    </w:lvl>
  </w:abstractNum>
  <w:abstractNum w:abstractNumId="18">
    <w:nsid w:val="22221A70"/>
    <w:multiLevelType w:val="hybridMultilevel"/>
    <w:lvl w:ilvl="0">
      <w:lvlJc w:val="left"/>
      <w:lvlText w:val="(%1)"/>
      <w:numFmt w:val="lowerLetter"/>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1)"/>
      <w:numFmt w:val="lowerLetter"/>
      <w:start w:val="1"/>
    </w:lvl>
  </w:abstractNum>
  <w:abstractNum w:abstractNumId="26">
    <w:nsid w:val="3804823E"/>
    <w:multiLevelType w:val="hybridMultilevel"/>
    <w:lvl w:ilvl="0">
      <w:lvlJc w:val="left"/>
      <w:lvlText w:val="(%1)"/>
      <w:numFmt w:val="lowerLetter"/>
      <w:start w:val="2"/>
    </w:lvl>
  </w:abstractNum>
  <w:abstractNum w:abstractNumId="27">
    <w:nsid w:val="77465F01"/>
    <w:multiLevelType w:val="hybridMultilevel"/>
    <w:lvl w:ilvl="0">
      <w:lvlJc w:val="left"/>
      <w:lvlText w:val="(%1)"/>
      <w:numFmt w:val="lowerLetter"/>
      <w:start w:val="1"/>
    </w:lvl>
  </w:abstractNum>
  <w:abstractNum w:abstractNumId="28">
    <w:nsid w:val="7724C67E"/>
    <w:multiLevelType w:val="hybridMultilevel"/>
    <w:lvl w:ilvl="0">
      <w:lvlJc w:val="left"/>
      <w:lvlText w:val="(%1)"/>
      <w:numFmt w:val="lowerLetter"/>
      <w:start w:val="1"/>
    </w:lvl>
  </w:abstractNum>
  <w:abstractNum w:abstractNumId="29">
    <w:nsid w:val="5C482A97"/>
    <w:multiLevelType w:val="hybridMultilevel"/>
    <w:lvl w:ilvl="0">
      <w:lvlJc w:val="left"/>
      <w:lvlText w:val="(%1)"/>
      <w:numFmt w:val="lowerLetter"/>
      <w:start w:val="13"/>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lowerLetter"/>
      <w:start w:val="2"/>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jpe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jpe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5" Type="http://schemas.openxmlformats.org/officeDocument/2006/relationships/hyperlink" Target="http://www.sec.gov/ix?doc=/Archives/edgar/data/1166691/000116669124000011/cmcsa-20231231.htm" TargetMode="External"/><Relationship Id="rId16" Type="http://schemas.openxmlformats.org/officeDocument/2006/relationships/hyperlink" Target="http://www.sec.gov/ix?doc=/Archives/edgar/data/1166691/000116669124000031/cmcsa-20240331.htm" TargetMode="External"/><Relationship Id="rId17" Type="http://schemas.openxmlformats.org/officeDocument/2006/relationships/hyperlink" Target="http://www.sec.gov/ix?doc=/Archives/edgar/data/1166691/000116669124000048/cmcsa-20240630.htm" TargetMode="External"/><Relationship Id="rId18" Type="http://schemas.openxmlformats.org/officeDocument/2006/relationships/hyperlink" Target="http://www.sec.gov/ix?doc=/Archives/edgar/data/1166691/000116669124000019/cmcsa-20240415.htm" TargetMode="External"/><Relationship Id="rId19" Type="http://schemas.openxmlformats.org/officeDocument/2006/relationships/hyperlink" Target="http://www.sec.gov/ix?doc=/Archives/edgar/data/1166691/000095010324006839/dp211362_8k.htm" TargetMode="External"/><Relationship Id="rId20" Type="http://schemas.openxmlformats.org/officeDocument/2006/relationships/hyperlink" Target="http://www.sec.gov/ix?doc=/Archives/edgar/data/1166691/000119312524144958/d829636d8k.htm" TargetMode="External"/><Relationship Id="rId21" Type="http://schemas.openxmlformats.org/officeDocument/2006/relationships/hyperlink" Target="http://www.sec.gov/ix?doc=/Archives/edgar/data/1166691/000116669124000039/cmcsa-20240610.htm" TargetMode="External"/><Relationship Id="rId22" Type="http://schemas.openxmlformats.org/officeDocument/2006/relationships/hyperlink" Target="http://www.sec.gov/ix?doc=/Archives/edgar/data/1166691/000130817924000600/cmcsa4226581-def14a.htm" TargetMode="External"/><Relationship Id="rId87" Type="http://schemas.openxmlformats.org/officeDocument/2006/relationships/hyperlink" Target="http://www.sec.gov/ix?doc=/Archives/edgar/data/1166691/000116669122000009/cmcsa-20211231.htm" TargetMode="External"/><Relationship Id="rId88" Type="http://schemas.openxmlformats.org/officeDocument/2006/relationships/hyperlink" Target="http://www.sec.gov/ix?doc=/Archives/edgar/data/1166691/000116669122000018/cmcsa-20220331.htm" TargetMode="External"/><Relationship Id="rId89" Type="http://schemas.openxmlformats.org/officeDocument/2006/relationships/hyperlink" Target="http://www.sec.gov/ix?doc=/Archives/edgar/data/1166691/000116669122000030/cmcsa-20220630.htm" TargetMode="External"/><Relationship Id="rId90" Type="http://schemas.openxmlformats.org/officeDocument/2006/relationships/hyperlink" Target="http://www.sec.gov/ix?doc=/Archives/edgar/data/1166691/000095010322010112/dp174738_8k.htm" TargetMode="External"/><Relationship Id="rId91" Type="http://schemas.openxmlformats.org/officeDocument/2006/relationships/hyperlink" Target="http://www.sec.gov/Archives/edgar/data/1166691/000120677422001186/cmcsa4011221-def14a.htm" TargetMode="External"/><Relationship Id="rId92" Type="http://schemas.openxmlformats.org/officeDocument/2006/relationships/hyperlink" Target="http://www.sec.gov/Archives/edgar/data/1166691/000095010315009516/dp61838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2024-09-24T05:25:44Z</dcterms:created>
  <dcterms:modified xsi:type="dcterms:W3CDTF">2024-09-24T05:25:44Z</dcterms:modified>
</cp:coreProperties>
</file>