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46.jpeg" ContentType="image/jpeg"/>
  <Override PartName="/word/media/image145.jpeg" ContentType="image/jpeg"/>
  <Override PartName="/word/media/image144.jpeg" ContentType="image/jpeg"/>
  <Override PartName="/word/media/image143.jpeg" ContentType="image/jpeg"/>
  <Override PartName="/word/media/image142.jpeg" ContentType="image/jpeg"/>
  <Override PartName="/word/media/image141.jpeg" ContentType="image/jpeg"/>
  <Override PartName="/word/media/image140.jpeg" ContentType="image/jpeg"/>
  <Override PartName="/word/media/image137.jpeg" ContentType="image/jpeg"/>
  <Override PartName="/word/media/image136.jpeg" ContentType="image/jpeg"/>
  <Override PartName="/word/media/image135.jpeg" ContentType="image/jpeg"/>
  <Override PartName="/word/media/image134.jpeg" ContentType="image/jpeg"/>
  <Override PartName="/word/media/image133.jpeg" ContentType="image/jpeg"/>
  <Override PartName="/word/media/image132.jpeg" ContentType="image/jpeg"/>
  <Override PartName="/word/media/image131.jpeg" ContentType="image/jpeg"/>
  <Override PartName="/word/media/image130.jpeg" ContentType="image/jpeg"/>
  <Override PartName="/word/media/image129.jpeg" ContentType="image/jpeg"/>
  <Override PartName="/word/media/image128.jpeg" ContentType="image/jpeg"/>
  <Override PartName="/word/media/image127.jpeg" ContentType="image/jpeg"/>
  <Override PartName="/word/media/image126.jpeg" ContentType="image/jpeg"/>
  <Override PartName="/word/media/image125.jpeg" ContentType="image/jpeg"/>
  <Override PartName="/word/media/image124.jpeg" ContentType="image/jpeg"/>
  <Override PartName="/word/media/image123.jpeg" ContentType="image/jpeg"/>
  <Override PartName="/word/media/image122.jpeg" ContentType="image/jpeg"/>
  <Override PartName="/word/media/image121.jpeg" ContentType="image/jpeg"/>
  <Override PartName="/word/media/image120.jpeg" ContentType="image/jpeg"/>
  <Override PartName="/word/media/image113.jpeg" ContentType="image/jpeg"/>
  <Override PartName="/word/media/image112.jpeg" ContentType="image/jpeg"/>
  <Override PartName="/word/media/image139.jpeg" ContentType="image/jpeg"/>
  <Override PartName="/word/media/image111.jpeg" ContentType="image/jpeg"/>
  <Override PartName="/word/media/image138.jpeg" ContentType="image/jpeg"/>
  <Override PartName="/word/media/image110.jpeg" ContentType="image/jpeg"/>
  <Override PartName="/word/media/image109.jpeg" ContentType="image/jpeg"/>
  <Override PartName="/word/media/image108.jpeg" ContentType="image/jpeg"/>
  <Override PartName="/word/media/image107.jpeg" ContentType="image/jpeg"/>
  <Override PartName="/word/media/image106.jpeg" ContentType="image/jpeg"/>
  <Override PartName="/word/media/image105.jpeg" ContentType="image/jpeg"/>
  <Override PartName="/word/media/image104.jpeg" ContentType="image/jpeg"/>
  <Override PartName="/word/media/image103.jpeg" ContentType="image/jpeg"/>
  <Override PartName="/word/media/image102.jpeg" ContentType="image/jpeg"/>
  <Override PartName="/word/media/image101.jpeg" ContentType="image/jpeg"/>
  <Override PartName="/word/media/image100.jpeg" ContentType="image/jpeg"/>
  <Override PartName="/word/media/image97.jpeg" ContentType="image/jpeg"/>
  <Override PartName="/word/media/image52.jpeg" ContentType="image/jpeg"/>
  <Override PartName="/word/media/image51.jpeg" ContentType="image/jpeg"/>
  <Override PartName="/word/media/image34.jpeg" ContentType="image/jpeg"/>
  <Override PartName="/word/media/image77.jpeg" ContentType="image/jpeg"/>
  <Override PartName="/word/media/image33.jpeg" ContentType="image/jpeg"/>
  <Override PartName="/word/media/image76.jpeg" ContentType="image/jpeg"/>
  <Override PartName="/word/media/image32.jpeg" ContentType="image/jpeg"/>
  <Override PartName="/word/media/image2.jpeg" ContentType="image/jpeg"/>
  <Override PartName="/word/media/image19.jpeg" ContentType="image/jpeg"/>
  <Override PartName="/word/media/image75.jpeg" ContentType="image/jpeg"/>
  <Override PartName="/word/media/image31.jpeg" ContentType="image/jpeg"/>
  <Override PartName="/word/media/image1.jpeg" ContentType="image/jpeg"/>
  <Override PartName="/word/media/image18.jpeg" ContentType="image/jpeg"/>
  <Override PartName="/word/media/image74.jpeg" ContentType="image/jpeg"/>
  <Override PartName="/word/media/image30.jpeg" ContentType="image/jpeg"/>
  <Override PartName="/word/media/image17.jpeg" ContentType="image/jpeg"/>
  <Override PartName="/word/media/image73.jpeg" ContentType="image/jpeg"/>
  <Override PartName="/word/media/image29.jpeg" ContentType="image/jpeg"/>
  <Override PartName="/word/media/image28.jpeg" ContentType="image/jpeg"/>
  <Override PartName="/word/media/image88.jpeg" ContentType="image/jpeg"/>
  <Override PartName="/word/media/image27.jpeg" ContentType="image/jpeg"/>
  <Override PartName="/word/media/image87.jpeg" ContentType="image/jpeg"/>
  <Override PartName="/word/media/image26.jpeg" ContentType="image/jpeg"/>
  <Override PartName="/word/media/image9.jpeg" ContentType="image/jpeg"/>
  <Override PartName="/word/media/image8.jpeg" ContentType="image/jpeg"/>
  <Override PartName="/word/media/image7.jpeg" ContentType="image/jpeg"/>
  <Override PartName="/word/media/image3.jpeg" ContentType="image/jpeg"/>
  <Override PartName="/word/media/image35.jpeg" ContentType="image/jpeg"/>
  <Override PartName="/word/media/image78.jpeg" ContentType="image/jpeg"/>
  <Override PartName="/word/media/image5.jpeg" ContentType="image/jpeg"/>
  <Override PartName="/word/media/image37.jpeg" ContentType="image/jpeg"/>
  <Override PartName="/word/media/image10.jpeg" ContentType="image/jpeg"/>
  <Override PartName="/word/media/image53.jpeg" ContentType="image/jpeg"/>
  <Override PartName="/word/media/image4.jpeg" ContentType="image/jpeg"/>
  <Override PartName="/word/media/image36.jpeg" ContentType="image/jpeg"/>
  <Override PartName="/word/media/image79.jpeg" ContentType="image/jpeg"/>
  <Override PartName="/word/media/image6.jpeg" ContentType="image/jpeg"/>
  <Override PartName="/word/media/image11.jpeg" ContentType="image/jpeg"/>
  <Override PartName="/word/media/image54.jpeg" ContentType="image/jpeg"/>
  <Override PartName="/word/media/image42.jpeg" ContentType="image/jpeg"/>
  <Override PartName="/word/media/image12.jpeg" ContentType="image/jpeg"/>
  <Override PartName="/word/media/image55.jpeg" ContentType="image/jpeg"/>
  <Override PartName="/word/media/image43.jpeg" ContentType="image/jpeg"/>
  <Override PartName="/word/media/image13.jpeg" ContentType="image/jpeg"/>
  <Override PartName="/word/media/image56.jpeg" ContentType="image/jpeg"/>
  <Override PartName="/word/media/image44.jpeg" ContentType="image/jpeg"/>
  <Override PartName="/word/media/image14.jpeg" ContentType="image/jpeg"/>
  <Override PartName="/word/media/image90.jpeg" ContentType="image/jpeg"/>
  <Override PartName="/word/media/image57.jpeg" ContentType="image/jpeg"/>
  <Override PartName="/word/media/image98.jpeg" ContentType="image/jpeg"/>
  <Override PartName="/word/media/image70.jpeg" ContentType="image/jpeg"/>
  <Override PartName="/word/media/image45.jpeg" ContentType="image/jpeg"/>
  <Override PartName="/word/media/image15.jpeg" ContentType="image/jpeg"/>
  <Override PartName="/word/media/image91.jpeg" ContentType="image/jpeg"/>
  <Override PartName="/word/media/image58.jpeg" ContentType="image/jpeg"/>
  <Override PartName="/word/media/image99.jpeg" ContentType="image/jpeg"/>
  <Override PartName="/word/media/image38.jpeg" ContentType="image/jpeg"/>
  <Override PartName="/word/media/image71.jpeg" ContentType="image/jpeg"/>
  <Override PartName="/word/media/image46.jpeg" ContentType="image/jpeg"/>
  <Override PartName="/word/media/image89.jpeg" ContentType="image/jpeg"/>
  <Override PartName="/word/media/image16.jpeg" ContentType="image/jpeg"/>
  <Override PartName="/word/media/image92.jpeg" ContentType="image/jpeg"/>
  <Override PartName="/word/media/image59.jpeg" ContentType="image/jpeg"/>
  <Override PartName="/word/media/image39.jpeg" ContentType="image/jpeg"/>
  <Override PartName="/word/media/image72.jpeg" ContentType="image/jpeg"/>
  <Override PartName="/word/media/image114.jpeg" ContentType="image/jpeg"/>
  <Override PartName="/word/media/image60.jpeg" ContentType="image/jpeg"/>
  <Override PartName="/word/media/image115.jpeg" ContentType="image/jpeg"/>
  <Override PartName="/word/media/image61.jpeg" ContentType="image/jpeg"/>
  <Override PartName="/word/media/image116.jpeg" ContentType="image/jpeg"/>
  <Override PartName="/word/media/image62.jpeg" ContentType="image/jpeg"/>
  <Override PartName="/word/media/image50.jpeg" ContentType="image/jpeg"/>
  <Override PartName="/word/media/image25.jpeg" ContentType="image/jpeg"/>
  <Override PartName="/word/media/image86.jpeg" ContentType="image/jpeg"/>
  <Override PartName="/word/media/image117.jpeg" ContentType="image/jpeg"/>
  <Override PartName="/word/media/image63.jpeg" ContentType="image/jpeg"/>
  <Override PartName="/word/media/image118.jpeg" ContentType="image/jpeg"/>
  <Override PartName="/word/media/image64.jpeg" ContentType="image/jpeg"/>
  <Override PartName="/word/media/image119.jpeg" ContentType="image/jpeg"/>
  <Override PartName="/word/media/image65.jpeg" ContentType="image/jpeg"/>
  <Override PartName="/word/media/image66.jpeg" ContentType="image/jpeg"/>
  <Override PartName="/word/media/image67.jpeg" ContentType="image/jpeg"/>
  <Override PartName="/word/media/image47.jpeg" ContentType="image/jpeg"/>
  <Override PartName="/word/media/image80.jpeg" ContentType="image/jpeg"/>
  <Override PartName="/word/media/image40.jpeg" ContentType="image/jpeg"/>
  <Override PartName="/word/media/image68.jpeg" ContentType="image/jpeg"/>
  <Override PartName="/word/media/image20.jpeg" ContentType="image/jpeg"/>
  <Override PartName="/word/media/image48.jpeg" ContentType="image/jpeg"/>
  <Override PartName="/word/media/image81.jpeg" ContentType="image/jpeg"/>
  <Override PartName="/word/media/image41.jpeg" ContentType="image/jpeg"/>
  <Override PartName="/word/media/image69.jpeg" ContentType="image/jpeg"/>
  <Override PartName="/word/media/image21.jpeg" ContentType="image/jpeg"/>
  <Override PartName="/word/media/image49.jpeg" ContentType="image/jpeg"/>
  <Override PartName="/word/media/image82.jpeg" ContentType="image/jpeg"/>
  <Override PartName="/word/media/image22.jpeg" ContentType="image/jpeg"/>
  <Override PartName="/word/media/image83.jpeg" ContentType="image/jpeg"/>
  <Override PartName="/word/media/image23.jpeg" ContentType="image/jpeg"/>
  <Override PartName="/word/media/image84.jpeg" ContentType="image/jpeg"/>
  <Override PartName="/word/media/image24.jpeg" ContentType="image/jpeg"/>
  <Override PartName="/word/media/image85.jpeg" ContentType="image/jpeg"/>
  <Override PartName="/word/media/image147.jpeg" ContentType="image/jpeg"/>
  <Override PartName="/word/media/image93.jpeg" ContentType="image/jpeg"/>
  <Override PartName="/word/media/image148.jpeg" ContentType="image/jpeg"/>
  <Override PartName="/word/media/image94.jpeg" ContentType="image/jpeg"/>
  <Override PartName="/word/media/image95.jpeg" ContentType="image/jpeg"/>
  <Override PartName="/word/media/image96.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jc w:val="left"/>
        <w:rPr/>
      </w:pPr>
      <w:hyperlink w:anchor="toc">
        <w:bookmarkStart w:id="0" w:name="cmcsa4130111-def14a.htm"/>
        <w:bookmarkStart w:id="1" w:name="kscmcsa4130111def14a"/>
        <w:bookmarkEnd w:id="0"/>
        <w:bookmarkEnd w:id="1"/>
        <w:r>
          <w:rPr>
            <w:rStyle w:val="InternetLink"/>
            <w:rFonts w:ascii="Arial" w:hAnsi="Arial"/>
            <w:b/>
            <w:sz w:val="20"/>
          </w:rPr>
          <w:t>Table of Contents</w:t>
        </w:r>
      </w:hyperlink>
    </w:p>
    <w:p>
      <w:pPr>
        <w:pStyle w:val="TextBody"/>
        <w:jc w:val="center"/>
        <w:rPr>
          <w:rFonts w:ascii="Arial" w:hAnsi="Arial"/>
          <w:sz w:val="20"/>
        </w:rPr>
      </w:pPr>
      <w:r>
        <w:rPr>
          <w:rFonts w:ascii="Arial" w:hAnsi="Arial"/>
          <w:sz w:val="20"/>
        </w:rPr>
        <w:t>UNITED STATES</w:t>
        <w:br/>
        <w:t>SECURITIES AND EXCHANGE COMMISSION</w:t>
        <w:br/>
        <w:t xml:space="preserve">Washington, D.C. 20549 </w:t>
      </w:r>
    </w:p>
    <w:p>
      <w:pPr>
        <w:pStyle w:val="TextBody"/>
        <w:jc w:val="center"/>
        <w:rPr>
          <w:rFonts w:ascii="Arial" w:hAnsi="Arial"/>
          <w:sz w:val="20"/>
        </w:rPr>
      </w:pPr>
      <w:bookmarkStart w:id="2" w:name="xdx_980_edei--DocumentType_dxH_c20220101"/>
      <w:bookmarkEnd w:id="2"/>
      <w:r>
        <w:rPr>
          <w:rFonts w:ascii="Arial" w:hAnsi="Arial"/>
          <w:sz w:val="20"/>
        </w:rPr>
        <w:t xml:space="preserve">SCHEDULE 14A </w:t>
      </w:r>
    </w:p>
    <w:p>
      <w:pPr>
        <w:pStyle w:val="TextBody"/>
        <w:jc w:val="center"/>
        <w:rPr>
          <w:rFonts w:ascii="Arial" w:hAnsi="Arial"/>
          <w:sz w:val="20"/>
        </w:rPr>
      </w:pPr>
      <w:r>
        <w:rPr>
          <w:rFonts w:ascii="Arial" w:hAnsi="Arial"/>
          <w:sz w:val="20"/>
        </w:rPr>
        <w:t xml:space="preserve">Proxy Statement Pursuant to Section 14(a) of the </w:t>
        <w:br/>
        <w:t xml:space="preserve">Securities Exchange Act of 1934 (Amendment No. ) </w:t>
      </w:r>
    </w:p>
    <w:tbl>
      <w:tblPr>
        <w:tblW w:w="6320" w:type="dxa"/>
        <w:jc w:val="left"/>
        <w:tblInd w:w="0" w:type="dxa"/>
        <w:tblCellMar>
          <w:top w:w="0" w:type="dxa"/>
          <w:left w:w="0" w:type="dxa"/>
          <w:bottom w:w="0" w:type="dxa"/>
          <w:right w:w="0" w:type="dxa"/>
        </w:tblCellMar>
      </w:tblPr>
      <w:tblGrid>
        <w:gridCol w:w="230"/>
        <w:gridCol w:w="1985"/>
        <w:gridCol w:w="230"/>
        <w:gridCol w:w="3575"/>
        <w:gridCol w:w="300"/>
      </w:tblGrid>
      <w:tr>
        <w:trPr/>
        <w:tc>
          <w:tcPr>
            <w:tcW w:w="230" w:type="dxa"/>
            <w:tcBorders/>
            <w:shd w:fill="auto" w:val="clear"/>
            <w:vAlign w:val="center"/>
          </w:tcPr>
          <w:p>
            <w:pPr>
              <w:pStyle w:val="TableContents"/>
              <w:spacing w:before="0" w:after="283"/>
              <w:jc w:val="left"/>
              <w:rPr/>
            </w:pPr>
            <w:r>
              <w:rPr/>
              <w:t>☑</w:t>
            </w:r>
          </w:p>
        </w:tc>
        <w:tc>
          <w:tcPr>
            <w:tcW w:w="1985" w:type="dxa"/>
            <w:tcBorders/>
            <w:shd w:fill="auto" w:val="clear"/>
            <w:vAlign w:val="center"/>
          </w:tcPr>
          <w:p>
            <w:pPr>
              <w:pStyle w:val="TableContents"/>
              <w:spacing w:before="0" w:after="283"/>
              <w:jc w:val="left"/>
              <w:rPr>
                <w:rFonts w:ascii="Arial" w:hAnsi="Arial"/>
                <w:sz w:val="20"/>
              </w:rPr>
            </w:pPr>
            <w:r>
              <w:rPr>
                <w:rFonts w:ascii="Arial" w:hAnsi="Arial"/>
                <w:sz w:val="20"/>
              </w:rPr>
              <w:t>Filed by the Registrant</w:t>
            </w:r>
          </w:p>
        </w:tc>
        <w:tc>
          <w:tcPr>
            <w:tcW w:w="230" w:type="dxa"/>
            <w:tcBorders/>
            <w:shd w:fill="auto" w:val="clear"/>
            <w:vAlign w:val="center"/>
          </w:tcPr>
          <w:p>
            <w:pPr>
              <w:pStyle w:val="TableContents"/>
              <w:spacing w:before="0" w:after="283"/>
              <w:jc w:val="left"/>
              <w:rPr/>
            </w:pPr>
            <w:r>
              <w:rPr/>
              <w:t>☐</w:t>
            </w:r>
          </w:p>
        </w:tc>
        <w:tc>
          <w:tcPr>
            <w:tcW w:w="3575" w:type="dxa"/>
            <w:tcBorders/>
            <w:shd w:fill="auto" w:val="clear"/>
            <w:vAlign w:val="center"/>
          </w:tcPr>
          <w:p>
            <w:pPr>
              <w:pStyle w:val="TableContents"/>
              <w:spacing w:before="0" w:after="283"/>
              <w:jc w:val="left"/>
              <w:rPr>
                <w:rFonts w:ascii="Arial" w:hAnsi="Arial"/>
                <w:sz w:val="20"/>
              </w:rPr>
            </w:pPr>
            <w:r>
              <w:rPr>
                <w:rFonts w:ascii="Arial" w:hAnsi="Arial"/>
                <w:sz w:val="20"/>
              </w:rPr>
              <w:t>Filed by a party other than the Registrant</w:t>
            </w:r>
          </w:p>
        </w:tc>
        <w:tc>
          <w:tcPr>
            <w:tcW w:w="300" w:type="dxa"/>
            <w:tcBorders/>
            <w:shd w:fill="auto" w:val="clear"/>
            <w:vAlign w:val="center"/>
          </w:tcPr>
          <w:p>
            <w:pPr>
              <w:pStyle w:val="TableContents"/>
              <w:spacing w:before="0" w:after="283"/>
              <w:jc w:val="left"/>
              <w:rPr/>
            </w:pPr>
            <w:r>
              <w:rPr/>
              <w:t>     </w:t>
            </w:r>
          </w:p>
        </w:tc>
      </w:tr>
    </w:tbl>
    <w:p>
      <w:pPr>
        <w:pStyle w:val="TextBody"/>
        <w:spacing w:before="0" w:after="0"/>
        <w:rPr/>
      </w:pPr>
      <w:r>
        <w:rPr/>
      </w:r>
    </w:p>
    <w:tbl>
      <w:tblPr>
        <w:tblW w:w="7210" w:type="dxa"/>
        <w:jc w:val="left"/>
        <w:tblInd w:w="0" w:type="dxa"/>
        <w:tblCellMar>
          <w:top w:w="0" w:type="dxa"/>
          <w:left w:w="0" w:type="dxa"/>
          <w:bottom w:w="28" w:type="dxa"/>
          <w:right w:w="0" w:type="dxa"/>
        </w:tblCellMar>
      </w:tblPr>
      <w:tblGrid>
        <w:gridCol w:w="230"/>
        <w:gridCol w:w="60"/>
        <w:gridCol w:w="6920"/>
      </w:tblGrid>
      <w:tr>
        <w:trPr/>
        <w:tc>
          <w:tcPr>
            <w:tcW w:w="7210" w:type="dxa"/>
            <w:gridSpan w:val="3"/>
            <w:tcBorders>
              <w:bottom w:val="single" w:sz="8" w:space="0" w:color="000000"/>
            </w:tcBorders>
            <w:shd w:fill="auto" w:val="clear"/>
            <w:vAlign w:val="center"/>
          </w:tcPr>
          <w:p>
            <w:pPr>
              <w:pStyle w:val="TableContents"/>
              <w:spacing w:before="0" w:after="283"/>
              <w:jc w:val="left"/>
              <w:rPr>
                <w:rFonts w:ascii="Arial" w:hAnsi="Arial"/>
                <w:sz w:val="20"/>
              </w:rPr>
            </w:pPr>
            <w:r>
              <w:rPr>
                <w:rFonts w:ascii="Arial" w:hAnsi="Arial"/>
                <w:sz w:val="20"/>
              </w:rPr>
              <w:t>CHECK THE APPROPRIATE BOX:</w:t>
            </w:r>
          </w:p>
        </w:tc>
      </w:tr>
      <w:tr>
        <w:trPr/>
        <w:tc>
          <w:tcPr>
            <w:tcW w:w="230" w:type="dxa"/>
            <w:tcBorders>
              <w:bottom w:val="single" w:sz="8" w:space="0" w:color="000000"/>
            </w:tcBorders>
            <w:shd w:fill="F2F2F2" w:val="clear"/>
            <w:vAlign w:val="center"/>
          </w:tcPr>
          <w:p>
            <w:pPr>
              <w:pStyle w:val="TableContents"/>
              <w:spacing w:before="0" w:after="283"/>
              <w:jc w:val="left"/>
              <w:rPr/>
            </w:pPr>
            <w:r>
              <w:rPr/>
              <w:t>☐</w:t>
            </w:r>
          </w:p>
        </w:tc>
        <w:tc>
          <w:tcPr>
            <w:tcW w:w="60" w:type="dxa"/>
            <w:tcBorders>
              <w:bottom w:val="single" w:sz="8" w:space="0" w:color="000000"/>
            </w:tcBorders>
            <w:shd w:fill="F2F2F2" w:val="clear"/>
            <w:vAlign w:val="center"/>
          </w:tcPr>
          <w:p>
            <w:pPr>
              <w:pStyle w:val="TableContents"/>
              <w:spacing w:before="0" w:after="283"/>
              <w:jc w:val="left"/>
              <w:rPr/>
            </w:pPr>
            <w:r>
              <w:rPr/>
              <w:t> </w:t>
            </w:r>
          </w:p>
        </w:tc>
        <w:tc>
          <w:tcPr>
            <w:tcW w:w="6920" w:type="dxa"/>
            <w:tcBorders>
              <w:bottom w:val="single" w:sz="8" w:space="0" w:color="000000"/>
            </w:tcBorders>
            <w:shd w:fill="F2F2F2" w:val="clear"/>
            <w:vAlign w:val="center"/>
          </w:tcPr>
          <w:p>
            <w:pPr>
              <w:pStyle w:val="TableContents"/>
              <w:spacing w:before="0" w:after="283"/>
              <w:jc w:val="left"/>
              <w:rPr>
                <w:rFonts w:ascii="Arial" w:hAnsi="Arial"/>
                <w:sz w:val="20"/>
              </w:rPr>
            </w:pPr>
            <w:r>
              <w:rPr>
                <w:rFonts w:ascii="Arial" w:hAnsi="Arial"/>
                <w:sz w:val="20"/>
              </w:rPr>
              <w:t>Preliminary Proxy Statement</w:t>
            </w:r>
          </w:p>
        </w:tc>
      </w:tr>
      <w:tr>
        <w:trPr/>
        <w:tc>
          <w:tcPr>
            <w:tcW w:w="230" w:type="dxa"/>
            <w:tcBorders>
              <w:bottom w:val="single" w:sz="8" w:space="0" w:color="000000"/>
            </w:tcBorders>
            <w:shd w:fill="F2F2F2" w:val="clear"/>
            <w:vAlign w:val="center"/>
          </w:tcPr>
          <w:p>
            <w:pPr>
              <w:pStyle w:val="TableContents"/>
              <w:spacing w:before="0" w:after="283"/>
              <w:jc w:val="left"/>
              <w:rPr/>
            </w:pPr>
            <w:r>
              <w:rPr/>
              <w:t>☐</w:t>
            </w:r>
          </w:p>
        </w:tc>
        <w:tc>
          <w:tcPr>
            <w:tcW w:w="60" w:type="dxa"/>
            <w:tcBorders>
              <w:bottom w:val="single" w:sz="8" w:space="0" w:color="000000"/>
            </w:tcBorders>
            <w:shd w:fill="F2F2F2" w:val="clear"/>
            <w:vAlign w:val="center"/>
          </w:tcPr>
          <w:p>
            <w:pPr>
              <w:pStyle w:val="TableContents"/>
              <w:spacing w:before="0" w:after="283"/>
              <w:rPr>
                <w:sz w:val="4"/>
                <w:szCs w:val="4"/>
              </w:rPr>
            </w:pPr>
            <w:r>
              <w:rPr>
                <w:sz w:val="4"/>
                <w:szCs w:val="4"/>
              </w:rPr>
            </w:r>
          </w:p>
        </w:tc>
        <w:tc>
          <w:tcPr>
            <w:tcW w:w="6920" w:type="dxa"/>
            <w:tcBorders>
              <w:bottom w:val="single" w:sz="8" w:space="0" w:color="000000"/>
            </w:tcBorders>
            <w:shd w:fill="F2F2F2" w:val="clear"/>
            <w:vAlign w:val="center"/>
          </w:tcPr>
          <w:p>
            <w:pPr>
              <w:pStyle w:val="TableContents"/>
              <w:spacing w:before="0" w:after="283"/>
              <w:jc w:val="left"/>
              <w:rPr>
                <w:rFonts w:ascii="Arial" w:hAnsi="Arial"/>
                <w:sz w:val="20"/>
              </w:rPr>
            </w:pPr>
            <w:r>
              <w:rPr>
                <w:rFonts w:ascii="Arial" w:hAnsi="Arial"/>
                <w:sz w:val="20"/>
              </w:rPr>
              <w:t>Confidential, for Use of the Commission Only (as permitted by Rule 14a-6(e)(2))</w:t>
            </w:r>
          </w:p>
        </w:tc>
      </w:tr>
      <w:tr>
        <w:trPr/>
        <w:tc>
          <w:tcPr>
            <w:tcW w:w="230" w:type="dxa"/>
            <w:tcBorders>
              <w:bottom w:val="single" w:sz="8" w:space="0" w:color="000000"/>
            </w:tcBorders>
            <w:shd w:fill="F2F2F2" w:val="clear"/>
            <w:vAlign w:val="center"/>
          </w:tcPr>
          <w:p>
            <w:pPr>
              <w:pStyle w:val="TableContents"/>
              <w:spacing w:before="0" w:after="283"/>
              <w:jc w:val="left"/>
              <w:rPr/>
            </w:pPr>
            <w:r>
              <w:rPr/>
              <w:t>☑</w:t>
            </w:r>
          </w:p>
        </w:tc>
        <w:tc>
          <w:tcPr>
            <w:tcW w:w="60" w:type="dxa"/>
            <w:tcBorders>
              <w:bottom w:val="single" w:sz="8" w:space="0" w:color="000000"/>
            </w:tcBorders>
            <w:shd w:fill="F2F2F2" w:val="clear"/>
            <w:vAlign w:val="center"/>
          </w:tcPr>
          <w:p>
            <w:pPr>
              <w:pStyle w:val="TableContents"/>
              <w:spacing w:before="0" w:after="283"/>
              <w:rPr>
                <w:sz w:val="4"/>
                <w:szCs w:val="4"/>
              </w:rPr>
            </w:pPr>
            <w:r>
              <w:rPr>
                <w:sz w:val="4"/>
                <w:szCs w:val="4"/>
              </w:rPr>
            </w:r>
          </w:p>
        </w:tc>
        <w:tc>
          <w:tcPr>
            <w:tcW w:w="6920" w:type="dxa"/>
            <w:tcBorders>
              <w:bottom w:val="single" w:sz="8" w:space="0" w:color="000000"/>
            </w:tcBorders>
            <w:shd w:fill="F2F2F2" w:val="clear"/>
            <w:vAlign w:val="center"/>
          </w:tcPr>
          <w:p>
            <w:pPr>
              <w:pStyle w:val="TableContents"/>
              <w:spacing w:before="0" w:after="283"/>
              <w:jc w:val="left"/>
              <w:rPr>
                <w:rFonts w:ascii="Arial" w:hAnsi="Arial"/>
                <w:sz w:val="20"/>
              </w:rPr>
            </w:pPr>
            <w:r>
              <w:rPr>
                <w:rFonts w:ascii="Arial" w:hAnsi="Arial"/>
                <w:sz w:val="20"/>
              </w:rPr>
              <w:t>Definitive Proxy Statement</w:t>
            </w:r>
          </w:p>
        </w:tc>
      </w:tr>
      <w:tr>
        <w:trPr/>
        <w:tc>
          <w:tcPr>
            <w:tcW w:w="230" w:type="dxa"/>
            <w:tcBorders>
              <w:bottom w:val="single" w:sz="8" w:space="0" w:color="000000"/>
            </w:tcBorders>
            <w:shd w:fill="F2F2F2" w:val="clear"/>
            <w:vAlign w:val="center"/>
          </w:tcPr>
          <w:p>
            <w:pPr>
              <w:pStyle w:val="TableContents"/>
              <w:spacing w:before="0" w:after="283"/>
              <w:jc w:val="left"/>
              <w:rPr/>
            </w:pPr>
            <w:r>
              <w:rPr/>
              <w:t>☐</w:t>
            </w:r>
          </w:p>
        </w:tc>
        <w:tc>
          <w:tcPr>
            <w:tcW w:w="60" w:type="dxa"/>
            <w:tcBorders>
              <w:bottom w:val="single" w:sz="8" w:space="0" w:color="000000"/>
            </w:tcBorders>
            <w:shd w:fill="F2F2F2" w:val="clear"/>
            <w:vAlign w:val="center"/>
          </w:tcPr>
          <w:p>
            <w:pPr>
              <w:pStyle w:val="TableContents"/>
              <w:spacing w:before="0" w:after="283"/>
              <w:jc w:val="left"/>
              <w:rPr/>
            </w:pPr>
            <w:r>
              <w:rPr/>
              <w:t> </w:t>
            </w:r>
          </w:p>
        </w:tc>
        <w:tc>
          <w:tcPr>
            <w:tcW w:w="6920" w:type="dxa"/>
            <w:tcBorders>
              <w:bottom w:val="single" w:sz="8" w:space="0" w:color="000000"/>
            </w:tcBorders>
            <w:shd w:fill="F2F2F2" w:val="clear"/>
            <w:vAlign w:val="center"/>
          </w:tcPr>
          <w:p>
            <w:pPr>
              <w:pStyle w:val="TableContents"/>
              <w:spacing w:before="0" w:after="283"/>
              <w:jc w:val="left"/>
              <w:rPr>
                <w:rFonts w:ascii="Arial" w:hAnsi="Arial"/>
                <w:sz w:val="20"/>
              </w:rPr>
            </w:pPr>
            <w:r>
              <w:rPr>
                <w:rFonts w:ascii="Arial" w:hAnsi="Arial"/>
                <w:sz w:val="20"/>
              </w:rPr>
              <w:t>Definitive Additional Materials</w:t>
            </w:r>
          </w:p>
        </w:tc>
      </w:tr>
      <w:tr>
        <w:trPr/>
        <w:tc>
          <w:tcPr>
            <w:tcW w:w="230" w:type="dxa"/>
            <w:tcBorders>
              <w:bottom w:val="single" w:sz="8" w:space="0" w:color="000000"/>
            </w:tcBorders>
            <w:shd w:fill="F2F2F2" w:val="clear"/>
            <w:vAlign w:val="center"/>
          </w:tcPr>
          <w:p>
            <w:pPr>
              <w:pStyle w:val="TableContents"/>
              <w:spacing w:before="0" w:after="283"/>
              <w:jc w:val="left"/>
              <w:rPr/>
            </w:pPr>
            <w:r>
              <w:rPr/>
              <w:t>☐</w:t>
            </w:r>
          </w:p>
        </w:tc>
        <w:tc>
          <w:tcPr>
            <w:tcW w:w="60" w:type="dxa"/>
            <w:tcBorders>
              <w:bottom w:val="single" w:sz="8" w:space="0" w:color="000000"/>
            </w:tcBorders>
            <w:shd w:fill="F2F2F2" w:val="clear"/>
            <w:vAlign w:val="center"/>
          </w:tcPr>
          <w:p>
            <w:pPr>
              <w:pStyle w:val="TableContents"/>
              <w:spacing w:before="0" w:after="283"/>
              <w:rPr>
                <w:sz w:val="4"/>
                <w:szCs w:val="4"/>
              </w:rPr>
            </w:pPr>
            <w:r>
              <w:rPr>
                <w:sz w:val="4"/>
                <w:szCs w:val="4"/>
              </w:rPr>
            </w:r>
          </w:p>
        </w:tc>
        <w:tc>
          <w:tcPr>
            <w:tcW w:w="6920" w:type="dxa"/>
            <w:tcBorders>
              <w:bottom w:val="single" w:sz="8" w:space="0" w:color="000000"/>
            </w:tcBorders>
            <w:shd w:fill="F2F2F2" w:val="clear"/>
            <w:vAlign w:val="center"/>
          </w:tcPr>
          <w:p>
            <w:pPr>
              <w:pStyle w:val="TableContents"/>
              <w:spacing w:before="0" w:after="283"/>
              <w:jc w:val="left"/>
              <w:rPr>
                <w:rFonts w:ascii="Arial" w:hAnsi="Arial"/>
                <w:sz w:val="20"/>
              </w:rPr>
            </w:pPr>
            <w:r>
              <w:rPr>
                <w:rFonts w:ascii="Arial" w:hAnsi="Arial"/>
                <w:sz w:val="20"/>
              </w:rPr>
              <w:t>Soliciting Material under §240.14a-12</w:t>
            </w:r>
          </w:p>
        </w:tc>
      </w:tr>
    </w:tbl>
    <w:p>
      <w:pPr>
        <w:pStyle w:val="TextBody"/>
        <w:spacing w:before="240" w:after="283"/>
        <w:jc w:val="center"/>
        <w:rPr/>
      </w:pPr>
      <w:r>
        <w:rPr/>
        <w:drawing>
          <wp:inline distT="0" distB="0" distL="0" distR="0">
            <wp:extent cx="1666875"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rcRect l="-604" t="-1653" r="-604" b="-1653"/>
                    <a:stretch>
                      <a:fillRect/>
                    </a:stretch>
                  </pic:blipFill>
                  <pic:spPr bwMode="auto">
                    <a:xfrm>
                      <a:off x="0" y="0"/>
                      <a:ext cx="1666875" cy="609600"/>
                    </a:xfrm>
                    <a:prstGeom prst="rect">
                      <a:avLst/>
                    </a:prstGeom>
                    <a:ln w="635">
                      <a:solidFill>
                        <a:srgbClr val="000000"/>
                      </a:solidFill>
                    </a:ln>
                  </pic:spPr>
                </pic:pic>
              </a:graphicData>
            </a:graphic>
          </wp:inline>
        </w:drawing>
      </w:r>
    </w:p>
    <w:p>
      <w:pPr>
        <w:pStyle w:val="TextBody"/>
        <w:spacing w:before="0" w:after="283"/>
        <w:jc w:val="center"/>
        <w:rPr>
          <w:rFonts w:ascii="Arial" w:hAnsi="Arial"/>
          <w:b/>
          <w:sz w:val="24"/>
        </w:rPr>
      </w:pPr>
      <w:bookmarkStart w:id="3" w:name="xdx_98A_edei--EntityRegistrantName_dxL_c"/>
      <w:bookmarkEnd w:id="3"/>
      <w:r>
        <w:rPr>
          <w:rFonts w:ascii="Arial" w:hAnsi="Arial"/>
          <w:b/>
          <w:sz w:val="24"/>
        </w:rPr>
        <w:t>Comcast Corporation</w:t>
      </w:r>
    </w:p>
    <w:p>
      <w:pPr>
        <w:pStyle w:val="TextBody"/>
        <w:jc w:val="center"/>
        <w:rPr/>
      </w:pPr>
      <w:r>
        <w:rPr>
          <w:rFonts w:ascii="Arial" w:hAnsi="Arial"/>
          <w:sz w:val="15"/>
        </w:rPr>
        <w:t>(Name of Registrant as Specified In Its Charter)</w:t>
        <w:br/>
        <w:t>(Name of Person(s) Filing Proxy Statement, if other than the Registrant)</w:t>
      </w:r>
      <w:r>
        <w:rPr/>
        <w:t xml:space="preserve"> </w:t>
      </w:r>
    </w:p>
    <w:tbl>
      <w:tblPr>
        <w:tblW w:w="9025" w:type="dxa"/>
        <w:jc w:val="left"/>
        <w:tblInd w:w="0" w:type="dxa"/>
        <w:tblCellMar>
          <w:top w:w="0" w:type="dxa"/>
          <w:left w:w="0" w:type="dxa"/>
          <w:bottom w:w="28" w:type="dxa"/>
          <w:right w:w="0" w:type="dxa"/>
        </w:tblCellMar>
      </w:tblPr>
      <w:tblGrid>
        <w:gridCol w:w="230"/>
        <w:gridCol w:w="60"/>
        <w:gridCol w:w="8735"/>
      </w:tblGrid>
      <w:tr>
        <w:trPr/>
        <w:tc>
          <w:tcPr>
            <w:tcW w:w="9025" w:type="dxa"/>
            <w:gridSpan w:val="3"/>
            <w:tcBorders>
              <w:bottom w:val="single" w:sz="8" w:space="0" w:color="000000"/>
            </w:tcBorders>
            <w:shd w:fill="auto" w:val="clear"/>
            <w:vAlign w:val="center"/>
          </w:tcPr>
          <w:p>
            <w:pPr>
              <w:pStyle w:val="TableContents"/>
              <w:spacing w:before="0" w:after="283"/>
              <w:jc w:val="left"/>
              <w:rPr>
                <w:rFonts w:ascii="Arial" w:hAnsi="Arial"/>
                <w:sz w:val="20"/>
              </w:rPr>
            </w:pPr>
            <w:r>
              <w:rPr>
                <w:rFonts w:ascii="Arial" w:hAnsi="Arial"/>
                <w:sz w:val="20"/>
              </w:rPr>
              <w:t>PAYMENT OF FILING FEE (CHECK ALL BOXES THAT APPLY):</w:t>
            </w:r>
          </w:p>
        </w:tc>
      </w:tr>
      <w:tr>
        <w:trPr/>
        <w:tc>
          <w:tcPr>
            <w:tcW w:w="230" w:type="dxa"/>
            <w:tcBorders>
              <w:bottom w:val="single" w:sz="8" w:space="0" w:color="000000"/>
            </w:tcBorders>
            <w:shd w:fill="F2F2F2" w:val="clear"/>
            <w:vAlign w:val="center"/>
          </w:tcPr>
          <w:p>
            <w:pPr>
              <w:pStyle w:val="TableContents"/>
              <w:spacing w:before="0" w:after="283"/>
              <w:jc w:val="left"/>
              <w:rPr/>
            </w:pPr>
            <w:r>
              <w:rPr/>
              <w:t>☑</w:t>
            </w:r>
          </w:p>
        </w:tc>
        <w:tc>
          <w:tcPr>
            <w:tcW w:w="60" w:type="dxa"/>
            <w:tcBorders>
              <w:bottom w:val="single" w:sz="8" w:space="0" w:color="000000"/>
            </w:tcBorders>
            <w:shd w:fill="F2F2F2" w:val="clear"/>
            <w:vAlign w:val="center"/>
          </w:tcPr>
          <w:p>
            <w:pPr>
              <w:pStyle w:val="TableContents"/>
              <w:spacing w:before="0" w:after="283"/>
              <w:jc w:val="left"/>
              <w:rPr/>
            </w:pPr>
            <w:r>
              <w:rPr/>
              <w:t> </w:t>
            </w:r>
          </w:p>
        </w:tc>
        <w:tc>
          <w:tcPr>
            <w:tcW w:w="8735" w:type="dxa"/>
            <w:tcBorders>
              <w:bottom w:val="single" w:sz="8" w:space="0" w:color="000000"/>
            </w:tcBorders>
            <w:shd w:fill="F2F2F2" w:val="clear"/>
            <w:vAlign w:val="center"/>
          </w:tcPr>
          <w:p>
            <w:pPr>
              <w:pStyle w:val="TableContents"/>
              <w:spacing w:before="0" w:after="283"/>
              <w:jc w:val="left"/>
              <w:rPr>
                <w:rFonts w:ascii="Arial" w:hAnsi="Arial"/>
                <w:sz w:val="20"/>
              </w:rPr>
            </w:pPr>
            <w:r>
              <w:rPr>
                <w:rFonts w:ascii="Arial" w:hAnsi="Arial"/>
                <w:sz w:val="20"/>
              </w:rPr>
              <w:t>No fee required</w:t>
            </w:r>
          </w:p>
        </w:tc>
      </w:tr>
      <w:tr>
        <w:trPr/>
        <w:tc>
          <w:tcPr>
            <w:tcW w:w="230" w:type="dxa"/>
            <w:tcBorders>
              <w:bottom w:val="single" w:sz="8" w:space="0" w:color="000000"/>
            </w:tcBorders>
            <w:shd w:fill="F2F2F2" w:val="clear"/>
            <w:vAlign w:val="center"/>
          </w:tcPr>
          <w:p>
            <w:pPr>
              <w:pStyle w:val="TableContents"/>
              <w:spacing w:before="0" w:after="283"/>
              <w:jc w:val="left"/>
              <w:rPr/>
            </w:pPr>
            <w:r>
              <w:rPr/>
              <w:t>☐</w:t>
            </w:r>
          </w:p>
        </w:tc>
        <w:tc>
          <w:tcPr>
            <w:tcW w:w="60" w:type="dxa"/>
            <w:tcBorders>
              <w:bottom w:val="single" w:sz="8" w:space="0" w:color="000000"/>
            </w:tcBorders>
            <w:shd w:fill="F2F2F2" w:val="clear"/>
            <w:vAlign w:val="center"/>
          </w:tcPr>
          <w:p>
            <w:pPr>
              <w:pStyle w:val="TableContents"/>
              <w:spacing w:before="0" w:after="283"/>
              <w:rPr>
                <w:sz w:val="4"/>
                <w:szCs w:val="4"/>
              </w:rPr>
            </w:pPr>
            <w:r>
              <w:rPr>
                <w:sz w:val="4"/>
                <w:szCs w:val="4"/>
              </w:rPr>
            </w:r>
          </w:p>
        </w:tc>
        <w:tc>
          <w:tcPr>
            <w:tcW w:w="8735" w:type="dxa"/>
            <w:tcBorders>
              <w:bottom w:val="single" w:sz="8" w:space="0" w:color="000000"/>
            </w:tcBorders>
            <w:shd w:fill="F2F2F2" w:val="clear"/>
            <w:vAlign w:val="center"/>
          </w:tcPr>
          <w:p>
            <w:pPr>
              <w:pStyle w:val="TableContents"/>
              <w:spacing w:before="0" w:after="283"/>
              <w:jc w:val="left"/>
              <w:rPr>
                <w:rFonts w:ascii="Arial" w:hAnsi="Arial"/>
                <w:sz w:val="20"/>
              </w:rPr>
            </w:pPr>
            <w:r>
              <w:rPr>
                <w:rFonts w:ascii="Arial" w:hAnsi="Arial"/>
                <w:sz w:val="20"/>
              </w:rPr>
              <w:t>Fee paid previously with preliminary materials</w:t>
            </w:r>
          </w:p>
        </w:tc>
      </w:tr>
      <w:tr>
        <w:trPr/>
        <w:tc>
          <w:tcPr>
            <w:tcW w:w="230" w:type="dxa"/>
            <w:tcBorders>
              <w:bottom w:val="single" w:sz="8" w:space="0" w:color="000000"/>
            </w:tcBorders>
            <w:shd w:fill="F2F2F2" w:val="clear"/>
            <w:vAlign w:val="center"/>
          </w:tcPr>
          <w:p>
            <w:pPr>
              <w:pStyle w:val="TableContents"/>
              <w:spacing w:before="0" w:after="283"/>
              <w:jc w:val="left"/>
              <w:rPr/>
            </w:pPr>
            <w:r>
              <w:rPr/>
              <w:t>☐</w:t>
            </w:r>
          </w:p>
        </w:tc>
        <w:tc>
          <w:tcPr>
            <w:tcW w:w="60" w:type="dxa"/>
            <w:tcBorders>
              <w:bottom w:val="single" w:sz="8" w:space="0" w:color="000000"/>
            </w:tcBorders>
            <w:shd w:fill="F2F2F2" w:val="clear"/>
            <w:vAlign w:val="center"/>
          </w:tcPr>
          <w:p>
            <w:pPr>
              <w:pStyle w:val="TableContents"/>
              <w:spacing w:before="0" w:after="283"/>
              <w:rPr>
                <w:sz w:val="4"/>
                <w:szCs w:val="4"/>
              </w:rPr>
            </w:pPr>
            <w:r>
              <w:rPr>
                <w:sz w:val="4"/>
                <w:szCs w:val="4"/>
              </w:rPr>
            </w:r>
          </w:p>
        </w:tc>
        <w:tc>
          <w:tcPr>
            <w:tcW w:w="8735" w:type="dxa"/>
            <w:tcBorders>
              <w:bottom w:val="single" w:sz="8" w:space="0" w:color="000000"/>
            </w:tcBorders>
            <w:shd w:fill="F2F2F2" w:val="clear"/>
            <w:vAlign w:val="center"/>
          </w:tcPr>
          <w:p>
            <w:pPr>
              <w:pStyle w:val="TableContents"/>
              <w:spacing w:before="0" w:after="283"/>
              <w:jc w:val="left"/>
              <w:rPr>
                <w:rFonts w:ascii="Arial" w:hAnsi="Arial"/>
                <w:sz w:val="20"/>
              </w:rPr>
            </w:pPr>
            <w:r>
              <w:rPr>
                <w:rFonts w:ascii="Arial" w:hAnsi="Arial"/>
                <w:sz w:val="20"/>
              </w:rPr>
              <w:t>Fee computed on table in exhibit required by Item 25(b) per Exchange Act Rules 14a-6(i)(1) and 0-11</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p>
      <w:pPr>
        <w:pStyle w:val="TextBody"/>
        <w:jc w:val="center"/>
        <w:rPr/>
      </w:pPr>
      <w:r>
        <w:rPr/>
        <w:drawing>
          <wp:inline distT="0" distB="0" distL="0" distR="0">
            <wp:extent cx="6762750" cy="979043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rcRect l="-134" t="-102" r="-134" b="-102"/>
                    <a:stretch>
                      <a:fillRect/>
                    </a:stretch>
                  </pic:blipFill>
                  <pic:spPr bwMode="auto">
                    <a:xfrm>
                      <a:off x="0" y="0"/>
                      <a:ext cx="6762750" cy="9790430"/>
                    </a:xfrm>
                    <a:prstGeom prst="rect">
                      <a:avLst/>
                    </a:prstGeom>
                    <a:ln w="635">
                      <a:solidFill>
                        <a:srgbClr val="000000"/>
                      </a:solidFill>
                    </a:ln>
                  </pic:spPr>
                </pic:pic>
              </a:graphicData>
            </a:graphic>
          </wp:inline>
        </w:drawing>
      </w:r>
    </w:p>
    <w:p>
      <w:pPr>
        <w:pStyle w:val="TextBody"/>
        <w:rPr>
          <w:rFonts w:ascii="Arial" w:hAnsi="Arial"/>
          <w:b w:val="false"/>
          <w:i w:val="false"/>
          <w:caps w:val="false"/>
          <w:smallCaps w:val="false"/>
          <w:color w:val="FFFFFF"/>
          <w:sz w:val="2"/>
        </w:rPr>
      </w:pPr>
      <w:r>
        <w:rPr>
          <w:rFonts w:ascii="Arial" w:hAnsi="Arial"/>
          <w:b w:val="false"/>
          <w:i w:val="false"/>
          <w:caps w:val="false"/>
          <w:smallCaps w:val="false"/>
          <w:color w:val="FFFFFF"/>
          <w:sz w:val="2"/>
        </w:rPr>
        <w:t>Notice of 2023 Annual Meeting of Shareholders and Proxy Statement</w:t>
      </w:r>
    </w:p>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p>
      <w:pPr>
        <w:pStyle w:val="TextBody"/>
        <w:jc w:val="center"/>
        <w:rPr/>
      </w:pPr>
      <w:r>
        <w:rPr>
          <w:rFonts w:ascii="Arial" w:hAnsi="Arial"/>
          <w:b/>
          <w:sz w:val="32"/>
        </w:rPr>
        <w:t>2022 Company Highlights</w:t>
        <w:br/>
      </w:r>
      <w:r>
        <w:rPr>
          <w:rFonts w:ascii="Arial" w:hAnsi="Arial"/>
          <w:b/>
          <w:color w:val="00A1E0"/>
          <w:sz w:val="24"/>
        </w:rPr>
        <w:t>Strong Execution on Key Strategic Priorities</w:t>
      </w:r>
    </w:p>
    <w:tbl>
      <w:tblPr>
        <w:tblW w:w="10205" w:type="dxa"/>
        <w:jc w:val="left"/>
        <w:tblInd w:w="0" w:type="dxa"/>
        <w:tblCellMar>
          <w:top w:w="0" w:type="dxa"/>
          <w:left w:w="0" w:type="dxa"/>
          <w:bottom w:w="0" w:type="dxa"/>
          <w:right w:w="160" w:type="dxa"/>
        </w:tblCellMar>
      </w:tblPr>
      <w:tblGrid>
        <w:gridCol w:w="3821"/>
        <w:gridCol w:w="6384"/>
      </w:tblGrid>
      <w:tr>
        <w:trPr/>
        <w:tc>
          <w:tcPr>
            <w:tcW w:w="3821" w:type="dxa"/>
            <w:tcBorders>
              <w:right w:val="single" w:sz="8" w:space="0" w:color="959595"/>
            </w:tcBorders>
            <w:shd w:fill="auto" w:val="clear"/>
            <w:vAlign w:val="center"/>
          </w:tcPr>
          <w:p>
            <w:pPr>
              <w:pStyle w:val="TableContents"/>
              <w:spacing w:before="0" w:after="283"/>
              <w:jc w:val="center"/>
              <w:rPr/>
            </w:pPr>
            <w:r>
              <w:rPr/>
              <w:drawing>
                <wp:inline distT="0" distB="0" distL="0" distR="0">
                  <wp:extent cx="304800" cy="9525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rcRect l="-1069" t="-1058" r="-1069" b="-1058"/>
                          <a:stretch>
                            <a:fillRect/>
                          </a:stretch>
                        </pic:blipFill>
                        <pic:spPr bwMode="auto">
                          <a:xfrm>
                            <a:off x="0" y="0"/>
                            <a:ext cx="304800" cy="952500"/>
                          </a:xfrm>
                          <a:prstGeom prst="rect">
                            <a:avLst/>
                          </a:prstGeom>
                          <a:ln w="635">
                            <a:solidFill>
                              <a:srgbClr val="000000"/>
                            </a:solidFill>
                          </a:ln>
                        </pic:spPr>
                      </pic:pic>
                    </a:graphicData>
                  </a:graphic>
                </wp:inline>
              </w:drawing>
            </w:r>
          </w:p>
        </w:tc>
        <w:tc>
          <w:tcPr>
            <w:tcW w:w="6384" w:type="dxa"/>
            <w:tcBorders/>
            <w:shd w:fill="auto" w:val="clear"/>
            <w:tcMar>
              <w:right w:w="0" w:type="dxa"/>
            </w:tcMar>
            <w:vAlign w:val="center"/>
          </w:tcPr>
          <w:p>
            <w:pPr>
              <w:pStyle w:val="TableContents"/>
              <w:spacing w:before="0" w:after="283"/>
              <w:jc w:val="center"/>
              <w:rPr/>
            </w:pPr>
            <w:r>
              <w:rPr/>
              <w:drawing>
                <wp:inline distT="0" distB="0" distL="0" distR="0">
                  <wp:extent cx="371475" cy="914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rcRect l="-920" t="-1102" r="-920" b="-1102"/>
                          <a:stretch>
                            <a:fillRect/>
                          </a:stretch>
                        </pic:blipFill>
                        <pic:spPr bwMode="auto">
                          <a:xfrm>
                            <a:off x="0" y="0"/>
                            <a:ext cx="371475" cy="914400"/>
                          </a:xfrm>
                          <a:prstGeom prst="rect">
                            <a:avLst/>
                          </a:prstGeom>
                          <a:ln w="635">
                            <a:solidFill>
                              <a:srgbClr val="000000"/>
                            </a:solidFill>
                          </a:ln>
                        </pic:spPr>
                      </pic:pic>
                    </a:graphicData>
                  </a:graphic>
                </wp:inline>
              </w:drawing>
            </w:r>
          </w:p>
        </w:tc>
      </w:tr>
      <w:tr>
        <w:trPr/>
        <w:tc>
          <w:tcPr>
            <w:tcW w:w="3821" w:type="dxa"/>
            <w:tcBorders>
              <w:right w:val="single" w:sz="8" w:space="0" w:color="959595"/>
            </w:tcBorders>
            <w:shd w:fill="auto" w:val="clear"/>
            <w:vAlign w:val="center"/>
          </w:tcPr>
          <w:p>
            <w:pPr>
              <w:pStyle w:val="TableContents"/>
              <w:spacing w:before="0" w:after="0"/>
              <w:jc w:val="center"/>
              <w:rPr>
                <w:rFonts w:ascii="Arial" w:hAnsi="Arial"/>
                <w:b/>
                <w:color w:val="00A1E0"/>
                <w:sz w:val="22"/>
              </w:rPr>
            </w:pPr>
            <w:r>
              <w:rPr>
                <w:rFonts w:ascii="Arial" w:hAnsi="Arial"/>
                <w:b/>
                <w:color w:val="00A1E0"/>
                <w:sz w:val="22"/>
              </w:rPr>
              <w:t>Connectivity &amp; Platforms</w:t>
            </w:r>
          </w:p>
        </w:tc>
        <w:tc>
          <w:tcPr>
            <w:tcW w:w="6384" w:type="dxa"/>
            <w:tcBorders/>
            <w:shd w:fill="auto" w:val="clear"/>
            <w:tcMar>
              <w:right w:w="0" w:type="dxa"/>
            </w:tcMar>
            <w:vAlign w:val="center"/>
          </w:tcPr>
          <w:p>
            <w:pPr>
              <w:pStyle w:val="TableContents"/>
              <w:spacing w:before="0" w:after="0"/>
              <w:jc w:val="center"/>
              <w:rPr>
                <w:rFonts w:ascii="Arial" w:hAnsi="Arial"/>
                <w:b/>
                <w:color w:val="00A1E0"/>
                <w:sz w:val="22"/>
              </w:rPr>
            </w:pPr>
            <w:r>
              <w:rPr>
                <w:rFonts w:ascii="Arial" w:hAnsi="Arial"/>
                <w:b/>
                <w:color w:val="00A1E0"/>
                <w:sz w:val="22"/>
              </w:rPr>
              <w:t>Content &amp; Experiences</w:t>
            </w:r>
          </w:p>
        </w:tc>
      </w:tr>
      <w:tr>
        <w:trPr/>
        <w:tc>
          <w:tcPr>
            <w:tcW w:w="3821" w:type="dxa"/>
            <w:tcBorders>
              <w:right w:val="single" w:sz="8" w:space="0" w:color="959595"/>
            </w:tcBorders>
            <w:shd w:fill="auto" w:val="clear"/>
            <w:vAlign w:val="center"/>
          </w:tcPr>
          <w:p>
            <w:pPr>
              <w:pStyle w:val="TableContents"/>
              <w:spacing w:before="0" w:after="283"/>
              <w:jc w:val="left"/>
              <w:rPr/>
            </w:pPr>
            <w:r>
              <w:rPr>
                <w:rFonts w:ascii="Arial" w:hAnsi="Arial"/>
                <w:b/>
                <w:color w:val="00A1E0"/>
                <w:sz w:val="15"/>
              </w:rPr>
              <w:t xml:space="preserve">Over 32 million domestic broadband customers </w:t>
            </w:r>
            <w:r>
              <w:rPr>
                <w:rFonts w:ascii="Arial" w:hAnsi="Arial"/>
                <w:sz w:val="15"/>
              </w:rPr>
              <w:t xml:space="preserve">in 2022, the nation’s largest internet service provider </w:t>
            </w:r>
          </w:p>
          <w:p>
            <w:pPr>
              <w:pStyle w:val="TableContents"/>
              <w:spacing w:before="0" w:after="283"/>
              <w:jc w:val="left"/>
              <w:rPr/>
            </w:pPr>
            <w:r>
              <w:rPr>
                <w:rFonts w:ascii="Arial" w:hAnsi="Arial"/>
                <w:b/>
                <w:color w:val="00A1E0"/>
                <w:sz w:val="15"/>
              </w:rPr>
              <w:t xml:space="preserve">Started rolling out multi-gig </w:t>
            </w:r>
            <w:r>
              <w:rPr>
                <w:rFonts w:ascii="Arial" w:hAnsi="Arial"/>
                <w:sz w:val="15"/>
              </w:rPr>
              <w:t>downstream broadband speeds in markets across the U.S. and announced the launch of even faster, multi-gig symmetrical speeds beginning in 2023</w:t>
            </w:r>
          </w:p>
          <w:p>
            <w:pPr>
              <w:pStyle w:val="TableContents"/>
              <w:spacing w:before="0" w:after="120"/>
              <w:jc w:val="left"/>
              <w:rPr/>
            </w:pPr>
            <w:r>
              <w:rPr>
                <w:rFonts w:ascii="Arial" w:hAnsi="Arial"/>
                <w:b/>
                <w:color w:val="00A1E0"/>
                <w:sz w:val="15"/>
              </w:rPr>
              <w:t>Comcast Business approached $10 billion in annual revenue</w:t>
            </w:r>
            <w:r>
              <w:rPr>
                <w:rFonts w:ascii="Arial" w:hAnsi="Arial"/>
                <w:sz w:val="15"/>
              </w:rPr>
              <w:t>, continuing to serve as a growth engine for our company</w:t>
            </w:r>
          </w:p>
          <w:p>
            <w:pPr>
              <w:pStyle w:val="TableContents"/>
              <w:spacing w:before="0" w:after="120"/>
              <w:jc w:val="left"/>
              <w:rPr/>
            </w:pPr>
            <w:r>
              <w:rPr>
                <w:rFonts w:ascii="Arial" w:hAnsi="Arial"/>
                <w:b/>
                <w:color w:val="00A1E0"/>
                <w:sz w:val="15"/>
              </w:rPr>
              <w:t>Surpassed 5 million wireless customer lines in the U.S.</w:t>
            </w:r>
            <w:r>
              <w:rPr>
                <w:rFonts w:ascii="Arial" w:hAnsi="Arial"/>
                <w:sz w:val="15"/>
              </w:rPr>
              <w:t>, with 1.3 million wireless customer line net additions in 2022, the best annual result since Xfinity Mobile’s 2017 launch</w:t>
            </w:r>
          </w:p>
          <w:p>
            <w:pPr>
              <w:pStyle w:val="TableContents"/>
              <w:spacing w:before="0" w:after="120"/>
              <w:jc w:val="left"/>
              <w:rPr/>
            </w:pPr>
            <w:r>
              <w:rPr>
                <w:rFonts w:ascii="Arial" w:hAnsi="Arial"/>
                <w:b/>
                <w:color w:val="00A1E0"/>
                <w:sz w:val="15"/>
              </w:rPr>
              <w:t xml:space="preserve">Expanded reach of Comcast’s Global Technology Platform </w:t>
            </w:r>
            <w:r>
              <w:rPr>
                <w:rFonts w:ascii="Arial" w:hAnsi="Arial"/>
                <w:sz w:val="15"/>
              </w:rPr>
              <w:t>by forming a joint venture with Charter named Xumo to bring leading aggregation and streaming technology nationwide</w:t>
            </w:r>
          </w:p>
          <w:p>
            <w:pPr>
              <w:pStyle w:val="TableContents"/>
              <w:spacing w:before="0" w:after="0"/>
              <w:jc w:val="left"/>
              <w:rPr/>
            </w:pPr>
            <w:r>
              <w:rPr>
                <w:rFonts w:ascii="Arial" w:hAnsi="Arial"/>
                <w:b/>
                <w:color w:val="00A1E0"/>
                <w:sz w:val="15"/>
              </w:rPr>
              <w:t xml:space="preserve">Sky Glass became top selling UHD TV model in the U.K. </w:t>
            </w:r>
            <w:r>
              <w:rPr>
                <w:rFonts w:ascii="Arial" w:hAnsi="Arial"/>
                <w:sz w:val="15"/>
              </w:rPr>
              <w:t>and became available in Ireland and Italy</w:t>
            </w:r>
          </w:p>
        </w:tc>
        <w:tc>
          <w:tcPr>
            <w:tcW w:w="6384" w:type="dxa"/>
            <w:tcBorders/>
            <w:shd w:fill="auto" w:val="clear"/>
            <w:tcMar>
              <w:right w:w="0" w:type="dxa"/>
            </w:tcMar>
            <w:vAlign w:val="center"/>
          </w:tcPr>
          <w:p>
            <w:pPr>
              <w:pStyle w:val="TableContents"/>
              <w:spacing w:before="0" w:after="120"/>
              <w:jc w:val="left"/>
              <w:rPr/>
            </w:pPr>
            <w:r>
              <w:rPr>
                <w:rFonts w:ascii="Arial" w:hAnsi="Arial"/>
                <w:b/>
                <w:color w:val="00A1E0"/>
                <w:sz w:val="15"/>
              </w:rPr>
              <w:t>Peacock paid subscribers in the U.S. more than doubled</w:t>
            </w:r>
            <w:r>
              <w:rPr>
                <w:rFonts w:ascii="Arial" w:hAnsi="Arial"/>
                <w:sz w:val="15"/>
              </w:rPr>
              <w:t>, surpassing 20 million; Peacock revenue nearly tripled to $2.1 billion</w:t>
            </w:r>
          </w:p>
          <w:p>
            <w:pPr>
              <w:pStyle w:val="TableContents"/>
              <w:spacing w:before="0" w:after="120"/>
              <w:jc w:val="left"/>
              <w:rPr/>
            </w:pPr>
            <w:r>
              <w:rPr>
                <w:rFonts w:ascii="Arial" w:hAnsi="Arial"/>
                <w:b/>
                <w:color w:val="00A1E0"/>
                <w:sz w:val="15"/>
              </w:rPr>
              <w:t>Increased Theme Parks Adjusted EBITDA to $2.7 billion</w:t>
            </w:r>
            <w:r>
              <w:rPr>
                <w:rFonts w:ascii="Arial" w:hAnsi="Arial"/>
                <w:sz w:val="15"/>
              </w:rPr>
              <w:t>, a 112% increase compared to 2021</w:t>
            </w:r>
          </w:p>
          <w:p>
            <w:pPr>
              <w:pStyle w:val="TableContents"/>
              <w:spacing w:before="0" w:after="120"/>
              <w:jc w:val="left"/>
              <w:rPr/>
            </w:pPr>
            <w:r>
              <w:rPr>
                <w:rFonts w:ascii="Arial" w:hAnsi="Arial"/>
                <w:b/>
                <w:color w:val="00A1E0"/>
                <w:sz w:val="15"/>
              </w:rPr>
              <w:t xml:space="preserve">Ranked #2 film studio in worldwide box office </w:t>
            </w:r>
            <w:r>
              <w:rPr>
                <w:rFonts w:ascii="Arial" w:hAnsi="Arial"/>
                <w:sz w:val="15"/>
              </w:rPr>
              <w:t xml:space="preserve">in 2022, driven by the successful theatrical performance of </w:t>
            </w:r>
            <w:r>
              <w:rPr>
                <w:rFonts w:ascii="Arial" w:hAnsi="Arial"/>
                <w:i/>
                <w:sz w:val="15"/>
              </w:rPr>
              <w:t xml:space="preserve">Jurassic World Dominion </w:t>
            </w:r>
            <w:r>
              <w:rPr>
                <w:rFonts w:ascii="Arial" w:hAnsi="Arial"/>
                <w:sz w:val="15"/>
              </w:rPr>
              <w:t xml:space="preserve">and </w:t>
            </w:r>
            <w:r>
              <w:rPr>
                <w:rFonts w:ascii="Arial" w:hAnsi="Arial"/>
                <w:i/>
                <w:sz w:val="15"/>
              </w:rPr>
              <w:t>Minions: The Rise of Gru</w:t>
            </w:r>
          </w:p>
          <w:p>
            <w:pPr>
              <w:pStyle w:val="TableContents"/>
              <w:spacing w:before="0" w:after="120"/>
              <w:jc w:val="left"/>
              <w:rPr/>
            </w:pPr>
            <w:r>
              <w:rPr>
                <w:rFonts w:ascii="Arial" w:hAnsi="Arial"/>
                <w:b/>
                <w:color w:val="00A1E0"/>
                <w:sz w:val="15"/>
              </w:rPr>
              <w:t>NBCUniversal celebrated success with coverage of the Super Bowl LVI</w:t>
            </w:r>
            <w:r>
              <w:rPr>
                <w:rFonts w:ascii="Arial" w:hAnsi="Arial"/>
                <w:sz w:val="15"/>
              </w:rPr>
              <w:t xml:space="preserve">, the most watched game in 5 years and the most-streamed Super Bowl ever, led by Peacock, </w:t>
            </w:r>
            <w:r>
              <w:rPr>
                <w:rFonts w:ascii="Arial" w:hAnsi="Arial"/>
                <w:b/>
                <w:color w:val="00A1E0"/>
                <w:sz w:val="15"/>
              </w:rPr>
              <w:t>the Winter Olympic games</w:t>
            </w:r>
            <w:r>
              <w:rPr>
                <w:rFonts w:ascii="Arial" w:hAnsi="Arial"/>
                <w:sz w:val="15"/>
              </w:rPr>
              <w:t xml:space="preserve">, which reached 160 million Americans, and </w:t>
            </w:r>
            <w:r>
              <w:rPr>
                <w:rFonts w:ascii="Arial" w:hAnsi="Arial"/>
                <w:b/>
                <w:color w:val="00A1E0"/>
                <w:sz w:val="15"/>
              </w:rPr>
              <w:t xml:space="preserve">the FIFA World Cup </w:t>
            </w:r>
            <w:r>
              <w:rPr>
                <w:rFonts w:ascii="Arial" w:hAnsi="Arial"/>
                <w:sz w:val="15"/>
              </w:rPr>
              <w:t>on Telemundo, which achieved 60% of all U.S. Spanish-language viewership</w:t>
            </w:r>
          </w:p>
          <w:p>
            <w:pPr>
              <w:pStyle w:val="TableContents"/>
              <w:spacing w:before="0" w:after="0"/>
              <w:jc w:val="left"/>
              <w:rPr/>
            </w:pPr>
            <w:r>
              <w:rPr>
                <w:rFonts w:ascii="Arial" w:hAnsi="Arial"/>
                <w:b/>
                <w:color w:val="00A1E0"/>
                <w:sz w:val="15"/>
              </w:rPr>
              <w:t>Sky released over 200 originals</w:t>
            </w:r>
            <w:r>
              <w:rPr>
                <w:rFonts w:ascii="Arial" w:hAnsi="Arial"/>
                <w:sz w:val="15"/>
              </w:rPr>
              <w:t xml:space="preserve">, with hits including </w:t>
            </w:r>
            <w:r>
              <w:rPr>
                <w:rFonts w:ascii="Arial" w:hAnsi="Arial"/>
                <w:i/>
                <w:sz w:val="15"/>
              </w:rPr>
              <w:t>The Rising and Blocco 181</w:t>
            </w:r>
          </w:p>
        </w:tc>
      </w:tr>
      <w:tr>
        <w:trPr/>
        <w:tc>
          <w:tcPr>
            <w:tcW w:w="3821" w:type="dxa"/>
            <w:tcBorders/>
            <w:shd w:fill="auto" w:val="clear"/>
            <w:tcMar>
              <w:right w:w="0" w:type="dxa"/>
            </w:tcMar>
            <w:vAlign w:val="center"/>
          </w:tcPr>
          <w:p>
            <w:pPr>
              <w:pStyle w:val="TableContents"/>
              <w:spacing w:before="0" w:after="283"/>
              <w:rPr/>
            </w:pPr>
            <w:r>
              <w:rPr/>
              <w:t> </w:t>
            </w:r>
          </w:p>
        </w:tc>
        <w:tc>
          <w:tcPr>
            <w:tcW w:w="6384" w:type="dxa"/>
            <w:tcBorders/>
            <w:shd w:fill="auto" w:val="clear"/>
            <w:tcMar>
              <w:right w:w="0" w:type="dxa"/>
            </w:tcMar>
            <w:vAlign w:val="center"/>
          </w:tcPr>
          <w:p>
            <w:pPr>
              <w:pStyle w:val="TableContents"/>
              <w:spacing w:before="0" w:after="283"/>
              <w:rPr/>
            </w:pPr>
            <w:r>
              <w:rPr/>
              <w:t> </w:t>
            </w:r>
          </w:p>
        </w:tc>
      </w:tr>
    </w:tbl>
    <w:tbl>
      <w:tblPr>
        <w:tblW w:w="10205" w:type="dxa"/>
        <w:jc w:val="left"/>
        <w:tblInd w:w="0" w:type="dxa"/>
        <w:tblCellMar>
          <w:top w:w="0" w:type="dxa"/>
          <w:left w:w="0" w:type="dxa"/>
          <w:bottom w:w="0" w:type="dxa"/>
          <w:right w:w="160" w:type="dxa"/>
        </w:tblCellMar>
      </w:tblPr>
      <w:tblGrid>
        <w:gridCol w:w="3245"/>
        <w:gridCol w:w="3617"/>
        <w:gridCol w:w="3343"/>
      </w:tblGrid>
      <w:tr>
        <w:trPr/>
        <w:tc>
          <w:tcPr>
            <w:tcW w:w="3245" w:type="dxa"/>
            <w:tcBorders>
              <w:right w:val="single" w:sz="8" w:space="0" w:color="959595"/>
            </w:tcBorders>
            <w:shd w:fill="auto" w:val="clear"/>
            <w:vAlign w:val="center"/>
          </w:tcPr>
          <w:p>
            <w:pPr>
              <w:pStyle w:val="TableContents"/>
              <w:spacing w:before="0" w:after="283"/>
              <w:jc w:val="center"/>
              <w:rPr/>
            </w:pPr>
            <w:r>
              <w:rPr/>
              <w:drawing>
                <wp:inline distT="0" distB="0" distL="0" distR="0">
                  <wp:extent cx="352425" cy="2952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rcRect l="-920" t="-1102" r="-920" b="-1102"/>
                          <a:stretch>
                            <a:fillRect/>
                          </a:stretch>
                        </pic:blipFill>
                        <pic:spPr bwMode="auto">
                          <a:xfrm>
                            <a:off x="0" y="0"/>
                            <a:ext cx="352425" cy="295275"/>
                          </a:xfrm>
                          <a:prstGeom prst="rect">
                            <a:avLst/>
                          </a:prstGeom>
                          <a:ln w="635">
                            <a:solidFill>
                              <a:srgbClr val="000000"/>
                            </a:solidFill>
                          </a:ln>
                        </pic:spPr>
                      </pic:pic>
                    </a:graphicData>
                  </a:graphic>
                </wp:inline>
              </w:drawing>
            </w:r>
          </w:p>
        </w:tc>
        <w:tc>
          <w:tcPr>
            <w:tcW w:w="3617" w:type="dxa"/>
            <w:tcBorders>
              <w:right w:val="single" w:sz="8" w:space="0" w:color="959595"/>
            </w:tcBorders>
            <w:shd w:fill="auto" w:val="clear"/>
            <w:vAlign w:val="center"/>
          </w:tcPr>
          <w:p>
            <w:pPr>
              <w:pStyle w:val="TableContents"/>
              <w:spacing w:before="0" w:after="283"/>
              <w:jc w:val="center"/>
              <w:rPr/>
            </w:pPr>
            <w:r>
              <w:rPr/>
              <w:drawing>
                <wp:inline distT="0" distB="0" distL="0" distR="0">
                  <wp:extent cx="295275" cy="9334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rcRect l="-1137" t="-1079" r="-1137" b="-1079"/>
                          <a:stretch>
                            <a:fillRect/>
                          </a:stretch>
                        </pic:blipFill>
                        <pic:spPr bwMode="auto">
                          <a:xfrm>
                            <a:off x="0" y="0"/>
                            <a:ext cx="295275" cy="933450"/>
                          </a:xfrm>
                          <a:prstGeom prst="rect">
                            <a:avLst/>
                          </a:prstGeom>
                          <a:ln w="635">
                            <a:solidFill>
                              <a:srgbClr val="000000"/>
                            </a:solidFill>
                          </a:ln>
                        </pic:spPr>
                      </pic:pic>
                    </a:graphicData>
                  </a:graphic>
                </wp:inline>
              </w:drawing>
            </w:r>
          </w:p>
        </w:tc>
        <w:tc>
          <w:tcPr>
            <w:tcW w:w="3343" w:type="dxa"/>
            <w:tcBorders/>
            <w:shd w:fill="auto" w:val="clear"/>
            <w:tcMar>
              <w:right w:w="0" w:type="dxa"/>
            </w:tcMar>
            <w:vAlign w:val="center"/>
          </w:tcPr>
          <w:p>
            <w:pPr>
              <w:pStyle w:val="TableContents"/>
              <w:spacing w:before="0" w:after="283"/>
              <w:jc w:val="center"/>
              <w:rPr/>
            </w:pPr>
            <w:r>
              <w:rPr/>
              <w:drawing>
                <wp:inline distT="0" distB="0" distL="0" distR="0">
                  <wp:extent cx="257175" cy="9334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rcRect l="-1450" t="-1079" r="-1450" b="-1079"/>
                          <a:stretch>
                            <a:fillRect/>
                          </a:stretch>
                        </pic:blipFill>
                        <pic:spPr bwMode="auto">
                          <a:xfrm>
                            <a:off x="0" y="0"/>
                            <a:ext cx="257175" cy="933450"/>
                          </a:xfrm>
                          <a:prstGeom prst="rect">
                            <a:avLst/>
                          </a:prstGeom>
                          <a:ln w="635">
                            <a:solidFill>
                              <a:srgbClr val="000000"/>
                            </a:solidFill>
                          </a:ln>
                        </pic:spPr>
                      </pic:pic>
                    </a:graphicData>
                  </a:graphic>
                </wp:inline>
              </w:drawing>
            </w:r>
          </w:p>
        </w:tc>
      </w:tr>
      <w:tr>
        <w:trPr/>
        <w:tc>
          <w:tcPr>
            <w:tcW w:w="3245" w:type="dxa"/>
            <w:tcBorders>
              <w:right w:val="single" w:sz="8" w:space="0" w:color="959595"/>
            </w:tcBorders>
            <w:shd w:fill="auto" w:val="clear"/>
            <w:vAlign w:val="center"/>
          </w:tcPr>
          <w:p>
            <w:pPr>
              <w:pStyle w:val="TableContents"/>
              <w:spacing w:before="0" w:after="0"/>
              <w:jc w:val="center"/>
              <w:rPr>
                <w:rFonts w:ascii="Arial" w:hAnsi="Arial"/>
                <w:b/>
                <w:color w:val="00A1E0"/>
                <w:sz w:val="22"/>
              </w:rPr>
            </w:pPr>
            <w:r>
              <w:rPr>
                <w:rFonts w:ascii="Arial" w:hAnsi="Arial"/>
                <w:b/>
                <w:color w:val="00A1E0"/>
                <w:sz w:val="22"/>
              </w:rPr>
              <w:t>Digital Equity</w:t>
            </w:r>
          </w:p>
        </w:tc>
        <w:tc>
          <w:tcPr>
            <w:tcW w:w="3617" w:type="dxa"/>
            <w:tcBorders>
              <w:right w:val="single" w:sz="8" w:space="0" w:color="959595"/>
            </w:tcBorders>
            <w:shd w:fill="auto" w:val="clear"/>
            <w:vAlign w:val="center"/>
          </w:tcPr>
          <w:p>
            <w:pPr>
              <w:pStyle w:val="TableContents"/>
              <w:spacing w:before="0" w:after="0"/>
              <w:jc w:val="center"/>
              <w:rPr>
                <w:rFonts w:ascii="Arial" w:hAnsi="Arial"/>
                <w:b/>
                <w:color w:val="00A1E0"/>
                <w:sz w:val="22"/>
              </w:rPr>
            </w:pPr>
            <w:r>
              <w:rPr>
                <w:rFonts w:ascii="Arial" w:hAnsi="Arial"/>
                <w:b/>
                <w:color w:val="00A1E0"/>
                <w:sz w:val="22"/>
              </w:rPr>
              <w:t>Diversity, Equity &amp; Inclusion</w:t>
            </w:r>
          </w:p>
        </w:tc>
        <w:tc>
          <w:tcPr>
            <w:tcW w:w="3343" w:type="dxa"/>
            <w:tcBorders/>
            <w:shd w:fill="auto" w:val="clear"/>
            <w:tcMar>
              <w:right w:w="0" w:type="dxa"/>
            </w:tcMar>
            <w:vAlign w:val="center"/>
          </w:tcPr>
          <w:p>
            <w:pPr>
              <w:pStyle w:val="TableContents"/>
              <w:spacing w:before="0" w:after="0"/>
              <w:jc w:val="center"/>
              <w:rPr>
                <w:rFonts w:ascii="Arial" w:hAnsi="Arial"/>
                <w:b/>
                <w:color w:val="00A1E0"/>
                <w:sz w:val="22"/>
              </w:rPr>
            </w:pPr>
            <w:r>
              <w:rPr>
                <w:rFonts w:ascii="Arial" w:hAnsi="Arial"/>
                <w:b/>
                <w:color w:val="00A1E0"/>
                <w:sz w:val="22"/>
              </w:rPr>
              <w:t>Environmental Sustainability</w:t>
            </w:r>
          </w:p>
        </w:tc>
      </w:tr>
      <w:tr>
        <w:trPr/>
        <w:tc>
          <w:tcPr>
            <w:tcW w:w="3245" w:type="dxa"/>
            <w:tcBorders>
              <w:right w:val="single" w:sz="8" w:space="0" w:color="959595"/>
            </w:tcBorders>
            <w:shd w:fill="auto" w:val="clear"/>
            <w:vAlign w:val="center"/>
          </w:tcPr>
          <w:p>
            <w:pPr>
              <w:pStyle w:val="TableContents"/>
              <w:spacing w:before="0" w:after="120"/>
              <w:jc w:val="left"/>
              <w:rPr/>
            </w:pPr>
            <w:r>
              <w:rPr>
                <w:rStyle w:val="StrongEmphasis"/>
                <w:rFonts w:ascii="Arial" w:hAnsi="Arial"/>
                <w:sz w:val="18"/>
              </w:rPr>
              <w:t xml:space="preserve">Addressing Digital Inequities </w:t>
            </w:r>
          </w:p>
          <w:p>
            <w:pPr>
              <w:pStyle w:val="TableContents"/>
              <w:spacing w:before="0" w:after="120"/>
              <w:jc w:val="left"/>
              <w:rPr/>
            </w:pPr>
            <w:r>
              <w:rPr>
                <w:rFonts w:ascii="Arial" w:hAnsi="Arial"/>
                <w:b/>
                <w:color w:val="00A1E0"/>
                <w:sz w:val="15"/>
              </w:rPr>
              <w:t xml:space="preserve">Over a decade </w:t>
            </w:r>
            <w:r>
              <w:rPr>
                <w:rFonts w:ascii="Arial" w:hAnsi="Arial"/>
                <w:sz w:val="15"/>
              </w:rPr>
              <w:t>of commitment to using our platforms and reach to help bridge the digital divide</w:t>
            </w:r>
          </w:p>
          <w:p>
            <w:pPr>
              <w:pStyle w:val="TableContents"/>
              <w:spacing w:before="0" w:after="120"/>
              <w:jc w:val="left"/>
              <w:rPr/>
            </w:pPr>
            <w:r>
              <w:rPr>
                <w:rFonts w:ascii="Arial" w:hAnsi="Arial"/>
                <w:b/>
                <w:color w:val="00A1E0"/>
                <w:sz w:val="15"/>
              </w:rPr>
              <w:t xml:space="preserve">Empowering thousands of Digital Navigators </w:t>
            </w:r>
            <w:r>
              <w:rPr>
                <w:rFonts w:ascii="Arial" w:hAnsi="Arial"/>
                <w:sz w:val="15"/>
              </w:rPr>
              <w:t xml:space="preserve">to help more people connect to the Internet, get devices and access skill training and other digital literacy resources </w:t>
            </w:r>
          </w:p>
          <w:p>
            <w:pPr>
              <w:pStyle w:val="TableContents"/>
              <w:spacing w:before="0" w:after="0"/>
              <w:jc w:val="left"/>
              <w:rPr/>
            </w:pPr>
            <w:r>
              <w:rPr>
                <w:rFonts w:ascii="Arial" w:hAnsi="Arial"/>
                <w:sz w:val="15"/>
              </w:rPr>
              <w:t xml:space="preserve">Participating in federal, state and local programs designed to fund expansion of broadband to </w:t>
            </w:r>
            <w:r>
              <w:rPr>
                <w:rFonts w:ascii="Arial" w:hAnsi="Arial"/>
                <w:b/>
                <w:color w:val="00A1E0"/>
                <w:sz w:val="15"/>
              </w:rPr>
              <w:t>underserved and unserved Americans</w:t>
            </w:r>
          </w:p>
        </w:tc>
        <w:tc>
          <w:tcPr>
            <w:tcW w:w="3617" w:type="dxa"/>
            <w:tcBorders>
              <w:right w:val="single" w:sz="8" w:space="0" w:color="959595"/>
            </w:tcBorders>
            <w:shd w:fill="auto" w:val="clear"/>
            <w:vAlign w:val="center"/>
          </w:tcPr>
          <w:p>
            <w:pPr>
              <w:pStyle w:val="TableContents"/>
              <w:spacing w:before="0" w:after="120"/>
              <w:jc w:val="left"/>
              <w:rPr/>
            </w:pPr>
            <w:r>
              <w:rPr>
                <w:rStyle w:val="StrongEmphasis"/>
                <w:rFonts w:ascii="Arial" w:hAnsi="Arial"/>
                <w:sz w:val="18"/>
              </w:rPr>
              <w:t xml:space="preserve">Workforce Leadership Diversity </w:t>
            </w:r>
          </w:p>
          <w:p>
            <w:pPr>
              <w:pStyle w:val="TableContents"/>
              <w:spacing w:before="0" w:after="120"/>
              <w:jc w:val="left"/>
              <w:rPr/>
            </w:pPr>
            <w:r>
              <w:rPr>
                <w:rFonts w:ascii="Arial" w:hAnsi="Arial"/>
                <w:b/>
                <w:color w:val="00A1E0"/>
                <w:sz w:val="15"/>
              </w:rPr>
              <w:t xml:space="preserve">44% women &amp; 25% people of color </w:t>
            </w:r>
            <w:r>
              <w:rPr>
                <w:rFonts w:ascii="Arial" w:hAnsi="Arial"/>
                <w:sz w:val="15"/>
              </w:rPr>
              <w:t>in our VP+ population based on U.S. full-time employees as of year-end 2022</w:t>
            </w:r>
          </w:p>
          <w:p>
            <w:pPr>
              <w:pStyle w:val="TableContents"/>
              <w:spacing w:before="0" w:after="120"/>
              <w:jc w:val="left"/>
              <w:rPr/>
            </w:pPr>
            <w:r>
              <w:rPr>
                <w:rStyle w:val="StrongEmphasis"/>
                <w:rFonts w:ascii="Arial" w:hAnsi="Arial"/>
                <w:sz w:val="18"/>
              </w:rPr>
              <w:t xml:space="preserve">Supplier Diversity and Small Business Support </w:t>
            </w:r>
          </w:p>
          <w:p>
            <w:pPr>
              <w:pStyle w:val="TableContents"/>
              <w:spacing w:before="0" w:after="120"/>
              <w:jc w:val="left"/>
              <w:rPr/>
            </w:pPr>
            <w:r>
              <w:rPr>
                <w:rFonts w:ascii="Arial" w:hAnsi="Arial"/>
                <w:b/>
                <w:color w:val="00A1E0"/>
                <w:sz w:val="15"/>
              </w:rPr>
              <w:t xml:space="preserve">$3 billion+ annual spend </w:t>
            </w:r>
            <w:r>
              <w:rPr>
                <w:rFonts w:ascii="Arial" w:hAnsi="Arial"/>
                <w:sz w:val="15"/>
              </w:rPr>
              <w:t xml:space="preserve">with diverse suppliers for past 5 years, with nearly $5 billion spent in 2022 </w:t>
            </w:r>
          </w:p>
          <w:p>
            <w:pPr>
              <w:pStyle w:val="TableContents"/>
              <w:spacing w:before="0" w:after="0"/>
              <w:jc w:val="left"/>
              <w:rPr/>
            </w:pPr>
            <w:r>
              <w:rPr>
                <w:rFonts w:ascii="Arial" w:hAnsi="Arial"/>
                <w:sz w:val="15"/>
              </w:rPr>
              <w:t xml:space="preserve">Fulfilled our commitment to support </w:t>
            </w:r>
            <w:r>
              <w:rPr>
                <w:rFonts w:ascii="Arial" w:hAnsi="Arial"/>
                <w:b/>
                <w:color w:val="00A1E0"/>
                <w:sz w:val="15"/>
              </w:rPr>
              <w:t xml:space="preserve">13,000 small businesses </w:t>
            </w:r>
            <w:r>
              <w:rPr>
                <w:rFonts w:ascii="Arial" w:hAnsi="Arial"/>
                <w:sz w:val="15"/>
              </w:rPr>
              <w:t xml:space="preserve">owned by people of color and women with </w:t>
            </w:r>
            <w:r>
              <w:rPr>
                <w:rFonts w:ascii="Arial" w:hAnsi="Arial"/>
                <w:b/>
                <w:color w:val="00A1E0"/>
                <w:sz w:val="15"/>
              </w:rPr>
              <w:t xml:space="preserve">over $110 million </w:t>
            </w:r>
            <w:r>
              <w:rPr>
                <w:rFonts w:ascii="Arial" w:hAnsi="Arial"/>
                <w:sz w:val="15"/>
              </w:rPr>
              <w:t>in monetary and in-kind grants through Comcast RISE</w:t>
            </w:r>
          </w:p>
        </w:tc>
        <w:tc>
          <w:tcPr>
            <w:tcW w:w="3343" w:type="dxa"/>
            <w:tcBorders/>
            <w:shd w:fill="auto" w:val="clear"/>
            <w:tcMar>
              <w:right w:w="0" w:type="dxa"/>
            </w:tcMar>
            <w:vAlign w:val="center"/>
          </w:tcPr>
          <w:p>
            <w:pPr>
              <w:pStyle w:val="TableContents"/>
              <w:spacing w:before="0" w:after="120"/>
              <w:jc w:val="left"/>
              <w:rPr/>
            </w:pPr>
            <w:r>
              <w:rPr>
                <w:rStyle w:val="StrongEmphasis"/>
                <w:rFonts w:ascii="Arial" w:hAnsi="Arial"/>
                <w:sz w:val="18"/>
              </w:rPr>
              <w:t xml:space="preserve">Progress Toward 2035 Carbon Neutral Goal </w:t>
            </w:r>
          </w:p>
          <w:p>
            <w:pPr>
              <w:pStyle w:val="TableContents"/>
              <w:spacing w:before="0" w:after="120"/>
              <w:jc w:val="left"/>
              <w:rPr/>
            </w:pPr>
            <w:r>
              <w:rPr>
                <w:rFonts w:ascii="Arial" w:hAnsi="Arial"/>
                <w:b/>
                <w:color w:val="00A1E0"/>
                <w:sz w:val="15"/>
              </w:rPr>
              <w:t xml:space="preserve">28% reduction in Scope 1 and 2 emissions </w:t>
            </w:r>
            <w:r>
              <w:rPr>
                <w:rFonts w:ascii="Arial" w:hAnsi="Arial"/>
                <w:sz w:val="15"/>
              </w:rPr>
              <w:t xml:space="preserve">between our 2019 base year and 2021 </w:t>
            </w:r>
          </w:p>
          <w:p>
            <w:pPr>
              <w:pStyle w:val="TableContents"/>
              <w:spacing w:before="0" w:after="120"/>
              <w:jc w:val="left"/>
              <w:rPr/>
            </w:pPr>
            <w:r>
              <w:rPr>
                <w:rFonts w:ascii="Arial" w:hAnsi="Arial"/>
                <w:sz w:val="15"/>
              </w:rPr>
              <w:t xml:space="preserve">Renewable energy contracts signed for a total of over 1 million MWh per year, or </w:t>
            </w:r>
            <w:r>
              <w:rPr>
                <w:rFonts w:ascii="Arial" w:hAnsi="Arial"/>
                <w:b/>
                <w:color w:val="00A1E0"/>
                <w:sz w:val="15"/>
              </w:rPr>
              <w:t xml:space="preserve">roughly 25% </w:t>
            </w:r>
            <w:r>
              <w:rPr>
                <w:rFonts w:ascii="Arial" w:hAnsi="Arial"/>
                <w:sz w:val="15"/>
              </w:rPr>
              <w:t xml:space="preserve">of our projected energy load in 2026 </w:t>
            </w:r>
          </w:p>
          <w:p>
            <w:pPr>
              <w:pStyle w:val="TableContents"/>
              <w:spacing w:before="0" w:after="0"/>
              <w:jc w:val="left"/>
              <w:rPr/>
            </w:pPr>
            <w:r>
              <w:rPr>
                <w:rFonts w:ascii="Arial" w:hAnsi="Arial"/>
                <w:sz w:val="15"/>
              </w:rPr>
              <w:t xml:space="preserve">Joined the </w:t>
            </w:r>
            <w:r>
              <w:rPr>
                <w:rFonts w:ascii="Arial" w:hAnsi="Arial"/>
                <w:b/>
                <w:color w:val="00A1E0"/>
                <w:sz w:val="15"/>
              </w:rPr>
              <w:t>Science Based Targets initiative</w:t>
            </w:r>
            <w:r>
              <w:rPr>
                <w:rFonts w:ascii="Arial" w:hAnsi="Arial"/>
                <w:sz w:val="15"/>
              </w:rPr>
              <w:t>, committing to set near-term science-based Scope 1, 2 and 3 greenhouse gas reduction targets</w:t>
            </w:r>
          </w:p>
        </w:tc>
      </w:tr>
      <w:tr>
        <w:trPr/>
        <w:tc>
          <w:tcPr>
            <w:tcW w:w="3245" w:type="dxa"/>
            <w:tcBorders/>
            <w:shd w:fill="auto" w:val="clear"/>
            <w:tcMar>
              <w:right w:w="0" w:type="dxa"/>
            </w:tcMar>
            <w:vAlign w:val="center"/>
          </w:tcPr>
          <w:p>
            <w:pPr>
              <w:pStyle w:val="TableContents"/>
              <w:spacing w:before="0" w:after="283"/>
              <w:rPr/>
            </w:pPr>
            <w:r>
              <w:rPr/>
              <w:t> </w:t>
            </w:r>
          </w:p>
        </w:tc>
        <w:tc>
          <w:tcPr>
            <w:tcW w:w="3617" w:type="dxa"/>
            <w:tcBorders/>
            <w:shd w:fill="auto" w:val="clear"/>
            <w:tcMar>
              <w:right w:w="0" w:type="dxa"/>
            </w:tcMar>
            <w:vAlign w:val="center"/>
          </w:tcPr>
          <w:p>
            <w:pPr>
              <w:pStyle w:val="TableContents"/>
              <w:spacing w:before="0" w:after="283"/>
              <w:rPr/>
            </w:pPr>
            <w:r>
              <w:rPr/>
              <w:t> </w:t>
            </w:r>
          </w:p>
        </w:tc>
        <w:tc>
          <w:tcPr>
            <w:tcW w:w="3343" w:type="dxa"/>
            <w:tcBorders/>
            <w:shd w:fill="auto" w:val="clear"/>
            <w:tcMar>
              <w:right w:w="0" w:type="dxa"/>
            </w:tcMar>
            <w:vAlign w:val="center"/>
          </w:tcPr>
          <w:p>
            <w:pPr>
              <w:pStyle w:val="TableContents"/>
              <w:spacing w:before="0" w:after="283"/>
              <w:rPr/>
            </w:pPr>
            <w:r>
              <w:rPr/>
              <w:t> </w:t>
            </w:r>
          </w:p>
        </w:tc>
      </w:tr>
    </w:tbl>
    <w:tbl>
      <w:tblPr>
        <w:tblW w:w="10205" w:type="dxa"/>
        <w:jc w:val="left"/>
        <w:tblInd w:w="0" w:type="dxa"/>
        <w:tblCellMar>
          <w:top w:w="120" w:type="dxa"/>
          <w:left w:w="160" w:type="dxa"/>
          <w:bottom w:w="120" w:type="dxa"/>
          <w:right w:w="160" w:type="dxa"/>
        </w:tblCellMar>
      </w:tblPr>
      <w:tblGrid>
        <w:gridCol w:w="10205"/>
      </w:tblGrid>
      <w:tr>
        <w:trPr/>
        <w:tc>
          <w:tcPr>
            <w:tcW w:w="10205"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120"/>
              <w:jc w:val="center"/>
              <w:rPr/>
            </w:pPr>
            <w:r>
              <w:rPr>
                <w:rStyle w:val="StrongEmphasis"/>
                <w:rFonts w:ascii="Arial" w:hAnsi="Arial"/>
                <w:sz w:val="16"/>
              </w:rPr>
              <w:t>NOTE ABOUT FORWARD-LOOKING STATEMENTS AND WEBSITE REFERENCES</w:t>
            </w:r>
          </w:p>
          <w:p>
            <w:pPr>
              <w:pStyle w:val="TableContents"/>
              <w:spacing w:before="0" w:after="120"/>
              <w:jc w:val="left"/>
              <w:rPr>
                <w:rFonts w:ascii="Arial" w:hAnsi="Arial"/>
                <w:sz w:val="15"/>
              </w:rPr>
            </w:pPr>
            <w:r>
              <w:rPr>
                <w:rFonts w:ascii="Arial" w:hAnsi="Arial"/>
                <w:sz w:val="15"/>
              </w:rPr>
              <w:t>This proxy statement includes statements that may constitute “forward-looking statements” within the meaning of the Private Securities Litigation Reform Act of 1995, Section 27A of the Securities Act of 1933, and Section 21E of the Securities Exchange Act of 1934 (the “Exchange Act”). Forward-looking statements are not historical facts or statements of current conditions, but instead represent only our beliefs regarding future events, many of which, by their nature, are inherently uncertain and outside of our control. These may include estimates, projections and statements relating to our business plans, objectives and expected operating results and statements regarding environmental, social and governance-related plans and goals, which are based on current expectations and assumptions that are subject to risks and uncertainties that may cause actual results to differ materially. These forward-looking statements generally are identified by the words “believe,” “project,” “expect,” “anticipate,” “estimate,” “intend,” “potential,” “strategy,” “future,” “opportunity,” “commit,” “plan,” “goal,” “may,” “should,” “could,” “will,” “would,” “will be,” “will continue,” “will likely result” and similar expressions. Factors that could cause our actual results to differ materially from these forward-looking statements include changes in and/or risks associated with: the competitive environment; consumer behavior; the advertising market; programming costs; consumer acceptance of our content; key distribution and/or licensing agreements; use and protection of our intellectual property; our reliance on third-party hardware, software and operational support; keeping pace with technological developments; cyber attacks, security breaches or technology disruptions; weak economic conditions; acquisitions and strategic initiatives; operating businesses internationally; natural disasters, severe weather-related and other uncontrollable events; loss of key personnel; laws and regulations; adverse decisions in litigation or governmental investigations; labor disputes; and other risks described from time to time in reports and other documents we file with the Securities and Exchange Commission (“SEC”). There are also certain risks and challenges we may face in meeting our environmental goals that are beyond our control, including political, economic, regulatory and geopolitical conditions, supply chain and labor issues, supplier emissions reductions, the evolution of carbon offset markets and limited large-scale investments and innovations in technology and infrastructure.</w:t>
            </w:r>
          </w:p>
          <w:p>
            <w:pPr>
              <w:pStyle w:val="TableContents"/>
              <w:spacing w:before="0" w:after="0"/>
              <w:jc w:val="left"/>
              <w:rPr>
                <w:rFonts w:ascii="Arial" w:hAnsi="Arial"/>
                <w:sz w:val="15"/>
              </w:rPr>
            </w:pPr>
            <w:r>
              <w:rPr>
                <w:rFonts w:ascii="Arial" w:hAnsi="Arial"/>
                <w:sz w:val="15"/>
              </w:rPr>
              <w:t>In evaluating these statements, you should consider various factors, including the risks and uncertainties we describe in the “Risk Factors” sections of our most recent Annual Report on Form 10-K, our most recent Quarterly Report on Form 10-Q and other reports filed with the SEC. The inclusion of forward-looking and other statements in this proxy statement or on our website that may address our corporate responsibility initiatives, progress, plans and goals is not an indication that they are necessarily material to investors or required to be disclosed in our filings with the SEC. Such statements may contain estimates, make assumptions based on developing standards that may change and provide aspirational goals and commitments that are not intended to be promises or guarantees. Readers are cautioned not to place undue reliance on forward-looking statements and such other statements, which speak only as of the date they are made. We undertake no obligation to update or revise publicly any forward-looking or such other statements, whether because of new information, future events or otherwise. Additionally, none of the statements, reports, policies or other content on our website, or any other websites or reports referenced or discussed in this proxy statement, are deemed to be part of, or incorporated by reference into, this proxy statement.</w:t>
            </w:r>
          </w:p>
        </w:tc>
      </w:tr>
    </w:tbl>
    <w:p>
      <w:pPr>
        <w:pStyle w:val="TextBody"/>
        <w:spacing w:before="0" w:after="0"/>
        <w:rPr/>
      </w:pPr>
      <w:r>
        <w:rPr/>
      </w:r>
    </w:p>
    <w:tbl>
      <w:tblPr>
        <w:tblW w:w="133" w:type="dxa"/>
        <w:jc w:val="left"/>
        <w:tblInd w:w="0" w:type="dxa"/>
        <w:tblCellMar>
          <w:top w:w="0" w:type="dxa"/>
          <w:left w:w="0" w:type="dxa"/>
          <w:bottom w:w="0" w:type="dxa"/>
          <w:right w:w="0" w:type="dxa"/>
        </w:tblCellMar>
      </w:tblPr>
      <w:tblGrid>
        <w:gridCol w:w="110"/>
        <w:gridCol w:w="23"/>
      </w:tblGrid>
      <w:tr>
        <w:trPr/>
        <w:tc>
          <w:tcPr>
            <w:tcW w:w="110" w:type="dxa"/>
            <w:tcBorders/>
            <w:shd w:fill="auto" w:val="clear"/>
            <w:vAlign w:val="center"/>
          </w:tcPr>
          <w:p>
            <w:pPr>
              <w:pStyle w:val="TableContents"/>
              <w:spacing w:before="0" w:after="283"/>
              <w:jc w:val="left"/>
              <w:rPr>
                <w:rFonts w:ascii="Arial" w:hAnsi="Arial"/>
                <w:b/>
                <w:sz w:val="15"/>
              </w:rPr>
            </w:pPr>
            <w:r>
              <w:rPr>
                <w:rFonts w:ascii="Arial" w:hAnsi="Arial"/>
                <w:b/>
                <w:sz w:val="15"/>
              </w:rPr>
              <w:t>2</w:t>
            </w:r>
          </w:p>
        </w:tc>
        <w:tc>
          <w:tcPr>
            <w:tcW w:w="2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p>
      <w:pPr>
        <w:pStyle w:val="TextBody"/>
        <w:jc w:val="left"/>
        <w:rPr>
          <w:rFonts w:ascii="Arial" w:hAnsi="Arial"/>
          <w:b/>
          <w:sz w:val="36"/>
        </w:rPr>
      </w:pPr>
      <w:bookmarkStart w:id="4" w:name="messagefromchair"/>
      <w:bookmarkEnd w:id="4"/>
      <w:r>
        <w:rPr>
          <w:rFonts w:ascii="Arial" w:hAnsi="Arial"/>
          <w:b/>
          <w:sz w:val="36"/>
        </w:rPr>
        <w:t>Message from Our Chairman and CEO and Our Lead Independent Director</w:t>
      </w:r>
    </w:p>
    <w:p>
      <w:pPr>
        <w:pStyle w:val="TextBody"/>
        <w:jc w:val="left"/>
        <w:rPr>
          <w:rFonts w:ascii="Arial" w:hAnsi="Arial"/>
          <w:sz w:val="24"/>
        </w:rPr>
      </w:pPr>
      <w:r>
        <w:rPr>
          <w:rFonts w:ascii="Arial" w:hAnsi="Arial"/>
          <w:sz w:val="24"/>
        </w:rPr>
        <w:t>Dear Shareholders,</w:t>
      </w:r>
    </w:p>
    <w:p>
      <w:pPr>
        <w:pStyle w:val="TextBody"/>
        <w:jc w:val="left"/>
        <w:rPr>
          <w:rFonts w:ascii="Arial" w:hAnsi="Arial"/>
          <w:sz w:val="20"/>
        </w:rPr>
      </w:pPr>
      <w:r>
        <w:rPr>
          <w:rFonts w:ascii="Arial" w:hAnsi="Arial"/>
          <w:sz w:val="20"/>
        </w:rPr>
        <w:t>2022 was a record year for Comcast. We achieved the highest level of revenue, Adjusted EBITDA and Adjusted EPS in our company’s history and returned $17.7 billion of capital to shareholders through share repurchases and quarterly dividends.</w:t>
      </w:r>
    </w:p>
    <w:p>
      <w:pPr>
        <w:pStyle w:val="TextBody"/>
        <w:jc w:val="left"/>
        <w:rPr>
          <w:rFonts w:ascii="Arial" w:hAnsi="Arial"/>
          <w:sz w:val="20"/>
        </w:rPr>
      </w:pPr>
      <w:r>
        <w:rPr>
          <w:rFonts w:ascii="Arial" w:hAnsi="Arial"/>
          <w:sz w:val="20"/>
        </w:rPr>
        <w:t>While our financial performance and healthy balance sheet help set Comcast apart, it is our talented employees who make us truly unique. In 2022, our teams worked collaboratively to innovate and deliver the very best technology and experiences to customers, viewers and guests.</w:t>
      </w:r>
    </w:p>
    <w:p>
      <w:pPr>
        <w:pStyle w:val="TextBody"/>
        <w:jc w:val="left"/>
        <w:rPr>
          <w:rFonts w:ascii="Arial" w:hAnsi="Arial"/>
          <w:sz w:val="20"/>
        </w:rPr>
      </w:pPr>
      <w:r>
        <w:rPr>
          <w:rFonts w:ascii="Arial" w:hAnsi="Arial"/>
          <w:sz w:val="20"/>
        </w:rPr>
        <w:t>We continue to lead in broadband with world-class products and the investments we are making in our next generation network, Xfinity 10G, will enable us to well-exceed customer demand for both speed and usage for years to come.</w:t>
      </w:r>
    </w:p>
    <w:p>
      <w:pPr>
        <w:pStyle w:val="TextBody"/>
        <w:jc w:val="left"/>
        <w:rPr>
          <w:rFonts w:ascii="Arial" w:hAnsi="Arial"/>
          <w:sz w:val="20"/>
        </w:rPr>
      </w:pPr>
      <w:r>
        <w:rPr>
          <w:rFonts w:ascii="Arial" w:hAnsi="Arial"/>
          <w:sz w:val="20"/>
        </w:rPr>
        <w:t>Xfinity Mobile continues to shine, and with five million lines in just five years, we have great momentum and significant runway ahead. Comcast Business approached $10 billion in revenue, and Sky Broadband remains the number two provider in the United Kingdom.</w:t>
      </w:r>
    </w:p>
    <w:p>
      <w:pPr>
        <w:pStyle w:val="TextBody"/>
        <w:jc w:val="left"/>
        <w:rPr/>
      </w:pPr>
      <w:r>
        <w:rPr>
          <w:rFonts w:ascii="Arial" w:hAnsi="Arial"/>
          <w:sz w:val="20"/>
        </w:rPr>
        <w:t xml:space="preserve">NBCUniversal delivered exceptional content across platforms with global box office hits including </w:t>
      </w:r>
      <w:r>
        <w:rPr>
          <w:rFonts w:ascii="Arial" w:hAnsi="Arial"/>
          <w:i/>
          <w:sz w:val="20"/>
        </w:rPr>
        <w:t xml:space="preserve">Jurassic World Dominion </w:t>
      </w:r>
      <w:r>
        <w:rPr>
          <w:rFonts w:ascii="Arial" w:hAnsi="Arial"/>
          <w:sz w:val="20"/>
        </w:rPr>
        <w:t xml:space="preserve">and </w:t>
      </w:r>
      <w:r>
        <w:rPr>
          <w:rFonts w:ascii="Arial" w:hAnsi="Arial"/>
          <w:i/>
          <w:sz w:val="20"/>
        </w:rPr>
        <w:t>Minions: The Rise of Gru</w:t>
      </w:r>
      <w:r>
        <w:rPr>
          <w:rFonts w:ascii="Arial" w:hAnsi="Arial"/>
          <w:sz w:val="20"/>
        </w:rPr>
        <w:t>. Peacock more than doubled its number of paying subscribers driven by must-see films, sporting events and new originals, capping off a great year of growth for streaming at our company. At Theme Parks, demand once again exceeded all expectations, breaking previous attendance and financial records, as we focus on exciting new openings and attractions in the coming years.</w:t>
      </w:r>
    </w:p>
    <w:p>
      <w:pPr>
        <w:pStyle w:val="TextBody"/>
        <w:jc w:val="left"/>
        <w:rPr>
          <w:rFonts w:ascii="Arial" w:hAnsi="Arial"/>
          <w:sz w:val="20"/>
        </w:rPr>
      </w:pPr>
      <w:r>
        <w:rPr>
          <w:rFonts w:ascii="Arial" w:hAnsi="Arial"/>
          <w:sz w:val="20"/>
        </w:rPr>
        <w:t>Pride in our business achievements is matched only by the meaningful impact our wonderful teams have made in their local communities. We continued to advance key initiatives aimed at creating a more equitable world through our expansive digital equity initiatives, championing diversity, equity and inclusion in our workforce and society, and helping to foster a cleaner environment through our carbon neutral goal and recent commitment to set science-based targets. These efforts are outlined in greater detail in the pages that follow and will remain key focus areas for our company.</w:t>
      </w:r>
    </w:p>
    <w:p>
      <w:pPr>
        <w:pStyle w:val="TextBody"/>
        <w:jc w:val="left"/>
        <w:rPr>
          <w:rFonts w:ascii="Arial" w:hAnsi="Arial"/>
          <w:sz w:val="20"/>
        </w:rPr>
      </w:pPr>
      <w:r>
        <w:rPr>
          <w:rFonts w:ascii="Arial" w:hAnsi="Arial"/>
          <w:sz w:val="20"/>
        </w:rPr>
        <w:t>In March 2023, we welcomed Thomas J. Baltimore, Jr., Chairman, President and Chief Executive Officer of Park Hotels &amp; Resorts, Inc. to our Board of Directors. He is an impressive leader and we look forward to his contributions in the coming years.</w:t>
      </w:r>
    </w:p>
    <w:p>
      <w:pPr>
        <w:pStyle w:val="TextBody"/>
        <w:jc w:val="left"/>
        <w:rPr>
          <w:rFonts w:ascii="Arial" w:hAnsi="Arial"/>
          <w:sz w:val="20"/>
        </w:rPr>
      </w:pPr>
      <w:r>
        <w:rPr>
          <w:rFonts w:ascii="Arial" w:hAnsi="Arial"/>
          <w:sz w:val="20"/>
        </w:rPr>
        <w:t>Our many accomplishments would not have been possible without the stewardship of our Board and our management team. Thanks to their leadership, we begin 2023 with strength and optimism. From the connectivity and platforms we provide, to the content and experiences we create, our businesses continue to play a central role in the lives of millions as we fulfill our mission of connecting people to the moments that matter in their lives.</w:t>
      </w:r>
    </w:p>
    <w:p>
      <w:pPr>
        <w:pStyle w:val="TextBody"/>
        <w:jc w:val="left"/>
        <w:rPr>
          <w:rFonts w:ascii="Arial" w:hAnsi="Arial"/>
          <w:sz w:val="20"/>
        </w:rPr>
      </w:pPr>
      <w:r>
        <w:rPr>
          <w:rFonts w:ascii="Arial" w:hAnsi="Arial"/>
          <w:sz w:val="20"/>
        </w:rPr>
        <w:t>Sincerely,</w:t>
      </w:r>
    </w:p>
    <w:tbl>
      <w:tblPr>
        <w:tblW w:w="5628" w:type="dxa"/>
        <w:jc w:val="left"/>
        <w:tblInd w:w="0" w:type="dxa"/>
        <w:tblCellMar>
          <w:top w:w="0" w:type="dxa"/>
          <w:left w:w="0" w:type="dxa"/>
          <w:bottom w:w="0" w:type="dxa"/>
          <w:right w:w="0" w:type="dxa"/>
        </w:tblCellMar>
      </w:tblPr>
      <w:tblGrid>
        <w:gridCol w:w="3305"/>
        <w:gridCol w:w="23"/>
        <w:gridCol w:w="2300"/>
      </w:tblGrid>
      <w:tr>
        <w:trPr/>
        <w:tc>
          <w:tcPr>
            <w:tcW w:w="3305" w:type="dxa"/>
            <w:tcBorders/>
            <w:shd w:fill="auto" w:val="clear"/>
            <w:vAlign w:val="center"/>
          </w:tcPr>
          <w:p>
            <w:pPr>
              <w:pStyle w:val="TableContents"/>
              <w:spacing w:before="0" w:after="283"/>
              <w:rPr/>
            </w:pPr>
            <w:r>
              <w:rPr/>
              <w:drawing>
                <wp:inline distT="0" distB="0" distL="0" distR="0">
                  <wp:extent cx="1076325" cy="34004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rcRect l="-296" t="-296" r="-296" b="-296"/>
                          <a:stretch>
                            <a:fillRect/>
                          </a:stretch>
                        </pic:blipFill>
                        <pic:spPr bwMode="auto">
                          <a:xfrm>
                            <a:off x="0" y="0"/>
                            <a:ext cx="1076325" cy="3400425"/>
                          </a:xfrm>
                          <a:prstGeom prst="rect">
                            <a:avLst/>
                          </a:prstGeom>
                          <a:ln w="635">
                            <a:solidFill>
                              <a:srgbClr val="000000"/>
                            </a:solidFill>
                          </a:ln>
                        </pic:spPr>
                      </pic:pic>
                    </a:graphicData>
                  </a:graphic>
                </wp:inline>
              </w:drawing>
            </w:r>
          </w:p>
        </w:tc>
        <w:tc>
          <w:tcPr>
            <w:tcW w:w="23" w:type="dxa"/>
            <w:tcBorders/>
            <w:shd w:fill="auto" w:val="clear"/>
            <w:vAlign w:val="center"/>
          </w:tcPr>
          <w:p>
            <w:pPr>
              <w:pStyle w:val="TableContents"/>
              <w:spacing w:before="0" w:after="283"/>
              <w:rPr>
                <w:sz w:val="4"/>
                <w:szCs w:val="4"/>
              </w:rPr>
            </w:pPr>
            <w:r>
              <w:rPr>
                <w:sz w:val="4"/>
                <w:szCs w:val="4"/>
              </w:rPr>
            </w:r>
          </w:p>
        </w:tc>
        <w:tc>
          <w:tcPr>
            <w:tcW w:w="2300" w:type="dxa"/>
            <w:tcBorders/>
            <w:shd w:fill="auto" w:val="clear"/>
            <w:vAlign w:val="center"/>
          </w:tcPr>
          <w:p>
            <w:pPr>
              <w:pStyle w:val="TableContents"/>
              <w:spacing w:before="0" w:after="283"/>
              <w:rPr/>
            </w:pPr>
            <w:r>
              <w:rPr/>
              <w:drawing>
                <wp:inline distT="0" distB="0" distL="0" distR="0">
                  <wp:extent cx="1076325" cy="33337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rcRect l="-295" t="-302" r="-295" b="-302"/>
                          <a:stretch>
                            <a:fillRect/>
                          </a:stretch>
                        </pic:blipFill>
                        <pic:spPr bwMode="auto">
                          <a:xfrm>
                            <a:off x="0" y="0"/>
                            <a:ext cx="1076325" cy="3333750"/>
                          </a:xfrm>
                          <a:prstGeom prst="rect">
                            <a:avLst/>
                          </a:prstGeom>
                          <a:ln w="635">
                            <a:solidFill>
                              <a:srgbClr val="000000"/>
                            </a:solidFill>
                          </a:ln>
                        </pic:spPr>
                      </pic:pic>
                    </a:graphicData>
                  </a:graphic>
                </wp:inline>
              </w:drawing>
            </w:r>
          </w:p>
        </w:tc>
      </w:tr>
      <w:tr>
        <w:trPr/>
        <w:tc>
          <w:tcPr>
            <w:tcW w:w="3305" w:type="dxa"/>
            <w:tcBorders/>
            <w:shd w:fill="auto" w:val="clear"/>
            <w:vAlign w:val="center"/>
          </w:tcPr>
          <w:p>
            <w:pPr>
              <w:pStyle w:val="TableContents"/>
              <w:spacing w:before="0" w:after="283"/>
              <w:rPr/>
            </w:pPr>
            <w:r>
              <w:rPr/>
              <w:drawing>
                <wp:inline distT="0" distB="0" distL="0" distR="0">
                  <wp:extent cx="1428750" cy="6000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rcRect l="-222" t="-1679" r="-222" b="-1679"/>
                          <a:stretch>
                            <a:fillRect/>
                          </a:stretch>
                        </pic:blipFill>
                        <pic:spPr bwMode="auto">
                          <a:xfrm>
                            <a:off x="0" y="0"/>
                            <a:ext cx="1428750" cy="600075"/>
                          </a:xfrm>
                          <a:prstGeom prst="rect">
                            <a:avLst/>
                          </a:prstGeom>
                          <a:ln w="635">
                            <a:solidFill>
                              <a:srgbClr val="000000"/>
                            </a:solidFill>
                          </a:ln>
                        </pic:spPr>
                      </pic:pic>
                    </a:graphicData>
                  </a:graphic>
                </wp:inline>
              </w:drawing>
            </w:r>
          </w:p>
        </w:tc>
        <w:tc>
          <w:tcPr>
            <w:tcW w:w="23" w:type="dxa"/>
            <w:tcBorders/>
            <w:shd w:fill="auto" w:val="clear"/>
            <w:vAlign w:val="center"/>
          </w:tcPr>
          <w:p>
            <w:pPr>
              <w:pStyle w:val="TableContents"/>
              <w:spacing w:before="0" w:after="283"/>
              <w:rPr>
                <w:sz w:val="4"/>
                <w:szCs w:val="4"/>
              </w:rPr>
            </w:pPr>
            <w:r>
              <w:rPr>
                <w:sz w:val="4"/>
                <w:szCs w:val="4"/>
              </w:rPr>
            </w:r>
          </w:p>
        </w:tc>
        <w:tc>
          <w:tcPr>
            <w:tcW w:w="2300" w:type="dxa"/>
            <w:tcBorders/>
            <w:shd w:fill="auto" w:val="clear"/>
            <w:vAlign w:val="center"/>
          </w:tcPr>
          <w:p>
            <w:pPr>
              <w:pStyle w:val="TableContents"/>
              <w:spacing w:before="0" w:after="283"/>
              <w:rPr/>
            </w:pPr>
            <w:r>
              <w:rPr/>
              <w:drawing>
                <wp:inline distT="0" distB="0" distL="0" distR="0">
                  <wp:extent cx="1428750" cy="9906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rcRect l="-214" t="-1017" r="-214" b="-1017"/>
                          <a:stretch>
                            <a:fillRect/>
                          </a:stretch>
                        </pic:blipFill>
                        <pic:spPr bwMode="auto">
                          <a:xfrm>
                            <a:off x="0" y="0"/>
                            <a:ext cx="1428750" cy="990600"/>
                          </a:xfrm>
                          <a:prstGeom prst="rect">
                            <a:avLst/>
                          </a:prstGeom>
                          <a:ln w="635">
                            <a:solidFill>
                              <a:srgbClr val="000000"/>
                            </a:solidFill>
                          </a:ln>
                        </pic:spPr>
                      </pic:pic>
                    </a:graphicData>
                  </a:graphic>
                </wp:inline>
              </w:drawing>
            </w:r>
          </w:p>
        </w:tc>
      </w:tr>
      <w:tr>
        <w:trPr/>
        <w:tc>
          <w:tcPr>
            <w:tcW w:w="3305" w:type="dxa"/>
            <w:tcBorders/>
            <w:shd w:fill="auto" w:val="clear"/>
            <w:vAlign w:val="center"/>
          </w:tcPr>
          <w:p>
            <w:pPr>
              <w:pStyle w:val="TableContents"/>
              <w:spacing w:before="0" w:after="0"/>
              <w:jc w:val="left"/>
              <w:rPr/>
            </w:pPr>
            <w:r>
              <w:rPr>
                <w:rStyle w:val="StrongEmphasis"/>
                <w:rFonts w:ascii="Arial" w:hAnsi="Arial"/>
                <w:sz w:val="20"/>
              </w:rPr>
              <w:t>Brian L. Roberts</w:t>
              <w:br/>
            </w:r>
            <w:r>
              <w:rPr>
                <w:rFonts w:ascii="Arial" w:hAnsi="Arial"/>
                <w:sz w:val="20"/>
              </w:rPr>
              <w:t>Chairman and Chief Executive Officer</w:t>
            </w:r>
          </w:p>
        </w:tc>
        <w:tc>
          <w:tcPr>
            <w:tcW w:w="23" w:type="dxa"/>
            <w:tcBorders/>
            <w:shd w:fill="auto" w:val="clear"/>
            <w:vAlign w:val="center"/>
          </w:tcPr>
          <w:p>
            <w:pPr>
              <w:pStyle w:val="TableContents"/>
              <w:spacing w:before="0" w:after="283"/>
              <w:rPr>
                <w:sz w:val="4"/>
                <w:szCs w:val="4"/>
              </w:rPr>
            </w:pPr>
            <w:r>
              <w:rPr>
                <w:sz w:val="4"/>
                <w:szCs w:val="4"/>
              </w:rPr>
            </w:r>
          </w:p>
        </w:tc>
        <w:tc>
          <w:tcPr>
            <w:tcW w:w="2300" w:type="dxa"/>
            <w:tcBorders/>
            <w:shd w:fill="auto" w:val="clear"/>
            <w:vAlign w:val="center"/>
          </w:tcPr>
          <w:p>
            <w:pPr>
              <w:pStyle w:val="TableContents"/>
              <w:spacing w:before="0" w:after="0"/>
              <w:jc w:val="left"/>
              <w:rPr/>
            </w:pPr>
            <w:r>
              <w:rPr>
                <w:rStyle w:val="StrongEmphasis"/>
                <w:rFonts w:ascii="Arial" w:hAnsi="Arial"/>
                <w:sz w:val="20"/>
              </w:rPr>
              <w:t>Edward D. Breen</w:t>
              <w:br/>
            </w:r>
            <w:r>
              <w:rPr>
                <w:rFonts w:ascii="Arial" w:hAnsi="Arial"/>
                <w:sz w:val="20"/>
              </w:rPr>
              <w:t>Lead Independent Director</w:t>
            </w:r>
          </w:p>
        </w:tc>
      </w:tr>
    </w:tbl>
    <w:p>
      <w:pPr>
        <w:pStyle w:val="TextBody"/>
        <w:spacing w:before="0" w:after="0"/>
        <w:rPr/>
      </w:pPr>
      <w:r>
        <w:rPr/>
      </w:r>
    </w:p>
    <w:tbl>
      <w:tblPr>
        <w:tblW w:w="2110" w:type="dxa"/>
        <w:jc w:val="left"/>
        <w:tblInd w:w="0" w:type="dxa"/>
        <w:tblCellMar>
          <w:top w:w="0" w:type="dxa"/>
          <w:left w:w="0" w:type="dxa"/>
          <w:bottom w:w="0" w:type="dxa"/>
          <w:right w:w="0" w:type="dxa"/>
        </w:tblCellMar>
      </w:tblPr>
      <w:tblGrid>
        <w:gridCol w:w="1580"/>
        <w:gridCol w:w="530"/>
      </w:tblGrid>
      <w:tr>
        <w:trPr/>
        <w:tc>
          <w:tcPr>
            <w:tcW w:w="1580" w:type="dxa"/>
            <w:tcBorders/>
            <w:shd w:fill="auto" w:val="clear"/>
            <w:vAlign w:val="center"/>
          </w:tcPr>
          <w:p>
            <w:pPr>
              <w:pStyle w:val="TableContents"/>
              <w:spacing w:before="0" w:after="283"/>
              <w:jc w:val="right"/>
              <w:rPr>
                <w:rFonts w:ascii="Arial" w:hAnsi="Arial"/>
                <w:sz w:val="15"/>
              </w:rPr>
            </w:pPr>
            <w:r>
              <w:rPr>
                <w:rFonts w:ascii="Arial" w:hAnsi="Arial"/>
                <w:sz w:val="15"/>
              </w:rPr>
              <w:t>2023 Proxy Statement</w:t>
            </w:r>
          </w:p>
        </w:tc>
        <w:tc>
          <w:tcPr>
            <w:tcW w:w="530" w:type="dxa"/>
            <w:tcBorders/>
            <w:shd w:fill="auto" w:val="clear"/>
            <w:vAlign w:val="center"/>
          </w:tcPr>
          <w:p>
            <w:pPr>
              <w:pStyle w:val="TableContents"/>
              <w:spacing w:before="0" w:after="283"/>
              <w:jc w:val="right"/>
              <w:rPr/>
            </w:pPr>
            <w:r>
              <w:rPr/>
              <w:t>       </w:t>
            </w:r>
            <w:r>
              <w:rPr>
                <w:rFonts w:ascii="Arial" w:hAnsi="Arial"/>
                <w:b/>
                <w:sz w:val="15"/>
              </w:rPr>
              <w:t>3</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p>
      <w:pPr>
        <w:pStyle w:val="TextBody"/>
        <w:jc w:val="left"/>
        <w:rPr>
          <w:rFonts w:ascii="Arial" w:hAnsi="Arial"/>
          <w:b/>
          <w:sz w:val="36"/>
        </w:rPr>
      </w:pPr>
      <w:bookmarkStart w:id="5" w:name="notice"/>
      <w:bookmarkEnd w:id="5"/>
      <w:r>
        <w:rPr>
          <w:rFonts w:ascii="Arial" w:hAnsi="Arial"/>
          <w:b/>
          <w:sz w:val="36"/>
        </w:rPr>
        <w:t>Notice of 2023 Annual Meeting of Shareholders of Comcast Corporation</w:t>
      </w:r>
    </w:p>
    <w:tbl>
      <w:tblPr>
        <w:tblW w:w="10205" w:type="dxa"/>
        <w:jc w:val="left"/>
        <w:tblInd w:w="0" w:type="dxa"/>
        <w:tblCellMar>
          <w:top w:w="0" w:type="dxa"/>
          <w:left w:w="0" w:type="dxa"/>
          <w:bottom w:w="28" w:type="dxa"/>
          <w:right w:w="0" w:type="dxa"/>
        </w:tblCellMar>
      </w:tblPr>
      <w:tblGrid>
        <w:gridCol w:w="4321"/>
        <w:gridCol w:w="320"/>
        <w:gridCol w:w="3547"/>
        <w:gridCol w:w="320"/>
        <w:gridCol w:w="1697"/>
      </w:tblGrid>
      <w:tr>
        <w:trPr/>
        <w:tc>
          <w:tcPr>
            <w:tcW w:w="4321" w:type="dxa"/>
            <w:tcBorders>
              <w:bottom w:val="single" w:sz="8" w:space="0" w:color="959595"/>
            </w:tcBorders>
            <w:shd w:fill="ECF6FA" w:val="clear"/>
            <w:vAlign w:val="center"/>
          </w:tcPr>
          <w:p>
            <w:pPr>
              <w:pStyle w:val="TableContents"/>
              <w:spacing w:before="0" w:after="283"/>
              <w:rPr>
                <w:sz w:val="4"/>
                <w:szCs w:val="4"/>
              </w:rPr>
            </w:pPr>
            <w:r>
              <w:rPr>
                <w:sz w:val="4"/>
                <w:szCs w:val="4"/>
              </w:rPr>
            </w:r>
          </w:p>
        </w:tc>
        <w:tc>
          <w:tcPr>
            <w:tcW w:w="320" w:type="dxa"/>
            <w:tcBorders/>
            <w:shd w:fill="ECF6FA" w:val="clear"/>
            <w:tcMar>
              <w:bottom w:w="0" w:type="dxa"/>
            </w:tcMar>
            <w:vAlign w:val="center"/>
          </w:tcPr>
          <w:p>
            <w:pPr>
              <w:pStyle w:val="TableContents"/>
              <w:spacing w:before="0" w:after="283"/>
              <w:rPr/>
            </w:pPr>
            <w:r>
              <w:rPr/>
              <w:t xml:space="preserve">      </w:t>
            </w:r>
          </w:p>
        </w:tc>
        <w:tc>
          <w:tcPr>
            <w:tcW w:w="3547" w:type="dxa"/>
            <w:tcBorders/>
            <w:shd w:fill="ECF6FA" w:val="clear"/>
            <w:tcMar>
              <w:bottom w:w="0" w:type="dxa"/>
            </w:tcMar>
            <w:vAlign w:val="center"/>
          </w:tcPr>
          <w:p>
            <w:pPr>
              <w:pStyle w:val="TableContents"/>
              <w:spacing w:before="0" w:after="0"/>
              <w:jc w:val="left"/>
              <w:rPr>
                <w:rFonts w:ascii="Arial" w:hAnsi="Arial"/>
                <w:b/>
                <w:sz w:val="20"/>
              </w:rPr>
            </w:pPr>
            <w:r>
              <w:rPr>
                <w:rFonts w:ascii="Arial" w:hAnsi="Arial"/>
                <w:b/>
                <w:sz w:val="20"/>
              </w:rPr>
              <w:t>Voting Items</w:t>
            </w:r>
          </w:p>
        </w:tc>
        <w:tc>
          <w:tcPr>
            <w:tcW w:w="320" w:type="dxa"/>
            <w:tcBorders/>
            <w:shd w:fill="ECF6FA" w:val="clear"/>
            <w:tcMar>
              <w:bottom w:w="0" w:type="dxa"/>
            </w:tcMar>
            <w:vAlign w:val="center"/>
          </w:tcPr>
          <w:p>
            <w:pPr>
              <w:pStyle w:val="TableContents"/>
              <w:spacing w:before="0" w:after="283"/>
              <w:rPr/>
            </w:pPr>
            <w:r>
              <w:rPr/>
              <w:t xml:space="preserve">      </w:t>
            </w:r>
          </w:p>
        </w:tc>
        <w:tc>
          <w:tcPr>
            <w:tcW w:w="1697" w:type="dxa"/>
            <w:tcBorders/>
            <w:shd w:fill="ECF6FA" w:val="clear"/>
            <w:tcMar>
              <w:bottom w:w="0" w:type="dxa"/>
            </w:tcMar>
            <w:vAlign w:val="center"/>
          </w:tcPr>
          <w:p>
            <w:pPr>
              <w:pStyle w:val="TableContents"/>
              <w:spacing w:before="0" w:after="0"/>
              <w:jc w:val="left"/>
              <w:rPr>
                <w:rFonts w:ascii="Arial" w:hAnsi="Arial"/>
                <w:b/>
                <w:sz w:val="20"/>
              </w:rPr>
            </w:pPr>
            <w:r>
              <w:rPr>
                <w:rFonts w:ascii="Arial" w:hAnsi="Arial"/>
                <w:b/>
                <w:sz w:val="20"/>
              </w:rPr>
              <w:t xml:space="preserve">Board Voting </w:t>
              <w:br/>
              <w:t>Recommendation</w:t>
            </w:r>
          </w:p>
        </w:tc>
      </w:tr>
      <w:tr>
        <w:trPr/>
        <w:tc>
          <w:tcPr>
            <w:tcW w:w="4321" w:type="dxa"/>
            <w:vMerge w:val="restart"/>
            <w:tcBorders>
              <w:right w:val="single" w:sz="8" w:space="0" w:color="959595"/>
            </w:tcBorders>
            <w:shd w:fill="auto" w:val="clear"/>
            <w:tcMar>
              <w:bottom w:w="0" w:type="dxa"/>
              <w:right w:w="28" w:type="dxa"/>
            </w:tcMar>
            <w:vAlign w:val="center"/>
          </w:tcPr>
          <w:p>
            <w:pPr>
              <w:pStyle w:val="TableContents"/>
              <w:spacing w:before="0" w:after="0"/>
              <w:jc w:val="left"/>
              <w:rPr/>
            </w:pPr>
            <w:r>
              <w:rPr>
                <w:rStyle w:val="StrongEmphasis"/>
                <w:rFonts w:ascii="Arial" w:hAnsi="Arial"/>
                <w:color w:val="00A1E0"/>
                <w:sz w:val="20"/>
              </w:rPr>
              <w:t>DATE</w:t>
              <w:br/>
            </w:r>
            <w:r>
              <w:rPr>
                <w:rFonts w:ascii="Arial" w:hAnsi="Arial"/>
                <w:sz w:val="20"/>
              </w:rPr>
              <w:t>June 7, 2023</w:t>
            </w:r>
          </w:p>
          <w:p>
            <w:pPr>
              <w:pStyle w:val="TableContents"/>
              <w:spacing w:before="0" w:after="0"/>
              <w:jc w:val="left"/>
              <w:rPr/>
            </w:pPr>
            <w:r>
              <w:rPr>
                <w:rStyle w:val="StrongEmphasis"/>
                <w:rFonts w:ascii="Arial" w:hAnsi="Arial"/>
                <w:color w:val="00A1E0"/>
                <w:sz w:val="20"/>
              </w:rPr>
              <w:t>TIME</w:t>
              <w:br/>
            </w:r>
            <w:r>
              <w:rPr>
                <w:rFonts w:ascii="Arial" w:hAnsi="Arial"/>
                <w:sz w:val="20"/>
              </w:rPr>
              <w:t>Online check-in opens: 8:45 a.m. Eastern Time</w:t>
            </w:r>
          </w:p>
          <w:p>
            <w:pPr>
              <w:pStyle w:val="TableContents"/>
              <w:spacing w:before="0" w:after="0"/>
              <w:jc w:val="left"/>
              <w:rPr>
                <w:rFonts w:ascii="Arial" w:hAnsi="Arial"/>
                <w:sz w:val="20"/>
              </w:rPr>
            </w:pPr>
            <w:r>
              <w:rPr>
                <w:rFonts w:ascii="Arial" w:hAnsi="Arial"/>
                <w:sz w:val="20"/>
              </w:rPr>
              <w:t>Meeting begins: 9:00 a.m. Eastern Time</w:t>
            </w:r>
          </w:p>
          <w:p>
            <w:pPr>
              <w:pStyle w:val="TableContents"/>
              <w:spacing w:before="0" w:after="0"/>
              <w:jc w:val="left"/>
              <w:rPr/>
            </w:pPr>
            <w:r>
              <w:rPr>
                <w:rStyle w:val="StrongEmphasis"/>
                <w:rFonts w:ascii="Arial" w:hAnsi="Arial"/>
                <w:color w:val="00A1E0"/>
                <w:sz w:val="20"/>
              </w:rPr>
              <w:t>PLACE</w:t>
              <w:br/>
            </w:r>
            <w:r>
              <w:rPr>
                <w:rFonts w:ascii="Arial" w:hAnsi="Arial"/>
                <w:sz w:val="20"/>
              </w:rPr>
              <w:t xml:space="preserve">Meeting live via the internet: </w:t>
            </w:r>
            <w:r>
              <w:rPr>
                <w:rFonts w:ascii="Arial" w:hAnsi="Arial"/>
                <w:i/>
                <w:sz w:val="20"/>
              </w:rPr>
              <w:t>comcast.onlineshareholdermeeting.com</w:t>
            </w:r>
          </w:p>
          <w:p>
            <w:pPr>
              <w:pStyle w:val="TableContents"/>
              <w:spacing w:before="0" w:after="0"/>
              <w:jc w:val="left"/>
              <w:rPr/>
            </w:pPr>
            <w:r>
              <w:rPr>
                <w:rStyle w:val="StrongEmphasis"/>
                <w:rFonts w:ascii="Arial" w:hAnsi="Arial"/>
                <w:color w:val="00A1E0"/>
                <w:sz w:val="20"/>
              </w:rPr>
              <w:t>WHO CAN VOTE</w:t>
              <w:br/>
            </w:r>
            <w:r>
              <w:rPr>
                <w:rFonts w:ascii="Arial" w:hAnsi="Arial"/>
                <w:sz w:val="20"/>
              </w:rPr>
              <w:t>Shareholders of record on April 3, 2023</w:t>
            </w:r>
          </w:p>
        </w:tc>
        <w:tc>
          <w:tcPr>
            <w:tcW w:w="320" w:type="dxa"/>
            <w:tcBorders/>
            <w:shd w:fill="ECF6FA" w:val="clear"/>
            <w:tcMar>
              <w:bottom w:w="0" w:type="dxa"/>
            </w:tcMar>
            <w:vAlign w:val="center"/>
          </w:tcPr>
          <w:p>
            <w:pPr>
              <w:pStyle w:val="TableContents"/>
              <w:spacing w:before="0" w:after="283"/>
              <w:rPr>
                <w:sz w:val="4"/>
                <w:szCs w:val="4"/>
              </w:rPr>
            </w:pPr>
            <w:r>
              <w:rPr>
                <w:sz w:val="4"/>
                <w:szCs w:val="4"/>
              </w:rPr>
            </w:r>
          </w:p>
        </w:tc>
        <w:tc>
          <w:tcPr>
            <w:tcW w:w="3547" w:type="dxa"/>
            <w:tcBorders/>
            <w:shd w:fill="ECF6FA" w:val="clear"/>
            <w:tcMar>
              <w:bottom w:w="0" w:type="dxa"/>
            </w:tcMar>
            <w:vAlign w:val="center"/>
          </w:tcPr>
          <w:p>
            <w:pPr>
              <w:pStyle w:val="TableContents"/>
              <w:spacing w:before="0" w:after="120"/>
              <w:jc w:val="left"/>
              <w:rPr/>
            </w:pPr>
            <w:r>
              <w:rPr>
                <w:rStyle w:val="StrongEmphasis"/>
                <w:rFonts w:ascii="Arial" w:hAnsi="Arial"/>
                <w:color w:val="00A1E0"/>
                <w:sz w:val="20"/>
              </w:rPr>
              <w:t>PROPOSAL 1</w:t>
            </w:r>
          </w:p>
          <w:p>
            <w:pPr>
              <w:pStyle w:val="TableContents"/>
              <w:spacing w:before="0" w:after="0"/>
              <w:jc w:val="left"/>
              <w:rPr>
                <w:rFonts w:ascii="Arial" w:hAnsi="Arial"/>
                <w:sz w:val="20"/>
              </w:rPr>
            </w:pPr>
            <w:r>
              <w:rPr>
                <w:rFonts w:ascii="Arial" w:hAnsi="Arial"/>
                <w:sz w:val="20"/>
              </w:rPr>
              <w:t>Elect directors</w:t>
            </w:r>
          </w:p>
        </w:tc>
        <w:tc>
          <w:tcPr>
            <w:tcW w:w="320" w:type="dxa"/>
            <w:tcBorders/>
            <w:shd w:fill="ECF6FA" w:val="clear"/>
            <w:tcMar>
              <w:bottom w:w="0" w:type="dxa"/>
            </w:tcMar>
            <w:vAlign w:val="center"/>
          </w:tcPr>
          <w:p>
            <w:pPr>
              <w:pStyle w:val="TableContents"/>
              <w:spacing w:before="0" w:after="283"/>
              <w:rPr>
                <w:sz w:val="4"/>
                <w:szCs w:val="4"/>
              </w:rPr>
            </w:pPr>
            <w:r>
              <w:rPr>
                <w:sz w:val="4"/>
                <w:szCs w:val="4"/>
              </w:rPr>
            </w:r>
          </w:p>
        </w:tc>
        <w:tc>
          <w:tcPr>
            <w:tcW w:w="1697" w:type="dxa"/>
            <w:tcBorders/>
            <w:shd w:fill="ECF6FA" w:val="clear"/>
            <w:tcMar>
              <w:bottom w:w="0" w:type="dxa"/>
            </w:tcMar>
            <w:vAlign w:val="center"/>
          </w:tcPr>
          <w:p>
            <w:pPr>
              <w:pStyle w:val="TableContents"/>
              <w:spacing w:before="0" w:after="0"/>
              <w:jc w:val="left"/>
              <w:rPr/>
            </w:pPr>
            <w:r>
              <w:rPr>
                <w:rStyle w:val="StrongEmphasis"/>
                <w:rFonts w:ascii="Arial" w:hAnsi="Arial"/>
                <w:color w:val="00A1E0"/>
                <w:sz w:val="20"/>
              </w:rPr>
              <w:t xml:space="preserve">FOR </w:t>
            </w:r>
            <w:r>
              <w:rPr>
                <w:rFonts w:ascii="Arial" w:hAnsi="Arial"/>
                <w:sz w:val="20"/>
              </w:rPr>
              <w:t>each nominee</w:t>
            </w:r>
          </w:p>
        </w:tc>
      </w:tr>
      <w:tr>
        <w:trPr/>
        <w:tc>
          <w:tcPr>
            <w:tcW w:w="4321" w:type="dxa"/>
            <w:vMerge w:val="continue"/>
            <w:tcBorders>
              <w:right w:val="single" w:sz="8" w:space="0" w:color="959595"/>
            </w:tcBorders>
            <w:shd w:fill="auto" w:val="clear"/>
            <w:tcMar>
              <w:bottom w:w="0" w:type="dxa"/>
              <w:right w:w="28" w:type="dxa"/>
            </w:tcMar>
            <w:vAlign w:val="center"/>
          </w:tcPr>
          <w:p>
            <w:pPr>
              <w:pStyle w:val="Normal"/>
              <w:rPr/>
            </w:pPr>
            <w:r>
              <w:rPr/>
            </w:r>
          </w:p>
        </w:tc>
        <w:tc>
          <w:tcPr>
            <w:tcW w:w="320" w:type="dxa"/>
            <w:tcBorders/>
            <w:shd w:fill="ECF6FA" w:val="clear"/>
            <w:tcMar>
              <w:bottom w:w="0" w:type="dxa"/>
            </w:tcMar>
            <w:vAlign w:val="center"/>
          </w:tcPr>
          <w:p>
            <w:pPr>
              <w:pStyle w:val="TableContents"/>
              <w:spacing w:before="0" w:after="283"/>
              <w:rPr>
                <w:sz w:val="4"/>
                <w:szCs w:val="4"/>
              </w:rPr>
            </w:pPr>
            <w:r>
              <w:rPr>
                <w:sz w:val="4"/>
                <w:szCs w:val="4"/>
              </w:rPr>
            </w:r>
          </w:p>
        </w:tc>
        <w:tc>
          <w:tcPr>
            <w:tcW w:w="3547" w:type="dxa"/>
            <w:tcBorders/>
            <w:shd w:fill="ECF6FA" w:val="clear"/>
            <w:tcMar>
              <w:bottom w:w="0" w:type="dxa"/>
            </w:tcMar>
            <w:vAlign w:val="center"/>
          </w:tcPr>
          <w:p>
            <w:pPr>
              <w:pStyle w:val="TableContents"/>
              <w:spacing w:before="0" w:after="120"/>
              <w:jc w:val="left"/>
              <w:rPr/>
            </w:pPr>
            <w:r>
              <w:rPr>
                <w:rStyle w:val="StrongEmphasis"/>
                <w:rFonts w:ascii="Arial" w:hAnsi="Arial"/>
                <w:color w:val="00A1E0"/>
                <w:sz w:val="20"/>
              </w:rPr>
              <w:t>PROPOSAL 2</w:t>
            </w:r>
          </w:p>
          <w:p>
            <w:pPr>
              <w:pStyle w:val="TableContents"/>
              <w:spacing w:before="0" w:after="0"/>
              <w:jc w:val="left"/>
              <w:rPr>
                <w:rFonts w:ascii="Arial" w:hAnsi="Arial"/>
                <w:sz w:val="20"/>
              </w:rPr>
            </w:pPr>
            <w:r>
              <w:rPr>
                <w:rFonts w:ascii="Arial" w:hAnsi="Arial"/>
                <w:sz w:val="20"/>
              </w:rPr>
              <w:t>Ratify appointment of independent auditors</w:t>
            </w:r>
          </w:p>
        </w:tc>
        <w:tc>
          <w:tcPr>
            <w:tcW w:w="320" w:type="dxa"/>
            <w:tcBorders/>
            <w:shd w:fill="ECF6FA" w:val="clear"/>
            <w:tcMar>
              <w:bottom w:w="0" w:type="dxa"/>
            </w:tcMar>
            <w:vAlign w:val="center"/>
          </w:tcPr>
          <w:p>
            <w:pPr>
              <w:pStyle w:val="TableContents"/>
              <w:spacing w:before="0" w:after="283"/>
              <w:rPr>
                <w:sz w:val="4"/>
                <w:szCs w:val="4"/>
              </w:rPr>
            </w:pPr>
            <w:r>
              <w:rPr>
                <w:sz w:val="4"/>
                <w:szCs w:val="4"/>
              </w:rPr>
            </w:r>
          </w:p>
        </w:tc>
        <w:tc>
          <w:tcPr>
            <w:tcW w:w="1697" w:type="dxa"/>
            <w:tcBorders/>
            <w:shd w:fill="ECF6FA" w:val="clear"/>
            <w:tcMar>
              <w:bottom w:w="0" w:type="dxa"/>
            </w:tcMar>
            <w:vAlign w:val="center"/>
          </w:tcPr>
          <w:p>
            <w:pPr>
              <w:pStyle w:val="TableContents"/>
              <w:spacing w:before="0" w:after="0"/>
              <w:jc w:val="left"/>
              <w:rPr/>
            </w:pPr>
            <w:r>
              <w:rPr>
                <w:rStyle w:val="StrongEmphasis"/>
                <w:rFonts w:ascii="Arial" w:hAnsi="Arial"/>
                <w:color w:val="00A1E0"/>
                <w:sz w:val="20"/>
              </w:rPr>
              <w:t>FOR</w:t>
            </w:r>
          </w:p>
        </w:tc>
      </w:tr>
      <w:tr>
        <w:trPr/>
        <w:tc>
          <w:tcPr>
            <w:tcW w:w="4321" w:type="dxa"/>
            <w:vMerge w:val="continue"/>
            <w:tcBorders>
              <w:right w:val="single" w:sz="8" w:space="0" w:color="959595"/>
            </w:tcBorders>
            <w:shd w:fill="auto" w:val="clear"/>
            <w:tcMar>
              <w:bottom w:w="0" w:type="dxa"/>
              <w:right w:w="28" w:type="dxa"/>
            </w:tcMar>
            <w:vAlign w:val="center"/>
          </w:tcPr>
          <w:p>
            <w:pPr>
              <w:pStyle w:val="Normal"/>
              <w:rPr/>
            </w:pPr>
            <w:r>
              <w:rPr/>
            </w:r>
          </w:p>
        </w:tc>
        <w:tc>
          <w:tcPr>
            <w:tcW w:w="320" w:type="dxa"/>
            <w:tcBorders/>
            <w:shd w:fill="ECF6FA" w:val="clear"/>
            <w:tcMar>
              <w:bottom w:w="0" w:type="dxa"/>
            </w:tcMar>
            <w:vAlign w:val="center"/>
          </w:tcPr>
          <w:p>
            <w:pPr>
              <w:pStyle w:val="TableContents"/>
              <w:spacing w:before="0" w:after="283"/>
              <w:rPr>
                <w:sz w:val="4"/>
                <w:szCs w:val="4"/>
              </w:rPr>
            </w:pPr>
            <w:r>
              <w:rPr>
                <w:sz w:val="4"/>
                <w:szCs w:val="4"/>
              </w:rPr>
            </w:r>
          </w:p>
        </w:tc>
        <w:tc>
          <w:tcPr>
            <w:tcW w:w="3547" w:type="dxa"/>
            <w:tcBorders/>
            <w:shd w:fill="ECF6FA" w:val="clear"/>
            <w:tcMar>
              <w:bottom w:w="0" w:type="dxa"/>
            </w:tcMar>
            <w:vAlign w:val="center"/>
          </w:tcPr>
          <w:p>
            <w:pPr>
              <w:pStyle w:val="TableContents"/>
              <w:spacing w:before="0" w:after="120"/>
              <w:jc w:val="left"/>
              <w:rPr/>
            </w:pPr>
            <w:r>
              <w:rPr>
                <w:rStyle w:val="StrongEmphasis"/>
                <w:rFonts w:ascii="Arial" w:hAnsi="Arial"/>
                <w:color w:val="00A1E0"/>
                <w:sz w:val="20"/>
              </w:rPr>
              <w:t>PROPOSAL 3</w:t>
            </w:r>
          </w:p>
          <w:p>
            <w:pPr>
              <w:pStyle w:val="TableContents"/>
              <w:spacing w:before="0" w:after="0"/>
              <w:jc w:val="left"/>
              <w:rPr>
                <w:rFonts w:ascii="Arial" w:hAnsi="Arial"/>
                <w:sz w:val="20"/>
              </w:rPr>
            </w:pPr>
            <w:r>
              <w:rPr>
                <w:rFonts w:ascii="Arial" w:hAnsi="Arial"/>
                <w:sz w:val="20"/>
              </w:rPr>
              <w:t>Approve Comcast Corporation 2023 Omnibus Equity Incentive Plan</w:t>
            </w:r>
          </w:p>
        </w:tc>
        <w:tc>
          <w:tcPr>
            <w:tcW w:w="320" w:type="dxa"/>
            <w:tcBorders/>
            <w:shd w:fill="ECF6FA" w:val="clear"/>
            <w:tcMar>
              <w:bottom w:w="0" w:type="dxa"/>
            </w:tcMar>
            <w:vAlign w:val="center"/>
          </w:tcPr>
          <w:p>
            <w:pPr>
              <w:pStyle w:val="TableContents"/>
              <w:spacing w:before="0" w:after="283"/>
              <w:rPr>
                <w:sz w:val="4"/>
                <w:szCs w:val="4"/>
              </w:rPr>
            </w:pPr>
            <w:r>
              <w:rPr>
                <w:sz w:val="4"/>
                <w:szCs w:val="4"/>
              </w:rPr>
            </w:r>
          </w:p>
        </w:tc>
        <w:tc>
          <w:tcPr>
            <w:tcW w:w="1697" w:type="dxa"/>
            <w:tcBorders/>
            <w:shd w:fill="ECF6FA" w:val="clear"/>
            <w:tcMar>
              <w:bottom w:w="0" w:type="dxa"/>
            </w:tcMar>
            <w:vAlign w:val="center"/>
          </w:tcPr>
          <w:p>
            <w:pPr>
              <w:pStyle w:val="TableContents"/>
              <w:spacing w:before="0" w:after="0"/>
              <w:jc w:val="left"/>
              <w:rPr/>
            </w:pPr>
            <w:r>
              <w:rPr>
                <w:rStyle w:val="StrongEmphasis"/>
                <w:rFonts w:ascii="Arial" w:hAnsi="Arial"/>
                <w:color w:val="00A1E0"/>
                <w:sz w:val="20"/>
              </w:rPr>
              <w:t>FOR</w:t>
            </w:r>
          </w:p>
        </w:tc>
      </w:tr>
      <w:tr>
        <w:trPr/>
        <w:tc>
          <w:tcPr>
            <w:tcW w:w="4321" w:type="dxa"/>
            <w:vMerge w:val="continue"/>
            <w:tcBorders>
              <w:right w:val="single" w:sz="8" w:space="0" w:color="959595"/>
            </w:tcBorders>
            <w:shd w:fill="auto" w:val="clear"/>
            <w:tcMar>
              <w:bottom w:w="0" w:type="dxa"/>
              <w:right w:w="28" w:type="dxa"/>
            </w:tcMar>
            <w:vAlign w:val="center"/>
          </w:tcPr>
          <w:p>
            <w:pPr>
              <w:pStyle w:val="Normal"/>
              <w:rPr/>
            </w:pPr>
            <w:r>
              <w:rPr/>
            </w:r>
          </w:p>
        </w:tc>
        <w:tc>
          <w:tcPr>
            <w:tcW w:w="320" w:type="dxa"/>
            <w:tcBorders/>
            <w:shd w:fill="ECF6FA" w:val="clear"/>
            <w:tcMar>
              <w:bottom w:w="0" w:type="dxa"/>
            </w:tcMar>
            <w:vAlign w:val="center"/>
          </w:tcPr>
          <w:p>
            <w:pPr>
              <w:pStyle w:val="TableContents"/>
              <w:spacing w:before="0" w:after="283"/>
              <w:rPr>
                <w:sz w:val="4"/>
                <w:szCs w:val="4"/>
              </w:rPr>
            </w:pPr>
            <w:r>
              <w:rPr>
                <w:sz w:val="4"/>
                <w:szCs w:val="4"/>
              </w:rPr>
            </w:r>
          </w:p>
        </w:tc>
        <w:tc>
          <w:tcPr>
            <w:tcW w:w="3547" w:type="dxa"/>
            <w:tcBorders/>
            <w:shd w:fill="ECF6FA" w:val="clear"/>
            <w:tcMar>
              <w:bottom w:w="0" w:type="dxa"/>
            </w:tcMar>
            <w:vAlign w:val="center"/>
          </w:tcPr>
          <w:p>
            <w:pPr>
              <w:pStyle w:val="TableContents"/>
              <w:spacing w:before="0" w:after="120"/>
              <w:jc w:val="left"/>
              <w:rPr/>
            </w:pPr>
            <w:r>
              <w:rPr>
                <w:rStyle w:val="StrongEmphasis"/>
                <w:rFonts w:ascii="Arial" w:hAnsi="Arial"/>
                <w:color w:val="00A1E0"/>
                <w:sz w:val="20"/>
              </w:rPr>
              <w:t>PROPOSAL 4</w:t>
            </w:r>
          </w:p>
          <w:p>
            <w:pPr>
              <w:pStyle w:val="TableContents"/>
              <w:spacing w:before="0" w:after="0"/>
              <w:jc w:val="left"/>
              <w:rPr>
                <w:rFonts w:ascii="Arial" w:hAnsi="Arial"/>
                <w:sz w:val="20"/>
              </w:rPr>
            </w:pPr>
            <w:r>
              <w:rPr>
                <w:rFonts w:ascii="Arial" w:hAnsi="Arial"/>
                <w:sz w:val="20"/>
              </w:rPr>
              <w:t>Approve Amended and Restated Comcast Corporation 2002 Employee Stock Purchase Plan</w:t>
            </w:r>
          </w:p>
        </w:tc>
        <w:tc>
          <w:tcPr>
            <w:tcW w:w="320" w:type="dxa"/>
            <w:tcBorders/>
            <w:shd w:fill="ECF6FA" w:val="clear"/>
            <w:tcMar>
              <w:bottom w:w="0" w:type="dxa"/>
            </w:tcMar>
            <w:vAlign w:val="center"/>
          </w:tcPr>
          <w:p>
            <w:pPr>
              <w:pStyle w:val="TableContents"/>
              <w:spacing w:before="0" w:after="283"/>
              <w:rPr>
                <w:sz w:val="4"/>
                <w:szCs w:val="4"/>
              </w:rPr>
            </w:pPr>
            <w:r>
              <w:rPr>
                <w:sz w:val="4"/>
                <w:szCs w:val="4"/>
              </w:rPr>
            </w:r>
          </w:p>
        </w:tc>
        <w:tc>
          <w:tcPr>
            <w:tcW w:w="1697" w:type="dxa"/>
            <w:tcBorders/>
            <w:shd w:fill="ECF6FA" w:val="clear"/>
            <w:tcMar>
              <w:bottom w:w="0" w:type="dxa"/>
            </w:tcMar>
            <w:vAlign w:val="center"/>
          </w:tcPr>
          <w:p>
            <w:pPr>
              <w:pStyle w:val="TableContents"/>
              <w:spacing w:before="0" w:after="0"/>
              <w:jc w:val="left"/>
              <w:rPr/>
            </w:pPr>
            <w:r>
              <w:rPr>
                <w:rStyle w:val="StrongEmphasis"/>
                <w:rFonts w:ascii="Arial" w:hAnsi="Arial"/>
                <w:color w:val="00A1E0"/>
                <w:sz w:val="20"/>
              </w:rPr>
              <w:t>FOR</w:t>
            </w:r>
          </w:p>
        </w:tc>
      </w:tr>
      <w:tr>
        <w:trPr/>
        <w:tc>
          <w:tcPr>
            <w:tcW w:w="4321" w:type="dxa"/>
            <w:vMerge w:val="continue"/>
            <w:tcBorders>
              <w:right w:val="single" w:sz="8" w:space="0" w:color="959595"/>
            </w:tcBorders>
            <w:shd w:fill="auto" w:val="clear"/>
            <w:tcMar>
              <w:bottom w:w="0" w:type="dxa"/>
              <w:right w:w="28" w:type="dxa"/>
            </w:tcMar>
            <w:vAlign w:val="center"/>
          </w:tcPr>
          <w:p>
            <w:pPr>
              <w:pStyle w:val="Normal"/>
              <w:rPr/>
            </w:pPr>
            <w:r>
              <w:rPr/>
            </w:r>
          </w:p>
        </w:tc>
        <w:tc>
          <w:tcPr>
            <w:tcW w:w="320" w:type="dxa"/>
            <w:tcBorders/>
            <w:shd w:fill="ECF6FA" w:val="clear"/>
            <w:tcMar>
              <w:bottom w:w="0" w:type="dxa"/>
            </w:tcMar>
            <w:vAlign w:val="center"/>
          </w:tcPr>
          <w:p>
            <w:pPr>
              <w:pStyle w:val="TableContents"/>
              <w:spacing w:before="0" w:after="283"/>
              <w:rPr>
                <w:sz w:val="4"/>
                <w:szCs w:val="4"/>
              </w:rPr>
            </w:pPr>
            <w:r>
              <w:rPr>
                <w:sz w:val="4"/>
                <w:szCs w:val="4"/>
              </w:rPr>
            </w:r>
          </w:p>
        </w:tc>
        <w:tc>
          <w:tcPr>
            <w:tcW w:w="3547" w:type="dxa"/>
            <w:tcBorders/>
            <w:shd w:fill="ECF6FA" w:val="clear"/>
            <w:tcMar>
              <w:bottom w:w="0" w:type="dxa"/>
            </w:tcMar>
            <w:vAlign w:val="center"/>
          </w:tcPr>
          <w:p>
            <w:pPr>
              <w:pStyle w:val="TableContents"/>
              <w:spacing w:before="0" w:after="120"/>
              <w:jc w:val="left"/>
              <w:rPr/>
            </w:pPr>
            <w:r>
              <w:rPr>
                <w:rStyle w:val="StrongEmphasis"/>
                <w:rFonts w:ascii="Arial" w:hAnsi="Arial"/>
                <w:color w:val="00A1E0"/>
                <w:sz w:val="20"/>
              </w:rPr>
              <w:t>PROPOSAL 5</w:t>
            </w:r>
          </w:p>
          <w:p>
            <w:pPr>
              <w:pStyle w:val="TableContents"/>
              <w:spacing w:before="0" w:after="0"/>
              <w:jc w:val="left"/>
              <w:rPr>
                <w:rFonts w:ascii="Arial" w:hAnsi="Arial"/>
                <w:sz w:val="20"/>
              </w:rPr>
            </w:pPr>
            <w:r>
              <w:rPr>
                <w:rFonts w:ascii="Arial" w:hAnsi="Arial"/>
                <w:sz w:val="20"/>
              </w:rPr>
              <w:t>Advisory vote to approve executive compensation</w:t>
            </w:r>
          </w:p>
        </w:tc>
        <w:tc>
          <w:tcPr>
            <w:tcW w:w="320" w:type="dxa"/>
            <w:tcBorders/>
            <w:shd w:fill="ECF6FA" w:val="clear"/>
            <w:tcMar>
              <w:bottom w:w="0" w:type="dxa"/>
            </w:tcMar>
            <w:vAlign w:val="center"/>
          </w:tcPr>
          <w:p>
            <w:pPr>
              <w:pStyle w:val="TableContents"/>
              <w:spacing w:before="0" w:after="283"/>
              <w:rPr>
                <w:sz w:val="4"/>
                <w:szCs w:val="4"/>
              </w:rPr>
            </w:pPr>
            <w:r>
              <w:rPr>
                <w:sz w:val="4"/>
                <w:szCs w:val="4"/>
              </w:rPr>
            </w:r>
          </w:p>
        </w:tc>
        <w:tc>
          <w:tcPr>
            <w:tcW w:w="1697" w:type="dxa"/>
            <w:tcBorders/>
            <w:shd w:fill="ECF6FA" w:val="clear"/>
            <w:tcMar>
              <w:bottom w:w="0" w:type="dxa"/>
            </w:tcMar>
            <w:vAlign w:val="center"/>
          </w:tcPr>
          <w:p>
            <w:pPr>
              <w:pStyle w:val="TableContents"/>
              <w:spacing w:before="0" w:after="0"/>
              <w:jc w:val="left"/>
              <w:rPr/>
            </w:pPr>
            <w:r>
              <w:rPr>
                <w:rStyle w:val="StrongEmphasis"/>
                <w:rFonts w:ascii="Arial" w:hAnsi="Arial"/>
                <w:color w:val="00A1E0"/>
                <w:sz w:val="20"/>
              </w:rPr>
              <w:t>FOR</w:t>
            </w:r>
          </w:p>
        </w:tc>
      </w:tr>
      <w:tr>
        <w:trPr/>
        <w:tc>
          <w:tcPr>
            <w:tcW w:w="4321" w:type="dxa"/>
            <w:vMerge w:val="continue"/>
            <w:tcBorders>
              <w:right w:val="single" w:sz="8" w:space="0" w:color="959595"/>
            </w:tcBorders>
            <w:shd w:fill="auto" w:val="clear"/>
            <w:tcMar>
              <w:bottom w:w="0" w:type="dxa"/>
              <w:right w:w="28" w:type="dxa"/>
            </w:tcMar>
            <w:vAlign w:val="center"/>
          </w:tcPr>
          <w:p>
            <w:pPr>
              <w:pStyle w:val="Normal"/>
              <w:rPr/>
            </w:pPr>
            <w:r>
              <w:rPr/>
            </w:r>
          </w:p>
        </w:tc>
        <w:tc>
          <w:tcPr>
            <w:tcW w:w="320" w:type="dxa"/>
            <w:tcBorders/>
            <w:shd w:fill="ECF6FA" w:val="clear"/>
            <w:tcMar>
              <w:bottom w:w="0" w:type="dxa"/>
            </w:tcMar>
            <w:vAlign w:val="center"/>
          </w:tcPr>
          <w:p>
            <w:pPr>
              <w:pStyle w:val="TableContents"/>
              <w:spacing w:before="0" w:after="283"/>
              <w:rPr>
                <w:sz w:val="4"/>
                <w:szCs w:val="4"/>
              </w:rPr>
            </w:pPr>
            <w:r>
              <w:rPr>
                <w:sz w:val="4"/>
                <w:szCs w:val="4"/>
              </w:rPr>
            </w:r>
          </w:p>
        </w:tc>
        <w:tc>
          <w:tcPr>
            <w:tcW w:w="3547" w:type="dxa"/>
            <w:tcBorders/>
            <w:shd w:fill="ECF6FA" w:val="clear"/>
            <w:tcMar>
              <w:bottom w:w="0" w:type="dxa"/>
            </w:tcMar>
            <w:vAlign w:val="center"/>
          </w:tcPr>
          <w:p>
            <w:pPr>
              <w:pStyle w:val="TableContents"/>
              <w:spacing w:before="0" w:after="120"/>
              <w:jc w:val="left"/>
              <w:rPr/>
            </w:pPr>
            <w:r>
              <w:rPr>
                <w:rStyle w:val="StrongEmphasis"/>
                <w:rFonts w:ascii="Arial" w:hAnsi="Arial"/>
                <w:color w:val="00A1E0"/>
                <w:sz w:val="20"/>
              </w:rPr>
              <w:t>PROPOSAL 6</w:t>
            </w:r>
          </w:p>
          <w:p>
            <w:pPr>
              <w:pStyle w:val="TableContents"/>
              <w:spacing w:before="0" w:after="0"/>
              <w:jc w:val="left"/>
              <w:rPr>
                <w:rFonts w:ascii="Arial" w:hAnsi="Arial"/>
                <w:sz w:val="20"/>
              </w:rPr>
            </w:pPr>
            <w:r>
              <w:rPr>
                <w:rFonts w:ascii="Arial" w:hAnsi="Arial"/>
                <w:sz w:val="20"/>
              </w:rPr>
              <w:t>Advisory vote on frequency of vote on executive compensation</w:t>
            </w:r>
          </w:p>
        </w:tc>
        <w:tc>
          <w:tcPr>
            <w:tcW w:w="320" w:type="dxa"/>
            <w:tcBorders/>
            <w:shd w:fill="ECF6FA" w:val="clear"/>
            <w:tcMar>
              <w:bottom w:w="0" w:type="dxa"/>
            </w:tcMar>
            <w:vAlign w:val="center"/>
          </w:tcPr>
          <w:p>
            <w:pPr>
              <w:pStyle w:val="TableContents"/>
              <w:spacing w:before="0" w:after="283"/>
              <w:rPr>
                <w:sz w:val="4"/>
                <w:szCs w:val="4"/>
              </w:rPr>
            </w:pPr>
            <w:r>
              <w:rPr>
                <w:sz w:val="4"/>
                <w:szCs w:val="4"/>
              </w:rPr>
            </w:r>
          </w:p>
        </w:tc>
        <w:tc>
          <w:tcPr>
            <w:tcW w:w="1697" w:type="dxa"/>
            <w:tcBorders/>
            <w:shd w:fill="ECF6FA" w:val="clear"/>
            <w:tcMar>
              <w:bottom w:w="0" w:type="dxa"/>
            </w:tcMar>
            <w:vAlign w:val="center"/>
          </w:tcPr>
          <w:p>
            <w:pPr>
              <w:pStyle w:val="TableContents"/>
              <w:spacing w:before="0" w:after="0"/>
              <w:jc w:val="left"/>
              <w:rPr/>
            </w:pPr>
            <w:r>
              <w:rPr>
                <w:rStyle w:val="StrongEmphasis"/>
                <w:rFonts w:ascii="Arial" w:hAnsi="Arial"/>
                <w:color w:val="00A1E0"/>
                <w:sz w:val="20"/>
              </w:rPr>
              <w:t>EVERY ONE YEAR</w:t>
            </w:r>
          </w:p>
        </w:tc>
      </w:tr>
      <w:tr>
        <w:trPr/>
        <w:tc>
          <w:tcPr>
            <w:tcW w:w="4321" w:type="dxa"/>
            <w:vMerge w:val="continue"/>
            <w:tcBorders>
              <w:right w:val="single" w:sz="8" w:space="0" w:color="959595"/>
            </w:tcBorders>
            <w:shd w:fill="auto" w:val="clear"/>
            <w:tcMar>
              <w:bottom w:w="0" w:type="dxa"/>
              <w:right w:w="28" w:type="dxa"/>
            </w:tcMar>
            <w:vAlign w:val="center"/>
          </w:tcPr>
          <w:p>
            <w:pPr>
              <w:pStyle w:val="Normal"/>
              <w:rPr/>
            </w:pPr>
            <w:r>
              <w:rPr/>
            </w:r>
          </w:p>
        </w:tc>
        <w:tc>
          <w:tcPr>
            <w:tcW w:w="320" w:type="dxa"/>
            <w:tcBorders>
              <w:bottom w:val="single" w:sz="8" w:space="0" w:color="959595"/>
            </w:tcBorders>
            <w:shd w:fill="ECF6FA" w:val="clear"/>
            <w:vAlign w:val="center"/>
          </w:tcPr>
          <w:p>
            <w:pPr>
              <w:pStyle w:val="TableContents"/>
              <w:spacing w:before="0" w:after="283"/>
              <w:rPr>
                <w:sz w:val="4"/>
                <w:szCs w:val="4"/>
              </w:rPr>
            </w:pPr>
            <w:r>
              <w:rPr>
                <w:sz w:val="4"/>
                <w:szCs w:val="4"/>
              </w:rPr>
            </w:r>
          </w:p>
        </w:tc>
        <w:tc>
          <w:tcPr>
            <w:tcW w:w="3547" w:type="dxa"/>
            <w:tcBorders>
              <w:bottom w:val="single" w:sz="8" w:space="0" w:color="959595"/>
            </w:tcBorders>
            <w:shd w:fill="ECF6FA" w:val="clear"/>
            <w:tcMar>
              <w:bottom w:w="120" w:type="dxa"/>
            </w:tcMar>
            <w:vAlign w:val="center"/>
          </w:tcPr>
          <w:p>
            <w:pPr>
              <w:pStyle w:val="TableContents"/>
              <w:spacing w:before="0" w:after="120"/>
              <w:jc w:val="left"/>
              <w:rPr/>
            </w:pPr>
            <w:r>
              <w:rPr>
                <w:rStyle w:val="StrongEmphasis"/>
                <w:rFonts w:ascii="Arial" w:hAnsi="Arial"/>
                <w:color w:val="616161"/>
                <w:sz w:val="20"/>
              </w:rPr>
              <w:t>PROPOSALS 7-11</w:t>
            </w:r>
          </w:p>
          <w:p>
            <w:pPr>
              <w:pStyle w:val="TableContents"/>
              <w:spacing w:before="0" w:after="0"/>
              <w:jc w:val="left"/>
              <w:rPr>
                <w:rFonts w:ascii="Arial" w:hAnsi="Arial"/>
                <w:sz w:val="20"/>
              </w:rPr>
            </w:pPr>
            <w:r>
              <w:rPr>
                <w:rFonts w:ascii="Arial" w:hAnsi="Arial"/>
                <w:sz w:val="20"/>
              </w:rPr>
              <w:t>Vote on shareholder proposals if properly presented</w:t>
            </w:r>
          </w:p>
        </w:tc>
        <w:tc>
          <w:tcPr>
            <w:tcW w:w="320" w:type="dxa"/>
            <w:tcBorders>
              <w:bottom w:val="single" w:sz="8" w:space="0" w:color="959595"/>
            </w:tcBorders>
            <w:shd w:fill="ECF6FA" w:val="clear"/>
            <w:vAlign w:val="center"/>
          </w:tcPr>
          <w:p>
            <w:pPr>
              <w:pStyle w:val="TableContents"/>
              <w:spacing w:before="0" w:after="283"/>
              <w:rPr>
                <w:sz w:val="4"/>
                <w:szCs w:val="4"/>
              </w:rPr>
            </w:pPr>
            <w:r>
              <w:rPr>
                <w:sz w:val="4"/>
                <w:szCs w:val="4"/>
              </w:rPr>
            </w:r>
          </w:p>
        </w:tc>
        <w:tc>
          <w:tcPr>
            <w:tcW w:w="1697" w:type="dxa"/>
            <w:tcBorders>
              <w:bottom w:val="single" w:sz="8" w:space="0" w:color="959595"/>
            </w:tcBorders>
            <w:shd w:fill="ECF6FA" w:val="clear"/>
            <w:tcMar>
              <w:bottom w:w="120" w:type="dxa"/>
            </w:tcMar>
            <w:vAlign w:val="center"/>
          </w:tcPr>
          <w:p>
            <w:pPr>
              <w:pStyle w:val="TableContents"/>
              <w:spacing w:before="0" w:after="0"/>
              <w:jc w:val="left"/>
              <w:rPr/>
            </w:pPr>
            <w:r>
              <w:rPr>
                <w:rStyle w:val="StrongEmphasis"/>
                <w:rFonts w:ascii="Arial" w:hAnsi="Arial"/>
                <w:color w:val="616161"/>
                <w:sz w:val="20"/>
              </w:rPr>
              <w:t>AGAINST</w:t>
            </w:r>
          </w:p>
        </w:tc>
      </w:tr>
    </w:tbl>
    <w:p>
      <w:pPr>
        <w:pStyle w:val="TextBody"/>
        <w:spacing w:before="240" w:after="283"/>
        <w:jc w:val="left"/>
        <w:rPr>
          <w:rFonts w:ascii="Arial" w:hAnsi="Arial"/>
          <w:sz w:val="20"/>
        </w:rPr>
      </w:pPr>
      <w:r>
        <w:rPr>
          <w:rFonts w:ascii="Arial" w:hAnsi="Arial"/>
          <w:sz w:val="20"/>
        </w:rPr>
        <w:t>Only shareholders of record on April 3, 2023 may vote and participate during the meeting. If the meeting is adjourned because a quorum is not present, then shareholders who attend the reconvened meeting will constitute a quorum for the purpose of acting upon the matters presented at that meeting pursuant to the rules described in “Voting Securities and Principal Holders – Outstanding Shares and Voting Rights” in the attached proxy statement.</w:t>
      </w:r>
    </w:p>
    <w:p>
      <w:pPr>
        <w:pStyle w:val="TextBody"/>
        <w:jc w:val="left"/>
        <w:rPr>
          <w:rFonts w:ascii="Arial" w:hAnsi="Arial"/>
          <w:sz w:val="20"/>
        </w:rPr>
      </w:pPr>
      <w:r>
        <w:rPr>
          <w:rFonts w:ascii="Arial" w:hAnsi="Arial"/>
          <w:sz w:val="20"/>
        </w:rPr>
        <w:t>The Notice of Internet Availability of Proxy Materials is being mailed, and the attached proxy statement is being made available, to our shareholders beginning on or about April 28, 2023.</w:t>
      </w:r>
    </w:p>
    <w:p>
      <w:pPr>
        <w:pStyle w:val="TextBody"/>
        <w:jc w:val="left"/>
        <w:rPr/>
      </w:pPr>
      <w:r>
        <w:rPr>
          <w:rStyle w:val="StrongEmphasis"/>
          <w:rFonts w:ascii="Arial" w:hAnsi="Arial"/>
          <w:sz w:val="20"/>
        </w:rPr>
        <w:t>Your vote is important. Please vote your shares promptly. To vote your shares, you can:</w:t>
      </w:r>
    </w:p>
    <w:tbl>
      <w:tblPr>
        <w:tblW w:w="10205" w:type="dxa"/>
        <w:jc w:val="left"/>
        <w:tblInd w:w="0" w:type="dxa"/>
        <w:tblCellMar>
          <w:top w:w="0" w:type="dxa"/>
          <w:left w:w="0" w:type="dxa"/>
          <w:bottom w:w="0" w:type="dxa"/>
          <w:right w:w="0" w:type="dxa"/>
        </w:tblCellMar>
      </w:tblPr>
      <w:tblGrid>
        <w:gridCol w:w="3592"/>
        <w:gridCol w:w="316"/>
        <w:gridCol w:w="3280"/>
        <w:gridCol w:w="316"/>
        <w:gridCol w:w="2701"/>
      </w:tblGrid>
      <w:tr>
        <w:trPr/>
        <w:tc>
          <w:tcPr>
            <w:tcW w:w="3592" w:type="dxa"/>
            <w:tcBorders/>
            <w:shd w:fill="auto" w:val="clear"/>
            <w:vAlign w:val="center"/>
          </w:tcPr>
          <w:p>
            <w:pPr>
              <w:pStyle w:val="TableContents"/>
              <w:spacing w:before="0" w:after="283"/>
              <w:jc w:val="center"/>
              <w:rPr/>
            </w:pPr>
            <w:r>
              <w:rPr/>
              <w:drawing>
                <wp:inline distT="0" distB="0" distL="0" distR="0">
                  <wp:extent cx="381000" cy="8191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rcRect l="-889" t="-1230" r="-889" b="-1230"/>
                          <a:stretch>
                            <a:fillRect/>
                          </a:stretch>
                        </pic:blipFill>
                        <pic:spPr bwMode="auto">
                          <a:xfrm>
                            <a:off x="0" y="0"/>
                            <a:ext cx="381000" cy="819150"/>
                          </a:xfrm>
                          <a:prstGeom prst="rect">
                            <a:avLst/>
                          </a:prstGeom>
                          <a:ln w="635">
                            <a:solidFill>
                              <a:srgbClr val="000000"/>
                            </a:solidFill>
                          </a:ln>
                        </pic:spPr>
                      </pic:pic>
                    </a:graphicData>
                  </a:graphic>
                </wp:inline>
              </w:drawing>
            </w:r>
          </w:p>
        </w:tc>
        <w:tc>
          <w:tcPr>
            <w:tcW w:w="316" w:type="dxa"/>
            <w:tcBorders/>
            <w:shd w:fill="auto" w:val="clear"/>
            <w:vAlign w:val="center"/>
          </w:tcPr>
          <w:p>
            <w:pPr>
              <w:pStyle w:val="TableContents"/>
              <w:spacing w:before="0" w:after="283"/>
              <w:rPr/>
            </w:pPr>
            <w:r>
              <w:rPr/>
              <w:t xml:space="preserve">      </w:t>
            </w:r>
          </w:p>
        </w:tc>
        <w:tc>
          <w:tcPr>
            <w:tcW w:w="3280" w:type="dxa"/>
            <w:tcBorders/>
            <w:shd w:fill="auto" w:val="clear"/>
            <w:vAlign w:val="center"/>
          </w:tcPr>
          <w:p>
            <w:pPr>
              <w:pStyle w:val="TableContents"/>
              <w:spacing w:before="0" w:after="283"/>
              <w:jc w:val="center"/>
              <w:rPr/>
            </w:pPr>
            <w:r>
              <w:rPr/>
              <w:drawing>
                <wp:inline distT="0" distB="0" distL="0" distR="0">
                  <wp:extent cx="200025" cy="11049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rcRect l="-1734" t="-912" r="-1734" b="-912"/>
                          <a:stretch>
                            <a:fillRect/>
                          </a:stretch>
                        </pic:blipFill>
                        <pic:spPr bwMode="auto">
                          <a:xfrm>
                            <a:off x="0" y="0"/>
                            <a:ext cx="200025" cy="1104900"/>
                          </a:xfrm>
                          <a:prstGeom prst="rect">
                            <a:avLst/>
                          </a:prstGeom>
                          <a:ln w="635">
                            <a:solidFill>
                              <a:srgbClr val="000000"/>
                            </a:solidFill>
                          </a:ln>
                        </pic:spPr>
                      </pic:pic>
                    </a:graphicData>
                  </a:graphic>
                </wp:inline>
              </w:drawing>
            </w:r>
          </w:p>
        </w:tc>
        <w:tc>
          <w:tcPr>
            <w:tcW w:w="316" w:type="dxa"/>
            <w:tcBorders/>
            <w:shd w:fill="auto" w:val="clear"/>
            <w:vAlign w:val="center"/>
          </w:tcPr>
          <w:p>
            <w:pPr>
              <w:pStyle w:val="TableContents"/>
              <w:spacing w:before="0" w:after="283"/>
              <w:rPr/>
            </w:pPr>
            <w:r>
              <w:rPr/>
              <w:t xml:space="preserve">      </w:t>
            </w:r>
          </w:p>
        </w:tc>
        <w:tc>
          <w:tcPr>
            <w:tcW w:w="2701" w:type="dxa"/>
            <w:tcBorders/>
            <w:shd w:fill="auto" w:val="clear"/>
            <w:vAlign w:val="center"/>
          </w:tcPr>
          <w:p>
            <w:pPr>
              <w:pStyle w:val="TableContents"/>
              <w:spacing w:before="0" w:after="283"/>
              <w:jc w:val="center"/>
              <w:rPr/>
            </w:pPr>
            <w:r>
              <w:rPr/>
              <w:drawing>
                <wp:inline distT="0" distB="0" distL="0" distR="0">
                  <wp:extent cx="390525" cy="9525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rcRect l="-889" t="-1058" r="-889" b="-1058"/>
                          <a:stretch>
                            <a:fillRect/>
                          </a:stretch>
                        </pic:blipFill>
                        <pic:spPr bwMode="auto">
                          <a:xfrm>
                            <a:off x="0" y="0"/>
                            <a:ext cx="390525" cy="952500"/>
                          </a:xfrm>
                          <a:prstGeom prst="rect">
                            <a:avLst/>
                          </a:prstGeom>
                          <a:ln w="635">
                            <a:solidFill>
                              <a:srgbClr val="000000"/>
                            </a:solidFill>
                          </a:ln>
                        </pic:spPr>
                      </pic:pic>
                    </a:graphicData>
                  </a:graphic>
                </wp:inline>
              </w:drawing>
            </w:r>
          </w:p>
        </w:tc>
      </w:tr>
      <w:tr>
        <w:trPr/>
        <w:tc>
          <w:tcPr>
            <w:tcW w:w="3592" w:type="dxa"/>
            <w:tcBorders/>
            <w:shd w:fill="auto" w:val="clear"/>
            <w:vAlign w:val="center"/>
          </w:tcPr>
          <w:p>
            <w:pPr>
              <w:pStyle w:val="TableContents"/>
              <w:spacing w:before="0" w:after="0"/>
              <w:jc w:val="left"/>
              <w:rPr/>
            </w:pPr>
            <w:r>
              <w:rPr>
                <w:rStyle w:val="StrongEmphasis"/>
                <w:rFonts w:ascii="Arial" w:hAnsi="Arial"/>
                <w:sz w:val="20"/>
              </w:rPr>
              <w:t>Use the internet, as described in the Notice of Internet Availability of Proxy Materials and on your proxy card.</w:t>
            </w:r>
          </w:p>
        </w:tc>
        <w:tc>
          <w:tcPr>
            <w:tcW w:w="316" w:type="dxa"/>
            <w:tcBorders/>
            <w:shd w:fill="auto" w:val="clear"/>
            <w:vAlign w:val="center"/>
          </w:tcPr>
          <w:p>
            <w:pPr>
              <w:pStyle w:val="TableContents"/>
              <w:spacing w:before="0" w:after="283"/>
              <w:rPr>
                <w:sz w:val="4"/>
                <w:szCs w:val="4"/>
              </w:rPr>
            </w:pPr>
            <w:r>
              <w:rPr>
                <w:sz w:val="4"/>
                <w:szCs w:val="4"/>
              </w:rPr>
            </w:r>
          </w:p>
        </w:tc>
        <w:tc>
          <w:tcPr>
            <w:tcW w:w="3280" w:type="dxa"/>
            <w:tcBorders/>
            <w:shd w:fill="auto" w:val="clear"/>
            <w:vAlign w:val="center"/>
          </w:tcPr>
          <w:p>
            <w:pPr>
              <w:pStyle w:val="TableContents"/>
              <w:spacing w:before="0" w:after="0"/>
              <w:jc w:val="left"/>
              <w:rPr/>
            </w:pPr>
            <w:r>
              <w:rPr>
                <w:rStyle w:val="StrongEmphasis"/>
                <w:rFonts w:ascii="Arial" w:hAnsi="Arial"/>
                <w:sz w:val="20"/>
              </w:rPr>
              <w:t>Call the toll-free telephone number set forth in the attached proxy statement and on your proxy card.</w:t>
            </w:r>
          </w:p>
        </w:tc>
        <w:tc>
          <w:tcPr>
            <w:tcW w:w="316" w:type="dxa"/>
            <w:tcBorders/>
            <w:shd w:fill="auto" w:val="clear"/>
            <w:vAlign w:val="center"/>
          </w:tcPr>
          <w:p>
            <w:pPr>
              <w:pStyle w:val="TableContents"/>
              <w:spacing w:before="0" w:after="283"/>
              <w:rPr>
                <w:sz w:val="4"/>
                <w:szCs w:val="4"/>
              </w:rPr>
            </w:pPr>
            <w:r>
              <w:rPr>
                <w:sz w:val="4"/>
                <w:szCs w:val="4"/>
              </w:rPr>
            </w:r>
          </w:p>
        </w:tc>
        <w:tc>
          <w:tcPr>
            <w:tcW w:w="2701" w:type="dxa"/>
            <w:tcBorders/>
            <w:shd w:fill="auto" w:val="clear"/>
            <w:vAlign w:val="center"/>
          </w:tcPr>
          <w:p>
            <w:pPr>
              <w:pStyle w:val="TableContents"/>
              <w:spacing w:before="0" w:after="0"/>
              <w:jc w:val="left"/>
              <w:rPr/>
            </w:pPr>
            <w:r>
              <w:rPr>
                <w:rStyle w:val="StrongEmphasis"/>
                <w:rFonts w:ascii="Arial" w:hAnsi="Arial"/>
                <w:sz w:val="20"/>
              </w:rPr>
              <w:t>Complete, sign and date your proxy card and return your proxy card by mail.</w:t>
            </w:r>
          </w:p>
        </w:tc>
      </w:tr>
    </w:tbl>
    <w:p>
      <w:pPr>
        <w:pStyle w:val="TextBody"/>
        <w:spacing w:before="240" w:after="283"/>
        <w:jc w:val="left"/>
        <w:rPr>
          <w:rFonts w:ascii="Arial" w:hAnsi="Arial"/>
          <w:sz w:val="20"/>
        </w:rPr>
      </w:pPr>
      <w:r>
        <w:rPr>
          <w:rFonts w:ascii="Arial" w:hAnsi="Arial"/>
          <w:sz w:val="20"/>
        </w:rPr>
        <w:t>April 28, 2023</w:t>
      </w:r>
    </w:p>
    <w:p>
      <w:pPr>
        <w:pStyle w:val="TextBody"/>
        <w:rPr/>
      </w:pPr>
      <w:r>
        <w:rPr/>
        <w:drawing>
          <wp:inline distT="0" distB="0" distL="0" distR="0">
            <wp:extent cx="962025" cy="8858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rcRect l="-329" t="-1137" r="-329" b="-1137"/>
                    <a:stretch>
                      <a:fillRect/>
                    </a:stretch>
                  </pic:blipFill>
                  <pic:spPr bwMode="auto">
                    <a:xfrm>
                      <a:off x="0" y="0"/>
                      <a:ext cx="962025" cy="885825"/>
                    </a:xfrm>
                    <a:prstGeom prst="rect">
                      <a:avLst/>
                    </a:prstGeom>
                    <a:ln w="635">
                      <a:solidFill>
                        <a:srgbClr val="000000"/>
                      </a:solidFill>
                    </a:ln>
                  </pic:spPr>
                </pic:pic>
              </a:graphicData>
            </a:graphic>
          </wp:inline>
        </w:drawing>
      </w:r>
      <w:r>
        <w:rPr/>
        <w:t xml:space="preserve"> </w:t>
      </w:r>
    </w:p>
    <w:p>
      <w:pPr>
        <w:pStyle w:val="TextBody"/>
        <w:jc w:val="left"/>
        <w:rPr>
          <w:rFonts w:ascii="Arial" w:hAnsi="Arial"/>
          <w:sz w:val="15"/>
        </w:rPr>
      </w:pPr>
      <w:r>
        <w:rPr>
          <w:rFonts w:ascii="Arial" w:hAnsi="Arial"/>
          <w:sz w:val="15"/>
        </w:rPr>
        <w:t>THOMAS J. REID</w:t>
        <w:br/>
        <w:t>Secretary</w:t>
      </w:r>
    </w:p>
    <w:tbl>
      <w:tblPr>
        <w:tblW w:w="10205" w:type="dxa"/>
        <w:jc w:val="left"/>
        <w:tblInd w:w="0" w:type="dxa"/>
        <w:tblCellMar>
          <w:top w:w="0" w:type="dxa"/>
          <w:left w:w="0" w:type="dxa"/>
          <w:bottom w:w="0" w:type="dxa"/>
          <w:right w:w="0" w:type="dxa"/>
        </w:tblCellMar>
      </w:tblPr>
      <w:tblGrid>
        <w:gridCol w:w="10205"/>
      </w:tblGrid>
      <w:tr>
        <w:trPr/>
        <w:tc>
          <w:tcPr>
            <w:tcW w:w="10205" w:type="dxa"/>
            <w:tcBorders/>
            <w:shd w:fill="ECECEC" w:val="clear"/>
            <w:vAlign w:val="center"/>
          </w:tcPr>
          <w:p>
            <w:pPr>
              <w:pStyle w:val="TableContents"/>
              <w:spacing w:before="0" w:after="0"/>
              <w:jc w:val="center"/>
              <w:rPr/>
            </w:pPr>
            <w:r>
              <w:rPr>
                <w:rFonts w:ascii="Arial" w:hAnsi="Arial"/>
                <w:b/>
                <w:sz w:val="20"/>
              </w:rPr>
              <w:t xml:space="preserve">Important Notice Regarding the Availability of Proxy Materials for the Annual Meeting of Shareholders to Be Held on June 7, 2023: Our proxy statement and our Annual Report on Form 10-K for the fiscal year ended December 31, 2022 are available at </w:t>
            </w:r>
            <w:r>
              <w:rPr>
                <w:rFonts w:ascii="Arial" w:hAnsi="Arial"/>
                <w:b/>
                <w:i/>
                <w:caps w:val="false"/>
                <w:smallCaps w:val="false"/>
                <w:sz w:val="20"/>
              </w:rPr>
              <w:t>www.proxyvote.com</w:t>
            </w:r>
            <w:r>
              <w:rPr>
                <w:rFonts w:ascii="Arial" w:hAnsi="Arial"/>
                <w:b/>
                <w:sz w:val="20"/>
              </w:rPr>
              <w:t>.</w:t>
            </w:r>
          </w:p>
        </w:tc>
      </w:tr>
    </w:tbl>
    <w:p>
      <w:pPr>
        <w:pStyle w:val="TextBody"/>
        <w:spacing w:before="0" w:after="0"/>
        <w:rPr/>
      </w:pPr>
      <w:r>
        <w:rPr/>
      </w:r>
    </w:p>
    <w:tbl>
      <w:tblPr>
        <w:tblW w:w="133" w:type="dxa"/>
        <w:jc w:val="left"/>
        <w:tblInd w:w="0" w:type="dxa"/>
        <w:tblCellMar>
          <w:top w:w="0" w:type="dxa"/>
          <w:left w:w="0" w:type="dxa"/>
          <w:bottom w:w="0" w:type="dxa"/>
          <w:right w:w="0" w:type="dxa"/>
        </w:tblCellMar>
      </w:tblPr>
      <w:tblGrid>
        <w:gridCol w:w="110"/>
        <w:gridCol w:w="23"/>
      </w:tblGrid>
      <w:tr>
        <w:trPr/>
        <w:tc>
          <w:tcPr>
            <w:tcW w:w="110" w:type="dxa"/>
            <w:tcBorders/>
            <w:shd w:fill="auto" w:val="clear"/>
            <w:vAlign w:val="center"/>
          </w:tcPr>
          <w:p>
            <w:pPr>
              <w:pStyle w:val="TableContents"/>
              <w:spacing w:before="0" w:after="283"/>
              <w:jc w:val="left"/>
              <w:rPr>
                <w:rFonts w:ascii="Arial" w:hAnsi="Arial"/>
                <w:b/>
                <w:sz w:val="15"/>
              </w:rPr>
            </w:pPr>
            <w:r>
              <w:rPr>
                <w:rFonts w:ascii="Arial" w:hAnsi="Arial"/>
                <w:b/>
                <w:sz w:val="15"/>
              </w:rPr>
              <w:t>4</w:t>
            </w:r>
          </w:p>
        </w:tc>
        <w:tc>
          <w:tcPr>
            <w:tcW w:w="2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p>
      <w:pPr>
        <w:pStyle w:val="TextBody"/>
        <w:jc w:val="left"/>
        <w:rPr>
          <w:rFonts w:ascii="Arial" w:hAnsi="Arial"/>
          <w:b/>
          <w:sz w:val="36"/>
        </w:rPr>
      </w:pPr>
      <w:bookmarkStart w:id="6" w:name="toc"/>
      <w:bookmarkEnd w:id="6"/>
      <w:r>
        <w:rPr>
          <w:rFonts w:ascii="Arial" w:hAnsi="Arial"/>
          <w:b/>
          <w:sz w:val="36"/>
        </w:rPr>
        <w:t>Table of Contents</w:t>
      </w:r>
    </w:p>
    <w:p>
      <w:pPr>
        <w:pStyle w:val="TextBody"/>
        <w:spacing w:before="0" w:after="0"/>
        <w:rPr/>
      </w:pPr>
      <w:r>
        <w:rPr/>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3110230" cy="6925310"/>
                <wp:effectExtent l="0" t="0" r="0" b="0"/>
                <wp:wrapSquare wrapText="largest"/>
                <wp:docPr id="16" name="Frame1"/>
                <a:graphic xmlns:a="http://schemas.openxmlformats.org/drawingml/2006/main">
                  <a:graphicData uri="http://schemas.microsoft.com/office/word/2010/wordprocessingShape">
                    <wps:wsp>
                      <wps:cNvSpPr txBox="1"/>
                      <wps:spPr>
                        <a:xfrm>
                          <a:off x="0" y="0"/>
                          <a:ext cx="3110230" cy="6925310"/>
                        </a:xfrm>
                        <a:prstGeom prst="rect"/>
                      </wps:spPr>
                      <wps:txbx>
                        <w:txbxContent>
                          <w:tbl>
                            <w:tblPr>
                              <w:tblW w:w="10205" w:type="dxa"/>
                              <w:jc w:val="left"/>
                              <w:tblInd w:w="0" w:type="dxa"/>
                              <w:tblCellMar>
                                <w:top w:w="0" w:type="dxa"/>
                                <w:left w:w="0" w:type="dxa"/>
                                <w:bottom w:w="40" w:type="dxa"/>
                                <w:right w:w="0" w:type="dxa"/>
                              </w:tblCellMar>
                            </w:tblPr>
                            <w:tblGrid>
                              <w:gridCol w:w="9560"/>
                              <w:gridCol w:w="300"/>
                              <w:gridCol w:w="345"/>
                            </w:tblGrid>
                            <w:tr>
                              <w:trPr/>
                              <w:tc>
                                <w:tcPr>
                                  <w:tcW w:w="9560" w:type="dxa"/>
                                  <w:tcBorders>
                                    <w:bottom w:val="single" w:sz="8" w:space="0" w:color="000000"/>
                                  </w:tcBorders>
                                  <w:shd w:fill="auto" w:val="clear"/>
                                  <w:vAlign w:val="center"/>
                                </w:tcPr>
                                <w:p>
                                  <w:pPr>
                                    <w:pStyle w:val="TableContents"/>
                                    <w:spacing w:before="0" w:after="283"/>
                                    <w:jc w:val="left"/>
                                    <w:rPr/>
                                  </w:pPr>
                                  <w:hyperlink w:anchor="messagefromchair">
                                    <w:r>
                                      <w:rPr>
                                        <w:rStyle w:val="InternetLink"/>
                                        <w:rFonts w:ascii="Arial" w:hAnsi="Arial"/>
                                        <w:b/>
                                        <w:strike w:val="false"/>
                                        <w:dstrike w:val="false"/>
                                        <w:color w:val="000000"/>
                                        <w:sz w:val="20"/>
                                        <w:u w:val="none"/>
                                        <w:effect w:val="none"/>
                                      </w:rPr>
                                      <w:t xml:space="preserve">Message from Our Chairman and CEO and Our Lead Independent Director </w:t>
                                    </w:r>
                                  </w:hyperlink>
                                </w:p>
                              </w:tc>
                              <w:tc>
                                <w:tcPr>
                                  <w:tcW w:w="300" w:type="dxa"/>
                                  <w:tcBorders>
                                    <w:bottom w:val="single" w:sz="8" w:space="0" w:color="000000"/>
                                  </w:tcBorders>
                                  <w:shd w:fill="auto" w:val="clear"/>
                                  <w:vAlign w:val="center"/>
                                </w:tcPr>
                                <w:p>
                                  <w:pPr>
                                    <w:pStyle w:val="TableContents"/>
                                    <w:spacing w:before="0" w:after="283"/>
                                    <w:jc w:val="left"/>
                                    <w:rPr/>
                                  </w:pPr>
                                  <w:r>
                                    <w:rPr/>
                                    <w:t>     </w:t>
                                  </w:r>
                                </w:p>
                              </w:tc>
                              <w:tc>
                                <w:tcPr>
                                  <w:tcW w:w="345" w:type="dxa"/>
                                  <w:tcBorders>
                                    <w:bottom w:val="single" w:sz="8" w:space="0" w:color="000000"/>
                                  </w:tcBorders>
                                  <w:shd w:fill="auto" w:val="clear"/>
                                  <w:vAlign w:val="center"/>
                                </w:tcPr>
                                <w:p>
                                  <w:pPr>
                                    <w:pStyle w:val="TableContents"/>
                                    <w:spacing w:before="0" w:after="283"/>
                                    <w:jc w:val="right"/>
                                    <w:rPr/>
                                  </w:pPr>
                                  <w:hyperlink w:anchor="messagefromchair">
                                    <w:r>
                                      <w:rPr>
                                        <w:rStyle w:val="InternetLink"/>
                                        <w:rFonts w:ascii="Arial" w:hAnsi="Arial"/>
                                        <w:b/>
                                        <w:strike w:val="false"/>
                                        <w:dstrike w:val="false"/>
                                        <w:color w:val="000000"/>
                                        <w:sz w:val="20"/>
                                        <w:u w:val="none"/>
                                        <w:effect w:val="none"/>
                                      </w:rPr>
                                      <w:t>3</w:t>
                                    </w:r>
                                  </w:hyperlink>
                                </w:p>
                              </w:tc>
                            </w:tr>
                            <w:tr>
                              <w:trPr/>
                              <w:tc>
                                <w:tcPr>
                                  <w:tcW w:w="9560" w:type="dxa"/>
                                  <w:tcBorders>
                                    <w:bottom w:val="single" w:sz="8" w:space="0" w:color="000000"/>
                                  </w:tcBorders>
                                  <w:shd w:fill="auto" w:val="clear"/>
                                  <w:vAlign w:val="center"/>
                                </w:tcPr>
                                <w:p>
                                  <w:pPr>
                                    <w:pStyle w:val="TableContents"/>
                                    <w:spacing w:before="0" w:after="283"/>
                                    <w:jc w:val="left"/>
                                    <w:rPr/>
                                  </w:pPr>
                                  <w:hyperlink w:anchor="notice">
                                    <w:r>
                                      <w:rPr>
                                        <w:rStyle w:val="InternetLink"/>
                                        <w:rFonts w:ascii="Arial" w:hAnsi="Arial"/>
                                        <w:b/>
                                        <w:strike w:val="false"/>
                                        <w:dstrike w:val="false"/>
                                        <w:color w:val="000000"/>
                                        <w:sz w:val="20"/>
                                        <w:u w:val="none"/>
                                        <w:effect w:val="none"/>
                                      </w:rPr>
                                      <w:t xml:space="preserve">Notice of 2023 Annual Meeting of Shareholders of Comcast Corporation </w:t>
                                    </w:r>
                                  </w:hyperlink>
                                </w:p>
                              </w:tc>
                              <w:tc>
                                <w:tcPr>
                                  <w:tcW w:w="30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345" w:type="dxa"/>
                                  <w:tcBorders>
                                    <w:bottom w:val="single" w:sz="8" w:space="0" w:color="000000"/>
                                  </w:tcBorders>
                                  <w:shd w:fill="auto" w:val="clear"/>
                                  <w:vAlign w:val="center"/>
                                </w:tcPr>
                                <w:p>
                                  <w:pPr>
                                    <w:pStyle w:val="TableContents"/>
                                    <w:spacing w:before="0" w:after="283"/>
                                    <w:jc w:val="right"/>
                                    <w:rPr/>
                                  </w:pPr>
                                  <w:hyperlink w:anchor="notice">
                                    <w:r>
                                      <w:rPr>
                                        <w:rStyle w:val="InternetLink"/>
                                        <w:rFonts w:ascii="Arial" w:hAnsi="Arial"/>
                                        <w:b/>
                                        <w:strike w:val="false"/>
                                        <w:dstrike w:val="false"/>
                                        <w:color w:val="000000"/>
                                        <w:sz w:val="20"/>
                                        <w:u w:val="none"/>
                                        <w:effect w:val="none"/>
                                      </w:rPr>
                                      <w:t>4</w:t>
                                    </w:r>
                                  </w:hyperlink>
                                </w:p>
                              </w:tc>
                            </w:tr>
                            <w:tr>
                              <w:trPr/>
                              <w:tc>
                                <w:tcPr>
                                  <w:tcW w:w="9560" w:type="dxa"/>
                                  <w:tcBorders>
                                    <w:bottom w:val="single" w:sz="8" w:space="0" w:color="000000"/>
                                  </w:tcBorders>
                                  <w:shd w:fill="auto" w:val="clear"/>
                                  <w:vAlign w:val="center"/>
                                </w:tcPr>
                                <w:p>
                                  <w:pPr>
                                    <w:pStyle w:val="TableContents"/>
                                    <w:spacing w:before="0" w:after="283"/>
                                    <w:jc w:val="left"/>
                                    <w:rPr/>
                                  </w:pPr>
                                  <w:hyperlink w:anchor="about">
                                    <w:r>
                                      <w:rPr>
                                        <w:rStyle w:val="InternetLink"/>
                                        <w:rFonts w:ascii="Arial" w:hAnsi="Arial"/>
                                        <w:b/>
                                        <w:strike w:val="false"/>
                                        <w:dstrike w:val="false"/>
                                        <w:color w:val="000000"/>
                                        <w:sz w:val="20"/>
                                        <w:u w:val="none"/>
                                        <w:effect w:val="none"/>
                                      </w:rPr>
                                      <w:t xml:space="preserve">About Comcast </w:t>
                                    </w:r>
                                  </w:hyperlink>
                                </w:p>
                              </w:tc>
                              <w:tc>
                                <w:tcPr>
                                  <w:tcW w:w="30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345" w:type="dxa"/>
                                  <w:tcBorders>
                                    <w:bottom w:val="single" w:sz="8" w:space="0" w:color="000000"/>
                                  </w:tcBorders>
                                  <w:shd w:fill="auto" w:val="clear"/>
                                  <w:vAlign w:val="center"/>
                                </w:tcPr>
                                <w:p>
                                  <w:pPr>
                                    <w:pStyle w:val="TableContents"/>
                                    <w:spacing w:before="0" w:after="283"/>
                                    <w:jc w:val="right"/>
                                    <w:rPr/>
                                  </w:pPr>
                                  <w:hyperlink w:anchor="about">
                                    <w:r>
                                      <w:rPr>
                                        <w:rStyle w:val="InternetLink"/>
                                        <w:rFonts w:ascii="Arial" w:hAnsi="Arial"/>
                                        <w:b/>
                                        <w:strike w:val="false"/>
                                        <w:dstrike w:val="false"/>
                                        <w:color w:val="000000"/>
                                        <w:sz w:val="20"/>
                                        <w:u w:val="none"/>
                                        <w:effect w:val="none"/>
                                      </w:rPr>
                                      <w:t>6</w:t>
                                    </w:r>
                                  </w:hyperlink>
                                </w:p>
                              </w:tc>
                            </w:tr>
                            <w:tr>
                              <w:trPr/>
                              <w:tc>
                                <w:tcPr>
                                  <w:tcW w:w="9560" w:type="dxa"/>
                                  <w:tcBorders>
                                    <w:bottom w:val="single" w:sz="8" w:space="0" w:color="000000"/>
                                  </w:tcBorders>
                                  <w:shd w:fill="auto" w:val="clear"/>
                                  <w:vAlign w:val="center"/>
                                </w:tcPr>
                                <w:p>
                                  <w:pPr>
                                    <w:pStyle w:val="TableContents"/>
                                    <w:spacing w:before="0" w:after="283"/>
                                    <w:jc w:val="left"/>
                                    <w:rPr/>
                                  </w:pPr>
                                  <w:hyperlink w:anchor="spotlight">
                                    <w:r>
                                      <w:rPr>
                                        <w:rStyle w:val="InternetLink"/>
                                        <w:rFonts w:ascii="Arial" w:hAnsi="Arial"/>
                                        <w:b/>
                                        <w:strike w:val="false"/>
                                        <w:dstrike w:val="false"/>
                                        <w:color w:val="000000"/>
                                        <w:sz w:val="20"/>
                                        <w:u w:val="none"/>
                                        <w:effect w:val="none"/>
                                      </w:rPr>
                                      <w:t xml:space="preserve">Spotlight on Our Corporate Responsibility Initiatives </w:t>
                                    </w:r>
                                  </w:hyperlink>
                                </w:p>
                              </w:tc>
                              <w:tc>
                                <w:tcPr>
                                  <w:tcW w:w="30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345" w:type="dxa"/>
                                  <w:tcBorders>
                                    <w:bottom w:val="single" w:sz="8" w:space="0" w:color="000000"/>
                                  </w:tcBorders>
                                  <w:shd w:fill="auto" w:val="clear"/>
                                  <w:vAlign w:val="center"/>
                                </w:tcPr>
                                <w:p>
                                  <w:pPr>
                                    <w:pStyle w:val="TableContents"/>
                                    <w:spacing w:before="0" w:after="283"/>
                                    <w:jc w:val="right"/>
                                    <w:rPr/>
                                  </w:pPr>
                                  <w:hyperlink w:anchor="spotlight">
                                    <w:r>
                                      <w:rPr>
                                        <w:rStyle w:val="InternetLink"/>
                                        <w:rFonts w:ascii="Arial" w:hAnsi="Arial"/>
                                        <w:b/>
                                        <w:strike w:val="false"/>
                                        <w:dstrike w:val="false"/>
                                        <w:color w:val="000000"/>
                                        <w:sz w:val="20"/>
                                        <w:u w:val="none"/>
                                        <w:effect w:val="none"/>
                                      </w:rPr>
                                      <w:t>8</w:t>
                                    </w:r>
                                  </w:hyperlink>
                                </w:p>
                              </w:tc>
                            </w:tr>
                            <w:tr>
                              <w:trPr/>
                              <w:tc>
                                <w:tcPr>
                                  <w:tcW w:w="9560" w:type="dxa"/>
                                  <w:tcBorders>
                                    <w:bottom w:val="single" w:sz="8" w:space="0" w:color="000000"/>
                                  </w:tcBorders>
                                  <w:shd w:fill="auto" w:val="clear"/>
                                  <w:vAlign w:val="center"/>
                                </w:tcPr>
                                <w:p>
                                  <w:pPr>
                                    <w:pStyle w:val="TableContents"/>
                                    <w:spacing w:before="0" w:after="283"/>
                                    <w:jc w:val="left"/>
                                    <w:rPr/>
                                  </w:pPr>
                                  <w:hyperlink w:anchor="corpogovernance">
                                    <w:r>
                                      <w:rPr>
                                        <w:rStyle w:val="InternetLink"/>
                                        <w:rFonts w:ascii="Arial" w:hAnsi="Arial"/>
                                        <w:b/>
                                        <w:strike w:val="false"/>
                                        <w:dstrike w:val="false"/>
                                        <w:color w:val="000000"/>
                                        <w:sz w:val="20"/>
                                        <w:u w:val="none"/>
                                        <w:effect w:val="none"/>
                                      </w:rPr>
                                      <w:t xml:space="preserve">Corporate Governance and Board Matters </w:t>
                                    </w:r>
                                  </w:hyperlink>
                                </w:p>
                              </w:tc>
                              <w:tc>
                                <w:tcPr>
                                  <w:tcW w:w="30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345" w:type="dxa"/>
                                  <w:tcBorders>
                                    <w:bottom w:val="single" w:sz="8" w:space="0" w:color="000000"/>
                                  </w:tcBorders>
                                  <w:shd w:fill="auto" w:val="clear"/>
                                  <w:vAlign w:val="center"/>
                                </w:tcPr>
                                <w:p>
                                  <w:pPr>
                                    <w:pStyle w:val="TableContents"/>
                                    <w:spacing w:before="0" w:after="283"/>
                                    <w:jc w:val="right"/>
                                    <w:rPr/>
                                  </w:pPr>
                                  <w:hyperlink w:anchor="corpogovernance">
                                    <w:r>
                                      <w:rPr>
                                        <w:rStyle w:val="InternetLink"/>
                                        <w:rFonts w:ascii="Arial" w:hAnsi="Arial"/>
                                        <w:b/>
                                        <w:strike w:val="false"/>
                                        <w:dstrike w:val="false"/>
                                        <w:color w:val="000000"/>
                                        <w:sz w:val="20"/>
                                        <w:u w:val="none"/>
                                        <w:effect w:val="none"/>
                                      </w:rPr>
                                      <w:t>13</w:t>
                                    </w:r>
                                  </w:hyperlink>
                                </w:p>
                              </w:tc>
                            </w:tr>
                            <w:tr>
                              <w:trPr/>
                              <w:tc>
                                <w:tcPr>
                                  <w:tcW w:w="9560" w:type="dxa"/>
                                  <w:tcBorders>
                                    <w:bottom w:val="single" w:sz="8" w:space="0" w:color="00A1E0"/>
                                  </w:tcBorders>
                                  <w:shd w:fill="auto" w:val="clear"/>
                                  <w:vAlign w:val="center"/>
                                </w:tcPr>
                                <w:p>
                                  <w:pPr>
                                    <w:pStyle w:val="TableContents"/>
                                    <w:spacing w:before="0" w:after="283"/>
                                    <w:jc w:val="left"/>
                                    <w:rPr/>
                                  </w:pPr>
                                  <w:hyperlink w:anchor="proposal1">
                                    <w:r>
                                      <w:rPr>
                                        <w:rStyle w:val="InternetLink"/>
                                        <w:rFonts w:ascii="Arial" w:hAnsi="Arial"/>
                                        <w:b/>
                                        <w:strike w:val="false"/>
                                        <w:dstrike w:val="false"/>
                                        <w:color w:val="00A1E0"/>
                                        <w:sz w:val="20"/>
                                        <w:u w:val="none"/>
                                        <w:effect w:val="none"/>
                                      </w:rPr>
                                      <w:t xml:space="preserve">PROPOSAL 1: Election of Directors </w:t>
                                    </w:r>
                                  </w:hyperlink>
                                </w:p>
                              </w:tc>
                              <w:tc>
                                <w:tcPr>
                                  <w:tcW w:w="300" w:type="dxa"/>
                                  <w:tcBorders>
                                    <w:bottom w:val="single" w:sz="8" w:space="0" w:color="00A1E0"/>
                                  </w:tcBorders>
                                  <w:shd w:fill="auto" w:val="clear"/>
                                  <w:vAlign w:val="center"/>
                                </w:tcPr>
                                <w:p>
                                  <w:pPr>
                                    <w:pStyle w:val="TableContents"/>
                                    <w:spacing w:before="0" w:after="283"/>
                                    <w:rPr>
                                      <w:sz w:val="4"/>
                                      <w:szCs w:val="4"/>
                                    </w:rPr>
                                  </w:pPr>
                                  <w:r>
                                    <w:rPr>
                                      <w:sz w:val="4"/>
                                      <w:szCs w:val="4"/>
                                    </w:rPr>
                                  </w:r>
                                </w:p>
                              </w:tc>
                              <w:tc>
                                <w:tcPr>
                                  <w:tcW w:w="345" w:type="dxa"/>
                                  <w:tcBorders>
                                    <w:bottom w:val="single" w:sz="8" w:space="0" w:color="00A1E0"/>
                                  </w:tcBorders>
                                  <w:shd w:fill="auto" w:val="clear"/>
                                  <w:vAlign w:val="center"/>
                                </w:tcPr>
                                <w:p>
                                  <w:pPr>
                                    <w:pStyle w:val="TableContents"/>
                                    <w:spacing w:before="0" w:after="283"/>
                                    <w:jc w:val="right"/>
                                    <w:rPr/>
                                  </w:pPr>
                                  <w:r>
                                    <w:rPr/>
                                    <w:drawing>
                                      <wp:inline distT="0" distB="0" distL="0" distR="0">
                                        <wp:extent cx="219075" cy="209550"/>
                                        <wp:effectExtent l="0" t="0" r="0" b="0"/>
                                        <wp:docPr id="1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6" descr=""/>
                                                <pic:cNvPicPr>
                                                  <a:picLocks noChangeAspect="1" noChangeArrowheads="1"/>
                                                </pic:cNvPicPr>
                                              </pic:nvPicPr>
                                              <pic:blipFill>
                                                <a:blip r:embed="rId17"/>
                                                <a:srcRect l="-4597" t="-4810" r="-4597" b="-4810"/>
                                                <a:stretch>
                                                  <a:fillRect/>
                                                </a:stretch>
                                              </pic:blipFill>
                                              <pic:spPr bwMode="auto">
                                                <a:xfrm>
                                                  <a:off x="0" y="0"/>
                                                  <a:ext cx="219075" cy="209550"/>
                                                </a:xfrm>
                                                <a:prstGeom prst="rect">
                                                  <a:avLst/>
                                                </a:prstGeom>
                                                <a:ln w="635">
                                                  <a:solidFill>
                                                    <a:srgbClr val="000000"/>
                                                  </a:solidFill>
                                                </a:ln>
                                              </pic:spPr>
                                            </pic:pic>
                                          </a:graphicData>
                                        </a:graphic>
                                      </wp:inline>
                                    </w:drawing>
                                  </w:r>
                                </w:p>
                              </w:tc>
                            </w:tr>
                            <w:tr>
                              <w:trPr/>
                              <w:tc>
                                <w:tcPr>
                                  <w:tcW w:w="9560" w:type="dxa"/>
                                  <w:tcBorders/>
                                  <w:shd w:fill="auto" w:val="clear"/>
                                  <w:tcMar>
                                    <w:bottom w:w="0" w:type="dxa"/>
                                  </w:tcMar>
                                  <w:vAlign w:val="center"/>
                                </w:tcPr>
                                <w:p>
                                  <w:pPr>
                                    <w:pStyle w:val="TableContents"/>
                                    <w:spacing w:before="0" w:after="283"/>
                                    <w:jc w:val="left"/>
                                    <w:rPr/>
                                  </w:pPr>
                                  <w:hyperlink w:anchor="boarddirectors">
                                    <w:r>
                                      <w:rPr>
                                        <w:rStyle w:val="InternetLink"/>
                                        <w:rFonts w:ascii="Arial" w:hAnsi="Arial"/>
                                        <w:strike w:val="false"/>
                                        <w:dstrike w:val="false"/>
                                        <w:color w:val="000000"/>
                                        <w:sz w:val="20"/>
                                        <w:u w:val="none"/>
                                        <w:effect w:val="none"/>
                                      </w:rPr>
                                      <w:t xml:space="preserve">Board of Directors Nominees </w:t>
                                    </w:r>
                                  </w:hyperlink>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345" w:type="dxa"/>
                                  <w:tcBorders/>
                                  <w:shd w:fill="auto" w:val="clear"/>
                                  <w:tcMar>
                                    <w:bottom w:w="0" w:type="dxa"/>
                                  </w:tcMar>
                                  <w:vAlign w:val="center"/>
                                </w:tcPr>
                                <w:p>
                                  <w:pPr>
                                    <w:pStyle w:val="TableContents"/>
                                    <w:spacing w:before="0" w:after="283"/>
                                    <w:jc w:val="right"/>
                                    <w:rPr/>
                                  </w:pPr>
                                  <w:hyperlink w:anchor="boarddirectors">
                                    <w:r>
                                      <w:rPr>
                                        <w:rStyle w:val="InternetLink"/>
                                        <w:rFonts w:ascii="Arial" w:hAnsi="Arial"/>
                                        <w:strike w:val="false"/>
                                        <w:dstrike w:val="false"/>
                                        <w:color w:val="000000"/>
                                        <w:sz w:val="20"/>
                                        <w:u w:val="none"/>
                                        <w:effect w:val="none"/>
                                      </w:rPr>
                                      <w:t>13</w:t>
                                    </w:r>
                                  </w:hyperlink>
                                </w:p>
                              </w:tc>
                            </w:tr>
                            <w:tr>
                              <w:trPr/>
                              <w:tc>
                                <w:tcPr>
                                  <w:tcW w:w="9560" w:type="dxa"/>
                                  <w:tcBorders/>
                                  <w:shd w:fill="auto" w:val="clear"/>
                                  <w:tcMar>
                                    <w:bottom w:w="0" w:type="dxa"/>
                                  </w:tcMar>
                                  <w:vAlign w:val="center"/>
                                </w:tcPr>
                                <w:p>
                                  <w:pPr>
                                    <w:pStyle w:val="TableContents"/>
                                    <w:spacing w:before="0" w:after="283"/>
                                    <w:jc w:val="left"/>
                                    <w:rPr/>
                                  </w:pPr>
                                  <w:hyperlink w:anchor="boardstructureresp">
                                    <w:r>
                                      <w:rPr>
                                        <w:rStyle w:val="InternetLink"/>
                                        <w:rFonts w:ascii="Arial" w:hAnsi="Arial"/>
                                        <w:strike w:val="false"/>
                                        <w:dstrike w:val="false"/>
                                        <w:color w:val="000000"/>
                                        <w:sz w:val="20"/>
                                        <w:u w:val="none"/>
                                        <w:effect w:val="none"/>
                                      </w:rPr>
                                      <w:t xml:space="preserve">Board Structure and Responsibilities </w:t>
                                    </w:r>
                                  </w:hyperlink>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345" w:type="dxa"/>
                                  <w:tcBorders/>
                                  <w:shd w:fill="auto" w:val="clear"/>
                                  <w:tcMar>
                                    <w:bottom w:w="0" w:type="dxa"/>
                                  </w:tcMar>
                                  <w:vAlign w:val="center"/>
                                </w:tcPr>
                                <w:p>
                                  <w:pPr>
                                    <w:pStyle w:val="TableContents"/>
                                    <w:spacing w:before="0" w:after="283"/>
                                    <w:jc w:val="right"/>
                                    <w:rPr/>
                                  </w:pPr>
                                  <w:hyperlink w:anchor="boardstructureresp">
                                    <w:r>
                                      <w:rPr>
                                        <w:rStyle w:val="InternetLink"/>
                                        <w:rFonts w:ascii="Arial" w:hAnsi="Arial"/>
                                        <w:strike w:val="false"/>
                                        <w:dstrike w:val="false"/>
                                        <w:color w:val="000000"/>
                                        <w:sz w:val="20"/>
                                        <w:u w:val="none"/>
                                        <w:effect w:val="none"/>
                                      </w:rPr>
                                      <w:t>21</w:t>
                                    </w:r>
                                  </w:hyperlink>
                                </w:p>
                              </w:tc>
                            </w:tr>
                            <w:tr>
                              <w:trPr/>
                              <w:tc>
                                <w:tcPr>
                                  <w:tcW w:w="9560" w:type="dxa"/>
                                  <w:tcBorders/>
                                  <w:shd w:fill="auto" w:val="clear"/>
                                  <w:tcMar>
                                    <w:bottom w:w="0" w:type="dxa"/>
                                  </w:tcMar>
                                  <w:vAlign w:val="center"/>
                                </w:tcPr>
                                <w:p>
                                  <w:pPr>
                                    <w:pStyle w:val="TableContents"/>
                                    <w:spacing w:before="0" w:after="283"/>
                                    <w:jc w:val="left"/>
                                    <w:rPr/>
                                  </w:pPr>
                                  <w:hyperlink w:anchor="corpogovernanceprac">
                                    <w:r>
                                      <w:rPr>
                                        <w:rStyle w:val="InternetLink"/>
                                        <w:rFonts w:ascii="Arial" w:hAnsi="Arial"/>
                                        <w:strike w:val="false"/>
                                        <w:dstrike w:val="false"/>
                                        <w:color w:val="000000"/>
                                        <w:sz w:val="20"/>
                                        <w:u w:val="none"/>
                                        <w:effect w:val="none"/>
                                      </w:rPr>
                                      <w:t xml:space="preserve">Corporate Governance Practices, Policies and Processes </w:t>
                                    </w:r>
                                  </w:hyperlink>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345" w:type="dxa"/>
                                  <w:tcBorders/>
                                  <w:shd w:fill="auto" w:val="clear"/>
                                  <w:tcMar>
                                    <w:bottom w:w="0" w:type="dxa"/>
                                  </w:tcMar>
                                  <w:vAlign w:val="center"/>
                                </w:tcPr>
                                <w:p>
                                  <w:pPr>
                                    <w:pStyle w:val="TableContents"/>
                                    <w:spacing w:before="0" w:after="283"/>
                                    <w:jc w:val="right"/>
                                    <w:rPr/>
                                  </w:pPr>
                                  <w:hyperlink w:anchor="corpogovernanceprac">
                                    <w:r>
                                      <w:rPr>
                                        <w:rStyle w:val="InternetLink"/>
                                        <w:rFonts w:ascii="Arial" w:hAnsi="Arial"/>
                                        <w:strike w:val="false"/>
                                        <w:dstrike w:val="false"/>
                                        <w:color w:val="000000"/>
                                        <w:sz w:val="20"/>
                                        <w:u w:val="none"/>
                                        <w:effect w:val="none"/>
                                      </w:rPr>
                                      <w:t>26</w:t>
                                    </w:r>
                                  </w:hyperlink>
                                </w:p>
                              </w:tc>
                            </w:tr>
                            <w:tr>
                              <w:trPr/>
                              <w:tc>
                                <w:tcPr>
                                  <w:tcW w:w="9560" w:type="dxa"/>
                                  <w:tcBorders>
                                    <w:bottom w:val="single" w:sz="8" w:space="0" w:color="000000"/>
                                  </w:tcBorders>
                                  <w:shd w:fill="auto" w:val="clear"/>
                                  <w:vAlign w:val="center"/>
                                </w:tcPr>
                                <w:p>
                                  <w:pPr>
                                    <w:pStyle w:val="TableContents"/>
                                    <w:spacing w:before="0" w:after="283"/>
                                    <w:jc w:val="left"/>
                                    <w:rPr/>
                                  </w:pPr>
                                  <w:hyperlink w:anchor="auditcommittee">
                                    <w:r>
                                      <w:rPr>
                                        <w:rStyle w:val="InternetLink"/>
                                        <w:rFonts w:ascii="Arial" w:hAnsi="Arial"/>
                                        <w:b/>
                                        <w:strike w:val="false"/>
                                        <w:dstrike w:val="false"/>
                                        <w:color w:val="000000"/>
                                        <w:sz w:val="20"/>
                                        <w:u w:val="none"/>
                                        <w:effect w:val="none"/>
                                      </w:rPr>
                                      <w:t xml:space="preserve">Audit Committee Matters </w:t>
                                    </w:r>
                                  </w:hyperlink>
                                </w:p>
                              </w:tc>
                              <w:tc>
                                <w:tcPr>
                                  <w:tcW w:w="30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345" w:type="dxa"/>
                                  <w:tcBorders>
                                    <w:bottom w:val="single" w:sz="8" w:space="0" w:color="000000"/>
                                  </w:tcBorders>
                                  <w:shd w:fill="auto" w:val="clear"/>
                                  <w:vAlign w:val="center"/>
                                </w:tcPr>
                                <w:p>
                                  <w:pPr>
                                    <w:pStyle w:val="TableContents"/>
                                    <w:spacing w:before="0" w:after="283"/>
                                    <w:jc w:val="right"/>
                                    <w:rPr/>
                                  </w:pPr>
                                  <w:hyperlink w:anchor="auditcommittee">
                                    <w:r>
                                      <w:rPr>
                                        <w:rStyle w:val="InternetLink"/>
                                        <w:rFonts w:ascii="Arial" w:hAnsi="Arial"/>
                                        <w:b/>
                                        <w:strike w:val="false"/>
                                        <w:dstrike w:val="false"/>
                                        <w:color w:val="000000"/>
                                        <w:sz w:val="20"/>
                                        <w:u w:val="none"/>
                                        <w:effect w:val="none"/>
                                      </w:rPr>
                                      <w:t>29</w:t>
                                    </w:r>
                                  </w:hyperlink>
                                </w:p>
                              </w:tc>
                            </w:tr>
                            <w:tr>
                              <w:trPr/>
                              <w:tc>
                                <w:tcPr>
                                  <w:tcW w:w="9560" w:type="dxa"/>
                                  <w:tcBorders>
                                    <w:bottom w:val="single" w:sz="8" w:space="0" w:color="00A1E0"/>
                                  </w:tcBorders>
                                  <w:shd w:fill="auto" w:val="clear"/>
                                  <w:vAlign w:val="center"/>
                                </w:tcPr>
                                <w:p>
                                  <w:pPr>
                                    <w:pStyle w:val="TableContents"/>
                                    <w:spacing w:before="0" w:after="283"/>
                                    <w:jc w:val="left"/>
                                    <w:rPr/>
                                  </w:pPr>
                                  <w:hyperlink w:anchor="proposal2">
                                    <w:r>
                                      <w:rPr>
                                        <w:rStyle w:val="InternetLink"/>
                                        <w:rFonts w:ascii="Arial" w:hAnsi="Arial"/>
                                        <w:b/>
                                        <w:strike w:val="false"/>
                                        <w:dstrike w:val="false"/>
                                        <w:color w:val="00A1E0"/>
                                        <w:sz w:val="20"/>
                                        <w:u w:val="none"/>
                                        <w:effect w:val="none"/>
                                      </w:rPr>
                                      <w:t xml:space="preserve">PROPOSAL 2: Ratification of Appointment of Independent Auditors </w:t>
                                    </w:r>
                                  </w:hyperlink>
                                </w:p>
                              </w:tc>
                              <w:tc>
                                <w:tcPr>
                                  <w:tcW w:w="300" w:type="dxa"/>
                                  <w:tcBorders>
                                    <w:bottom w:val="single" w:sz="8" w:space="0" w:color="00A1E0"/>
                                  </w:tcBorders>
                                  <w:shd w:fill="auto" w:val="clear"/>
                                  <w:vAlign w:val="center"/>
                                </w:tcPr>
                                <w:p>
                                  <w:pPr>
                                    <w:pStyle w:val="TableContents"/>
                                    <w:spacing w:before="0" w:after="283"/>
                                    <w:rPr>
                                      <w:sz w:val="4"/>
                                      <w:szCs w:val="4"/>
                                    </w:rPr>
                                  </w:pPr>
                                  <w:r>
                                    <w:rPr>
                                      <w:sz w:val="4"/>
                                      <w:szCs w:val="4"/>
                                    </w:rPr>
                                  </w:r>
                                </w:p>
                              </w:tc>
                              <w:tc>
                                <w:tcPr>
                                  <w:tcW w:w="345" w:type="dxa"/>
                                  <w:tcBorders>
                                    <w:bottom w:val="single" w:sz="8" w:space="0" w:color="00A1E0"/>
                                  </w:tcBorders>
                                  <w:shd w:fill="auto" w:val="clear"/>
                                  <w:vAlign w:val="center"/>
                                </w:tcPr>
                                <w:p>
                                  <w:pPr>
                                    <w:pStyle w:val="TableContents"/>
                                    <w:spacing w:before="0" w:after="283"/>
                                    <w:jc w:val="right"/>
                                    <w:rPr/>
                                  </w:pPr>
                                  <w:r>
                                    <w:rPr/>
                                    <w:drawing>
                                      <wp:inline distT="0" distB="0" distL="0" distR="0">
                                        <wp:extent cx="219075" cy="209550"/>
                                        <wp:effectExtent l="0" t="0" r="0" b="0"/>
                                        <wp:docPr id="1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7" descr=""/>
                                                <pic:cNvPicPr>
                                                  <a:picLocks noChangeAspect="1" noChangeArrowheads="1"/>
                                                </pic:cNvPicPr>
                                              </pic:nvPicPr>
                                              <pic:blipFill>
                                                <a:blip r:embed="rId18"/>
                                                <a:srcRect l="-4597" t="-4810" r="-4597" b="-4810"/>
                                                <a:stretch>
                                                  <a:fillRect/>
                                                </a:stretch>
                                              </pic:blipFill>
                                              <pic:spPr bwMode="auto">
                                                <a:xfrm>
                                                  <a:off x="0" y="0"/>
                                                  <a:ext cx="219075" cy="209550"/>
                                                </a:xfrm>
                                                <a:prstGeom prst="rect">
                                                  <a:avLst/>
                                                </a:prstGeom>
                                                <a:ln w="635">
                                                  <a:solidFill>
                                                    <a:srgbClr val="000000"/>
                                                  </a:solidFill>
                                                </a:ln>
                                              </pic:spPr>
                                            </pic:pic>
                                          </a:graphicData>
                                        </a:graphic>
                                      </wp:inline>
                                    </w:drawing>
                                  </w:r>
                                </w:p>
                              </w:tc>
                            </w:tr>
                            <w:tr>
                              <w:trPr/>
                              <w:tc>
                                <w:tcPr>
                                  <w:tcW w:w="9560" w:type="dxa"/>
                                  <w:tcBorders/>
                                  <w:shd w:fill="auto" w:val="clear"/>
                                  <w:tcMar>
                                    <w:bottom w:w="0" w:type="dxa"/>
                                  </w:tcMar>
                                  <w:vAlign w:val="center"/>
                                </w:tcPr>
                                <w:p>
                                  <w:pPr>
                                    <w:pStyle w:val="TableContents"/>
                                    <w:spacing w:before="0" w:after="283"/>
                                    <w:jc w:val="left"/>
                                    <w:rPr/>
                                  </w:pPr>
                                  <w:hyperlink w:anchor="reportofauditcomm">
                                    <w:r>
                                      <w:rPr>
                                        <w:rStyle w:val="InternetLink"/>
                                        <w:rFonts w:ascii="Arial" w:hAnsi="Arial"/>
                                        <w:strike w:val="false"/>
                                        <w:dstrike w:val="false"/>
                                        <w:color w:val="000000"/>
                                        <w:sz w:val="20"/>
                                        <w:u w:val="none"/>
                                        <w:effect w:val="none"/>
                                      </w:rPr>
                                      <w:t xml:space="preserve">Report of the Audit Committee </w:t>
                                    </w:r>
                                  </w:hyperlink>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345" w:type="dxa"/>
                                  <w:tcBorders/>
                                  <w:shd w:fill="auto" w:val="clear"/>
                                  <w:tcMar>
                                    <w:bottom w:w="0" w:type="dxa"/>
                                  </w:tcMar>
                                  <w:vAlign w:val="center"/>
                                </w:tcPr>
                                <w:p>
                                  <w:pPr>
                                    <w:pStyle w:val="TableContents"/>
                                    <w:spacing w:before="0" w:after="283"/>
                                    <w:jc w:val="right"/>
                                    <w:rPr/>
                                  </w:pPr>
                                  <w:hyperlink w:anchor="reportofauditcomm">
                                    <w:r>
                                      <w:rPr>
                                        <w:rStyle w:val="InternetLink"/>
                                        <w:rFonts w:ascii="Arial" w:hAnsi="Arial"/>
                                        <w:strike w:val="false"/>
                                        <w:dstrike w:val="false"/>
                                        <w:color w:val="000000"/>
                                        <w:sz w:val="20"/>
                                        <w:u w:val="none"/>
                                        <w:effect w:val="none"/>
                                      </w:rPr>
                                      <w:t>30</w:t>
                                    </w:r>
                                  </w:hyperlink>
                                </w:p>
                              </w:tc>
                            </w:tr>
                            <w:tr>
                              <w:trPr/>
                              <w:tc>
                                <w:tcPr>
                                  <w:tcW w:w="9560" w:type="dxa"/>
                                  <w:tcBorders>
                                    <w:bottom w:val="single" w:sz="8" w:space="0" w:color="00A1E0"/>
                                  </w:tcBorders>
                                  <w:shd w:fill="auto" w:val="clear"/>
                                  <w:vAlign w:val="center"/>
                                </w:tcPr>
                                <w:p>
                                  <w:pPr>
                                    <w:pStyle w:val="TableContents"/>
                                    <w:spacing w:before="0" w:after="283"/>
                                    <w:jc w:val="left"/>
                                    <w:rPr/>
                                  </w:pPr>
                                  <w:hyperlink w:anchor="proposal3">
                                    <w:r>
                                      <w:rPr>
                                        <w:rStyle w:val="InternetLink"/>
                                        <w:rFonts w:ascii="Arial" w:hAnsi="Arial"/>
                                        <w:b/>
                                        <w:strike w:val="false"/>
                                        <w:dstrike w:val="false"/>
                                        <w:color w:val="00A1E0"/>
                                        <w:sz w:val="20"/>
                                        <w:u w:val="none"/>
                                        <w:effect w:val="none"/>
                                      </w:rPr>
                                      <w:t xml:space="preserve">PROPOSAL 3: Approval of Comcast Corporation 2023 Omnibus Equity Incentive Plan </w:t>
                                    </w:r>
                                  </w:hyperlink>
                                </w:p>
                              </w:tc>
                              <w:tc>
                                <w:tcPr>
                                  <w:tcW w:w="300" w:type="dxa"/>
                                  <w:tcBorders>
                                    <w:bottom w:val="single" w:sz="8" w:space="0" w:color="00A1E0"/>
                                  </w:tcBorders>
                                  <w:shd w:fill="auto" w:val="clear"/>
                                  <w:vAlign w:val="center"/>
                                </w:tcPr>
                                <w:p>
                                  <w:pPr>
                                    <w:pStyle w:val="TableContents"/>
                                    <w:spacing w:before="0" w:after="283"/>
                                    <w:rPr>
                                      <w:sz w:val="4"/>
                                      <w:szCs w:val="4"/>
                                    </w:rPr>
                                  </w:pPr>
                                  <w:r>
                                    <w:rPr>
                                      <w:sz w:val="4"/>
                                      <w:szCs w:val="4"/>
                                    </w:rPr>
                                  </w:r>
                                </w:p>
                              </w:tc>
                              <w:tc>
                                <w:tcPr>
                                  <w:tcW w:w="345" w:type="dxa"/>
                                  <w:tcBorders>
                                    <w:bottom w:val="single" w:sz="8" w:space="0" w:color="00A1E0"/>
                                  </w:tcBorders>
                                  <w:shd w:fill="auto" w:val="clear"/>
                                  <w:vAlign w:val="center"/>
                                </w:tcPr>
                                <w:p>
                                  <w:pPr>
                                    <w:pStyle w:val="TableContents"/>
                                    <w:spacing w:before="0" w:after="283"/>
                                    <w:jc w:val="right"/>
                                    <w:rPr/>
                                  </w:pPr>
                                  <w:r>
                                    <w:rPr/>
                                    <w:drawing>
                                      <wp:inline distT="0" distB="0" distL="0" distR="0">
                                        <wp:extent cx="219075" cy="209550"/>
                                        <wp:effectExtent l="0" t="0" r="0" b="0"/>
                                        <wp:docPr id="1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8" descr=""/>
                                                <pic:cNvPicPr>
                                                  <a:picLocks noChangeAspect="1" noChangeArrowheads="1"/>
                                                </pic:cNvPicPr>
                                              </pic:nvPicPr>
                                              <pic:blipFill>
                                                <a:blip r:embed="rId19"/>
                                                <a:srcRect l="-4597" t="-4810" r="-4597" b="-4810"/>
                                                <a:stretch>
                                                  <a:fillRect/>
                                                </a:stretch>
                                              </pic:blipFill>
                                              <pic:spPr bwMode="auto">
                                                <a:xfrm>
                                                  <a:off x="0" y="0"/>
                                                  <a:ext cx="219075" cy="209550"/>
                                                </a:xfrm>
                                                <a:prstGeom prst="rect">
                                                  <a:avLst/>
                                                </a:prstGeom>
                                                <a:ln w="635">
                                                  <a:solidFill>
                                                    <a:srgbClr val="000000"/>
                                                  </a:solidFill>
                                                </a:ln>
                                              </pic:spPr>
                                            </pic:pic>
                                          </a:graphicData>
                                        </a:graphic>
                                      </wp:inline>
                                    </w:drawing>
                                  </w:r>
                                </w:p>
                              </w:tc>
                            </w:tr>
                            <w:tr>
                              <w:trPr/>
                              <w:tc>
                                <w:tcPr>
                                  <w:tcW w:w="9560" w:type="dxa"/>
                                  <w:tcBorders>
                                    <w:bottom w:val="single" w:sz="8" w:space="0" w:color="00A1E0"/>
                                  </w:tcBorders>
                                  <w:shd w:fill="auto" w:val="clear"/>
                                  <w:vAlign w:val="center"/>
                                </w:tcPr>
                                <w:p>
                                  <w:pPr>
                                    <w:pStyle w:val="TableContents"/>
                                    <w:spacing w:before="0" w:after="283"/>
                                    <w:jc w:val="left"/>
                                    <w:rPr/>
                                  </w:pPr>
                                  <w:hyperlink w:anchor="proposal4">
                                    <w:r>
                                      <w:rPr>
                                        <w:rStyle w:val="InternetLink"/>
                                        <w:rFonts w:ascii="Arial" w:hAnsi="Arial"/>
                                        <w:b/>
                                        <w:strike w:val="false"/>
                                        <w:dstrike w:val="false"/>
                                        <w:color w:val="00A1E0"/>
                                        <w:sz w:val="20"/>
                                        <w:u w:val="none"/>
                                        <w:effect w:val="none"/>
                                      </w:rPr>
                                      <w:t xml:space="preserve">PROPOSAL 4: Approval of Amended and Restated Comcast Corporation 2002 Employee Stock Purchase Plan </w:t>
                                    </w:r>
                                  </w:hyperlink>
                                </w:p>
                              </w:tc>
                              <w:tc>
                                <w:tcPr>
                                  <w:tcW w:w="300" w:type="dxa"/>
                                  <w:tcBorders>
                                    <w:bottom w:val="single" w:sz="8" w:space="0" w:color="00A1E0"/>
                                  </w:tcBorders>
                                  <w:shd w:fill="auto" w:val="clear"/>
                                  <w:vAlign w:val="center"/>
                                </w:tcPr>
                                <w:p>
                                  <w:pPr>
                                    <w:pStyle w:val="TableContents"/>
                                    <w:spacing w:before="0" w:after="283"/>
                                    <w:rPr>
                                      <w:sz w:val="4"/>
                                      <w:szCs w:val="4"/>
                                    </w:rPr>
                                  </w:pPr>
                                  <w:r>
                                    <w:rPr>
                                      <w:sz w:val="4"/>
                                      <w:szCs w:val="4"/>
                                    </w:rPr>
                                  </w:r>
                                </w:p>
                              </w:tc>
                              <w:tc>
                                <w:tcPr>
                                  <w:tcW w:w="345" w:type="dxa"/>
                                  <w:tcBorders>
                                    <w:bottom w:val="single" w:sz="8" w:space="0" w:color="00A1E0"/>
                                  </w:tcBorders>
                                  <w:shd w:fill="auto" w:val="clear"/>
                                  <w:vAlign w:val="center"/>
                                </w:tcPr>
                                <w:p>
                                  <w:pPr>
                                    <w:pStyle w:val="TableContents"/>
                                    <w:spacing w:before="0" w:after="283"/>
                                    <w:jc w:val="right"/>
                                    <w:rPr/>
                                  </w:pPr>
                                  <w:r>
                                    <w:rPr/>
                                    <w:drawing>
                                      <wp:inline distT="0" distB="0" distL="0" distR="0">
                                        <wp:extent cx="219075" cy="209550"/>
                                        <wp:effectExtent l="0" t="0" r="0" b="0"/>
                                        <wp:docPr id="2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9" descr=""/>
                                                <pic:cNvPicPr>
                                                  <a:picLocks noChangeAspect="1" noChangeArrowheads="1"/>
                                                </pic:cNvPicPr>
                                              </pic:nvPicPr>
                                              <pic:blipFill>
                                                <a:blip r:embed="rId20"/>
                                                <a:srcRect l="-4597" t="-4810" r="-4597" b="-4810"/>
                                                <a:stretch>
                                                  <a:fillRect/>
                                                </a:stretch>
                                              </pic:blipFill>
                                              <pic:spPr bwMode="auto">
                                                <a:xfrm>
                                                  <a:off x="0" y="0"/>
                                                  <a:ext cx="219075" cy="209550"/>
                                                </a:xfrm>
                                                <a:prstGeom prst="rect">
                                                  <a:avLst/>
                                                </a:prstGeom>
                                                <a:ln w="635">
                                                  <a:solidFill>
                                                    <a:srgbClr val="000000"/>
                                                  </a:solidFill>
                                                </a:ln>
                                              </pic:spPr>
                                            </pic:pic>
                                          </a:graphicData>
                                        </a:graphic>
                                      </wp:inline>
                                    </w:drawing>
                                  </w:r>
                                </w:p>
                              </w:tc>
                            </w:tr>
                            <w:tr>
                              <w:trPr/>
                              <w:tc>
                                <w:tcPr>
                                  <w:tcW w:w="9560" w:type="dxa"/>
                                  <w:tcBorders>
                                    <w:bottom w:val="single" w:sz="8" w:space="0" w:color="000000"/>
                                  </w:tcBorders>
                                  <w:shd w:fill="auto" w:val="clear"/>
                                  <w:vAlign w:val="center"/>
                                </w:tcPr>
                                <w:p>
                                  <w:pPr>
                                    <w:pStyle w:val="TableContents"/>
                                    <w:spacing w:before="0" w:after="283"/>
                                    <w:jc w:val="left"/>
                                    <w:rPr/>
                                  </w:pPr>
                                  <w:hyperlink w:anchor="executivecompensation">
                                    <w:r>
                                      <w:rPr>
                                        <w:rStyle w:val="InternetLink"/>
                                        <w:rFonts w:ascii="Arial" w:hAnsi="Arial"/>
                                        <w:b/>
                                        <w:strike w:val="false"/>
                                        <w:dstrike w:val="false"/>
                                        <w:color w:val="000000"/>
                                        <w:sz w:val="20"/>
                                        <w:u w:val="none"/>
                                        <w:effect w:val="none"/>
                                      </w:rPr>
                                      <w:t xml:space="preserve">Executive Compensation </w:t>
                                    </w:r>
                                  </w:hyperlink>
                                </w:p>
                              </w:tc>
                              <w:tc>
                                <w:tcPr>
                                  <w:tcW w:w="30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345" w:type="dxa"/>
                                  <w:tcBorders>
                                    <w:bottom w:val="single" w:sz="8" w:space="0" w:color="000000"/>
                                  </w:tcBorders>
                                  <w:shd w:fill="auto" w:val="clear"/>
                                  <w:vAlign w:val="center"/>
                                </w:tcPr>
                                <w:p>
                                  <w:pPr>
                                    <w:pStyle w:val="TableContents"/>
                                    <w:spacing w:before="0" w:after="283"/>
                                    <w:jc w:val="right"/>
                                    <w:rPr/>
                                  </w:pPr>
                                  <w:hyperlink w:anchor="executivecompensation">
                                    <w:r>
                                      <w:rPr>
                                        <w:rStyle w:val="InternetLink"/>
                                        <w:rFonts w:ascii="Arial" w:hAnsi="Arial"/>
                                        <w:b/>
                                        <w:strike w:val="false"/>
                                        <w:dstrike w:val="false"/>
                                        <w:color w:val="000000"/>
                                        <w:sz w:val="20"/>
                                        <w:u w:val="none"/>
                                        <w:effect w:val="none"/>
                                      </w:rPr>
                                      <w:t>39</w:t>
                                    </w:r>
                                  </w:hyperlink>
                                </w:p>
                              </w:tc>
                            </w:tr>
                            <w:tr>
                              <w:trPr/>
                              <w:tc>
                                <w:tcPr>
                                  <w:tcW w:w="9560" w:type="dxa"/>
                                  <w:tcBorders>
                                    <w:bottom w:val="single" w:sz="8" w:space="0" w:color="00A1E0"/>
                                  </w:tcBorders>
                                  <w:shd w:fill="auto" w:val="clear"/>
                                  <w:vAlign w:val="center"/>
                                </w:tcPr>
                                <w:p>
                                  <w:pPr>
                                    <w:pStyle w:val="TableContents"/>
                                    <w:spacing w:before="0" w:after="283"/>
                                    <w:jc w:val="left"/>
                                    <w:rPr/>
                                  </w:pPr>
                                  <w:hyperlink w:anchor="proposal5">
                                    <w:r>
                                      <w:rPr>
                                        <w:rStyle w:val="InternetLink"/>
                                        <w:rFonts w:ascii="Arial" w:hAnsi="Arial"/>
                                        <w:b/>
                                        <w:strike w:val="false"/>
                                        <w:dstrike w:val="false"/>
                                        <w:color w:val="00A1E0"/>
                                        <w:sz w:val="20"/>
                                        <w:u w:val="none"/>
                                        <w:effect w:val="none"/>
                                      </w:rPr>
                                      <w:t xml:space="preserve">PROPOSAL 5: Advisory Vote to Approve Executive Compensation </w:t>
                                    </w:r>
                                  </w:hyperlink>
                                </w:p>
                              </w:tc>
                              <w:tc>
                                <w:tcPr>
                                  <w:tcW w:w="300" w:type="dxa"/>
                                  <w:tcBorders>
                                    <w:bottom w:val="single" w:sz="8" w:space="0" w:color="00A1E0"/>
                                  </w:tcBorders>
                                  <w:shd w:fill="auto" w:val="clear"/>
                                  <w:vAlign w:val="center"/>
                                </w:tcPr>
                                <w:p>
                                  <w:pPr>
                                    <w:pStyle w:val="TableContents"/>
                                    <w:spacing w:before="0" w:after="283"/>
                                    <w:rPr>
                                      <w:sz w:val="4"/>
                                      <w:szCs w:val="4"/>
                                    </w:rPr>
                                  </w:pPr>
                                  <w:r>
                                    <w:rPr>
                                      <w:sz w:val="4"/>
                                      <w:szCs w:val="4"/>
                                    </w:rPr>
                                  </w:r>
                                </w:p>
                              </w:tc>
                              <w:tc>
                                <w:tcPr>
                                  <w:tcW w:w="345" w:type="dxa"/>
                                  <w:tcBorders>
                                    <w:bottom w:val="single" w:sz="8" w:space="0" w:color="00A1E0"/>
                                  </w:tcBorders>
                                  <w:shd w:fill="auto" w:val="clear"/>
                                  <w:vAlign w:val="center"/>
                                </w:tcPr>
                                <w:p>
                                  <w:pPr>
                                    <w:pStyle w:val="TableContents"/>
                                    <w:spacing w:before="0" w:after="283"/>
                                    <w:jc w:val="right"/>
                                    <w:rPr/>
                                  </w:pPr>
                                  <w:r>
                                    <w:rPr/>
                                    <w:drawing>
                                      <wp:inline distT="0" distB="0" distL="0" distR="0">
                                        <wp:extent cx="219075" cy="209550"/>
                                        <wp:effectExtent l="0" t="0" r="0" b="0"/>
                                        <wp:docPr id="2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0" descr=""/>
                                                <pic:cNvPicPr>
                                                  <a:picLocks noChangeAspect="1" noChangeArrowheads="1"/>
                                                </pic:cNvPicPr>
                                              </pic:nvPicPr>
                                              <pic:blipFill>
                                                <a:blip r:embed="rId21"/>
                                                <a:srcRect l="-4597" t="-4810" r="-4597" b="-4810"/>
                                                <a:stretch>
                                                  <a:fillRect/>
                                                </a:stretch>
                                              </pic:blipFill>
                                              <pic:spPr bwMode="auto">
                                                <a:xfrm>
                                                  <a:off x="0" y="0"/>
                                                  <a:ext cx="219075" cy="209550"/>
                                                </a:xfrm>
                                                <a:prstGeom prst="rect">
                                                  <a:avLst/>
                                                </a:prstGeom>
                                                <a:ln w="635">
                                                  <a:solidFill>
                                                    <a:srgbClr val="000000"/>
                                                  </a:solidFill>
                                                </a:ln>
                                              </pic:spPr>
                                            </pic:pic>
                                          </a:graphicData>
                                        </a:graphic>
                                      </wp:inline>
                                    </w:drawing>
                                  </w:r>
                                </w:p>
                              </w:tc>
                            </w:tr>
                            <w:tr>
                              <w:trPr/>
                              <w:tc>
                                <w:tcPr>
                                  <w:tcW w:w="9560" w:type="dxa"/>
                                  <w:tcBorders/>
                                  <w:shd w:fill="auto" w:val="clear"/>
                                  <w:tcMar>
                                    <w:bottom w:w="0" w:type="dxa"/>
                                  </w:tcMar>
                                  <w:vAlign w:val="center"/>
                                </w:tcPr>
                                <w:p>
                                  <w:pPr>
                                    <w:pStyle w:val="TableContents"/>
                                    <w:spacing w:before="0" w:after="283"/>
                                    <w:jc w:val="left"/>
                                    <w:rPr/>
                                  </w:pPr>
                                  <w:hyperlink w:anchor="cdna">
                                    <w:r>
                                      <w:rPr>
                                        <w:rStyle w:val="InternetLink"/>
                                        <w:rFonts w:ascii="Arial" w:hAnsi="Arial"/>
                                        <w:strike w:val="false"/>
                                        <w:dstrike w:val="false"/>
                                        <w:color w:val="000000"/>
                                        <w:sz w:val="20"/>
                                        <w:u w:val="none"/>
                                        <w:effect w:val="none"/>
                                      </w:rPr>
                                      <w:t xml:space="preserve">Compensation Discussion and Analysis </w:t>
                                    </w:r>
                                  </w:hyperlink>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345" w:type="dxa"/>
                                  <w:tcBorders/>
                                  <w:shd w:fill="auto" w:val="clear"/>
                                  <w:tcMar>
                                    <w:bottom w:w="0" w:type="dxa"/>
                                  </w:tcMar>
                                  <w:vAlign w:val="center"/>
                                </w:tcPr>
                                <w:p>
                                  <w:pPr>
                                    <w:pStyle w:val="TableContents"/>
                                    <w:spacing w:before="0" w:after="283"/>
                                    <w:jc w:val="right"/>
                                    <w:rPr/>
                                  </w:pPr>
                                  <w:hyperlink w:anchor="cdna">
                                    <w:r>
                                      <w:rPr>
                                        <w:rStyle w:val="InternetLink"/>
                                        <w:rFonts w:ascii="Arial" w:hAnsi="Arial"/>
                                        <w:strike w:val="false"/>
                                        <w:dstrike w:val="false"/>
                                        <w:color w:val="000000"/>
                                        <w:sz w:val="20"/>
                                        <w:u w:val="none"/>
                                        <w:effect w:val="none"/>
                                      </w:rPr>
                                      <w:t>40</w:t>
                                    </w:r>
                                  </w:hyperlink>
                                </w:p>
                              </w:tc>
                            </w:tr>
                            <w:tr>
                              <w:trPr/>
                              <w:tc>
                                <w:tcPr>
                                  <w:tcW w:w="9560" w:type="dxa"/>
                                  <w:tcBorders/>
                                  <w:shd w:fill="auto" w:val="clear"/>
                                  <w:tcMar>
                                    <w:bottom w:w="0" w:type="dxa"/>
                                  </w:tcMar>
                                  <w:vAlign w:val="center"/>
                                </w:tcPr>
                                <w:p>
                                  <w:pPr>
                                    <w:pStyle w:val="TableContents"/>
                                    <w:spacing w:before="0" w:after="283"/>
                                    <w:jc w:val="left"/>
                                    <w:rPr/>
                                  </w:pPr>
                                  <w:hyperlink w:anchor="compensationhumancapital">
                                    <w:r>
                                      <w:rPr>
                                        <w:rStyle w:val="InternetLink"/>
                                        <w:rFonts w:ascii="Arial" w:hAnsi="Arial"/>
                                        <w:strike w:val="false"/>
                                        <w:dstrike w:val="false"/>
                                        <w:color w:val="000000"/>
                                        <w:sz w:val="20"/>
                                        <w:u w:val="none"/>
                                        <w:effect w:val="none"/>
                                      </w:rPr>
                                      <w:t xml:space="preserve">Compensation and Human Capital Committee Report </w:t>
                                    </w:r>
                                  </w:hyperlink>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345" w:type="dxa"/>
                                  <w:tcBorders/>
                                  <w:shd w:fill="auto" w:val="clear"/>
                                  <w:tcMar>
                                    <w:bottom w:w="0" w:type="dxa"/>
                                  </w:tcMar>
                                  <w:vAlign w:val="center"/>
                                </w:tcPr>
                                <w:p>
                                  <w:pPr>
                                    <w:pStyle w:val="TableContents"/>
                                    <w:spacing w:before="0" w:after="283"/>
                                    <w:jc w:val="right"/>
                                    <w:rPr/>
                                  </w:pPr>
                                  <w:hyperlink w:anchor="compensationhumancapital">
                                    <w:r>
                                      <w:rPr>
                                        <w:rStyle w:val="InternetLink"/>
                                        <w:rFonts w:ascii="Arial" w:hAnsi="Arial"/>
                                        <w:strike w:val="false"/>
                                        <w:dstrike w:val="false"/>
                                        <w:color w:val="000000"/>
                                        <w:sz w:val="20"/>
                                        <w:u w:val="none"/>
                                        <w:effect w:val="none"/>
                                      </w:rPr>
                                      <w:t>53</w:t>
                                    </w:r>
                                  </w:hyperlink>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45.3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CellMar>
                          <w:top w:w="0" w:type="dxa"/>
                          <w:left w:w="0" w:type="dxa"/>
                          <w:bottom w:w="40" w:type="dxa"/>
                          <w:right w:w="0" w:type="dxa"/>
                        </w:tblCellMar>
                      </w:tblPr>
                      <w:tblGrid>
                        <w:gridCol w:w="9560"/>
                        <w:gridCol w:w="300"/>
                        <w:gridCol w:w="345"/>
                      </w:tblGrid>
                      <w:tr>
                        <w:trPr/>
                        <w:tc>
                          <w:tcPr>
                            <w:tcW w:w="9560" w:type="dxa"/>
                            <w:tcBorders>
                              <w:bottom w:val="single" w:sz="8" w:space="0" w:color="000000"/>
                            </w:tcBorders>
                            <w:shd w:fill="auto" w:val="clear"/>
                            <w:vAlign w:val="center"/>
                          </w:tcPr>
                          <w:p>
                            <w:pPr>
                              <w:pStyle w:val="TableContents"/>
                              <w:spacing w:before="0" w:after="283"/>
                              <w:jc w:val="left"/>
                              <w:rPr/>
                            </w:pPr>
                            <w:hyperlink w:anchor="messagefromchair">
                              <w:r>
                                <w:rPr>
                                  <w:rStyle w:val="InternetLink"/>
                                  <w:rFonts w:ascii="Arial" w:hAnsi="Arial"/>
                                  <w:b/>
                                  <w:strike w:val="false"/>
                                  <w:dstrike w:val="false"/>
                                  <w:color w:val="000000"/>
                                  <w:sz w:val="20"/>
                                  <w:u w:val="none"/>
                                  <w:effect w:val="none"/>
                                </w:rPr>
                                <w:t xml:space="preserve">Message from Our Chairman and CEO and Our Lead Independent Director </w:t>
                              </w:r>
                            </w:hyperlink>
                          </w:p>
                        </w:tc>
                        <w:tc>
                          <w:tcPr>
                            <w:tcW w:w="300" w:type="dxa"/>
                            <w:tcBorders>
                              <w:bottom w:val="single" w:sz="8" w:space="0" w:color="000000"/>
                            </w:tcBorders>
                            <w:shd w:fill="auto" w:val="clear"/>
                            <w:vAlign w:val="center"/>
                          </w:tcPr>
                          <w:p>
                            <w:pPr>
                              <w:pStyle w:val="TableContents"/>
                              <w:spacing w:before="0" w:after="283"/>
                              <w:jc w:val="left"/>
                              <w:rPr/>
                            </w:pPr>
                            <w:r>
                              <w:rPr/>
                              <w:t>     </w:t>
                            </w:r>
                          </w:p>
                        </w:tc>
                        <w:tc>
                          <w:tcPr>
                            <w:tcW w:w="345" w:type="dxa"/>
                            <w:tcBorders>
                              <w:bottom w:val="single" w:sz="8" w:space="0" w:color="000000"/>
                            </w:tcBorders>
                            <w:shd w:fill="auto" w:val="clear"/>
                            <w:vAlign w:val="center"/>
                          </w:tcPr>
                          <w:p>
                            <w:pPr>
                              <w:pStyle w:val="TableContents"/>
                              <w:spacing w:before="0" w:after="283"/>
                              <w:jc w:val="right"/>
                              <w:rPr/>
                            </w:pPr>
                            <w:hyperlink w:anchor="messagefromchair">
                              <w:r>
                                <w:rPr>
                                  <w:rStyle w:val="InternetLink"/>
                                  <w:rFonts w:ascii="Arial" w:hAnsi="Arial"/>
                                  <w:b/>
                                  <w:strike w:val="false"/>
                                  <w:dstrike w:val="false"/>
                                  <w:color w:val="000000"/>
                                  <w:sz w:val="20"/>
                                  <w:u w:val="none"/>
                                  <w:effect w:val="none"/>
                                </w:rPr>
                                <w:t>3</w:t>
                              </w:r>
                            </w:hyperlink>
                          </w:p>
                        </w:tc>
                      </w:tr>
                      <w:tr>
                        <w:trPr/>
                        <w:tc>
                          <w:tcPr>
                            <w:tcW w:w="9560" w:type="dxa"/>
                            <w:tcBorders>
                              <w:bottom w:val="single" w:sz="8" w:space="0" w:color="000000"/>
                            </w:tcBorders>
                            <w:shd w:fill="auto" w:val="clear"/>
                            <w:vAlign w:val="center"/>
                          </w:tcPr>
                          <w:p>
                            <w:pPr>
                              <w:pStyle w:val="TableContents"/>
                              <w:spacing w:before="0" w:after="283"/>
                              <w:jc w:val="left"/>
                              <w:rPr/>
                            </w:pPr>
                            <w:hyperlink w:anchor="notice">
                              <w:r>
                                <w:rPr>
                                  <w:rStyle w:val="InternetLink"/>
                                  <w:rFonts w:ascii="Arial" w:hAnsi="Arial"/>
                                  <w:b/>
                                  <w:strike w:val="false"/>
                                  <w:dstrike w:val="false"/>
                                  <w:color w:val="000000"/>
                                  <w:sz w:val="20"/>
                                  <w:u w:val="none"/>
                                  <w:effect w:val="none"/>
                                </w:rPr>
                                <w:t xml:space="preserve">Notice of 2023 Annual Meeting of Shareholders of Comcast Corporation </w:t>
                              </w:r>
                            </w:hyperlink>
                          </w:p>
                        </w:tc>
                        <w:tc>
                          <w:tcPr>
                            <w:tcW w:w="30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345" w:type="dxa"/>
                            <w:tcBorders>
                              <w:bottom w:val="single" w:sz="8" w:space="0" w:color="000000"/>
                            </w:tcBorders>
                            <w:shd w:fill="auto" w:val="clear"/>
                            <w:vAlign w:val="center"/>
                          </w:tcPr>
                          <w:p>
                            <w:pPr>
                              <w:pStyle w:val="TableContents"/>
                              <w:spacing w:before="0" w:after="283"/>
                              <w:jc w:val="right"/>
                              <w:rPr/>
                            </w:pPr>
                            <w:hyperlink w:anchor="notice">
                              <w:r>
                                <w:rPr>
                                  <w:rStyle w:val="InternetLink"/>
                                  <w:rFonts w:ascii="Arial" w:hAnsi="Arial"/>
                                  <w:b/>
                                  <w:strike w:val="false"/>
                                  <w:dstrike w:val="false"/>
                                  <w:color w:val="000000"/>
                                  <w:sz w:val="20"/>
                                  <w:u w:val="none"/>
                                  <w:effect w:val="none"/>
                                </w:rPr>
                                <w:t>4</w:t>
                              </w:r>
                            </w:hyperlink>
                          </w:p>
                        </w:tc>
                      </w:tr>
                      <w:tr>
                        <w:trPr/>
                        <w:tc>
                          <w:tcPr>
                            <w:tcW w:w="9560" w:type="dxa"/>
                            <w:tcBorders>
                              <w:bottom w:val="single" w:sz="8" w:space="0" w:color="000000"/>
                            </w:tcBorders>
                            <w:shd w:fill="auto" w:val="clear"/>
                            <w:vAlign w:val="center"/>
                          </w:tcPr>
                          <w:p>
                            <w:pPr>
                              <w:pStyle w:val="TableContents"/>
                              <w:spacing w:before="0" w:after="283"/>
                              <w:jc w:val="left"/>
                              <w:rPr/>
                            </w:pPr>
                            <w:hyperlink w:anchor="about">
                              <w:r>
                                <w:rPr>
                                  <w:rStyle w:val="InternetLink"/>
                                  <w:rFonts w:ascii="Arial" w:hAnsi="Arial"/>
                                  <w:b/>
                                  <w:strike w:val="false"/>
                                  <w:dstrike w:val="false"/>
                                  <w:color w:val="000000"/>
                                  <w:sz w:val="20"/>
                                  <w:u w:val="none"/>
                                  <w:effect w:val="none"/>
                                </w:rPr>
                                <w:t xml:space="preserve">About Comcast </w:t>
                              </w:r>
                            </w:hyperlink>
                          </w:p>
                        </w:tc>
                        <w:tc>
                          <w:tcPr>
                            <w:tcW w:w="30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345" w:type="dxa"/>
                            <w:tcBorders>
                              <w:bottom w:val="single" w:sz="8" w:space="0" w:color="000000"/>
                            </w:tcBorders>
                            <w:shd w:fill="auto" w:val="clear"/>
                            <w:vAlign w:val="center"/>
                          </w:tcPr>
                          <w:p>
                            <w:pPr>
                              <w:pStyle w:val="TableContents"/>
                              <w:spacing w:before="0" w:after="283"/>
                              <w:jc w:val="right"/>
                              <w:rPr/>
                            </w:pPr>
                            <w:hyperlink w:anchor="about">
                              <w:r>
                                <w:rPr>
                                  <w:rStyle w:val="InternetLink"/>
                                  <w:rFonts w:ascii="Arial" w:hAnsi="Arial"/>
                                  <w:b/>
                                  <w:strike w:val="false"/>
                                  <w:dstrike w:val="false"/>
                                  <w:color w:val="000000"/>
                                  <w:sz w:val="20"/>
                                  <w:u w:val="none"/>
                                  <w:effect w:val="none"/>
                                </w:rPr>
                                <w:t>6</w:t>
                              </w:r>
                            </w:hyperlink>
                          </w:p>
                        </w:tc>
                      </w:tr>
                      <w:tr>
                        <w:trPr/>
                        <w:tc>
                          <w:tcPr>
                            <w:tcW w:w="9560" w:type="dxa"/>
                            <w:tcBorders>
                              <w:bottom w:val="single" w:sz="8" w:space="0" w:color="000000"/>
                            </w:tcBorders>
                            <w:shd w:fill="auto" w:val="clear"/>
                            <w:vAlign w:val="center"/>
                          </w:tcPr>
                          <w:p>
                            <w:pPr>
                              <w:pStyle w:val="TableContents"/>
                              <w:spacing w:before="0" w:after="283"/>
                              <w:jc w:val="left"/>
                              <w:rPr/>
                            </w:pPr>
                            <w:hyperlink w:anchor="spotlight">
                              <w:r>
                                <w:rPr>
                                  <w:rStyle w:val="InternetLink"/>
                                  <w:rFonts w:ascii="Arial" w:hAnsi="Arial"/>
                                  <w:b/>
                                  <w:strike w:val="false"/>
                                  <w:dstrike w:val="false"/>
                                  <w:color w:val="000000"/>
                                  <w:sz w:val="20"/>
                                  <w:u w:val="none"/>
                                  <w:effect w:val="none"/>
                                </w:rPr>
                                <w:t xml:space="preserve">Spotlight on Our Corporate Responsibility Initiatives </w:t>
                              </w:r>
                            </w:hyperlink>
                          </w:p>
                        </w:tc>
                        <w:tc>
                          <w:tcPr>
                            <w:tcW w:w="30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345" w:type="dxa"/>
                            <w:tcBorders>
                              <w:bottom w:val="single" w:sz="8" w:space="0" w:color="000000"/>
                            </w:tcBorders>
                            <w:shd w:fill="auto" w:val="clear"/>
                            <w:vAlign w:val="center"/>
                          </w:tcPr>
                          <w:p>
                            <w:pPr>
                              <w:pStyle w:val="TableContents"/>
                              <w:spacing w:before="0" w:after="283"/>
                              <w:jc w:val="right"/>
                              <w:rPr/>
                            </w:pPr>
                            <w:hyperlink w:anchor="spotlight">
                              <w:r>
                                <w:rPr>
                                  <w:rStyle w:val="InternetLink"/>
                                  <w:rFonts w:ascii="Arial" w:hAnsi="Arial"/>
                                  <w:b/>
                                  <w:strike w:val="false"/>
                                  <w:dstrike w:val="false"/>
                                  <w:color w:val="000000"/>
                                  <w:sz w:val="20"/>
                                  <w:u w:val="none"/>
                                  <w:effect w:val="none"/>
                                </w:rPr>
                                <w:t>8</w:t>
                              </w:r>
                            </w:hyperlink>
                          </w:p>
                        </w:tc>
                      </w:tr>
                      <w:tr>
                        <w:trPr/>
                        <w:tc>
                          <w:tcPr>
                            <w:tcW w:w="9560" w:type="dxa"/>
                            <w:tcBorders>
                              <w:bottom w:val="single" w:sz="8" w:space="0" w:color="000000"/>
                            </w:tcBorders>
                            <w:shd w:fill="auto" w:val="clear"/>
                            <w:vAlign w:val="center"/>
                          </w:tcPr>
                          <w:p>
                            <w:pPr>
                              <w:pStyle w:val="TableContents"/>
                              <w:spacing w:before="0" w:after="283"/>
                              <w:jc w:val="left"/>
                              <w:rPr/>
                            </w:pPr>
                            <w:hyperlink w:anchor="corpogovernance">
                              <w:r>
                                <w:rPr>
                                  <w:rStyle w:val="InternetLink"/>
                                  <w:rFonts w:ascii="Arial" w:hAnsi="Arial"/>
                                  <w:b/>
                                  <w:strike w:val="false"/>
                                  <w:dstrike w:val="false"/>
                                  <w:color w:val="000000"/>
                                  <w:sz w:val="20"/>
                                  <w:u w:val="none"/>
                                  <w:effect w:val="none"/>
                                </w:rPr>
                                <w:t xml:space="preserve">Corporate Governance and Board Matters </w:t>
                              </w:r>
                            </w:hyperlink>
                          </w:p>
                        </w:tc>
                        <w:tc>
                          <w:tcPr>
                            <w:tcW w:w="30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345" w:type="dxa"/>
                            <w:tcBorders>
                              <w:bottom w:val="single" w:sz="8" w:space="0" w:color="000000"/>
                            </w:tcBorders>
                            <w:shd w:fill="auto" w:val="clear"/>
                            <w:vAlign w:val="center"/>
                          </w:tcPr>
                          <w:p>
                            <w:pPr>
                              <w:pStyle w:val="TableContents"/>
                              <w:spacing w:before="0" w:after="283"/>
                              <w:jc w:val="right"/>
                              <w:rPr/>
                            </w:pPr>
                            <w:hyperlink w:anchor="corpogovernance">
                              <w:r>
                                <w:rPr>
                                  <w:rStyle w:val="InternetLink"/>
                                  <w:rFonts w:ascii="Arial" w:hAnsi="Arial"/>
                                  <w:b/>
                                  <w:strike w:val="false"/>
                                  <w:dstrike w:val="false"/>
                                  <w:color w:val="000000"/>
                                  <w:sz w:val="20"/>
                                  <w:u w:val="none"/>
                                  <w:effect w:val="none"/>
                                </w:rPr>
                                <w:t>13</w:t>
                              </w:r>
                            </w:hyperlink>
                          </w:p>
                        </w:tc>
                      </w:tr>
                      <w:tr>
                        <w:trPr/>
                        <w:tc>
                          <w:tcPr>
                            <w:tcW w:w="9560" w:type="dxa"/>
                            <w:tcBorders>
                              <w:bottom w:val="single" w:sz="8" w:space="0" w:color="00A1E0"/>
                            </w:tcBorders>
                            <w:shd w:fill="auto" w:val="clear"/>
                            <w:vAlign w:val="center"/>
                          </w:tcPr>
                          <w:p>
                            <w:pPr>
                              <w:pStyle w:val="TableContents"/>
                              <w:spacing w:before="0" w:after="283"/>
                              <w:jc w:val="left"/>
                              <w:rPr/>
                            </w:pPr>
                            <w:hyperlink w:anchor="proposal1">
                              <w:r>
                                <w:rPr>
                                  <w:rStyle w:val="InternetLink"/>
                                  <w:rFonts w:ascii="Arial" w:hAnsi="Arial"/>
                                  <w:b/>
                                  <w:strike w:val="false"/>
                                  <w:dstrike w:val="false"/>
                                  <w:color w:val="00A1E0"/>
                                  <w:sz w:val="20"/>
                                  <w:u w:val="none"/>
                                  <w:effect w:val="none"/>
                                </w:rPr>
                                <w:t xml:space="preserve">PROPOSAL 1: Election of Directors </w:t>
                              </w:r>
                            </w:hyperlink>
                          </w:p>
                        </w:tc>
                        <w:tc>
                          <w:tcPr>
                            <w:tcW w:w="300" w:type="dxa"/>
                            <w:tcBorders>
                              <w:bottom w:val="single" w:sz="8" w:space="0" w:color="00A1E0"/>
                            </w:tcBorders>
                            <w:shd w:fill="auto" w:val="clear"/>
                            <w:vAlign w:val="center"/>
                          </w:tcPr>
                          <w:p>
                            <w:pPr>
                              <w:pStyle w:val="TableContents"/>
                              <w:spacing w:before="0" w:after="283"/>
                              <w:rPr>
                                <w:sz w:val="4"/>
                                <w:szCs w:val="4"/>
                              </w:rPr>
                            </w:pPr>
                            <w:r>
                              <w:rPr>
                                <w:sz w:val="4"/>
                                <w:szCs w:val="4"/>
                              </w:rPr>
                            </w:r>
                          </w:p>
                        </w:tc>
                        <w:tc>
                          <w:tcPr>
                            <w:tcW w:w="345" w:type="dxa"/>
                            <w:tcBorders>
                              <w:bottom w:val="single" w:sz="8" w:space="0" w:color="00A1E0"/>
                            </w:tcBorders>
                            <w:shd w:fill="auto" w:val="clear"/>
                            <w:vAlign w:val="center"/>
                          </w:tcPr>
                          <w:p>
                            <w:pPr>
                              <w:pStyle w:val="TableContents"/>
                              <w:spacing w:before="0" w:after="283"/>
                              <w:jc w:val="right"/>
                              <w:rPr/>
                            </w:pPr>
                            <w:r>
                              <w:rPr/>
                              <w:drawing>
                                <wp:inline distT="0" distB="0" distL="0" distR="0">
                                  <wp:extent cx="219075" cy="209550"/>
                                  <wp:effectExtent l="0" t="0" r="0" b="0"/>
                                  <wp:docPr id="2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6" descr=""/>
                                          <pic:cNvPicPr>
                                            <a:picLocks noChangeAspect="1" noChangeArrowheads="1"/>
                                          </pic:cNvPicPr>
                                        </pic:nvPicPr>
                                        <pic:blipFill>
                                          <a:blip r:embed="rId17"/>
                                          <a:srcRect l="-4597" t="-4810" r="-4597" b="-4810"/>
                                          <a:stretch>
                                            <a:fillRect/>
                                          </a:stretch>
                                        </pic:blipFill>
                                        <pic:spPr bwMode="auto">
                                          <a:xfrm>
                                            <a:off x="0" y="0"/>
                                            <a:ext cx="219075" cy="209550"/>
                                          </a:xfrm>
                                          <a:prstGeom prst="rect">
                                            <a:avLst/>
                                          </a:prstGeom>
                                          <a:ln w="635">
                                            <a:solidFill>
                                              <a:srgbClr val="000000"/>
                                            </a:solidFill>
                                          </a:ln>
                                        </pic:spPr>
                                      </pic:pic>
                                    </a:graphicData>
                                  </a:graphic>
                                </wp:inline>
                              </w:drawing>
                            </w:r>
                          </w:p>
                        </w:tc>
                      </w:tr>
                      <w:tr>
                        <w:trPr/>
                        <w:tc>
                          <w:tcPr>
                            <w:tcW w:w="9560" w:type="dxa"/>
                            <w:tcBorders/>
                            <w:shd w:fill="auto" w:val="clear"/>
                            <w:tcMar>
                              <w:bottom w:w="0" w:type="dxa"/>
                            </w:tcMar>
                            <w:vAlign w:val="center"/>
                          </w:tcPr>
                          <w:p>
                            <w:pPr>
                              <w:pStyle w:val="TableContents"/>
                              <w:spacing w:before="0" w:after="283"/>
                              <w:jc w:val="left"/>
                              <w:rPr/>
                            </w:pPr>
                            <w:hyperlink w:anchor="boarddirectors">
                              <w:r>
                                <w:rPr>
                                  <w:rStyle w:val="InternetLink"/>
                                  <w:rFonts w:ascii="Arial" w:hAnsi="Arial"/>
                                  <w:strike w:val="false"/>
                                  <w:dstrike w:val="false"/>
                                  <w:color w:val="000000"/>
                                  <w:sz w:val="20"/>
                                  <w:u w:val="none"/>
                                  <w:effect w:val="none"/>
                                </w:rPr>
                                <w:t xml:space="preserve">Board of Directors Nominees </w:t>
                              </w:r>
                            </w:hyperlink>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345" w:type="dxa"/>
                            <w:tcBorders/>
                            <w:shd w:fill="auto" w:val="clear"/>
                            <w:tcMar>
                              <w:bottom w:w="0" w:type="dxa"/>
                            </w:tcMar>
                            <w:vAlign w:val="center"/>
                          </w:tcPr>
                          <w:p>
                            <w:pPr>
                              <w:pStyle w:val="TableContents"/>
                              <w:spacing w:before="0" w:after="283"/>
                              <w:jc w:val="right"/>
                              <w:rPr/>
                            </w:pPr>
                            <w:hyperlink w:anchor="boarddirectors">
                              <w:r>
                                <w:rPr>
                                  <w:rStyle w:val="InternetLink"/>
                                  <w:rFonts w:ascii="Arial" w:hAnsi="Arial"/>
                                  <w:strike w:val="false"/>
                                  <w:dstrike w:val="false"/>
                                  <w:color w:val="000000"/>
                                  <w:sz w:val="20"/>
                                  <w:u w:val="none"/>
                                  <w:effect w:val="none"/>
                                </w:rPr>
                                <w:t>13</w:t>
                              </w:r>
                            </w:hyperlink>
                          </w:p>
                        </w:tc>
                      </w:tr>
                      <w:tr>
                        <w:trPr/>
                        <w:tc>
                          <w:tcPr>
                            <w:tcW w:w="9560" w:type="dxa"/>
                            <w:tcBorders/>
                            <w:shd w:fill="auto" w:val="clear"/>
                            <w:tcMar>
                              <w:bottom w:w="0" w:type="dxa"/>
                            </w:tcMar>
                            <w:vAlign w:val="center"/>
                          </w:tcPr>
                          <w:p>
                            <w:pPr>
                              <w:pStyle w:val="TableContents"/>
                              <w:spacing w:before="0" w:after="283"/>
                              <w:jc w:val="left"/>
                              <w:rPr/>
                            </w:pPr>
                            <w:hyperlink w:anchor="boardstructureresp">
                              <w:r>
                                <w:rPr>
                                  <w:rStyle w:val="InternetLink"/>
                                  <w:rFonts w:ascii="Arial" w:hAnsi="Arial"/>
                                  <w:strike w:val="false"/>
                                  <w:dstrike w:val="false"/>
                                  <w:color w:val="000000"/>
                                  <w:sz w:val="20"/>
                                  <w:u w:val="none"/>
                                  <w:effect w:val="none"/>
                                </w:rPr>
                                <w:t xml:space="preserve">Board Structure and Responsibilities </w:t>
                              </w:r>
                            </w:hyperlink>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345" w:type="dxa"/>
                            <w:tcBorders/>
                            <w:shd w:fill="auto" w:val="clear"/>
                            <w:tcMar>
                              <w:bottom w:w="0" w:type="dxa"/>
                            </w:tcMar>
                            <w:vAlign w:val="center"/>
                          </w:tcPr>
                          <w:p>
                            <w:pPr>
                              <w:pStyle w:val="TableContents"/>
                              <w:spacing w:before="0" w:after="283"/>
                              <w:jc w:val="right"/>
                              <w:rPr/>
                            </w:pPr>
                            <w:hyperlink w:anchor="boardstructureresp">
                              <w:r>
                                <w:rPr>
                                  <w:rStyle w:val="InternetLink"/>
                                  <w:rFonts w:ascii="Arial" w:hAnsi="Arial"/>
                                  <w:strike w:val="false"/>
                                  <w:dstrike w:val="false"/>
                                  <w:color w:val="000000"/>
                                  <w:sz w:val="20"/>
                                  <w:u w:val="none"/>
                                  <w:effect w:val="none"/>
                                </w:rPr>
                                <w:t>21</w:t>
                              </w:r>
                            </w:hyperlink>
                          </w:p>
                        </w:tc>
                      </w:tr>
                      <w:tr>
                        <w:trPr/>
                        <w:tc>
                          <w:tcPr>
                            <w:tcW w:w="9560" w:type="dxa"/>
                            <w:tcBorders/>
                            <w:shd w:fill="auto" w:val="clear"/>
                            <w:tcMar>
                              <w:bottom w:w="0" w:type="dxa"/>
                            </w:tcMar>
                            <w:vAlign w:val="center"/>
                          </w:tcPr>
                          <w:p>
                            <w:pPr>
                              <w:pStyle w:val="TableContents"/>
                              <w:spacing w:before="0" w:after="283"/>
                              <w:jc w:val="left"/>
                              <w:rPr/>
                            </w:pPr>
                            <w:hyperlink w:anchor="corpogovernanceprac">
                              <w:r>
                                <w:rPr>
                                  <w:rStyle w:val="InternetLink"/>
                                  <w:rFonts w:ascii="Arial" w:hAnsi="Arial"/>
                                  <w:strike w:val="false"/>
                                  <w:dstrike w:val="false"/>
                                  <w:color w:val="000000"/>
                                  <w:sz w:val="20"/>
                                  <w:u w:val="none"/>
                                  <w:effect w:val="none"/>
                                </w:rPr>
                                <w:t xml:space="preserve">Corporate Governance Practices, Policies and Processes </w:t>
                              </w:r>
                            </w:hyperlink>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345" w:type="dxa"/>
                            <w:tcBorders/>
                            <w:shd w:fill="auto" w:val="clear"/>
                            <w:tcMar>
                              <w:bottom w:w="0" w:type="dxa"/>
                            </w:tcMar>
                            <w:vAlign w:val="center"/>
                          </w:tcPr>
                          <w:p>
                            <w:pPr>
                              <w:pStyle w:val="TableContents"/>
                              <w:spacing w:before="0" w:after="283"/>
                              <w:jc w:val="right"/>
                              <w:rPr/>
                            </w:pPr>
                            <w:hyperlink w:anchor="corpogovernanceprac">
                              <w:r>
                                <w:rPr>
                                  <w:rStyle w:val="InternetLink"/>
                                  <w:rFonts w:ascii="Arial" w:hAnsi="Arial"/>
                                  <w:strike w:val="false"/>
                                  <w:dstrike w:val="false"/>
                                  <w:color w:val="000000"/>
                                  <w:sz w:val="20"/>
                                  <w:u w:val="none"/>
                                  <w:effect w:val="none"/>
                                </w:rPr>
                                <w:t>26</w:t>
                              </w:r>
                            </w:hyperlink>
                          </w:p>
                        </w:tc>
                      </w:tr>
                      <w:tr>
                        <w:trPr/>
                        <w:tc>
                          <w:tcPr>
                            <w:tcW w:w="9560" w:type="dxa"/>
                            <w:tcBorders>
                              <w:bottom w:val="single" w:sz="8" w:space="0" w:color="000000"/>
                            </w:tcBorders>
                            <w:shd w:fill="auto" w:val="clear"/>
                            <w:vAlign w:val="center"/>
                          </w:tcPr>
                          <w:p>
                            <w:pPr>
                              <w:pStyle w:val="TableContents"/>
                              <w:spacing w:before="0" w:after="283"/>
                              <w:jc w:val="left"/>
                              <w:rPr/>
                            </w:pPr>
                            <w:hyperlink w:anchor="auditcommittee">
                              <w:r>
                                <w:rPr>
                                  <w:rStyle w:val="InternetLink"/>
                                  <w:rFonts w:ascii="Arial" w:hAnsi="Arial"/>
                                  <w:b/>
                                  <w:strike w:val="false"/>
                                  <w:dstrike w:val="false"/>
                                  <w:color w:val="000000"/>
                                  <w:sz w:val="20"/>
                                  <w:u w:val="none"/>
                                  <w:effect w:val="none"/>
                                </w:rPr>
                                <w:t xml:space="preserve">Audit Committee Matters </w:t>
                              </w:r>
                            </w:hyperlink>
                          </w:p>
                        </w:tc>
                        <w:tc>
                          <w:tcPr>
                            <w:tcW w:w="30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345" w:type="dxa"/>
                            <w:tcBorders>
                              <w:bottom w:val="single" w:sz="8" w:space="0" w:color="000000"/>
                            </w:tcBorders>
                            <w:shd w:fill="auto" w:val="clear"/>
                            <w:vAlign w:val="center"/>
                          </w:tcPr>
                          <w:p>
                            <w:pPr>
                              <w:pStyle w:val="TableContents"/>
                              <w:spacing w:before="0" w:after="283"/>
                              <w:jc w:val="right"/>
                              <w:rPr/>
                            </w:pPr>
                            <w:hyperlink w:anchor="auditcommittee">
                              <w:r>
                                <w:rPr>
                                  <w:rStyle w:val="InternetLink"/>
                                  <w:rFonts w:ascii="Arial" w:hAnsi="Arial"/>
                                  <w:b/>
                                  <w:strike w:val="false"/>
                                  <w:dstrike w:val="false"/>
                                  <w:color w:val="000000"/>
                                  <w:sz w:val="20"/>
                                  <w:u w:val="none"/>
                                  <w:effect w:val="none"/>
                                </w:rPr>
                                <w:t>29</w:t>
                              </w:r>
                            </w:hyperlink>
                          </w:p>
                        </w:tc>
                      </w:tr>
                      <w:tr>
                        <w:trPr/>
                        <w:tc>
                          <w:tcPr>
                            <w:tcW w:w="9560" w:type="dxa"/>
                            <w:tcBorders>
                              <w:bottom w:val="single" w:sz="8" w:space="0" w:color="00A1E0"/>
                            </w:tcBorders>
                            <w:shd w:fill="auto" w:val="clear"/>
                            <w:vAlign w:val="center"/>
                          </w:tcPr>
                          <w:p>
                            <w:pPr>
                              <w:pStyle w:val="TableContents"/>
                              <w:spacing w:before="0" w:after="283"/>
                              <w:jc w:val="left"/>
                              <w:rPr/>
                            </w:pPr>
                            <w:hyperlink w:anchor="proposal2">
                              <w:r>
                                <w:rPr>
                                  <w:rStyle w:val="InternetLink"/>
                                  <w:rFonts w:ascii="Arial" w:hAnsi="Arial"/>
                                  <w:b/>
                                  <w:strike w:val="false"/>
                                  <w:dstrike w:val="false"/>
                                  <w:color w:val="00A1E0"/>
                                  <w:sz w:val="20"/>
                                  <w:u w:val="none"/>
                                  <w:effect w:val="none"/>
                                </w:rPr>
                                <w:t xml:space="preserve">PROPOSAL 2: Ratification of Appointment of Independent Auditors </w:t>
                              </w:r>
                            </w:hyperlink>
                          </w:p>
                        </w:tc>
                        <w:tc>
                          <w:tcPr>
                            <w:tcW w:w="300" w:type="dxa"/>
                            <w:tcBorders>
                              <w:bottom w:val="single" w:sz="8" w:space="0" w:color="00A1E0"/>
                            </w:tcBorders>
                            <w:shd w:fill="auto" w:val="clear"/>
                            <w:vAlign w:val="center"/>
                          </w:tcPr>
                          <w:p>
                            <w:pPr>
                              <w:pStyle w:val="TableContents"/>
                              <w:spacing w:before="0" w:after="283"/>
                              <w:rPr>
                                <w:sz w:val="4"/>
                                <w:szCs w:val="4"/>
                              </w:rPr>
                            </w:pPr>
                            <w:r>
                              <w:rPr>
                                <w:sz w:val="4"/>
                                <w:szCs w:val="4"/>
                              </w:rPr>
                            </w:r>
                          </w:p>
                        </w:tc>
                        <w:tc>
                          <w:tcPr>
                            <w:tcW w:w="345" w:type="dxa"/>
                            <w:tcBorders>
                              <w:bottom w:val="single" w:sz="8" w:space="0" w:color="00A1E0"/>
                            </w:tcBorders>
                            <w:shd w:fill="auto" w:val="clear"/>
                            <w:vAlign w:val="center"/>
                          </w:tcPr>
                          <w:p>
                            <w:pPr>
                              <w:pStyle w:val="TableContents"/>
                              <w:spacing w:before="0" w:after="283"/>
                              <w:jc w:val="right"/>
                              <w:rPr/>
                            </w:pPr>
                            <w:r>
                              <w:rPr/>
                              <w:drawing>
                                <wp:inline distT="0" distB="0" distL="0" distR="0">
                                  <wp:extent cx="219075" cy="209550"/>
                                  <wp:effectExtent l="0" t="0" r="0" b="0"/>
                                  <wp:docPr id="23"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7" descr=""/>
                                          <pic:cNvPicPr>
                                            <a:picLocks noChangeAspect="1" noChangeArrowheads="1"/>
                                          </pic:cNvPicPr>
                                        </pic:nvPicPr>
                                        <pic:blipFill>
                                          <a:blip r:embed="rId18"/>
                                          <a:srcRect l="-4597" t="-4810" r="-4597" b="-4810"/>
                                          <a:stretch>
                                            <a:fillRect/>
                                          </a:stretch>
                                        </pic:blipFill>
                                        <pic:spPr bwMode="auto">
                                          <a:xfrm>
                                            <a:off x="0" y="0"/>
                                            <a:ext cx="219075" cy="209550"/>
                                          </a:xfrm>
                                          <a:prstGeom prst="rect">
                                            <a:avLst/>
                                          </a:prstGeom>
                                          <a:ln w="635">
                                            <a:solidFill>
                                              <a:srgbClr val="000000"/>
                                            </a:solidFill>
                                          </a:ln>
                                        </pic:spPr>
                                      </pic:pic>
                                    </a:graphicData>
                                  </a:graphic>
                                </wp:inline>
                              </w:drawing>
                            </w:r>
                          </w:p>
                        </w:tc>
                      </w:tr>
                      <w:tr>
                        <w:trPr/>
                        <w:tc>
                          <w:tcPr>
                            <w:tcW w:w="9560" w:type="dxa"/>
                            <w:tcBorders/>
                            <w:shd w:fill="auto" w:val="clear"/>
                            <w:tcMar>
                              <w:bottom w:w="0" w:type="dxa"/>
                            </w:tcMar>
                            <w:vAlign w:val="center"/>
                          </w:tcPr>
                          <w:p>
                            <w:pPr>
                              <w:pStyle w:val="TableContents"/>
                              <w:spacing w:before="0" w:after="283"/>
                              <w:jc w:val="left"/>
                              <w:rPr/>
                            </w:pPr>
                            <w:hyperlink w:anchor="reportofauditcomm">
                              <w:r>
                                <w:rPr>
                                  <w:rStyle w:val="InternetLink"/>
                                  <w:rFonts w:ascii="Arial" w:hAnsi="Arial"/>
                                  <w:strike w:val="false"/>
                                  <w:dstrike w:val="false"/>
                                  <w:color w:val="000000"/>
                                  <w:sz w:val="20"/>
                                  <w:u w:val="none"/>
                                  <w:effect w:val="none"/>
                                </w:rPr>
                                <w:t xml:space="preserve">Report of the Audit Committee </w:t>
                              </w:r>
                            </w:hyperlink>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345" w:type="dxa"/>
                            <w:tcBorders/>
                            <w:shd w:fill="auto" w:val="clear"/>
                            <w:tcMar>
                              <w:bottom w:w="0" w:type="dxa"/>
                            </w:tcMar>
                            <w:vAlign w:val="center"/>
                          </w:tcPr>
                          <w:p>
                            <w:pPr>
                              <w:pStyle w:val="TableContents"/>
                              <w:spacing w:before="0" w:after="283"/>
                              <w:jc w:val="right"/>
                              <w:rPr/>
                            </w:pPr>
                            <w:hyperlink w:anchor="reportofauditcomm">
                              <w:r>
                                <w:rPr>
                                  <w:rStyle w:val="InternetLink"/>
                                  <w:rFonts w:ascii="Arial" w:hAnsi="Arial"/>
                                  <w:strike w:val="false"/>
                                  <w:dstrike w:val="false"/>
                                  <w:color w:val="000000"/>
                                  <w:sz w:val="20"/>
                                  <w:u w:val="none"/>
                                  <w:effect w:val="none"/>
                                </w:rPr>
                                <w:t>30</w:t>
                              </w:r>
                            </w:hyperlink>
                          </w:p>
                        </w:tc>
                      </w:tr>
                      <w:tr>
                        <w:trPr/>
                        <w:tc>
                          <w:tcPr>
                            <w:tcW w:w="9560" w:type="dxa"/>
                            <w:tcBorders>
                              <w:bottom w:val="single" w:sz="8" w:space="0" w:color="00A1E0"/>
                            </w:tcBorders>
                            <w:shd w:fill="auto" w:val="clear"/>
                            <w:vAlign w:val="center"/>
                          </w:tcPr>
                          <w:p>
                            <w:pPr>
                              <w:pStyle w:val="TableContents"/>
                              <w:spacing w:before="0" w:after="283"/>
                              <w:jc w:val="left"/>
                              <w:rPr/>
                            </w:pPr>
                            <w:hyperlink w:anchor="proposal3">
                              <w:r>
                                <w:rPr>
                                  <w:rStyle w:val="InternetLink"/>
                                  <w:rFonts w:ascii="Arial" w:hAnsi="Arial"/>
                                  <w:b/>
                                  <w:strike w:val="false"/>
                                  <w:dstrike w:val="false"/>
                                  <w:color w:val="00A1E0"/>
                                  <w:sz w:val="20"/>
                                  <w:u w:val="none"/>
                                  <w:effect w:val="none"/>
                                </w:rPr>
                                <w:t xml:space="preserve">PROPOSAL 3: Approval of Comcast Corporation 2023 Omnibus Equity Incentive Plan </w:t>
                              </w:r>
                            </w:hyperlink>
                          </w:p>
                        </w:tc>
                        <w:tc>
                          <w:tcPr>
                            <w:tcW w:w="300" w:type="dxa"/>
                            <w:tcBorders>
                              <w:bottom w:val="single" w:sz="8" w:space="0" w:color="00A1E0"/>
                            </w:tcBorders>
                            <w:shd w:fill="auto" w:val="clear"/>
                            <w:vAlign w:val="center"/>
                          </w:tcPr>
                          <w:p>
                            <w:pPr>
                              <w:pStyle w:val="TableContents"/>
                              <w:spacing w:before="0" w:after="283"/>
                              <w:rPr>
                                <w:sz w:val="4"/>
                                <w:szCs w:val="4"/>
                              </w:rPr>
                            </w:pPr>
                            <w:r>
                              <w:rPr>
                                <w:sz w:val="4"/>
                                <w:szCs w:val="4"/>
                              </w:rPr>
                            </w:r>
                          </w:p>
                        </w:tc>
                        <w:tc>
                          <w:tcPr>
                            <w:tcW w:w="345" w:type="dxa"/>
                            <w:tcBorders>
                              <w:bottom w:val="single" w:sz="8" w:space="0" w:color="00A1E0"/>
                            </w:tcBorders>
                            <w:shd w:fill="auto" w:val="clear"/>
                            <w:vAlign w:val="center"/>
                          </w:tcPr>
                          <w:p>
                            <w:pPr>
                              <w:pStyle w:val="TableContents"/>
                              <w:spacing w:before="0" w:after="283"/>
                              <w:jc w:val="right"/>
                              <w:rPr/>
                            </w:pPr>
                            <w:r>
                              <w:rPr/>
                              <w:drawing>
                                <wp:inline distT="0" distB="0" distL="0" distR="0">
                                  <wp:extent cx="219075" cy="209550"/>
                                  <wp:effectExtent l="0" t="0" r="0" b="0"/>
                                  <wp:docPr id="24"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8" descr=""/>
                                          <pic:cNvPicPr>
                                            <a:picLocks noChangeAspect="1" noChangeArrowheads="1"/>
                                          </pic:cNvPicPr>
                                        </pic:nvPicPr>
                                        <pic:blipFill>
                                          <a:blip r:embed="rId19"/>
                                          <a:srcRect l="-4597" t="-4810" r="-4597" b="-4810"/>
                                          <a:stretch>
                                            <a:fillRect/>
                                          </a:stretch>
                                        </pic:blipFill>
                                        <pic:spPr bwMode="auto">
                                          <a:xfrm>
                                            <a:off x="0" y="0"/>
                                            <a:ext cx="219075" cy="209550"/>
                                          </a:xfrm>
                                          <a:prstGeom prst="rect">
                                            <a:avLst/>
                                          </a:prstGeom>
                                          <a:ln w="635">
                                            <a:solidFill>
                                              <a:srgbClr val="000000"/>
                                            </a:solidFill>
                                          </a:ln>
                                        </pic:spPr>
                                      </pic:pic>
                                    </a:graphicData>
                                  </a:graphic>
                                </wp:inline>
                              </w:drawing>
                            </w:r>
                          </w:p>
                        </w:tc>
                      </w:tr>
                      <w:tr>
                        <w:trPr/>
                        <w:tc>
                          <w:tcPr>
                            <w:tcW w:w="9560" w:type="dxa"/>
                            <w:tcBorders>
                              <w:bottom w:val="single" w:sz="8" w:space="0" w:color="00A1E0"/>
                            </w:tcBorders>
                            <w:shd w:fill="auto" w:val="clear"/>
                            <w:vAlign w:val="center"/>
                          </w:tcPr>
                          <w:p>
                            <w:pPr>
                              <w:pStyle w:val="TableContents"/>
                              <w:spacing w:before="0" w:after="283"/>
                              <w:jc w:val="left"/>
                              <w:rPr/>
                            </w:pPr>
                            <w:hyperlink w:anchor="proposal4">
                              <w:r>
                                <w:rPr>
                                  <w:rStyle w:val="InternetLink"/>
                                  <w:rFonts w:ascii="Arial" w:hAnsi="Arial"/>
                                  <w:b/>
                                  <w:strike w:val="false"/>
                                  <w:dstrike w:val="false"/>
                                  <w:color w:val="00A1E0"/>
                                  <w:sz w:val="20"/>
                                  <w:u w:val="none"/>
                                  <w:effect w:val="none"/>
                                </w:rPr>
                                <w:t xml:space="preserve">PROPOSAL 4: Approval of Amended and Restated Comcast Corporation 2002 Employee Stock Purchase Plan </w:t>
                              </w:r>
                            </w:hyperlink>
                          </w:p>
                        </w:tc>
                        <w:tc>
                          <w:tcPr>
                            <w:tcW w:w="300" w:type="dxa"/>
                            <w:tcBorders>
                              <w:bottom w:val="single" w:sz="8" w:space="0" w:color="00A1E0"/>
                            </w:tcBorders>
                            <w:shd w:fill="auto" w:val="clear"/>
                            <w:vAlign w:val="center"/>
                          </w:tcPr>
                          <w:p>
                            <w:pPr>
                              <w:pStyle w:val="TableContents"/>
                              <w:spacing w:before="0" w:after="283"/>
                              <w:rPr>
                                <w:sz w:val="4"/>
                                <w:szCs w:val="4"/>
                              </w:rPr>
                            </w:pPr>
                            <w:r>
                              <w:rPr>
                                <w:sz w:val="4"/>
                                <w:szCs w:val="4"/>
                              </w:rPr>
                            </w:r>
                          </w:p>
                        </w:tc>
                        <w:tc>
                          <w:tcPr>
                            <w:tcW w:w="345" w:type="dxa"/>
                            <w:tcBorders>
                              <w:bottom w:val="single" w:sz="8" w:space="0" w:color="00A1E0"/>
                            </w:tcBorders>
                            <w:shd w:fill="auto" w:val="clear"/>
                            <w:vAlign w:val="center"/>
                          </w:tcPr>
                          <w:p>
                            <w:pPr>
                              <w:pStyle w:val="TableContents"/>
                              <w:spacing w:before="0" w:after="283"/>
                              <w:jc w:val="right"/>
                              <w:rPr/>
                            </w:pPr>
                            <w:r>
                              <w:rPr/>
                              <w:drawing>
                                <wp:inline distT="0" distB="0" distL="0" distR="0">
                                  <wp:extent cx="219075" cy="209550"/>
                                  <wp:effectExtent l="0" t="0" r="0" b="0"/>
                                  <wp:docPr id="2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9" descr=""/>
                                          <pic:cNvPicPr>
                                            <a:picLocks noChangeAspect="1" noChangeArrowheads="1"/>
                                          </pic:cNvPicPr>
                                        </pic:nvPicPr>
                                        <pic:blipFill>
                                          <a:blip r:embed="rId20"/>
                                          <a:srcRect l="-4597" t="-4810" r="-4597" b="-4810"/>
                                          <a:stretch>
                                            <a:fillRect/>
                                          </a:stretch>
                                        </pic:blipFill>
                                        <pic:spPr bwMode="auto">
                                          <a:xfrm>
                                            <a:off x="0" y="0"/>
                                            <a:ext cx="219075" cy="209550"/>
                                          </a:xfrm>
                                          <a:prstGeom prst="rect">
                                            <a:avLst/>
                                          </a:prstGeom>
                                          <a:ln w="635">
                                            <a:solidFill>
                                              <a:srgbClr val="000000"/>
                                            </a:solidFill>
                                          </a:ln>
                                        </pic:spPr>
                                      </pic:pic>
                                    </a:graphicData>
                                  </a:graphic>
                                </wp:inline>
                              </w:drawing>
                            </w:r>
                          </w:p>
                        </w:tc>
                      </w:tr>
                      <w:tr>
                        <w:trPr/>
                        <w:tc>
                          <w:tcPr>
                            <w:tcW w:w="9560" w:type="dxa"/>
                            <w:tcBorders>
                              <w:bottom w:val="single" w:sz="8" w:space="0" w:color="000000"/>
                            </w:tcBorders>
                            <w:shd w:fill="auto" w:val="clear"/>
                            <w:vAlign w:val="center"/>
                          </w:tcPr>
                          <w:p>
                            <w:pPr>
                              <w:pStyle w:val="TableContents"/>
                              <w:spacing w:before="0" w:after="283"/>
                              <w:jc w:val="left"/>
                              <w:rPr/>
                            </w:pPr>
                            <w:hyperlink w:anchor="executivecompensation">
                              <w:r>
                                <w:rPr>
                                  <w:rStyle w:val="InternetLink"/>
                                  <w:rFonts w:ascii="Arial" w:hAnsi="Arial"/>
                                  <w:b/>
                                  <w:strike w:val="false"/>
                                  <w:dstrike w:val="false"/>
                                  <w:color w:val="000000"/>
                                  <w:sz w:val="20"/>
                                  <w:u w:val="none"/>
                                  <w:effect w:val="none"/>
                                </w:rPr>
                                <w:t xml:space="preserve">Executive Compensation </w:t>
                              </w:r>
                            </w:hyperlink>
                          </w:p>
                        </w:tc>
                        <w:tc>
                          <w:tcPr>
                            <w:tcW w:w="30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345" w:type="dxa"/>
                            <w:tcBorders>
                              <w:bottom w:val="single" w:sz="8" w:space="0" w:color="000000"/>
                            </w:tcBorders>
                            <w:shd w:fill="auto" w:val="clear"/>
                            <w:vAlign w:val="center"/>
                          </w:tcPr>
                          <w:p>
                            <w:pPr>
                              <w:pStyle w:val="TableContents"/>
                              <w:spacing w:before="0" w:after="283"/>
                              <w:jc w:val="right"/>
                              <w:rPr/>
                            </w:pPr>
                            <w:hyperlink w:anchor="executivecompensation">
                              <w:r>
                                <w:rPr>
                                  <w:rStyle w:val="InternetLink"/>
                                  <w:rFonts w:ascii="Arial" w:hAnsi="Arial"/>
                                  <w:b/>
                                  <w:strike w:val="false"/>
                                  <w:dstrike w:val="false"/>
                                  <w:color w:val="000000"/>
                                  <w:sz w:val="20"/>
                                  <w:u w:val="none"/>
                                  <w:effect w:val="none"/>
                                </w:rPr>
                                <w:t>39</w:t>
                              </w:r>
                            </w:hyperlink>
                          </w:p>
                        </w:tc>
                      </w:tr>
                      <w:tr>
                        <w:trPr/>
                        <w:tc>
                          <w:tcPr>
                            <w:tcW w:w="9560" w:type="dxa"/>
                            <w:tcBorders>
                              <w:bottom w:val="single" w:sz="8" w:space="0" w:color="00A1E0"/>
                            </w:tcBorders>
                            <w:shd w:fill="auto" w:val="clear"/>
                            <w:vAlign w:val="center"/>
                          </w:tcPr>
                          <w:p>
                            <w:pPr>
                              <w:pStyle w:val="TableContents"/>
                              <w:spacing w:before="0" w:after="283"/>
                              <w:jc w:val="left"/>
                              <w:rPr/>
                            </w:pPr>
                            <w:hyperlink w:anchor="proposal5">
                              <w:r>
                                <w:rPr>
                                  <w:rStyle w:val="InternetLink"/>
                                  <w:rFonts w:ascii="Arial" w:hAnsi="Arial"/>
                                  <w:b/>
                                  <w:strike w:val="false"/>
                                  <w:dstrike w:val="false"/>
                                  <w:color w:val="00A1E0"/>
                                  <w:sz w:val="20"/>
                                  <w:u w:val="none"/>
                                  <w:effect w:val="none"/>
                                </w:rPr>
                                <w:t xml:space="preserve">PROPOSAL 5: Advisory Vote to Approve Executive Compensation </w:t>
                              </w:r>
                            </w:hyperlink>
                          </w:p>
                        </w:tc>
                        <w:tc>
                          <w:tcPr>
                            <w:tcW w:w="300" w:type="dxa"/>
                            <w:tcBorders>
                              <w:bottom w:val="single" w:sz="8" w:space="0" w:color="00A1E0"/>
                            </w:tcBorders>
                            <w:shd w:fill="auto" w:val="clear"/>
                            <w:vAlign w:val="center"/>
                          </w:tcPr>
                          <w:p>
                            <w:pPr>
                              <w:pStyle w:val="TableContents"/>
                              <w:spacing w:before="0" w:after="283"/>
                              <w:rPr>
                                <w:sz w:val="4"/>
                                <w:szCs w:val="4"/>
                              </w:rPr>
                            </w:pPr>
                            <w:r>
                              <w:rPr>
                                <w:sz w:val="4"/>
                                <w:szCs w:val="4"/>
                              </w:rPr>
                            </w:r>
                          </w:p>
                        </w:tc>
                        <w:tc>
                          <w:tcPr>
                            <w:tcW w:w="345" w:type="dxa"/>
                            <w:tcBorders>
                              <w:bottom w:val="single" w:sz="8" w:space="0" w:color="00A1E0"/>
                            </w:tcBorders>
                            <w:shd w:fill="auto" w:val="clear"/>
                            <w:vAlign w:val="center"/>
                          </w:tcPr>
                          <w:p>
                            <w:pPr>
                              <w:pStyle w:val="TableContents"/>
                              <w:spacing w:before="0" w:after="283"/>
                              <w:jc w:val="right"/>
                              <w:rPr/>
                            </w:pPr>
                            <w:r>
                              <w:rPr/>
                              <w:drawing>
                                <wp:inline distT="0" distB="0" distL="0" distR="0">
                                  <wp:extent cx="219075" cy="209550"/>
                                  <wp:effectExtent l="0" t="0" r="0" b="0"/>
                                  <wp:docPr id="26"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0" descr=""/>
                                          <pic:cNvPicPr>
                                            <a:picLocks noChangeAspect="1" noChangeArrowheads="1"/>
                                          </pic:cNvPicPr>
                                        </pic:nvPicPr>
                                        <pic:blipFill>
                                          <a:blip r:embed="rId21"/>
                                          <a:srcRect l="-4597" t="-4810" r="-4597" b="-4810"/>
                                          <a:stretch>
                                            <a:fillRect/>
                                          </a:stretch>
                                        </pic:blipFill>
                                        <pic:spPr bwMode="auto">
                                          <a:xfrm>
                                            <a:off x="0" y="0"/>
                                            <a:ext cx="219075" cy="209550"/>
                                          </a:xfrm>
                                          <a:prstGeom prst="rect">
                                            <a:avLst/>
                                          </a:prstGeom>
                                          <a:ln w="635">
                                            <a:solidFill>
                                              <a:srgbClr val="000000"/>
                                            </a:solidFill>
                                          </a:ln>
                                        </pic:spPr>
                                      </pic:pic>
                                    </a:graphicData>
                                  </a:graphic>
                                </wp:inline>
                              </w:drawing>
                            </w:r>
                          </w:p>
                        </w:tc>
                      </w:tr>
                      <w:tr>
                        <w:trPr/>
                        <w:tc>
                          <w:tcPr>
                            <w:tcW w:w="9560" w:type="dxa"/>
                            <w:tcBorders/>
                            <w:shd w:fill="auto" w:val="clear"/>
                            <w:tcMar>
                              <w:bottom w:w="0" w:type="dxa"/>
                            </w:tcMar>
                            <w:vAlign w:val="center"/>
                          </w:tcPr>
                          <w:p>
                            <w:pPr>
                              <w:pStyle w:val="TableContents"/>
                              <w:spacing w:before="0" w:after="283"/>
                              <w:jc w:val="left"/>
                              <w:rPr/>
                            </w:pPr>
                            <w:hyperlink w:anchor="cdna">
                              <w:r>
                                <w:rPr>
                                  <w:rStyle w:val="InternetLink"/>
                                  <w:rFonts w:ascii="Arial" w:hAnsi="Arial"/>
                                  <w:strike w:val="false"/>
                                  <w:dstrike w:val="false"/>
                                  <w:color w:val="000000"/>
                                  <w:sz w:val="20"/>
                                  <w:u w:val="none"/>
                                  <w:effect w:val="none"/>
                                </w:rPr>
                                <w:t xml:space="preserve">Compensation Discussion and Analysis </w:t>
                              </w:r>
                            </w:hyperlink>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345" w:type="dxa"/>
                            <w:tcBorders/>
                            <w:shd w:fill="auto" w:val="clear"/>
                            <w:tcMar>
                              <w:bottom w:w="0" w:type="dxa"/>
                            </w:tcMar>
                            <w:vAlign w:val="center"/>
                          </w:tcPr>
                          <w:p>
                            <w:pPr>
                              <w:pStyle w:val="TableContents"/>
                              <w:spacing w:before="0" w:after="283"/>
                              <w:jc w:val="right"/>
                              <w:rPr/>
                            </w:pPr>
                            <w:hyperlink w:anchor="cdna">
                              <w:r>
                                <w:rPr>
                                  <w:rStyle w:val="InternetLink"/>
                                  <w:rFonts w:ascii="Arial" w:hAnsi="Arial"/>
                                  <w:strike w:val="false"/>
                                  <w:dstrike w:val="false"/>
                                  <w:color w:val="000000"/>
                                  <w:sz w:val="20"/>
                                  <w:u w:val="none"/>
                                  <w:effect w:val="none"/>
                                </w:rPr>
                                <w:t>40</w:t>
                              </w:r>
                            </w:hyperlink>
                          </w:p>
                        </w:tc>
                      </w:tr>
                      <w:tr>
                        <w:trPr/>
                        <w:tc>
                          <w:tcPr>
                            <w:tcW w:w="9560" w:type="dxa"/>
                            <w:tcBorders/>
                            <w:shd w:fill="auto" w:val="clear"/>
                            <w:tcMar>
                              <w:bottom w:w="0" w:type="dxa"/>
                            </w:tcMar>
                            <w:vAlign w:val="center"/>
                          </w:tcPr>
                          <w:p>
                            <w:pPr>
                              <w:pStyle w:val="TableContents"/>
                              <w:spacing w:before="0" w:after="283"/>
                              <w:jc w:val="left"/>
                              <w:rPr/>
                            </w:pPr>
                            <w:hyperlink w:anchor="compensationhumancapital">
                              <w:r>
                                <w:rPr>
                                  <w:rStyle w:val="InternetLink"/>
                                  <w:rFonts w:ascii="Arial" w:hAnsi="Arial"/>
                                  <w:strike w:val="false"/>
                                  <w:dstrike w:val="false"/>
                                  <w:color w:val="000000"/>
                                  <w:sz w:val="20"/>
                                  <w:u w:val="none"/>
                                  <w:effect w:val="none"/>
                                </w:rPr>
                                <w:t xml:space="preserve">Compensation and Human Capital Committee Report </w:t>
                              </w:r>
                            </w:hyperlink>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345" w:type="dxa"/>
                            <w:tcBorders/>
                            <w:shd w:fill="auto" w:val="clear"/>
                            <w:tcMar>
                              <w:bottom w:w="0" w:type="dxa"/>
                            </w:tcMar>
                            <w:vAlign w:val="center"/>
                          </w:tcPr>
                          <w:p>
                            <w:pPr>
                              <w:pStyle w:val="TableContents"/>
                              <w:spacing w:before="0" w:after="283"/>
                              <w:jc w:val="right"/>
                              <w:rPr/>
                            </w:pPr>
                            <w:hyperlink w:anchor="compensationhumancapital">
                              <w:r>
                                <w:rPr>
                                  <w:rStyle w:val="InternetLink"/>
                                  <w:rFonts w:ascii="Arial" w:hAnsi="Arial"/>
                                  <w:strike w:val="false"/>
                                  <w:dstrike w:val="false"/>
                                  <w:color w:val="000000"/>
                                  <w:sz w:val="20"/>
                                  <w:u w:val="none"/>
                                  <w:effect w:val="none"/>
                                </w:rPr>
                                <w:t>53</w:t>
                              </w:r>
                            </w:hyperlink>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4">
                <wp:simplePos x="0" y="0"/>
                <wp:positionH relativeFrom="column">
                  <wp:align>right</wp:align>
                </wp:positionH>
                <wp:positionV relativeFrom="line">
                  <wp:posOffset>635</wp:posOffset>
                </wp:positionV>
                <wp:extent cx="3110230" cy="7635875"/>
                <wp:effectExtent l="0" t="0" r="0" b="0"/>
                <wp:wrapSquare wrapText="largest"/>
                <wp:docPr id="27" name="Frame2"/>
                <a:graphic xmlns:a="http://schemas.openxmlformats.org/drawingml/2006/main">
                  <a:graphicData uri="http://schemas.microsoft.com/office/word/2010/wordprocessingShape">
                    <wps:wsp>
                      <wps:cNvSpPr txBox="1"/>
                      <wps:spPr>
                        <a:xfrm>
                          <a:off x="0" y="0"/>
                          <a:ext cx="3110230" cy="7635875"/>
                        </a:xfrm>
                        <a:prstGeom prst="rect"/>
                      </wps:spPr>
                      <wps:txbx>
                        <w:txbxContent>
                          <w:tbl>
                            <w:tblPr>
                              <w:tblW w:w="9095" w:type="dxa"/>
                              <w:jc w:val="left"/>
                              <w:tblInd w:w="0" w:type="dxa"/>
                              <w:tblCellMar>
                                <w:top w:w="0" w:type="dxa"/>
                                <w:left w:w="0" w:type="dxa"/>
                                <w:bottom w:w="0" w:type="dxa"/>
                                <w:right w:w="0" w:type="dxa"/>
                              </w:tblCellMar>
                            </w:tblPr>
                            <w:tblGrid>
                              <w:gridCol w:w="8450"/>
                              <w:gridCol w:w="300"/>
                              <w:gridCol w:w="345"/>
                            </w:tblGrid>
                            <w:tr>
                              <w:trPr/>
                              <w:tc>
                                <w:tcPr>
                                  <w:tcW w:w="8450" w:type="dxa"/>
                                  <w:tcBorders/>
                                  <w:shd w:fill="auto" w:val="clear"/>
                                  <w:vAlign w:val="center"/>
                                </w:tcPr>
                                <w:p>
                                  <w:pPr>
                                    <w:pStyle w:val="TableContents"/>
                                    <w:spacing w:before="0" w:after="283"/>
                                    <w:jc w:val="left"/>
                                    <w:rPr/>
                                  </w:pPr>
                                  <w:hyperlink w:anchor="executivecompensationtable">
                                    <w:r>
                                      <w:rPr>
                                        <w:rStyle w:val="InternetLink"/>
                                        <w:rFonts w:ascii="Arial" w:hAnsi="Arial"/>
                                        <w:strike w:val="false"/>
                                        <w:dstrike w:val="false"/>
                                        <w:color w:val="000000"/>
                                        <w:sz w:val="20"/>
                                        <w:u w:val="none"/>
                                        <w:effect w:val="none"/>
                                      </w:rPr>
                                      <w:t xml:space="preserve">Executive Compensation Tables </w:t>
                                    </w:r>
                                  </w:hyperlink>
                                </w:p>
                              </w:tc>
                              <w:tc>
                                <w:tcPr>
                                  <w:tcW w:w="300" w:type="dxa"/>
                                  <w:tcBorders/>
                                  <w:shd w:fill="auto" w:val="clear"/>
                                  <w:vAlign w:val="center"/>
                                </w:tcPr>
                                <w:p>
                                  <w:pPr>
                                    <w:pStyle w:val="TableContents"/>
                                    <w:spacing w:before="0" w:after="283"/>
                                    <w:jc w:val="left"/>
                                    <w:rPr/>
                                  </w:pPr>
                                  <w:r>
                                    <w:rPr/>
                                    <w:t>     </w:t>
                                  </w:r>
                                </w:p>
                              </w:tc>
                              <w:tc>
                                <w:tcPr>
                                  <w:tcW w:w="345" w:type="dxa"/>
                                  <w:tcBorders/>
                                  <w:shd w:fill="auto" w:val="clear"/>
                                  <w:vAlign w:val="center"/>
                                </w:tcPr>
                                <w:p>
                                  <w:pPr>
                                    <w:pStyle w:val="TableContents"/>
                                    <w:spacing w:before="0" w:after="283"/>
                                    <w:jc w:val="right"/>
                                    <w:rPr/>
                                  </w:pPr>
                                  <w:hyperlink w:anchor="executivecompensationtable">
                                    <w:r>
                                      <w:rPr>
                                        <w:rStyle w:val="InternetLink"/>
                                        <w:rFonts w:ascii="Arial" w:hAnsi="Arial"/>
                                        <w:strike w:val="false"/>
                                        <w:dstrike w:val="false"/>
                                        <w:color w:val="000000"/>
                                        <w:sz w:val="20"/>
                                        <w:u w:val="none"/>
                                        <w:effect w:val="none"/>
                                      </w:rPr>
                                      <w:t>54</w:t>
                                    </w:r>
                                  </w:hyperlink>
                                </w:p>
                              </w:tc>
                            </w:tr>
                            <w:tr>
                              <w:trPr/>
                              <w:tc>
                                <w:tcPr>
                                  <w:tcW w:w="8450" w:type="dxa"/>
                                  <w:tcBorders/>
                                  <w:shd w:fill="auto" w:val="clear"/>
                                  <w:vAlign w:val="center"/>
                                </w:tcPr>
                                <w:p>
                                  <w:pPr>
                                    <w:pStyle w:val="TableContents"/>
                                    <w:spacing w:before="0" w:after="283"/>
                                    <w:jc w:val="left"/>
                                    <w:rPr/>
                                  </w:pPr>
                                  <w:hyperlink w:anchor="summarycompensationtable">
                                    <w:r>
                                      <w:rPr>
                                        <w:rStyle w:val="InternetLink"/>
                                        <w:rFonts w:ascii="Arial" w:hAnsi="Arial"/>
                                        <w:strike w:val="false"/>
                                        <w:dstrike w:val="false"/>
                                        <w:color w:val="000000"/>
                                        <w:sz w:val="20"/>
                                        <w:u w:val="none"/>
                                        <w:effect w:val="none"/>
                                      </w:rPr>
                                      <w:t xml:space="preserve">Summary Compensation Table </w:t>
                                    </w:r>
                                  </w:hyperlink>
                                </w:p>
                              </w:tc>
                              <w:tc>
                                <w:tcPr>
                                  <w:tcW w:w="300"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jc w:val="right"/>
                                    <w:rPr/>
                                  </w:pPr>
                                  <w:hyperlink w:anchor="summarycompensationtable">
                                    <w:r>
                                      <w:rPr>
                                        <w:rStyle w:val="InternetLink"/>
                                        <w:rFonts w:ascii="Arial" w:hAnsi="Arial"/>
                                        <w:strike w:val="false"/>
                                        <w:dstrike w:val="false"/>
                                        <w:color w:val="000000"/>
                                        <w:sz w:val="20"/>
                                        <w:u w:val="none"/>
                                        <w:effect w:val="none"/>
                                      </w:rPr>
                                      <w:t>54</w:t>
                                    </w:r>
                                  </w:hyperlink>
                                </w:p>
                              </w:tc>
                            </w:tr>
                            <w:tr>
                              <w:trPr/>
                              <w:tc>
                                <w:tcPr>
                                  <w:tcW w:w="8450" w:type="dxa"/>
                                  <w:tcBorders/>
                                  <w:shd w:fill="auto" w:val="clear"/>
                                  <w:vAlign w:val="center"/>
                                </w:tcPr>
                                <w:p>
                                  <w:pPr>
                                    <w:pStyle w:val="TableContents"/>
                                    <w:spacing w:before="0" w:after="283"/>
                                    <w:jc w:val="left"/>
                                    <w:rPr/>
                                  </w:pPr>
                                  <w:hyperlink w:anchor="grantsplanbasedaward">
                                    <w:r>
                                      <w:rPr>
                                        <w:rStyle w:val="InternetLink"/>
                                        <w:rFonts w:ascii="Arial" w:hAnsi="Arial"/>
                                        <w:strike w:val="false"/>
                                        <w:dstrike w:val="false"/>
                                        <w:color w:val="000000"/>
                                        <w:sz w:val="20"/>
                                        <w:u w:val="none"/>
                                        <w:effect w:val="none"/>
                                      </w:rPr>
                                      <w:t xml:space="preserve">Grants of Plan-Based Awards </w:t>
                                    </w:r>
                                  </w:hyperlink>
                                </w:p>
                              </w:tc>
                              <w:tc>
                                <w:tcPr>
                                  <w:tcW w:w="300"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jc w:val="right"/>
                                    <w:rPr/>
                                  </w:pPr>
                                  <w:hyperlink w:anchor="grantsplanbasedaward">
                                    <w:r>
                                      <w:rPr>
                                        <w:rStyle w:val="InternetLink"/>
                                        <w:rFonts w:ascii="Arial" w:hAnsi="Arial"/>
                                        <w:strike w:val="false"/>
                                        <w:dstrike w:val="false"/>
                                        <w:color w:val="000000"/>
                                        <w:sz w:val="20"/>
                                        <w:u w:val="none"/>
                                        <w:effect w:val="none"/>
                                      </w:rPr>
                                      <w:t>55</w:t>
                                    </w:r>
                                  </w:hyperlink>
                                </w:p>
                              </w:tc>
                            </w:tr>
                            <w:tr>
                              <w:trPr/>
                              <w:tc>
                                <w:tcPr>
                                  <w:tcW w:w="8450" w:type="dxa"/>
                                  <w:tcBorders/>
                                  <w:shd w:fill="auto" w:val="clear"/>
                                  <w:vAlign w:val="center"/>
                                </w:tcPr>
                                <w:p>
                                  <w:pPr>
                                    <w:pStyle w:val="TableContents"/>
                                    <w:spacing w:before="0" w:after="283"/>
                                    <w:jc w:val="left"/>
                                    <w:rPr/>
                                  </w:pPr>
                                  <w:hyperlink w:anchor="outstandingequityawards">
                                    <w:r>
                                      <w:rPr>
                                        <w:rStyle w:val="InternetLink"/>
                                        <w:rFonts w:ascii="Arial" w:hAnsi="Arial"/>
                                        <w:strike w:val="false"/>
                                        <w:dstrike w:val="false"/>
                                        <w:color w:val="000000"/>
                                        <w:sz w:val="20"/>
                                        <w:u w:val="none"/>
                                        <w:effect w:val="none"/>
                                      </w:rPr>
                                      <w:t xml:space="preserve">Outstanding Equity Awards at Fiscal Year-End </w:t>
                                    </w:r>
                                  </w:hyperlink>
                                </w:p>
                              </w:tc>
                              <w:tc>
                                <w:tcPr>
                                  <w:tcW w:w="300"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jc w:val="right"/>
                                    <w:rPr/>
                                  </w:pPr>
                                  <w:hyperlink w:anchor="outstandingequityawards">
                                    <w:r>
                                      <w:rPr>
                                        <w:rStyle w:val="InternetLink"/>
                                        <w:rFonts w:ascii="Arial" w:hAnsi="Arial"/>
                                        <w:strike w:val="false"/>
                                        <w:dstrike w:val="false"/>
                                        <w:color w:val="000000"/>
                                        <w:sz w:val="20"/>
                                        <w:u w:val="none"/>
                                        <w:effect w:val="none"/>
                                      </w:rPr>
                                      <w:t>57</w:t>
                                    </w:r>
                                  </w:hyperlink>
                                </w:p>
                              </w:tc>
                            </w:tr>
                            <w:tr>
                              <w:trPr/>
                              <w:tc>
                                <w:tcPr>
                                  <w:tcW w:w="8450" w:type="dxa"/>
                                  <w:tcBorders/>
                                  <w:shd w:fill="auto" w:val="clear"/>
                                  <w:vAlign w:val="center"/>
                                </w:tcPr>
                                <w:p>
                                  <w:pPr>
                                    <w:pStyle w:val="TableContents"/>
                                    <w:spacing w:before="0" w:after="283"/>
                                    <w:jc w:val="left"/>
                                    <w:rPr/>
                                  </w:pPr>
                                  <w:hyperlink w:anchor="optionexercises">
                                    <w:r>
                                      <w:rPr>
                                        <w:rStyle w:val="InternetLink"/>
                                        <w:rFonts w:ascii="Arial" w:hAnsi="Arial"/>
                                        <w:strike w:val="false"/>
                                        <w:dstrike w:val="false"/>
                                        <w:color w:val="000000"/>
                                        <w:sz w:val="20"/>
                                        <w:u w:val="none"/>
                                        <w:effect w:val="none"/>
                                      </w:rPr>
                                      <w:t xml:space="preserve">Option Exercises and Stock Vested </w:t>
                                    </w:r>
                                  </w:hyperlink>
                                </w:p>
                              </w:tc>
                              <w:tc>
                                <w:tcPr>
                                  <w:tcW w:w="300"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jc w:val="right"/>
                                    <w:rPr/>
                                  </w:pPr>
                                  <w:hyperlink w:anchor="optionexercises">
                                    <w:r>
                                      <w:rPr>
                                        <w:rStyle w:val="InternetLink"/>
                                        <w:rFonts w:ascii="Arial" w:hAnsi="Arial"/>
                                        <w:strike w:val="false"/>
                                        <w:dstrike w:val="false"/>
                                        <w:color w:val="000000"/>
                                        <w:sz w:val="20"/>
                                        <w:u w:val="none"/>
                                        <w:effect w:val="none"/>
                                      </w:rPr>
                                      <w:t>59</w:t>
                                    </w:r>
                                  </w:hyperlink>
                                </w:p>
                              </w:tc>
                            </w:tr>
                            <w:tr>
                              <w:trPr/>
                              <w:tc>
                                <w:tcPr>
                                  <w:tcW w:w="8450" w:type="dxa"/>
                                  <w:tcBorders/>
                                  <w:shd w:fill="auto" w:val="clear"/>
                                  <w:vAlign w:val="center"/>
                                </w:tcPr>
                                <w:p>
                                  <w:pPr>
                                    <w:pStyle w:val="TableContents"/>
                                    <w:spacing w:before="0" w:after="283"/>
                                    <w:jc w:val="left"/>
                                    <w:rPr/>
                                  </w:pPr>
                                  <w:hyperlink w:anchor="nonqualifieddeferred">
                                    <w:r>
                                      <w:rPr>
                                        <w:rStyle w:val="InternetLink"/>
                                        <w:rFonts w:ascii="Arial" w:hAnsi="Arial"/>
                                        <w:strike w:val="false"/>
                                        <w:dstrike w:val="false"/>
                                        <w:color w:val="000000"/>
                                        <w:sz w:val="20"/>
                                        <w:u w:val="none"/>
                                        <w:effect w:val="none"/>
                                      </w:rPr>
                                      <w:t xml:space="preserve">Nonqualified Deferred Compensation in and as of Fiscal Year-End </w:t>
                                    </w:r>
                                  </w:hyperlink>
                                </w:p>
                              </w:tc>
                              <w:tc>
                                <w:tcPr>
                                  <w:tcW w:w="300"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jc w:val="right"/>
                                    <w:rPr/>
                                  </w:pPr>
                                  <w:hyperlink w:anchor="nonqualifieddeferred">
                                    <w:r>
                                      <w:rPr>
                                        <w:rStyle w:val="InternetLink"/>
                                        <w:rFonts w:ascii="Arial" w:hAnsi="Arial"/>
                                        <w:strike w:val="false"/>
                                        <w:dstrike w:val="false"/>
                                        <w:color w:val="000000"/>
                                        <w:sz w:val="20"/>
                                        <w:u w:val="none"/>
                                        <w:effect w:val="none"/>
                                      </w:rPr>
                                      <w:t>60</w:t>
                                    </w:r>
                                  </w:hyperlink>
                                </w:p>
                              </w:tc>
                            </w:tr>
                            <w:tr>
                              <w:trPr/>
                              <w:tc>
                                <w:tcPr>
                                  <w:tcW w:w="8450" w:type="dxa"/>
                                  <w:tcBorders/>
                                  <w:shd w:fill="auto" w:val="clear"/>
                                  <w:vAlign w:val="center"/>
                                </w:tcPr>
                                <w:p>
                                  <w:pPr>
                                    <w:pStyle w:val="TableContents"/>
                                    <w:spacing w:before="0" w:after="283"/>
                                    <w:jc w:val="left"/>
                                    <w:rPr/>
                                  </w:pPr>
                                  <w:hyperlink w:anchor="agreementswithournamed">
                                    <w:r>
                                      <w:rPr>
                                        <w:rStyle w:val="InternetLink"/>
                                        <w:rFonts w:ascii="Arial" w:hAnsi="Arial"/>
                                        <w:strike w:val="false"/>
                                        <w:dstrike w:val="false"/>
                                        <w:color w:val="000000"/>
                                        <w:sz w:val="20"/>
                                        <w:u w:val="none"/>
                                        <w:effect w:val="none"/>
                                      </w:rPr>
                                      <w:t xml:space="preserve">Agreements with Our Named Executive Officers </w:t>
                                    </w:r>
                                  </w:hyperlink>
                                </w:p>
                              </w:tc>
                              <w:tc>
                                <w:tcPr>
                                  <w:tcW w:w="300"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jc w:val="right"/>
                                    <w:rPr/>
                                  </w:pPr>
                                  <w:hyperlink w:anchor="agreementswithournamed">
                                    <w:r>
                                      <w:rPr>
                                        <w:rStyle w:val="InternetLink"/>
                                        <w:rFonts w:ascii="Arial" w:hAnsi="Arial"/>
                                        <w:strike w:val="false"/>
                                        <w:dstrike w:val="false"/>
                                        <w:color w:val="000000"/>
                                        <w:sz w:val="20"/>
                                        <w:u w:val="none"/>
                                        <w:effect w:val="none"/>
                                      </w:rPr>
                                      <w:t>60</w:t>
                                    </w:r>
                                  </w:hyperlink>
                                </w:p>
                              </w:tc>
                            </w:tr>
                            <w:tr>
                              <w:trPr/>
                              <w:tc>
                                <w:tcPr>
                                  <w:tcW w:w="8450" w:type="dxa"/>
                                  <w:tcBorders/>
                                  <w:shd w:fill="auto" w:val="clear"/>
                                  <w:vAlign w:val="center"/>
                                </w:tcPr>
                                <w:p>
                                  <w:pPr>
                                    <w:pStyle w:val="TableContents"/>
                                    <w:spacing w:before="0" w:after="283"/>
                                    <w:jc w:val="left"/>
                                    <w:rPr/>
                                  </w:pPr>
                                  <w:hyperlink w:anchor="potentialpayments">
                                    <w:r>
                                      <w:rPr>
                                        <w:rStyle w:val="InternetLink"/>
                                        <w:rFonts w:ascii="Arial" w:hAnsi="Arial"/>
                                        <w:strike w:val="false"/>
                                        <w:dstrike w:val="false"/>
                                        <w:color w:val="000000"/>
                                        <w:sz w:val="20"/>
                                        <w:u w:val="none"/>
                                        <w:effect w:val="none"/>
                                      </w:rPr>
                                      <w:t xml:space="preserve">Potential Payments upon Termination or Change in Control </w:t>
                                    </w:r>
                                  </w:hyperlink>
                                </w:p>
                              </w:tc>
                              <w:tc>
                                <w:tcPr>
                                  <w:tcW w:w="300"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jc w:val="right"/>
                                    <w:rPr/>
                                  </w:pPr>
                                  <w:hyperlink w:anchor="potentialpayments">
                                    <w:r>
                                      <w:rPr>
                                        <w:rStyle w:val="InternetLink"/>
                                        <w:rFonts w:ascii="Arial" w:hAnsi="Arial"/>
                                        <w:strike w:val="false"/>
                                        <w:dstrike w:val="false"/>
                                        <w:color w:val="000000"/>
                                        <w:sz w:val="20"/>
                                        <w:u w:val="none"/>
                                        <w:effect w:val="none"/>
                                      </w:rPr>
                                      <w:t>61</w:t>
                                    </w:r>
                                  </w:hyperlink>
                                </w:p>
                              </w:tc>
                            </w:tr>
                            <w:tr>
                              <w:trPr/>
                              <w:tc>
                                <w:tcPr>
                                  <w:tcW w:w="8450" w:type="dxa"/>
                                  <w:tcBorders/>
                                  <w:shd w:fill="auto" w:val="clear"/>
                                  <w:vAlign w:val="center"/>
                                </w:tcPr>
                                <w:p>
                                  <w:pPr>
                                    <w:pStyle w:val="TableContents"/>
                                    <w:spacing w:before="0" w:after="283"/>
                                    <w:jc w:val="left"/>
                                    <w:rPr/>
                                  </w:pPr>
                                  <w:hyperlink w:anchor="equitycompensation">
                                    <w:r>
                                      <w:rPr>
                                        <w:rStyle w:val="InternetLink"/>
                                        <w:rFonts w:ascii="Arial" w:hAnsi="Arial"/>
                                        <w:strike w:val="false"/>
                                        <w:dstrike w:val="false"/>
                                        <w:color w:val="000000"/>
                                        <w:sz w:val="20"/>
                                        <w:u w:val="none"/>
                                        <w:effect w:val="none"/>
                                      </w:rPr>
                                      <w:t xml:space="preserve">Equity Compensation Plan Information </w:t>
                                    </w:r>
                                  </w:hyperlink>
                                </w:p>
                              </w:tc>
                              <w:tc>
                                <w:tcPr>
                                  <w:tcW w:w="300"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jc w:val="right"/>
                                    <w:rPr/>
                                  </w:pPr>
                                  <w:hyperlink w:anchor="equitycompensation">
                                    <w:r>
                                      <w:rPr>
                                        <w:rStyle w:val="InternetLink"/>
                                        <w:rFonts w:ascii="Arial" w:hAnsi="Arial"/>
                                        <w:strike w:val="false"/>
                                        <w:dstrike w:val="false"/>
                                        <w:color w:val="000000"/>
                                        <w:sz w:val="20"/>
                                        <w:u w:val="none"/>
                                        <w:effect w:val="none"/>
                                      </w:rPr>
                                      <w:t>63</w:t>
                                    </w:r>
                                  </w:hyperlink>
                                </w:p>
                              </w:tc>
                            </w:tr>
                            <w:tr>
                              <w:trPr/>
                              <w:tc>
                                <w:tcPr>
                                  <w:tcW w:w="8450" w:type="dxa"/>
                                  <w:tcBorders/>
                                  <w:shd w:fill="auto" w:val="clear"/>
                                  <w:vAlign w:val="center"/>
                                </w:tcPr>
                                <w:p>
                                  <w:pPr>
                                    <w:pStyle w:val="TableContents"/>
                                    <w:spacing w:before="0" w:after="283"/>
                                    <w:jc w:val="left"/>
                                    <w:rPr/>
                                  </w:pPr>
                                  <w:hyperlink w:anchor="ceopayratio">
                                    <w:r>
                                      <w:rPr>
                                        <w:rStyle w:val="InternetLink"/>
                                        <w:rFonts w:ascii="Arial" w:hAnsi="Arial"/>
                                        <w:strike w:val="false"/>
                                        <w:dstrike w:val="false"/>
                                        <w:color w:val="000000"/>
                                        <w:sz w:val="20"/>
                                        <w:u w:val="none"/>
                                        <w:effect w:val="none"/>
                                      </w:rPr>
                                      <w:t xml:space="preserve">CEO Pay Ratio </w:t>
                                    </w:r>
                                  </w:hyperlink>
                                </w:p>
                              </w:tc>
                              <w:tc>
                                <w:tcPr>
                                  <w:tcW w:w="300"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jc w:val="right"/>
                                    <w:rPr/>
                                  </w:pPr>
                                  <w:hyperlink w:anchor="ceopayratio">
                                    <w:r>
                                      <w:rPr>
                                        <w:rStyle w:val="InternetLink"/>
                                        <w:rFonts w:ascii="Arial" w:hAnsi="Arial"/>
                                        <w:strike w:val="false"/>
                                        <w:dstrike w:val="false"/>
                                        <w:color w:val="000000"/>
                                        <w:sz w:val="20"/>
                                        <w:u w:val="none"/>
                                        <w:effect w:val="none"/>
                                      </w:rPr>
                                      <w:t>63</w:t>
                                    </w:r>
                                  </w:hyperlink>
                                </w:p>
                              </w:tc>
                            </w:tr>
                            <w:tr>
                              <w:trPr/>
                              <w:tc>
                                <w:tcPr>
                                  <w:tcW w:w="8450" w:type="dxa"/>
                                  <w:tcBorders/>
                                  <w:shd w:fill="auto" w:val="clear"/>
                                  <w:vAlign w:val="center"/>
                                </w:tcPr>
                                <w:p>
                                  <w:pPr>
                                    <w:pStyle w:val="TableContents"/>
                                    <w:spacing w:before="0" w:after="283"/>
                                    <w:jc w:val="left"/>
                                    <w:rPr/>
                                  </w:pPr>
                                  <w:hyperlink w:anchor="payversusperformance">
                                    <w:r>
                                      <w:rPr>
                                        <w:rStyle w:val="InternetLink"/>
                                        <w:rFonts w:ascii="Arial" w:hAnsi="Arial"/>
                                        <w:strike w:val="false"/>
                                        <w:dstrike w:val="false"/>
                                        <w:color w:val="000000"/>
                                        <w:sz w:val="20"/>
                                        <w:u w:val="none"/>
                                        <w:effect w:val="none"/>
                                      </w:rPr>
                                      <w:t xml:space="preserve">Pay Versus Performance </w:t>
                                    </w:r>
                                  </w:hyperlink>
                                </w:p>
                              </w:tc>
                              <w:tc>
                                <w:tcPr>
                                  <w:tcW w:w="300"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jc w:val="right"/>
                                    <w:rPr/>
                                  </w:pPr>
                                  <w:hyperlink w:anchor="payversusperformance">
                                    <w:r>
                                      <w:rPr>
                                        <w:rStyle w:val="InternetLink"/>
                                        <w:rFonts w:ascii="Arial" w:hAnsi="Arial"/>
                                        <w:strike w:val="false"/>
                                        <w:dstrike w:val="false"/>
                                        <w:color w:val="000000"/>
                                        <w:sz w:val="20"/>
                                        <w:u w:val="none"/>
                                        <w:effect w:val="none"/>
                                      </w:rPr>
                                      <w:t>64</w:t>
                                    </w:r>
                                  </w:hyperlink>
                                </w:p>
                              </w:tc>
                            </w:tr>
                            <w:tr>
                              <w:trPr/>
                              <w:tc>
                                <w:tcPr>
                                  <w:tcW w:w="8450" w:type="dxa"/>
                                  <w:tcBorders>
                                    <w:bottom w:val="single" w:sz="8" w:space="0" w:color="00A1E0"/>
                                  </w:tcBorders>
                                  <w:shd w:fill="auto" w:val="clear"/>
                                  <w:tcMar>
                                    <w:bottom w:w="40" w:type="dxa"/>
                                  </w:tcMar>
                                  <w:vAlign w:val="center"/>
                                </w:tcPr>
                                <w:p>
                                  <w:pPr>
                                    <w:pStyle w:val="TableContents"/>
                                    <w:spacing w:before="0" w:after="283"/>
                                    <w:jc w:val="left"/>
                                    <w:rPr/>
                                  </w:pPr>
                                  <w:hyperlink w:anchor="proposal6">
                                    <w:r>
                                      <w:rPr>
                                        <w:rStyle w:val="InternetLink"/>
                                        <w:rFonts w:ascii="Arial" w:hAnsi="Arial"/>
                                        <w:b/>
                                        <w:strike w:val="false"/>
                                        <w:dstrike w:val="false"/>
                                        <w:color w:val="00A1E0"/>
                                        <w:sz w:val="20"/>
                                        <w:u w:val="none"/>
                                        <w:effect w:val="none"/>
                                      </w:rPr>
                                      <w:t xml:space="preserve">PROPOSAL 6: Advisory Vote on Frequency of Vote on Executive Compensation </w:t>
                                    </w:r>
                                  </w:hyperlink>
                                </w:p>
                              </w:tc>
                              <w:tc>
                                <w:tcPr>
                                  <w:tcW w:w="300" w:type="dxa"/>
                                  <w:tcBorders>
                                    <w:bottom w:val="single" w:sz="8" w:space="0" w:color="00A1E0"/>
                                  </w:tcBorders>
                                  <w:shd w:fill="auto" w:val="clear"/>
                                  <w:tcMar>
                                    <w:bottom w:w="40" w:type="dxa"/>
                                  </w:tcMar>
                                  <w:vAlign w:val="center"/>
                                </w:tcPr>
                                <w:p>
                                  <w:pPr>
                                    <w:pStyle w:val="TableContents"/>
                                    <w:spacing w:before="0" w:after="283"/>
                                    <w:rPr>
                                      <w:sz w:val="4"/>
                                      <w:szCs w:val="4"/>
                                    </w:rPr>
                                  </w:pPr>
                                  <w:r>
                                    <w:rPr>
                                      <w:sz w:val="4"/>
                                      <w:szCs w:val="4"/>
                                    </w:rPr>
                                  </w:r>
                                </w:p>
                              </w:tc>
                              <w:tc>
                                <w:tcPr>
                                  <w:tcW w:w="345" w:type="dxa"/>
                                  <w:tcBorders>
                                    <w:bottom w:val="single" w:sz="8" w:space="0" w:color="00A1E0"/>
                                  </w:tcBorders>
                                  <w:shd w:fill="auto" w:val="clear"/>
                                  <w:tcMar>
                                    <w:bottom w:w="40" w:type="dxa"/>
                                  </w:tcMar>
                                  <w:vAlign w:val="center"/>
                                </w:tcPr>
                                <w:p>
                                  <w:pPr>
                                    <w:pStyle w:val="TableContents"/>
                                    <w:spacing w:before="0" w:after="283"/>
                                    <w:jc w:val="right"/>
                                    <w:rPr/>
                                  </w:pPr>
                                  <w:r>
                                    <w:rPr/>
                                    <w:drawing>
                                      <wp:inline distT="0" distB="0" distL="0" distR="0">
                                        <wp:extent cx="219075" cy="209550"/>
                                        <wp:effectExtent l="0" t="0" r="0" b="0"/>
                                        <wp:docPr id="2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1" descr=""/>
                                                <pic:cNvPicPr>
                                                  <a:picLocks noChangeAspect="1" noChangeArrowheads="1"/>
                                                </pic:cNvPicPr>
                                              </pic:nvPicPr>
                                              <pic:blipFill>
                                                <a:blip r:embed="rId22"/>
                                                <a:srcRect l="-4597" t="-4810" r="-4597" b="-4810"/>
                                                <a:stretch>
                                                  <a:fillRect/>
                                                </a:stretch>
                                              </pic:blipFill>
                                              <pic:spPr bwMode="auto">
                                                <a:xfrm>
                                                  <a:off x="0" y="0"/>
                                                  <a:ext cx="219075" cy="209550"/>
                                                </a:xfrm>
                                                <a:prstGeom prst="rect">
                                                  <a:avLst/>
                                                </a:prstGeom>
                                                <a:ln w="635">
                                                  <a:solidFill>
                                                    <a:srgbClr val="000000"/>
                                                  </a:solidFill>
                                                </a:ln>
                                              </pic:spPr>
                                            </pic:pic>
                                          </a:graphicData>
                                        </a:graphic>
                                      </wp:inline>
                                    </w:drawing>
                                  </w:r>
                                </w:p>
                              </w:tc>
                            </w:tr>
                            <w:tr>
                              <w:trPr/>
                              <w:tc>
                                <w:tcPr>
                                  <w:tcW w:w="8450" w:type="dxa"/>
                                  <w:tcBorders>
                                    <w:bottom w:val="single" w:sz="8" w:space="0" w:color="00A1E0"/>
                                  </w:tcBorders>
                                  <w:shd w:fill="auto" w:val="clear"/>
                                  <w:tcMar>
                                    <w:bottom w:w="40" w:type="dxa"/>
                                  </w:tcMar>
                                  <w:vAlign w:val="center"/>
                                </w:tcPr>
                                <w:p>
                                  <w:pPr>
                                    <w:pStyle w:val="TableContents"/>
                                    <w:spacing w:before="0" w:after="283"/>
                                    <w:jc w:val="left"/>
                                    <w:rPr/>
                                  </w:pPr>
                                  <w:hyperlink w:anchor="proposal7">
                                    <w:r>
                                      <w:rPr>
                                        <w:rStyle w:val="InternetLink"/>
                                        <w:rFonts w:ascii="Arial" w:hAnsi="Arial"/>
                                        <w:b/>
                                        <w:strike w:val="false"/>
                                        <w:dstrike w:val="false"/>
                                        <w:color w:val="00A1E0"/>
                                        <w:sz w:val="20"/>
                                        <w:u w:val="none"/>
                                        <w:effect w:val="none"/>
                                      </w:rPr>
                                      <w:t xml:space="preserve">PROPOSALS 7-11: Shareholder Proposals </w:t>
                                    </w:r>
                                  </w:hyperlink>
                                </w:p>
                              </w:tc>
                              <w:tc>
                                <w:tcPr>
                                  <w:tcW w:w="300" w:type="dxa"/>
                                  <w:tcBorders>
                                    <w:bottom w:val="single" w:sz="8" w:space="0" w:color="00A1E0"/>
                                  </w:tcBorders>
                                  <w:shd w:fill="auto" w:val="clear"/>
                                  <w:tcMar>
                                    <w:bottom w:w="40" w:type="dxa"/>
                                  </w:tcMar>
                                  <w:vAlign w:val="center"/>
                                </w:tcPr>
                                <w:p>
                                  <w:pPr>
                                    <w:pStyle w:val="TableContents"/>
                                    <w:spacing w:before="0" w:after="283"/>
                                    <w:rPr>
                                      <w:sz w:val="4"/>
                                      <w:szCs w:val="4"/>
                                    </w:rPr>
                                  </w:pPr>
                                  <w:r>
                                    <w:rPr>
                                      <w:sz w:val="4"/>
                                      <w:szCs w:val="4"/>
                                    </w:rPr>
                                  </w:r>
                                </w:p>
                              </w:tc>
                              <w:tc>
                                <w:tcPr>
                                  <w:tcW w:w="345" w:type="dxa"/>
                                  <w:tcBorders>
                                    <w:bottom w:val="single" w:sz="8" w:space="0" w:color="00A1E0"/>
                                  </w:tcBorders>
                                  <w:shd w:fill="auto" w:val="clear"/>
                                  <w:tcMar>
                                    <w:bottom w:w="40" w:type="dxa"/>
                                  </w:tcMar>
                                  <w:vAlign w:val="center"/>
                                </w:tcPr>
                                <w:p>
                                  <w:pPr>
                                    <w:pStyle w:val="TableContents"/>
                                    <w:spacing w:before="0" w:after="283"/>
                                    <w:jc w:val="right"/>
                                    <w:rPr/>
                                  </w:pPr>
                                  <w:hyperlink w:anchor="proposal7">
                                    <w:r>
                                      <w:rPr>
                                        <w:rStyle w:val="InternetLink"/>
                                        <w:rFonts w:ascii="Arial" w:hAnsi="Arial"/>
                                        <w:b/>
                                        <w:strike w:val="false"/>
                                        <w:dstrike w:val="false"/>
                                        <w:color w:val="00A1E0"/>
                                        <w:sz w:val="20"/>
                                        <w:u w:val="none"/>
                                        <w:effect w:val="none"/>
                                      </w:rPr>
                                      <w:t>66</w:t>
                                    </w:r>
                                  </w:hyperlink>
                                </w:p>
                              </w:tc>
                            </w:tr>
                            <w:tr>
                              <w:trPr/>
                              <w:tc>
                                <w:tcPr>
                                  <w:tcW w:w="8450" w:type="dxa"/>
                                  <w:tcBorders>
                                    <w:bottom w:val="single" w:sz="8" w:space="0" w:color="000000"/>
                                  </w:tcBorders>
                                  <w:shd w:fill="auto" w:val="clear"/>
                                  <w:tcMar>
                                    <w:bottom w:w="40" w:type="dxa"/>
                                  </w:tcMar>
                                  <w:vAlign w:val="center"/>
                                </w:tcPr>
                                <w:p>
                                  <w:pPr>
                                    <w:pStyle w:val="TableContents"/>
                                    <w:spacing w:before="0" w:after="283"/>
                                    <w:jc w:val="left"/>
                                    <w:rPr/>
                                  </w:pPr>
                                  <w:hyperlink w:anchor="informationaboutstock">
                                    <w:r>
                                      <w:rPr>
                                        <w:rStyle w:val="InternetLink"/>
                                        <w:rFonts w:ascii="Arial" w:hAnsi="Arial"/>
                                        <w:b/>
                                        <w:strike w:val="false"/>
                                        <w:dstrike w:val="false"/>
                                        <w:color w:val="000000"/>
                                        <w:sz w:val="20"/>
                                        <w:u w:val="none"/>
                                        <w:effect w:val="none"/>
                                      </w:rPr>
                                      <w:t xml:space="preserve">Information about Stock Ownership </w:t>
                                    </w:r>
                                  </w:hyperlink>
                                </w:p>
                              </w:tc>
                              <w:tc>
                                <w:tcPr>
                                  <w:tcW w:w="30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345" w:type="dxa"/>
                                  <w:tcBorders>
                                    <w:bottom w:val="single" w:sz="8" w:space="0" w:color="000000"/>
                                  </w:tcBorders>
                                  <w:shd w:fill="auto" w:val="clear"/>
                                  <w:tcMar>
                                    <w:bottom w:w="40" w:type="dxa"/>
                                  </w:tcMar>
                                  <w:vAlign w:val="center"/>
                                </w:tcPr>
                                <w:p>
                                  <w:pPr>
                                    <w:pStyle w:val="TableContents"/>
                                    <w:spacing w:before="0" w:after="283"/>
                                    <w:jc w:val="right"/>
                                    <w:rPr/>
                                  </w:pPr>
                                  <w:hyperlink w:anchor="informationaboutstock">
                                    <w:r>
                                      <w:rPr>
                                        <w:rStyle w:val="InternetLink"/>
                                        <w:rFonts w:ascii="Arial" w:hAnsi="Arial"/>
                                        <w:b/>
                                        <w:strike w:val="false"/>
                                        <w:dstrike w:val="false"/>
                                        <w:color w:val="000000"/>
                                        <w:sz w:val="20"/>
                                        <w:u w:val="none"/>
                                        <w:effect w:val="none"/>
                                      </w:rPr>
                                      <w:t>84</w:t>
                                    </w:r>
                                  </w:hyperlink>
                                </w:p>
                              </w:tc>
                            </w:tr>
                            <w:tr>
                              <w:trPr/>
                              <w:tc>
                                <w:tcPr>
                                  <w:tcW w:w="8450" w:type="dxa"/>
                                  <w:tcBorders>
                                    <w:bottom w:val="single" w:sz="8" w:space="0" w:color="000000"/>
                                  </w:tcBorders>
                                  <w:shd w:fill="auto" w:val="clear"/>
                                  <w:tcMar>
                                    <w:bottom w:w="40" w:type="dxa"/>
                                  </w:tcMar>
                                  <w:vAlign w:val="center"/>
                                </w:tcPr>
                                <w:p>
                                  <w:pPr>
                                    <w:pStyle w:val="TableContents"/>
                                    <w:spacing w:before="0" w:after="283"/>
                                    <w:jc w:val="left"/>
                                    <w:rPr/>
                                  </w:pPr>
                                  <w:hyperlink w:anchor="compensationofdirectors">
                                    <w:r>
                                      <w:rPr>
                                        <w:rStyle w:val="InternetLink"/>
                                        <w:rFonts w:ascii="Arial" w:hAnsi="Arial"/>
                                        <w:b/>
                                        <w:strike w:val="false"/>
                                        <w:dstrike w:val="false"/>
                                        <w:color w:val="000000"/>
                                        <w:sz w:val="20"/>
                                        <w:u w:val="none"/>
                                        <w:effect w:val="none"/>
                                      </w:rPr>
                                      <w:t xml:space="preserve">Compensation of Directors </w:t>
                                    </w:r>
                                  </w:hyperlink>
                                </w:p>
                              </w:tc>
                              <w:tc>
                                <w:tcPr>
                                  <w:tcW w:w="30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345" w:type="dxa"/>
                                  <w:tcBorders>
                                    <w:bottom w:val="single" w:sz="8" w:space="0" w:color="000000"/>
                                  </w:tcBorders>
                                  <w:shd w:fill="auto" w:val="clear"/>
                                  <w:tcMar>
                                    <w:bottom w:w="40" w:type="dxa"/>
                                  </w:tcMar>
                                  <w:vAlign w:val="center"/>
                                </w:tcPr>
                                <w:p>
                                  <w:pPr>
                                    <w:pStyle w:val="TableContents"/>
                                    <w:spacing w:before="0" w:after="283"/>
                                    <w:jc w:val="right"/>
                                    <w:rPr/>
                                  </w:pPr>
                                  <w:hyperlink w:anchor="compensationofdirectors">
                                    <w:r>
                                      <w:rPr>
                                        <w:rStyle w:val="InternetLink"/>
                                        <w:rFonts w:ascii="Arial" w:hAnsi="Arial"/>
                                        <w:b/>
                                        <w:strike w:val="false"/>
                                        <w:dstrike w:val="false"/>
                                        <w:color w:val="000000"/>
                                        <w:sz w:val="20"/>
                                        <w:u w:val="none"/>
                                        <w:effect w:val="none"/>
                                      </w:rPr>
                                      <w:t>86</w:t>
                                    </w:r>
                                  </w:hyperlink>
                                </w:p>
                              </w:tc>
                            </w:tr>
                            <w:tr>
                              <w:trPr/>
                              <w:tc>
                                <w:tcPr>
                                  <w:tcW w:w="8450" w:type="dxa"/>
                                  <w:tcBorders>
                                    <w:bottom w:val="single" w:sz="8" w:space="0" w:color="000000"/>
                                  </w:tcBorders>
                                  <w:shd w:fill="auto" w:val="clear"/>
                                  <w:tcMar>
                                    <w:bottom w:w="40" w:type="dxa"/>
                                  </w:tcMar>
                                  <w:vAlign w:val="center"/>
                                </w:tcPr>
                                <w:p>
                                  <w:pPr>
                                    <w:pStyle w:val="TableContents"/>
                                    <w:spacing w:before="0" w:after="283"/>
                                    <w:jc w:val="left"/>
                                    <w:rPr/>
                                  </w:pPr>
                                  <w:hyperlink w:anchor="relatedpartytransactions">
                                    <w:r>
                                      <w:rPr>
                                        <w:rStyle w:val="InternetLink"/>
                                        <w:rFonts w:ascii="Arial" w:hAnsi="Arial"/>
                                        <w:b/>
                                        <w:strike w:val="false"/>
                                        <w:dstrike w:val="false"/>
                                        <w:color w:val="000000"/>
                                        <w:sz w:val="20"/>
                                        <w:u w:val="none"/>
                                        <w:effect w:val="none"/>
                                      </w:rPr>
                                      <w:t xml:space="preserve">Related Party Transactions Policy and Certain Transactions </w:t>
                                    </w:r>
                                  </w:hyperlink>
                                </w:p>
                              </w:tc>
                              <w:tc>
                                <w:tcPr>
                                  <w:tcW w:w="30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345" w:type="dxa"/>
                                  <w:tcBorders>
                                    <w:bottom w:val="single" w:sz="8" w:space="0" w:color="000000"/>
                                  </w:tcBorders>
                                  <w:shd w:fill="auto" w:val="clear"/>
                                  <w:tcMar>
                                    <w:bottom w:w="40" w:type="dxa"/>
                                  </w:tcMar>
                                  <w:vAlign w:val="center"/>
                                </w:tcPr>
                                <w:p>
                                  <w:pPr>
                                    <w:pStyle w:val="TableContents"/>
                                    <w:spacing w:before="0" w:after="283"/>
                                    <w:jc w:val="right"/>
                                    <w:rPr/>
                                  </w:pPr>
                                  <w:hyperlink w:anchor="relatedpartytransactions">
                                    <w:r>
                                      <w:rPr>
                                        <w:rStyle w:val="InternetLink"/>
                                        <w:rFonts w:ascii="Arial" w:hAnsi="Arial"/>
                                        <w:b/>
                                        <w:strike w:val="false"/>
                                        <w:dstrike w:val="false"/>
                                        <w:color w:val="000000"/>
                                        <w:sz w:val="20"/>
                                        <w:u w:val="none"/>
                                        <w:effect w:val="none"/>
                                      </w:rPr>
                                      <w:t>87</w:t>
                                    </w:r>
                                  </w:hyperlink>
                                </w:p>
                              </w:tc>
                            </w:tr>
                            <w:tr>
                              <w:trPr/>
                              <w:tc>
                                <w:tcPr>
                                  <w:tcW w:w="8450" w:type="dxa"/>
                                  <w:tcBorders>
                                    <w:bottom w:val="single" w:sz="8" w:space="0" w:color="000000"/>
                                  </w:tcBorders>
                                  <w:shd w:fill="auto" w:val="clear"/>
                                  <w:tcMar>
                                    <w:bottom w:w="40" w:type="dxa"/>
                                  </w:tcMar>
                                  <w:vAlign w:val="center"/>
                                </w:tcPr>
                                <w:p>
                                  <w:pPr>
                                    <w:pStyle w:val="TableContents"/>
                                    <w:spacing w:before="0" w:after="283"/>
                                    <w:jc w:val="left"/>
                                    <w:rPr/>
                                  </w:pPr>
                                  <w:hyperlink w:anchor="otherinformation">
                                    <w:r>
                                      <w:rPr>
                                        <w:rStyle w:val="InternetLink"/>
                                        <w:rFonts w:ascii="Arial" w:hAnsi="Arial"/>
                                        <w:b/>
                                        <w:strike w:val="false"/>
                                        <w:dstrike w:val="false"/>
                                        <w:color w:val="000000"/>
                                        <w:sz w:val="20"/>
                                        <w:u w:val="none"/>
                                        <w:effect w:val="none"/>
                                      </w:rPr>
                                      <w:t xml:space="preserve">Other Information </w:t>
                                    </w:r>
                                  </w:hyperlink>
                                </w:p>
                              </w:tc>
                              <w:tc>
                                <w:tcPr>
                                  <w:tcW w:w="30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345" w:type="dxa"/>
                                  <w:tcBorders>
                                    <w:bottom w:val="single" w:sz="8" w:space="0" w:color="000000"/>
                                  </w:tcBorders>
                                  <w:shd w:fill="auto" w:val="clear"/>
                                  <w:tcMar>
                                    <w:bottom w:w="40" w:type="dxa"/>
                                  </w:tcMar>
                                  <w:vAlign w:val="center"/>
                                </w:tcPr>
                                <w:p>
                                  <w:pPr>
                                    <w:pStyle w:val="TableContents"/>
                                    <w:spacing w:before="0" w:after="283"/>
                                    <w:jc w:val="right"/>
                                    <w:rPr/>
                                  </w:pPr>
                                  <w:hyperlink w:anchor="otherinformation">
                                    <w:r>
                                      <w:rPr>
                                        <w:rStyle w:val="InternetLink"/>
                                        <w:rFonts w:ascii="Arial" w:hAnsi="Arial"/>
                                        <w:b/>
                                        <w:strike w:val="false"/>
                                        <w:dstrike w:val="false"/>
                                        <w:color w:val="000000"/>
                                        <w:sz w:val="20"/>
                                        <w:u w:val="none"/>
                                        <w:effect w:val="none"/>
                                      </w:rPr>
                                      <w:t>88</w:t>
                                    </w:r>
                                  </w:hyperlink>
                                </w:p>
                              </w:tc>
                            </w:tr>
                            <w:tr>
                              <w:trPr/>
                              <w:tc>
                                <w:tcPr>
                                  <w:tcW w:w="8450" w:type="dxa"/>
                                  <w:tcBorders>
                                    <w:bottom w:val="single" w:sz="8" w:space="0" w:color="000000"/>
                                  </w:tcBorders>
                                  <w:shd w:fill="auto" w:val="clear"/>
                                  <w:tcMar>
                                    <w:bottom w:w="40" w:type="dxa"/>
                                  </w:tcMar>
                                  <w:vAlign w:val="center"/>
                                </w:tcPr>
                                <w:p>
                                  <w:pPr>
                                    <w:pStyle w:val="TableContents"/>
                                    <w:spacing w:before="0" w:after="283"/>
                                    <w:jc w:val="left"/>
                                    <w:rPr/>
                                  </w:pPr>
                                  <w:hyperlink w:anchor="appendixa">
                                    <w:r>
                                      <w:rPr>
                                        <w:rStyle w:val="InternetLink"/>
                                        <w:rFonts w:ascii="Arial" w:hAnsi="Arial"/>
                                        <w:strike w:val="false"/>
                                        <w:dstrike w:val="false"/>
                                        <w:color w:val="000000"/>
                                        <w:sz w:val="20"/>
                                        <w:u w:val="none"/>
                                        <w:effect w:val="none"/>
                                      </w:rPr>
                                      <w:t xml:space="preserve">Appendix A: Reconciliations of Non-GAAP Financial Measures </w:t>
                                    </w:r>
                                  </w:hyperlink>
                                </w:p>
                              </w:tc>
                              <w:tc>
                                <w:tcPr>
                                  <w:tcW w:w="30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345" w:type="dxa"/>
                                  <w:tcBorders>
                                    <w:bottom w:val="single" w:sz="8" w:space="0" w:color="000000"/>
                                  </w:tcBorders>
                                  <w:shd w:fill="auto" w:val="clear"/>
                                  <w:tcMar>
                                    <w:bottom w:w="40" w:type="dxa"/>
                                  </w:tcMar>
                                  <w:vAlign w:val="center"/>
                                </w:tcPr>
                                <w:p>
                                  <w:pPr>
                                    <w:pStyle w:val="TableContents"/>
                                    <w:spacing w:before="0" w:after="283"/>
                                    <w:jc w:val="right"/>
                                    <w:rPr/>
                                  </w:pPr>
                                  <w:hyperlink w:anchor="appendixa">
                                    <w:r>
                                      <w:rPr>
                                        <w:rStyle w:val="InternetLink"/>
                                        <w:rFonts w:ascii="Arial" w:hAnsi="Arial"/>
                                        <w:strike w:val="false"/>
                                        <w:dstrike w:val="false"/>
                                        <w:color w:val="000000"/>
                                        <w:sz w:val="20"/>
                                        <w:u w:val="none"/>
                                        <w:effect w:val="none"/>
                                      </w:rPr>
                                      <w:t>A-1</w:t>
                                    </w:r>
                                  </w:hyperlink>
                                </w:p>
                              </w:tc>
                            </w:tr>
                            <w:tr>
                              <w:trPr/>
                              <w:tc>
                                <w:tcPr>
                                  <w:tcW w:w="8450" w:type="dxa"/>
                                  <w:tcBorders>
                                    <w:bottom w:val="single" w:sz="8" w:space="0" w:color="000000"/>
                                  </w:tcBorders>
                                  <w:shd w:fill="auto" w:val="clear"/>
                                  <w:tcMar>
                                    <w:bottom w:w="40" w:type="dxa"/>
                                  </w:tcMar>
                                  <w:vAlign w:val="center"/>
                                </w:tcPr>
                                <w:p>
                                  <w:pPr>
                                    <w:pStyle w:val="TableContents"/>
                                    <w:spacing w:before="0" w:after="283"/>
                                    <w:jc w:val="left"/>
                                    <w:rPr/>
                                  </w:pPr>
                                  <w:hyperlink w:anchor="appendixb">
                                    <w:r>
                                      <w:rPr>
                                        <w:rStyle w:val="InternetLink"/>
                                        <w:rFonts w:ascii="Arial" w:hAnsi="Arial"/>
                                        <w:strike w:val="false"/>
                                        <w:dstrike w:val="false"/>
                                        <w:color w:val="000000"/>
                                        <w:sz w:val="20"/>
                                        <w:u w:val="none"/>
                                        <w:effect w:val="none"/>
                                      </w:rPr>
                                      <w:t xml:space="preserve">Appendix B: Nasdaq Board Diversity Matrix </w:t>
                                    </w:r>
                                  </w:hyperlink>
                                </w:p>
                              </w:tc>
                              <w:tc>
                                <w:tcPr>
                                  <w:tcW w:w="30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345" w:type="dxa"/>
                                  <w:tcBorders>
                                    <w:bottom w:val="single" w:sz="8" w:space="0" w:color="000000"/>
                                  </w:tcBorders>
                                  <w:shd w:fill="auto" w:val="clear"/>
                                  <w:tcMar>
                                    <w:bottom w:w="40" w:type="dxa"/>
                                  </w:tcMar>
                                  <w:vAlign w:val="center"/>
                                </w:tcPr>
                                <w:p>
                                  <w:pPr>
                                    <w:pStyle w:val="TableContents"/>
                                    <w:spacing w:before="0" w:after="283"/>
                                    <w:jc w:val="right"/>
                                    <w:rPr/>
                                  </w:pPr>
                                  <w:hyperlink w:anchor="appendixb">
                                    <w:r>
                                      <w:rPr>
                                        <w:rStyle w:val="InternetLink"/>
                                        <w:rFonts w:ascii="Arial" w:hAnsi="Arial"/>
                                        <w:strike w:val="false"/>
                                        <w:dstrike w:val="false"/>
                                        <w:color w:val="000000"/>
                                        <w:sz w:val="20"/>
                                        <w:u w:val="none"/>
                                        <w:effect w:val="none"/>
                                      </w:rPr>
                                      <w:t>B-1</w:t>
                                    </w:r>
                                  </w:hyperlink>
                                </w:p>
                              </w:tc>
                            </w:tr>
                            <w:tr>
                              <w:trPr/>
                              <w:tc>
                                <w:tcPr>
                                  <w:tcW w:w="8450" w:type="dxa"/>
                                  <w:tcBorders>
                                    <w:bottom w:val="single" w:sz="8" w:space="0" w:color="000000"/>
                                  </w:tcBorders>
                                  <w:shd w:fill="auto" w:val="clear"/>
                                  <w:tcMar>
                                    <w:bottom w:w="40" w:type="dxa"/>
                                  </w:tcMar>
                                  <w:vAlign w:val="center"/>
                                </w:tcPr>
                                <w:p>
                                  <w:pPr>
                                    <w:pStyle w:val="TableContents"/>
                                    <w:spacing w:before="0" w:after="283"/>
                                    <w:jc w:val="left"/>
                                    <w:rPr/>
                                  </w:pPr>
                                  <w:hyperlink w:anchor="appendixc">
                                    <w:r>
                                      <w:rPr>
                                        <w:rStyle w:val="InternetLink"/>
                                        <w:rFonts w:ascii="Arial" w:hAnsi="Arial"/>
                                        <w:strike w:val="false"/>
                                        <w:dstrike w:val="false"/>
                                        <w:color w:val="000000"/>
                                        <w:sz w:val="20"/>
                                        <w:u w:val="none"/>
                                        <w:effect w:val="none"/>
                                      </w:rPr>
                                      <w:t xml:space="preserve">Appendix C: Comcast Corporation 2023 Omnibus Equity Incentive Plan </w:t>
                                    </w:r>
                                  </w:hyperlink>
                                </w:p>
                              </w:tc>
                              <w:tc>
                                <w:tcPr>
                                  <w:tcW w:w="30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345" w:type="dxa"/>
                                  <w:tcBorders>
                                    <w:bottom w:val="single" w:sz="8" w:space="0" w:color="000000"/>
                                  </w:tcBorders>
                                  <w:shd w:fill="auto" w:val="clear"/>
                                  <w:tcMar>
                                    <w:bottom w:w="40" w:type="dxa"/>
                                  </w:tcMar>
                                  <w:vAlign w:val="center"/>
                                </w:tcPr>
                                <w:p>
                                  <w:pPr>
                                    <w:pStyle w:val="TableContents"/>
                                    <w:spacing w:before="0" w:after="283"/>
                                    <w:jc w:val="right"/>
                                    <w:rPr/>
                                  </w:pPr>
                                  <w:hyperlink w:anchor="appendixc">
                                    <w:r>
                                      <w:rPr>
                                        <w:rStyle w:val="InternetLink"/>
                                        <w:rFonts w:ascii="Arial" w:hAnsi="Arial"/>
                                        <w:strike w:val="false"/>
                                        <w:dstrike w:val="false"/>
                                        <w:color w:val="000000"/>
                                        <w:sz w:val="20"/>
                                        <w:u w:val="none"/>
                                        <w:effect w:val="none"/>
                                      </w:rPr>
                                      <w:t>C-1</w:t>
                                    </w:r>
                                  </w:hyperlink>
                                </w:p>
                              </w:tc>
                            </w:tr>
                            <w:tr>
                              <w:trPr/>
                              <w:tc>
                                <w:tcPr>
                                  <w:tcW w:w="8450" w:type="dxa"/>
                                  <w:tcBorders>
                                    <w:bottom w:val="single" w:sz="8" w:space="0" w:color="000000"/>
                                  </w:tcBorders>
                                  <w:shd w:fill="auto" w:val="clear"/>
                                  <w:tcMar>
                                    <w:bottom w:w="40" w:type="dxa"/>
                                  </w:tcMar>
                                  <w:vAlign w:val="center"/>
                                </w:tcPr>
                                <w:p>
                                  <w:pPr>
                                    <w:pStyle w:val="TableContents"/>
                                    <w:spacing w:before="0" w:after="283"/>
                                    <w:jc w:val="left"/>
                                    <w:rPr/>
                                  </w:pPr>
                                  <w:hyperlink w:anchor="appendixd">
                                    <w:r>
                                      <w:rPr>
                                        <w:rStyle w:val="InternetLink"/>
                                        <w:rFonts w:ascii="Arial" w:hAnsi="Arial"/>
                                        <w:strike w:val="false"/>
                                        <w:dstrike w:val="false"/>
                                        <w:color w:val="000000"/>
                                        <w:sz w:val="20"/>
                                        <w:u w:val="none"/>
                                        <w:effect w:val="none"/>
                                      </w:rPr>
                                      <w:t xml:space="preserve">Appendix D: Amended and Restated Comcast Corporation 2002 Employee Stock Purchase Plan </w:t>
                                    </w:r>
                                  </w:hyperlink>
                                </w:p>
                              </w:tc>
                              <w:tc>
                                <w:tcPr>
                                  <w:tcW w:w="30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345" w:type="dxa"/>
                                  <w:tcBorders>
                                    <w:bottom w:val="single" w:sz="8" w:space="0" w:color="000000"/>
                                  </w:tcBorders>
                                  <w:shd w:fill="auto" w:val="clear"/>
                                  <w:tcMar>
                                    <w:bottom w:w="40" w:type="dxa"/>
                                  </w:tcMar>
                                  <w:vAlign w:val="center"/>
                                </w:tcPr>
                                <w:p>
                                  <w:pPr>
                                    <w:pStyle w:val="TableContents"/>
                                    <w:spacing w:before="0" w:after="283"/>
                                    <w:jc w:val="right"/>
                                    <w:rPr/>
                                  </w:pPr>
                                  <w:hyperlink w:anchor="appendixd">
                                    <w:r>
                                      <w:rPr>
                                        <w:rStyle w:val="InternetLink"/>
                                        <w:rFonts w:ascii="Arial" w:hAnsi="Arial"/>
                                        <w:strike w:val="false"/>
                                        <w:dstrike w:val="false"/>
                                        <w:color w:val="000000"/>
                                        <w:sz w:val="20"/>
                                        <w:u w:val="none"/>
                                        <w:effect w:val="none"/>
                                      </w:rPr>
                                      <w:t>D-1</w:t>
                                    </w:r>
                                  </w:hyperlink>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01.25pt;mso-wrap-distance-left:0pt;mso-wrap-distance-right:0pt;mso-wrap-distance-top:0pt;mso-wrap-distance-bottom:0pt;margin-top:0pt;mso-position-vertical:top;mso-position-vertical-relative:text;margin-left:265.35pt;mso-position-horizontal:right;mso-position-horizontal-relative:text">
                <v:textbox>
                  <w:txbxContent>
                    <w:tbl>
                      <w:tblPr>
                        <w:tblW w:w="9095" w:type="dxa"/>
                        <w:jc w:val="left"/>
                        <w:tblInd w:w="0" w:type="dxa"/>
                        <w:tblCellMar>
                          <w:top w:w="0" w:type="dxa"/>
                          <w:left w:w="0" w:type="dxa"/>
                          <w:bottom w:w="0" w:type="dxa"/>
                          <w:right w:w="0" w:type="dxa"/>
                        </w:tblCellMar>
                      </w:tblPr>
                      <w:tblGrid>
                        <w:gridCol w:w="8450"/>
                        <w:gridCol w:w="300"/>
                        <w:gridCol w:w="345"/>
                      </w:tblGrid>
                      <w:tr>
                        <w:trPr/>
                        <w:tc>
                          <w:tcPr>
                            <w:tcW w:w="8450" w:type="dxa"/>
                            <w:tcBorders/>
                            <w:shd w:fill="auto" w:val="clear"/>
                            <w:vAlign w:val="center"/>
                          </w:tcPr>
                          <w:p>
                            <w:pPr>
                              <w:pStyle w:val="TableContents"/>
                              <w:spacing w:before="0" w:after="283"/>
                              <w:jc w:val="left"/>
                              <w:rPr/>
                            </w:pPr>
                            <w:hyperlink w:anchor="executivecompensationtable">
                              <w:r>
                                <w:rPr>
                                  <w:rStyle w:val="InternetLink"/>
                                  <w:rFonts w:ascii="Arial" w:hAnsi="Arial"/>
                                  <w:strike w:val="false"/>
                                  <w:dstrike w:val="false"/>
                                  <w:color w:val="000000"/>
                                  <w:sz w:val="20"/>
                                  <w:u w:val="none"/>
                                  <w:effect w:val="none"/>
                                </w:rPr>
                                <w:t xml:space="preserve">Executive Compensation Tables </w:t>
                              </w:r>
                            </w:hyperlink>
                          </w:p>
                        </w:tc>
                        <w:tc>
                          <w:tcPr>
                            <w:tcW w:w="300" w:type="dxa"/>
                            <w:tcBorders/>
                            <w:shd w:fill="auto" w:val="clear"/>
                            <w:vAlign w:val="center"/>
                          </w:tcPr>
                          <w:p>
                            <w:pPr>
                              <w:pStyle w:val="TableContents"/>
                              <w:spacing w:before="0" w:after="283"/>
                              <w:jc w:val="left"/>
                              <w:rPr/>
                            </w:pPr>
                            <w:r>
                              <w:rPr/>
                              <w:t>     </w:t>
                            </w:r>
                          </w:p>
                        </w:tc>
                        <w:tc>
                          <w:tcPr>
                            <w:tcW w:w="345" w:type="dxa"/>
                            <w:tcBorders/>
                            <w:shd w:fill="auto" w:val="clear"/>
                            <w:vAlign w:val="center"/>
                          </w:tcPr>
                          <w:p>
                            <w:pPr>
                              <w:pStyle w:val="TableContents"/>
                              <w:spacing w:before="0" w:after="283"/>
                              <w:jc w:val="right"/>
                              <w:rPr/>
                            </w:pPr>
                            <w:hyperlink w:anchor="executivecompensationtable">
                              <w:r>
                                <w:rPr>
                                  <w:rStyle w:val="InternetLink"/>
                                  <w:rFonts w:ascii="Arial" w:hAnsi="Arial"/>
                                  <w:strike w:val="false"/>
                                  <w:dstrike w:val="false"/>
                                  <w:color w:val="000000"/>
                                  <w:sz w:val="20"/>
                                  <w:u w:val="none"/>
                                  <w:effect w:val="none"/>
                                </w:rPr>
                                <w:t>54</w:t>
                              </w:r>
                            </w:hyperlink>
                          </w:p>
                        </w:tc>
                      </w:tr>
                      <w:tr>
                        <w:trPr/>
                        <w:tc>
                          <w:tcPr>
                            <w:tcW w:w="8450" w:type="dxa"/>
                            <w:tcBorders/>
                            <w:shd w:fill="auto" w:val="clear"/>
                            <w:vAlign w:val="center"/>
                          </w:tcPr>
                          <w:p>
                            <w:pPr>
                              <w:pStyle w:val="TableContents"/>
                              <w:spacing w:before="0" w:after="283"/>
                              <w:jc w:val="left"/>
                              <w:rPr/>
                            </w:pPr>
                            <w:hyperlink w:anchor="summarycompensationtable">
                              <w:r>
                                <w:rPr>
                                  <w:rStyle w:val="InternetLink"/>
                                  <w:rFonts w:ascii="Arial" w:hAnsi="Arial"/>
                                  <w:strike w:val="false"/>
                                  <w:dstrike w:val="false"/>
                                  <w:color w:val="000000"/>
                                  <w:sz w:val="20"/>
                                  <w:u w:val="none"/>
                                  <w:effect w:val="none"/>
                                </w:rPr>
                                <w:t xml:space="preserve">Summary Compensation Table </w:t>
                              </w:r>
                            </w:hyperlink>
                          </w:p>
                        </w:tc>
                        <w:tc>
                          <w:tcPr>
                            <w:tcW w:w="300"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jc w:val="right"/>
                              <w:rPr/>
                            </w:pPr>
                            <w:hyperlink w:anchor="summarycompensationtable">
                              <w:r>
                                <w:rPr>
                                  <w:rStyle w:val="InternetLink"/>
                                  <w:rFonts w:ascii="Arial" w:hAnsi="Arial"/>
                                  <w:strike w:val="false"/>
                                  <w:dstrike w:val="false"/>
                                  <w:color w:val="000000"/>
                                  <w:sz w:val="20"/>
                                  <w:u w:val="none"/>
                                  <w:effect w:val="none"/>
                                </w:rPr>
                                <w:t>54</w:t>
                              </w:r>
                            </w:hyperlink>
                          </w:p>
                        </w:tc>
                      </w:tr>
                      <w:tr>
                        <w:trPr/>
                        <w:tc>
                          <w:tcPr>
                            <w:tcW w:w="8450" w:type="dxa"/>
                            <w:tcBorders/>
                            <w:shd w:fill="auto" w:val="clear"/>
                            <w:vAlign w:val="center"/>
                          </w:tcPr>
                          <w:p>
                            <w:pPr>
                              <w:pStyle w:val="TableContents"/>
                              <w:spacing w:before="0" w:after="283"/>
                              <w:jc w:val="left"/>
                              <w:rPr/>
                            </w:pPr>
                            <w:hyperlink w:anchor="grantsplanbasedaward">
                              <w:r>
                                <w:rPr>
                                  <w:rStyle w:val="InternetLink"/>
                                  <w:rFonts w:ascii="Arial" w:hAnsi="Arial"/>
                                  <w:strike w:val="false"/>
                                  <w:dstrike w:val="false"/>
                                  <w:color w:val="000000"/>
                                  <w:sz w:val="20"/>
                                  <w:u w:val="none"/>
                                  <w:effect w:val="none"/>
                                </w:rPr>
                                <w:t xml:space="preserve">Grants of Plan-Based Awards </w:t>
                              </w:r>
                            </w:hyperlink>
                          </w:p>
                        </w:tc>
                        <w:tc>
                          <w:tcPr>
                            <w:tcW w:w="300"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jc w:val="right"/>
                              <w:rPr/>
                            </w:pPr>
                            <w:hyperlink w:anchor="grantsplanbasedaward">
                              <w:r>
                                <w:rPr>
                                  <w:rStyle w:val="InternetLink"/>
                                  <w:rFonts w:ascii="Arial" w:hAnsi="Arial"/>
                                  <w:strike w:val="false"/>
                                  <w:dstrike w:val="false"/>
                                  <w:color w:val="000000"/>
                                  <w:sz w:val="20"/>
                                  <w:u w:val="none"/>
                                  <w:effect w:val="none"/>
                                </w:rPr>
                                <w:t>55</w:t>
                              </w:r>
                            </w:hyperlink>
                          </w:p>
                        </w:tc>
                      </w:tr>
                      <w:tr>
                        <w:trPr/>
                        <w:tc>
                          <w:tcPr>
                            <w:tcW w:w="8450" w:type="dxa"/>
                            <w:tcBorders/>
                            <w:shd w:fill="auto" w:val="clear"/>
                            <w:vAlign w:val="center"/>
                          </w:tcPr>
                          <w:p>
                            <w:pPr>
                              <w:pStyle w:val="TableContents"/>
                              <w:spacing w:before="0" w:after="283"/>
                              <w:jc w:val="left"/>
                              <w:rPr/>
                            </w:pPr>
                            <w:hyperlink w:anchor="outstandingequityawards">
                              <w:r>
                                <w:rPr>
                                  <w:rStyle w:val="InternetLink"/>
                                  <w:rFonts w:ascii="Arial" w:hAnsi="Arial"/>
                                  <w:strike w:val="false"/>
                                  <w:dstrike w:val="false"/>
                                  <w:color w:val="000000"/>
                                  <w:sz w:val="20"/>
                                  <w:u w:val="none"/>
                                  <w:effect w:val="none"/>
                                </w:rPr>
                                <w:t xml:space="preserve">Outstanding Equity Awards at Fiscal Year-End </w:t>
                              </w:r>
                            </w:hyperlink>
                          </w:p>
                        </w:tc>
                        <w:tc>
                          <w:tcPr>
                            <w:tcW w:w="300"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jc w:val="right"/>
                              <w:rPr/>
                            </w:pPr>
                            <w:hyperlink w:anchor="outstandingequityawards">
                              <w:r>
                                <w:rPr>
                                  <w:rStyle w:val="InternetLink"/>
                                  <w:rFonts w:ascii="Arial" w:hAnsi="Arial"/>
                                  <w:strike w:val="false"/>
                                  <w:dstrike w:val="false"/>
                                  <w:color w:val="000000"/>
                                  <w:sz w:val="20"/>
                                  <w:u w:val="none"/>
                                  <w:effect w:val="none"/>
                                </w:rPr>
                                <w:t>57</w:t>
                              </w:r>
                            </w:hyperlink>
                          </w:p>
                        </w:tc>
                      </w:tr>
                      <w:tr>
                        <w:trPr/>
                        <w:tc>
                          <w:tcPr>
                            <w:tcW w:w="8450" w:type="dxa"/>
                            <w:tcBorders/>
                            <w:shd w:fill="auto" w:val="clear"/>
                            <w:vAlign w:val="center"/>
                          </w:tcPr>
                          <w:p>
                            <w:pPr>
                              <w:pStyle w:val="TableContents"/>
                              <w:spacing w:before="0" w:after="283"/>
                              <w:jc w:val="left"/>
                              <w:rPr/>
                            </w:pPr>
                            <w:hyperlink w:anchor="optionexercises">
                              <w:r>
                                <w:rPr>
                                  <w:rStyle w:val="InternetLink"/>
                                  <w:rFonts w:ascii="Arial" w:hAnsi="Arial"/>
                                  <w:strike w:val="false"/>
                                  <w:dstrike w:val="false"/>
                                  <w:color w:val="000000"/>
                                  <w:sz w:val="20"/>
                                  <w:u w:val="none"/>
                                  <w:effect w:val="none"/>
                                </w:rPr>
                                <w:t xml:space="preserve">Option Exercises and Stock Vested </w:t>
                              </w:r>
                            </w:hyperlink>
                          </w:p>
                        </w:tc>
                        <w:tc>
                          <w:tcPr>
                            <w:tcW w:w="300"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jc w:val="right"/>
                              <w:rPr/>
                            </w:pPr>
                            <w:hyperlink w:anchor="optionexercises">
                              <w:r>
                                <w:rPr>
                                  <w:rStyle w:val="InternetLink"/>
                                  <w:rFonts w:ascii="Arial" w:hAnsi="Arial"/>
                                  <w:strike w:val="false"/>
                                  <w:dstrike w:val="false"/>
                                  <w:color w:val="000000"/>
                                  <w:sz w:val="20"/>
                                  <w:u w:val="none"/>
                                  <w:effect w:val="none"/>
                                </w:rPr>
                                <w:t>59</w:t>
                              </w:r>
                            </w:hyperlink>
                          </w:p>
                        </w:tc>
                      </w:tr>
                      <w:tr>
                        <w:trPr/>
                        <w:tc>
                          <w:tcPr>
                            <w:tcW w:w="8450" w:type="dxa"/>
                            <w:tcBorders/>
                            <w:shd w:fill="auto" w:val="clear"/>
                            <w:vAlign w:val="center"/>
                          </w:tcPr>
                          <w:p>
                            <w:pPr>
                              <w:pStyle w:val="TableContents"/>
                              <w:spacing w:before="0" w:after="283"/>
                              <w:jc w:val="left"/>
                              <w:rPr/>
                            </w:pPr>
                            <w:hyperlink w:anchor="nonqualifieddeferred">
                              <w:r>
                                <w:rPr>
                                  <w:rStyle w:val="InternetLink"/>
                                  <w:rFonts w:ascii="Arial" w:hAnsi="Arial"/>
                                  <w:strike w:val="false"/>
                                  <w:dstrike w:val="false"/>
                                  <w:color w:val="000000"/>
                                  <w:sz w:val="20"/>
                                  <w:u w:val="none"/>
                                  <w:effect w:val="none"/>
                                </w:rPr>
                                <w:t xml:space="preserve">Nonqualified Deferred Compensation in and as of Fiscal Year-End </w:t>
                              </w:r>
                            </w:hyperlink>
                          </w:p>
                        </w:tc>
                        <w:tc>
                          <w:tcPr>
                            <w:tcW w:w="300"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jc w:val="right"/>
                              <w:rPr/>
                            </w:pPr>
                            <w:hyperlink w:anchor="nonqualifieddeferred">
                              <w:r>
                                <w:rPr>
                                  <w:rStyle w:val="InternetLink"/>
                                  <w:rFonts w:ascii="Arial" w:hAnsi="Arial"/>
                                  <w:strike w:val="false"/>
                                  <w:dstrike w:val="false"/>
                                  <w:color w:val="000000"/>
                                  <w:sz w:val="20"/>
                                  <w:u w:val="none"/>
                                  <w:effect w:val="none"/>
                                </w:rPr>
                                <w:t>60</w:t>
                              </w:r>
                            </w:hyperlink>
                          </w:p>
                        </w:tc>
                      </w:tr>
                      <w:tr>
                        <w:trPr/>
                        <w:tc>
                          <w:tcPr>
                            <w:tcW w:w="8450" w:type="dxa"/>
                            <w:tcBorders/>
                            <w:shd w:fill="auto" w:val="clear"/>
                            <w:vAlign w:val="center"/>
                          </w:tcPr>
                          <w:p>
                            <w:pPr>
                              <w:pStyle w:val="TableContents"/>
                              <w:spacing w:before="0" w:after="283"/>
                              <w:jc w:val="left"/>
                              <w:rPr/>
                            </w:pPr>
                            <w:hyperlink w:anchor="agreementswithournamed">
                              <w:r>
                                <w:rPr>
                                  <w:rStyle w:val="InternetLink"/>
                                  <w:rFonts w:ascii="Arial" w:hAnsi="Arial"/>
                                  <w:strike w:val="false"/>
                                  <w:dstrike w:val="false"/>
                                  <w:color w:val="000000"/>
                                  <w:sz w:val="20"/>
                                  <w:u w:val="none"/>
                                  <w:effect w:val="none"/>
                                </w:rPr>
                                <w:t xml:space="preserve">Agreements with Our Named Executive Officers </w:t>
                              </w:r>
                            </w:hyperlink>
                          </w:p>
                        </w:tc>
                        <w:tc>
                          <w:tcPr>
                            <w:tcW w:w="300"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jc w:val="right"/>
                              <w:rPr/>
                            </w:pPr>
                            <w:hyperlink w:anchor="agreementswithournamed">
                              <w:r>
                                <w:rPr>
                                  <w:rStyle w:val="InternetLink"/>
                                  <w:rFonts w:ascii="Arial" w:hAnsi="Arial"/>
                                  <w:strike w:val="false"/>
                                  <w:dstrike w:val="false"/>
                                  <w:color w:val="000000"/>
                                  <w:sz w:val="20"/>
                                  <w:u w:val="none"/>
                                  <w:effect w:val="none"/>
                                </w:rPr>
                                <w:t>60</w:t>
                              </w:r>
                            </w:hyperlink>
                          </w:p>
                        </w:tc>
                      </w:tr>
                      <w:tr>
                        <w:trPr/>
                        <w:tc>
                          <w:tcPr>
                            <w:tcW w:w="8450" w:type="dxa"/>
                            <w:tcBorders/>
                            <w:shd w:fill="auto" w:val="clear"/>
                            <w:vAlign w:val="center"/>
                          </w:tcPr>
                          <w:p>
                            <w:pPr>
                              <w:pStyle w:val="TableContents"/>
                              <w:spacing w:before="0" w:after="283"/>
                              <w:jc w:val="left"/>
                              <w:rPr/>
                            </w:pPr>
                            <w:hyperlink w:anchor="potentialpayments">
                              <w:r>
                                <w:rPr>
                                  <w:rStyle w:val="InternetLink"/>
                                  <w:rFonts w:ascii="Arial" w:hAnsi="Arial"/>
                                  <w:strike w:val="false"/>
                                  <w:dstrike w:val="false"/>
                                  <w:color w:val="000000"/>
                                  <w:sz w:val="20"/>
                                  <w:u w:val="none"/>
                                  <w:effect w:val="none"/>
                                </w:rPr>
                                <w:t xml:space="preserve">Potential Payments upon Termination or Change in Control </w:t>
                              </w:r>
                            </w:hyperlink>
                          </w:p>
                        </w:tc>
                        <w:tc>
                          <w:tcPr>
                            <w:tcW w:w="300"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jc w:val="right"/>
                              <w:rPr/>
                            </w:pPr>
                            <w:hyperlink w:anchor="potentialpayments">
                              <w:r>
                                <w:rPr>
                                  <w:rStyle w:val="InternetLink"/>
                                  <w:rFonts w:ascii="Arial" w:hAnsi="Arial"/>
                                  <w:strike w:val="false"/>
                                  <w:dstrike w:val="false"/>
                                  <w:color w:val="000000"/>
                                  <w:sz w:val="20"/>
                                  <w:u w:val="none"/>
                                  <w:effect w:val="none"/>
                                </w:rPr>
                                <w:t>61</w:t>
                              </w:r>
                            </w:hyperlink>
                          </w:p>
                        </w:tc>
                      </w:tr>
                      <w:tr>
                        <w:trPr/>
                        <w:tc>
                          <w:tcPr>
                            <w:tcW w:w="8450" w:type="dxa"/>
                            <w:tcBorders/>
                            <w:shd w:fill="auto" w:val="clear"/>
                            <w:vAlign w:val="center"/>
                          </w:tcPr>
                          <w:p>
                            <w:pPr>
                              <w:pStyle w:val="TableContents"/>
                              <w:spacing w:before="0" w:after="283"/>
                              <w:jc w:val="left"/>
                              <w:rPr/>
                            </w:pPr>
                            <w:hyperlink w:anchor="equitycompensation">
                              <w:r>
                                <w:rPr>
                                  <w:rStyle w:val="InternetLink"/>
                                  <w:rFonts w:ascii="Arial" w:hAnsi="Arial"/>
                                  <w:strike w:val="false"/>
                                  <w:dstrike w:val="false"/>
                                  <w:color w:val="000000"/>
                                  <w:sz w:val="20"/>
                                  <w:u w:val="none"/>
                                  <w:effect w:val="none"/>
                                </w:rPr>
                                <w:t xml:space="preserve">Equity Compensation Plan Information </w:t>
                              </w:r>
                            </w:hyperlink>
                          </w:p>
                        </w:tc>
                        <w:tc>
                          <w:tcPr>
                            <w:tcW w:w="300"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jc w:val="right"/>
                              <w:rPr/>
                            </w:pPr>
                            <w:hyperlink w:anchor="equitycompensation">
                              <w:r>
                                <w:rPr>
                                  <w:rStyle w:val="InternetLink"/>
                                  <w:rFonts w:ascii="Arial" w:hAnsi="Arial"/>
                                  <w:strike w:val="false"/>
                                  <w:dstrike w:val="false"/>
                                  <w:color w:val="000000"/>
                                  <w:sz w:val="20"/>
                                  <w:u w:val="none"/>
                                  <w:effect w:val="none"/>
                                </w:rPr>
                                <w:t>63</w:t>
                              </w:r>
                            </w:hyperlink>
                          </w:p>
                        </w:tc>
                      </w:tr>
                      <w:tr>
                        <w:trPr/>
                        <w:tc>
                          <w:tcPr>
                            <w:tcW w:w="8450" w:type="dxa"/>
                            <w:tcBorders/>
                            <w:shd w:fill="auto" w:val="clear"/>
                            <w:vAlign w:val="center"/>
                          </w:tcPr>
                          <w:p>
                            <w:pPr>
                              <w:pStyle w:val="TableContents"/>
                              <w:spacing w:before="0" w:after="283"/>
                              <w:jc w:val="left"/>
                              <w:rPr/>
                            </w:pPr>
                            <w:hyperlink w:anchor="ceopayratio">
                              <w:r>
                                <w:rPr>
                                  <w:rStyle w:val="InternetLink"/>
                                  <w:rFonts w:ascii="Arial" w:hAnsi="Arial"/>
                                  <w:strike w:val="false"/>
                                  <w:dstrike w:val="false"/>
                                  <w:color w:val="000000"/>
                                  <w:sz w:val="20"/>
                                  <w:u w:val="none"/>
                                  <w:effect w:val="none"/>
                                </w:rPr>
                                <w:t xml:space="preserve">CEO Pay Ratio </w:t>
                              </w:r>
                            </w:hyperlink>
                          </w:p>
                        </w:tc>
                        <w:tc>
                          <w:tcPr>
                            <w:tcW w:w="300"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jc w:val="right"/>
                              <w:rPr/>
                            </w:pPr>
                            <w:hyperlink w:anchor="ceopayratio">
                              <w:r>
                                <w:rPr>
                                  <w:rStyle w:val="InternetLink"/>
                                  <w:rFonts w:ascii="Arial" w:hAnsi="Arial"/>
                                  <w:strike w:val="false"/>
                                  <w:dstrike w:val="false"/>
                                  <w:color w:val="000000"/>
                                  <w:sz w:val="20"/>
                                  <w:u w:val="none"/>
                                  <w:effect w:val="none"/>
                                </w:rPr>
                                <w:t>63</w:t>
                              </w:r>
                            </w:hyperlink>
                          </w:p>
                        </w:tc>
                      </w:tr>
                      <w:tr>
                        <w:trPr/>
                        <w:tc>
                          <w:tcPr>
                            <w:tcW w:w="8450" w:type="dxa"/>
                            <w:tcBorders/>
                            <w:shd w:fill="auto" w:val="clear"/>
                            <w:vAlign w:val="center"/>
                          </w:tcPr>
                          <w:p>
                            <w:pPr>
                              <w:pStyle w:val="TableContents"/>
                              <w:spacing w:before="0" w:after="283"/>
                              <w:jc w:val="left"/>
                              <w:rPr/>
                            </w:pPr>
                            <w:hyperlink w:anchor="payversusperformance">
                              <w:r>
                                <w:rPr>
                                  <w:rStyle w:val="InternetLink"/>
                                  <w:rFonts w:ascii="Arial" w:hAnsi="Arial"/>
                                  <w:strike w:val="false"/>
                                  <w:dstrike w:val="false"/>
                                  <w:color w:val="000000"/>
                                  <w:sz w:val="20"/>
                                  <w:u w:val="none"/>
                                  <w:effect w:val="none"/>
                                </w:rPr>
                                <w:t xml:space="preserve">Pay Versus Performance </w:t>
                              </w:r>
                            </w:hyperlink>
                          </w:p>
                        </w:tc>
                        <w:tc>
                          <w:tcPr>
                            <w:tcW w:w="300"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jc w:val="right"/>
                              <w:rPr/>
                            </w:pPr>
                            <w:hyperlink w:anchor="payversusperformance">
                              <w:r>
                                <w:rPr>
                                  <w:rStyle w:val="InternetLink"/>
                                  <w:rFonts w:ascii="Arial" w:hAnsi="Arial"/>
                                  <w:strike w:val="false"/>
                                  <w:dstrike w:val="false"/>
                                  <w:color w:val="000000"/>
                                  <w:sz w:val="20"/>
                                  <w:u w:val="none"/>
                                  <w:effect w:val="none"/>
                                </w:rPr>
                                <w:t>64</w:t>
                              </w:r>
                            </w:hyperlink>
                          </w:p>
                        </w:tc>
                      </w:tr>
                      <w:tr>
                        <w:trPr/>
                        <w:tc>
                          <w:tcPr>
                            <w:tcW w:w="8450" w:type="dxa"/>
                            <w:tcBorders>
                              <w:bottom w:val="single" w:sz="8" w:space="0" w:color="00A1E0"/>
                            </w:tcBorders>
                            <w:shd w:fill="auto" w:val="clear"/>
                            <w:tcMar>
                              <w:bottom w:w="40" w:type="dxa"/>
                            </w:tcMar>
                            <w:vAlign w:val="center"/>
                          </w:tcPr>
                          <w:p>
                            <w:pPr>
                              <w:pStyle w:val="TableContents"/>
                              <w:spacing w:before="0" w:after="283"/>
                              <w:jc w:val="left"/>
                              <w:rPr/>
                            </w:pPr>
                            <w:hyperlink w:anchor="proposal6">
                              <w:r>
                                <w:rPr>
                                  <w:rStyle w:val="InternetLink"/>
                                  <w:rFonts w:ascii="Arial" w:hAnsi="Arial"/>
                                  <w:b/>
                                  <w:strike w:val="false"/>
                                  <w:dstrike w:val="false"/>
                                  <w:color w:val="00A1E0"/>
                                  <w:sz w:val="20"/>
                                  <w:u w:val="none"/>
                                  <w:effect w:val="none"/>
                                </w:rPr>
                                <w:t xml:space="preserve">PROPOSAL 6: Advisory Vote on Frequency of Vote on Executive Compensation </w:t>
                              </w:r>
                            </w:hyperlink>
                          </w:p>
                        </w:tc>
                        <w:tc>
                          <w:tcPr>
                            <w:tcW w:w="300" w:type="dxa"/>
                            <w:tcBorders>
                              <w:bottom w:val="single" w:sz="8" w:space="0" w:color="00A1E0"/>
                            </w:tcBorders>
                            <w:shd w:fill="auto" w:val="clear"/>
                            <w:tcMar>
                              <w:bottom w:w="40" w:type="dxa"/>
                            </w:tcMar>
                            <w:vAlign w:val="center"/>
                          </w:tcPr>
                          <w:p>
                            <w:pPr>
                              <w:pStyle w:val="TableContents"/>
                              <w:spacing w:before="0" w:after="283"/>
                              <w:rPr>
                                <w:sz w:val="4"/>
                                <w:szCs w:val="4"/>
                              </w:rPr>
                            </w:pPr>
                            <w:r>
                              <w:rPr>
                                <w:sz w:val="4"/>
                                <w:szCs w:val="4"/>
                              </w:rPr>
                            </w:r>
                          </w:p>
                        </w:tc>
                        <w:tc>
                          <w:tcPr>
                            <w:tcW w:w="345" w:type="dxa"/>
                            <w:tcBorders>
                              <w:bottom w:val="single" w:sz="8" w:space="0" w:color="00A1E0"/>
                            </w:tcBorders>
                            <w:shd w:fill="auto" w:val="clear"/>
                            <w:tcMar>
                              <w:bottom w:w="40" w:type="dxa"/>
                            </w:tcMar>
                            <w:vAlign w:val="center"/>
                          </w:tcPr>
                          <w:p>
                            <w:pPr>
                              <w:pStyle w:val="TableContents"/>
                              <w:spacing w:before="0" w:after="283"/>
                              <w:jc w:val="right"/>
                              <w:rPr/>
                            </w:pPr>
                            <w:r>
                              <w:rPr/>
                              <w:drawing>
                                <wp:inline distT="0" distB="0" distL="0" distR="0">
                                  <wp:extent cx="219075" cy="209550"/>
                                  <wp:effectExtent l="0" t="0" r="0" b="0"/>
                                  <wp:docPr id="29"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1" descr=""/>
                                          <pic:cNvPicPr>
                                            <a:picLocks noChangeAspect="1" noChangeArrowheads="1"/>
                                          </pic:cNvPicPr>
                                        </pic:nvPicPr>
                                        <pic:blipFill>
                                          <a:blip r:embed="rId22"/>
                                          <a:srcRect l="-4597" t="-4810" r="-4597" b="-4810"/>
                                          <a:stretch>
                                            <a:fillRect/>
                                          </a:stretch>
                                        </pic:blipFill>
                                        <pic:spPr bwMode="auto">
                                          <a:xfrm>
                                            <a:off x="0" y="0"/>
                                            <a:ext cx="219075" cy="209550"/>
                                          </a:xfrm>
                                          <a:prstGeom prst="rect">
                                            <a:avLst/>
                                          </a:prstGeom>
                                          <a:ln w="635">
                                            <a:solidFill>
                                              <a:srgbClr val="000000"/>
                                            </a:solidFill>
                                          </a:ln>
                                        </pic:spPr>
                                      </pic:pic>
                                    </a:graphicData>
                                  </a:graphic>
                                </wp:inline>
                              </w:drawing>
                            </w:r>
                          </w:p>
                        </w:tc>
                      </w:tr>
                      <w:tr>
                        <w:trPr/>
                        <w:tc>
                          <w:tcPr>
                            <w:tcW w:w="8450" w:type="dxa"/>
                            <w:tcBorders>
                              <w:bottom w:val="single" w:sz="8" w:space="0" w:color="00A1E0"/>
                            </w:tcBorders>
                            <w:shd w:fill="auto" w:val="clear"/>
                            <w:tcMar>
                              <w:bottom w:w="40" w:type="dxa"/>
                            </w:tcMar>
                            <w:vAlign w:val="center"/>
                          </w:tcPr>
                          <w:p>
                            <w:pPr>
                              <w:pStyle w:val="TableContents"/>
                              <w:spacing w:before="0" w:after="283"/>
                              <w:jc w:val="left"/>
                              <w:rPr/>
                            </w:pPr>
                            <w:hyperlink w:anchor="proposal7">
                              <w:r>
                                <w:rPr>
                                  <w:rStyle w:val="InternetLink"/>
                                  <w:rFonts w:ascii="Arial" w:hAnsi="Arial"/>
                                  <w:b/>
                                  <w:strike w:val="false"/>
                                  <w:dstrike w:val="false"/>
                                  <w:color w:val="00A1E0"/>
                                  <w:sz w:val="20"/>
                                  <w:u w:val="none"/>
                                  <w:effect w:val="none"/>
                                </w:rPr>
                                <w:t xml:space="preserve">PROPOSALS 7-11: Shareholder Proposals </w:t>
                              </w:r>
                            </w:hyperlink>
                          </w:p>
                        </w:tc>
                        <w:tc>
                          <w:tcPr>
                            <w:tcW w:w="300" w:type="dxa"/>
                            <w:tcBorders>
                              <w:bottom w:val="single" w:sz="8" w:space="0" w:color="00A1E0"/>
                            </w:tcBorders>
                            <w:shd w:fill="auto" w:val="clear"/>
                            <w:tcMar>
                              <w:bottom w:w="40" w:type="dxa"/>
                            </w:tcMar>
                            <w:vAlign w:val="center"/>
                          </w:tcPr>
                          <w:p>
                            <w:pPr>
                              <w:pStyle w:val="TableContents"/>
                              <w:spacing w:before="0" w:after="283"/>
                              <w:rPr>
                                <w:sz w:val="4"/>
                                <w:szCs w:val="4"/>
                              </w:rPr>
                            </w:pPr>
                            <w:r>
                              <w:rPr>
                                <w:sz w:val="4"/>
                                <w:szCs w:val="4"/>
                              </w:rPr>
                            </w:r>
                          </w:p>
                        </w:tc>
                        <w:tc>
                          <w:tcPr>
                            <w:tcW w:w="345" w:type="dxa"/>
                            <w:tcBorders>
                              <w:bottom w:val="single" w:sz="8" w:space="0" w:color="00A1E0"/>
                            </w:tcBorders>
                            <w:shd w:fill="auto" w:val="clear"/>
                            <w:tcMar>
                              <w:bottom w:w="40" w:type="dxa"/>
                            </w:tcMar>
                            <w:vAlign w:val="center"/>
                          </w:tcPr>
                          <w:p>
                            <w:pPr>
                              <w:pStyle w:val="TableContents"/>
                              <w:spacing w:before="0" w:after="283"/>
                              <w:jc w:val="right"/>
                              <w:rPr/>
                            </w:pPr>
                            <w:hyperlink w:anchor="proposal7">
                              <w:r>
                                <w:rPr>
                                  <w:rStyle w:val="InternetLink"/>
                                  <w:rFonts w:ascii="Arial" w:hAnsi="Arial"/>
                                  <w:b/>
                                  <w:strike w:val="false"/>
                                  <w:dstrike w:val="false"/>
                                  <w:color w:val="00A1E0"/>
                                  <w:sz w:val="20"/>
                                  <w:u w:val="none"/>
                                  <w:effect w:val="none"/>
                                </w:rPr>
                                <w:t>66</w:t>
                              </w:r>
                            </w:hyperlink>
                          </w:p>
                        </w:tc>
                      </w:tr>
                      <w:tr>
                        <w:trPr/>
                        <w:tc>
                          <w:tcPr>
                            <w:tcW w:w="8450" w:type="dxa"/>
                            <w:tcBorders>
                              <w:bottom w:val="single" w:sz="8" w:space="0" w:color="000000"/>
                            </w:tcBorders>
                            <w:shd w:fill="auto" w:val="clear"/>
                            <w:tcMar>
                              <w:bottom w:w="40" w:type="dxa"/>
                            </w:tcMar>
                            <w:vAlign w:val="center"/>
                          </w:tcPr>
                          <w:p>
                            <w:pPr>
                              <w:pStyle w:val="TableContents"/>
                              <w:spacing w:before="0" w:after="283"/>
                              <w:jc w:val="left"/>
                              <w:rPr/>
                            </w:pPr>
                            <w:hyperlink w:anchor="informationaboutstock">
                              <w:r>
                                <w:rPr>
                                  <w:rStyle w:val="InternetLink"/>
                                  <w:rFonts w:ascii="Arial" w:hAnsi="Arial"/>
                                  <w:b/>
                                  <w:strike w:val="false"/>
                                  <w:dstrike w:val="false"/>
                                  <w:color w:val="000000"/>
                                  <w:sz w:val="20"/>
                                  <w:u w:val="none"/>
                                  <w:effect w:val="none"/>
                                </w:rPr>
                                <w:t xml:space="preserve">Information about Stock Ownership </w:t>
                              </w:r>
                            </w:hyperlink>
                          </w:p>
                        </w:tc>
                        <w:tc>
                          <w:tcPr>
                            <w:tcW w:w="30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345" w:type="dxa"/>
                            <w:tcBorders>
                              <w:bottom w:val="single" w:sz="8" w:space="0" w:color="000000"/>
                            </w:tcBorders>
                            <w:shd w:fill="auto" w:val="clear"/>
                            <w:tcMar>
                              <w:bottom w:w="40" w:type="dxa"/>
                            </w:tcMar>
                            <w:vAlign w:val="center"/>
                          </w:tcPr>
                          <w:p>
                            <w:pPr>
                              <w:pStyle w:val="TableContents"/>
                              <w:spacing w:before="0" w:after="283"/>
                              <w:jc w:val="right"/>
                              <w:rPr/>
                            </w:pPr>
                            <w:hyperlink w:anchor="informationaboutstock">
                              <w:r>
                                <w:rPr>
                                  <w:rStyle w:val="InternetLink"/>
                                  <w:rFonts w:ascii="Arial" w:hAnsi="Arial"/>
                                  <w:b/>
                                  <w:strike w:val="false"/>
                                  <w:dstrike w:val="false"/>
                                  <w:color w:val="000000"/>
                                  <w:sz w:val="20"/>
                                  <w:u w:val="none"/>
                                  <w:effect w:val="none"/>
                                </w:rPr>
                                <w:t>84</w:t>
                              </w:r>
                            </w:hyperlink>
                          </w:p>
                        </w:tc>
                      </w:tr>
                      <w:tr>
                        <w:trPr/>
                        <w:tc>
                          <w:tcPr>
                            <w:tcW w:w="8450" w:type="dxa"/>
                            <w:tcBorders>
                              <w:bottom w:val="single" w:sz="8" w:space="0" w:color="000000"/>
                            </w:tcBorders>
                            <w:shd w:fill="auto" w:val="clear"/>
                            <w:tcMar>
                              <w:bottom w:w="40" w:type="dxa"/>
                            </w:tcMar>
                            <w:vAlign w:val="center"/>
                          </w:tcPr>
                          <w:p>
                            <w:pPr>
                              <w:pStyle w:val="TableContents"/>
                              <w:spacing w:before="0" w:after="283"/>
                              <w:jc w:val="left"/>
                              <w:rPr/>
                            </w:pPr>
                            <w:hyperlink w:anchor="compensationofdirectors">
                              <w:r>
                                <w:rPr>
                                  <w:rStyle w:val="InternetLink"/>
                                  <w:rFonts w:ascii="Arial" w:hAnsi="Arial"/>
                                  <w:b/>
                                  <w:strike w:val="false"/>
                                  <w:dstrike w:val="false"/>
                                  <w:color w:val="000000"/>
                                  <w:sz w:val="20"/>
                                  <w:u w:val="none"/>
                                  <w:effect w:val="none"/>
                                </w:rPr>
                                <w:t xml:space="preserve">Compensation of Directors </w:t>
                              </w:r>
                            </w:hyperlink>
                          </w:p>
                        </w:tc>
                        <w:tc>
                          <w:tcPr>
                            <w:tcW w:w="30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345" w:type="dxa"/>
                            <w:tcBorders>
                              <w:bottom w:val="single" w:sz="8" w:space="0" w:color="000000"/>
                            </w:tcBorders>
                            <w:shd w:fill="auto" w:val="clear"/>
                            <w:tcMar>
                              <w:bottom w:w="40" w:type="dxa"/>
                            </w:tcMar>
                            <w:vAlign w:val="center"/>
                          </w:tcPr>
                          <w:p>
                            <w:pPr>
                              <w:pStyle w:val="TableContents"/>
                              <w:spacing w:before="0" w:after="283"/>
                              <w:jc w:val="right"/>
                              <w:rPr/>
                            </w:pPr>
                            <w:hyperlink w:anchor="compensationofdirectors">
                              <w:r>
                                <w:rPr>
                                  <w:rStyle w:val="InternetLink"/>
                                  <w:rFonts w:ascii="Arial" w:hAnsi="Arial"/>
                                  <w:b/>
                                  <w:strike w:val="false"/>
                                  <w:dstrike w:val="false"/>
                                  <w:color w:val="000000"/>
                                  <w:sz w:val="20"/>
                                  <w:u w:val="none"/>
                                  <w:effect w:val="none"/>
                                </w:rPr>
                                <w:t>86</w:t>
                              </w:r>
                            </w:hyperlink>
                          </w:p>
                        </w:tc>
                      </w:tr>
                      <w:tr>
                        <w:trPr/>
                        <w:tc>
                          <w:tcPr>
                            <w:tcW w:w="8450" w:type="dxa"/>
                            <w:tcBorders>
                              <w:bottom w:val="single" w:sz="8" w:space="0" w:color="000000"/>
                            </w:tcBorders>
                            <w:shd w:fill="auto" w:val="clear"/>
                            <w:tcMar>
                              <w:bottom w:w="40" w:type="dxa"/>
                            </w:tcMar>
                            <w:vAlign w:val="center"/>
                          </w:tcPr>
                          <w:p>
                            <w:pPr>
                              <w:pStyle w:val="TableContents"/>
                              <w:spacing w:before="0" w:after="283"/>
                              <w:jc w:val="left"/>
                              <w:rPr/>
                            </w:pPr>
                            <w:hyperlink w:anchor="relatedpartytransactions">
                              <w:r>
                                <w:rPr>
                                  <w:rStyle w:val="InternetLink"/>
                                  <w:rFonts w:ascii="Arial" w:hAnsi="Arial"/>
                                  <w:b/>
                                  <w:strike w:val="false"/>
                                  <w:dstrike w:val="false"/>
                                  <w:color w:val="000000"/>
                                  <w:sz w:val="20"/>
                                  <w:u w:val="none"/>
                                  <w:effect w:val="none"/>
                                </w:rPr>
                                <w:t xml:space="preserve">Related Party Transactions Policy and Certain Transactions </w:t>
                              </w:r>
                            </w:hyperlink>
                          </w:p>
                        </w:tc>
                        <w:tc>
                          <w:tcPr>
                            <w:tcW w:w="30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345" w:type="dxa"/>
                            <w:tcBorders>
                              <w:bottom w:val="single" w:sz="8" w:space="0" w:color="000000"/>
                            </w:tcBorders>
                            <w:shd w:fill="auto" w:val="clear"/>
                            <w:tcMar>
                              <w:bottom w:w="40" w:type="dxa"/>
                            </w:tcMar>
                            <w:vAlign w:val="center"/>
                          </w:tcPr>
                          <w:p>
                            <w:pPr>
                              <w:pStyle w:val="TableContents"/>
                              <w:spacing w:before="0" w:after="283"/>
                              <w:jc w:val="right"/>
                              <w:rPr/>
                            </w:pPr>
                            <w:hyperlink w:anchor="relatedpartytransactions">
                              <w:r>
                                <w:rPr>
                                  <w:rStyle w:val="InternetLink"/>
                                  <w:rFonts w:ascii="Arial" w:hAnsi="Arial"/>
                                  <w:b/>
                                  <w:strike w:val="false"/>
                                  <w:dstrike w:val="false"/>
                                  <w:color w:val="000000"/>
                                  <w:sz w:val="20"/>
                                  <w:u w:val="none"/>
                                  <w:effect w:val="none"/>
                                </w:rPr>
                                <w:t>87</w:t>
                              </w:r>
                            </w:hyperlink>
                          </w:p>
                        </w:tc>
                      </w:tr>
                      <w:tr>
                        <w:trPr/>
                        <w:tc>
                          <w:tcPr>
                            <w:tcW w:w="8450" w:type="dxa"/>
                            <w:tcBorders>
                              <w:bottom w:val="single" w:sz="8" w:space="0" w:color="000000"/>
                            </w:tcBorders>
                            <w:shd w:fill="auto" w:val="clear"/>
                            <w:tcMar>
                              <w:bottom w:w="40" w:type="dxa"/>
                            </w:tcMar>
                            <w:vAlign w:val="center"/>
                          </w:tcPr>
                          <w:p>
                            <w:pPr>
                              <w:pStyle w:val="TableContents"/>
                              <w:spacing w:before="0" w:after="283"/>
                              <w:jc w:val="left"/>
                              <w:rPr/>
                            </w:pPr>
                            <w:hyperlink w:anchor="otherinformation">
                              <w:r>
                                <w:rPr>
                                  <w:rStyle w:val="InternetLink"/>
                                  <w:rFonts w:ascii="Arial" w:hAnsi="Arial"/>
                                  <w:b/>
                                  <w:strike w:val="false"/>
                                  <w:dstrike w:val="false"/>
                                  <w:color w:val="000000"/>
                                  <w:sz w:val="20"/>
                                  <w:u w:val="none"/>
                                  <w:effect w:val="none"/>
                                </w:rPr>
                                <w:t xml:space="preserve">Other Information </w:t>
                              </w:r>
                            </w:hyperlink>
                          </w:p>
                        </w:tc>
                        <w:tc>
                          <w:tcPr>
                            <w:tcW w:w="30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345" w:type="dxa"/>
                            <w:tcBorders>
                              <w:bottom w:val="single" w:sz="8" w:space="0" w:color="000000"/>
                            </w:tcBorders>
                            <w:shd w:fill="auto" w:val="clear"/>
                            <w:tcMar>
                              <w:bottom w:w="40" w:type="dxa"/>
                            </w:tcMar>
                            <w:vAlign w:val="center"/>
                          </w:tcPr>
                          <w:p>
                            <w:pPr>
                              <w:pStyle w:val="TableContents"/>
                              <w:spacing w:before="0" w:after="283"/>
                              <w:jc w:val="right"/>
                              <w:rPr/>
                            </w:pPr>
                            <w:hyperlink w:anchor="otherinformation">
                              <w:r>
                                <w:rPr>
                                  <w:rStyle w:val="InternetLink"/>
                                  <w:rFonts w:ascii="Arial" w:hAnsi="Arial"/>
                                  <w:b/>
                                  <w:strike w:val="false"/>
                                  <w:dstrike w:val="false"/>
                                  <w:color w:val="000000"/>
                                  <w:sz w:val="20"/>
                                  <w:u w:val="none"/>
                                  <w:effect w:val="none"/>
                                </w:rPr>
                                <w:t>88</w:t>
                              </w:r>
                            </w:hyperlink>
                          </w:p>
                        </w:tc>
                      </w:tr>
                      <w:tr>
                        <w:trPr/>
                        <w:tc>
                          <w:tcPr>
                            <w:tcW w:w="8450" w:type="dxa"/>
                            <w:tcBorders>
                              <w:bottom w:val="single" w:sz="8" w:space="0" w:color="000000"/>
                            </w:tcBorders>
                            <w:shd w:fill="auto" w:val="clear"/>
                            <w:tcMar>
                              <w:bottom w:w="40" w:type="dxa"/>
                            </w:tcMar>
                            <w:vAlign w:val="center"/>
                          </w:tcPr>
                          <w:p>
                            <w:pPr>
                              <w:pStyle w:val="TableContents"/>
                              <w:spacing w:before="0" w:after="283"/>
                              <w:jc w:val="left"/>
                              <w:rPr/>
                            </w:pPr>
                            <w:hyperlink w:anchor="appendixa">
                              <w:r>
                                <w:rPr>
                                  <w:rStyle w:val="InternetLink"/>
                                  <w:rFonts w:ascii="Arial" w:hAnsi="Arial"/>
                                  <w:strike w:val="false"/>
                                  <w:dstrike w:val="false"/>
                                  <w:color w:val="000000"/>
                                  <w:sz w:val="20"/>
                                  <w:u w:val="none"/>
                                  <w:effect w:val="none"/>
                                </w:rPr>
                                <w:t xml:space="preserve">Appendix A: Reconciliations of Non-GAAP Financial Measures </w:t>
                              </w:r>
                            </w:hyperlink>
                          </w:p>
                        </w:tc>
                        <w:tc>
                          <w:tcPr>
                            <w:tcW w:w="30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345" w:type="dxa"/>
                            <w:tcBorders>
                              <w:bottom w:val="single" w:sz="8" w:space="0" w:color="000000"/>
                            </w:tcBorders>
                            <w:shd w:fill="auto" w:val="clear"/>
                            <w:tcMar>
                              <w:bottom w:w="40" w:type="dxa"/>
                            </w:tcMar>
                            <w:vAlign w:val="center"/>
                          </w:tcPr>
                          <w:p>
                            <w:pPr>
                              <w:pStyle w:val="TableContents"/>
                              <w:spacing w:before="0" w:after="283"/>
                              <w:jc w:val="right"/>
                              <w:rPr/>
                            </w:pPr>
                            <w:hyperlink w:anchor="appendixa">
                              <w:r>
                                <w:rPr>
                                  <w:rStyle w:val="InternetLink"/>
                                  <w:rFonts w:ascii="Arial" w:hAnsi="Arial"/>
                                  <w:strike w:val="false"/>
                                  <w:dstrike w:val="false"/>
                                  <w:color w:val="000000"/>
                                  <w:sz w:val="20"/>
                                  <w:u w:val="none"/>
                                  <w:effect w:val="none"/>
                                </w:rPr>
                                <w:t>A-1</w:t>
                              </w:r>
                            </w:hyperlink>
                          </w:p>
                        </w:tc>
                      </w:tr>
                      <w:tr>
                        <w:trPr/>
                        <w:tc>
                          <w:tcPr>
                            <w:tcW w:w="8450" w:type="dxa"/>
                            <w:tcBorders>
                              <w:bottom w:val="single" w:sz="8" w:space="0" w:color="000000"/>
                            </w:tcBorders>
                            <w:shd w:fill="auto" w:val="clear"/>
                            <w:tcMar>
                              <w:bottom w:w="40" w:type="dxa"/>
                            </w:tcMar>
                            <w:vAlign w:val="center"/>
                          </w:tcPr>
                          <w:p>
                            <w:pPr>
                              <w:pStyle w:val="TableContents"/>
                              <w:spacing w:before="0" w:after="283"/>
                              <w:jc w:val="left"/>
                              <w:rPr/>
                            </w:pPr>
                            <w:hyperlink w:anchor="appendixb">
                              <w:r>
                                <w:rPr>
                                  <w:rStyle w:val="InternetLink"/>
                                  <w:rFonts w:ascii="Arial" w:hAnsi="Arial"/>
                                  <w:strike w:val="false"/>
                                  <w:dstrike w:val="false"/>
                                  <w:color w:val="000000"/>
                                  <w:sz w:val="20"/>
                                  <w:u w:val="none"/>
                                  <w:effect w:val="none"/>
                                </w:rPr>
                                <w:t xml:space="preserve">Appendix B: Nasdaq Board Diversity Matrix </w:t>
                              </w:r>
                            </w:hyperlink>
                          </w:p>
                        </w:tc>
                        <w:tc>
                          <w:tcPr>
                            <w:tcW w:w="30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345" w:type="dxa"/>
                            <w:tcBorders>
                              <w:bottom w:val="single" w:sz="8" w:space="0" w:color="000000"/>
                            </w:tcBorders>
                            <w:shd w:fill="auto" w:val="clear"/>
                            <w:tcMar>
                              <w:bottom w:w="40" w:type="dxa"/>
                            </w:tcMar>
                            <w:vAlign w:val="center"/>
                          </w:tcPr>
                          <w:p>
                            <w:pPr>
                              <w:pStyle w:val="TableContents"/>
                              <w:spacing w:before="0" w:after="283"/>
                              <w:jc w:val="right"/>
                              <w:rPr/>
                            </w:pPr>
                            <w:hyperlink w:anchor="appendixb">
                              <w:r>
                                <w:rPr>
                                  <w:rStyle w:val="InternetLink"/>
                                  <w:rFonts w:ascii="Arial" w:hAnsi="Arial"/>
                                  <w:strike w:val="false"/>
                                  <w:dstrike w:val="false"/>
                                  <w:color w:val="000000"/>
                                  <w:sz w:val="20"/>
                                  <w:u w:val="none"/>
                                  <w:effect w:val="none"/>
                                </w:rPr>
                                <w:t>B-1</w:t>
                              </w:r>
                            </w:hyperlink>
                          </w:p>
                        </w:tc>
                      </w:tr>
                      <w:tr>
                        <w:trPr/>
                        <w:tc>
                          <w:tcPr>
                            <w:tcW w:w="8450" w:type="dxa"/>
                            <w:tcBorders>
                              <w:bottom w:val="single" w:sz="8" w:space="0" w:color="000000"/>
                            </w:tcBorders>
                            <w:shd w:fill="auto" w:val="clear"/>
                            <w:tcMar>
                              <w:bottom w:w="40" w:type="dxa"/>
                            </w:tcMar>
                            <w:vAlign w:val="center"/>
                          </w:tcPr>
                          <w:p>
                            <w:pPr>
                              <w:pStyle w:val="TableContents"/>
                              <w:spacing w:before="0" w:after="283"/>
                              <w:jc w:val="left"/>
                              <w:rPr/>
                            </w:pPr>
                            <w:hyperlink w:anchor="appendixc">
                              <w:r>
                                <w:rPr>
                                  <w:rStyle w:val="InternetLink"/>
                                  <w:rFonts w:ascii="Arial" w:hAnsi="Arial"/>
                                  <w:strike w:val="false"/>
                                  <w:dstrike w:val="false"/>
                                  <w:color w:val="000000"/>
                                  <w:sz w:val="20"/>
                                  <w:u w:val="none"/>
                                  <w:effect w:val="none"/>
                                </w:rPr>
                                <w:t xml:space="preserve">Appendix C: Comcast Corporation 2023 Omnibus Equity Incentive Plan </w:t>
                              </w:r>
                            </w:hyperlink>
                          </w:p>
                        </w:tc>
                        <w:tc>
                          <w:tcPr>
                            <w:tcW w:w="30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345" w:type="dxa"/>
                            <w:tcBorders>
                              <w:bottom w:val="single" w:sz="8" w:space="0" w:color="000000"/>
                            </w:tcBorders>
                            <w:shd w:fill="auto" w:val="clear"/>
                            <w:tcMar>
                              <w:bottom w:w="40" w:type="dxa"/>
                            </w:tcMar>
                            <w:vAlign w:val="center"/>
                          </w:tcPr>
                          <w:p>
                            <w:pPr>
                              <w:pStyle w:val="TableContents"/>
                              <w:spacing w:before="0" w:after="283"/>
                              <w:jc w:val="right"/>
                              <w:rPr/>
                            </w:pPr>
                            <w:hyperlink w:anchor="appendixc">
                              <w:r>
                                <w:rPr>
                                  <w:rStyle w:val="InternetLink"/>
                                  <w:rFonts w:ascii="Arial" w:hAnsi="Arial"/>
                                  <w:strike w:val="false"/>
                                  <w:dstrike w:val="false"/>
                                  <w:color w:val="000000"/>
                                  <w:sz w:val="20"/>
                                  <w:u w:val="none"/>
                                  <w:effect w:val="none"/>
                                </w:rPr>
                                <w:t>C-1</w:t>
                              </w:r>
                            </w:hyperlink>
                          </w:p>
                        </w:tc>
                      </w:tr>
                      <w:tr>
                        <w:trPr/>
                        <w:tc>
                          <w:tcPr>
                            <w:tcW w:w="8450" w:type="dxa"/>
                            <w:tcBorders>
                              <w:bottom w:val="single" w:sz="8" w:space="0" w:color="000000"/>
                            </w:tcBorders>
                            <w:shd w:fill="auto" w:val="clear"/>
                            <w:tcMar>
                              <w:bottom w:w="40" w:type="dxa"/>
                            </w:tcMar>
                            <w:vAlign w:val="center"/>
                          </w:tcPr>
                          <w:p>
                            <w:pPr>
                              <w:pStyle w:val="TableContents"/>
                              <w:spacing w:before="0" w:after="283"/>
                              <w:jc w:val="left"/>
                              <w:rPr/>
                            </w:pPr>
                            <w:hyperlink w:anchor="appendixd">
                              <w:r>
                                <w:rPr>
                                  <w:rStyle w:val="InternetLink"/>
                                  <w:rFonts w:ascii="Arial" w:hAnsi="Arial"/>
                                  <w:strike w:val="false"/>
                                  <w:dstrike w:val="false"/>
                                  <w:color w:val="000000"/>
                                  <w:sz w:val="20"/>
                                  <w:u w:val="none"/>
                                  <w:effect w:val="none"/>
                                </w:rPr>
                                <w:t xml:space="preserve">Appendix D: Amended and Restated Comcast Corporation 2002 Employee Stock Purchase Plan </w:t>
                              </w:r>
                            </w:hyperlink>
                          </w:p>
                        </w:tc>
                        <w:tc>
                          <w:tcPr>
                            <w:tcW w:w="30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345" w:type="dxa"/>
                            <w:tcBorders>
                              <w:bottom w:val="single" w:sz="8" w:space="0" w:color="000000"/>
                            </w:tcBorders>
                            <w:shd w:fill="auto" w:val="clear"/>
                            <w:tcMar>
                              <w:bottom w:w="40" w:type="dxa"/>
                            </w:tcMar>
                            <w:vAlign w:val="center"/>
                          </w:tcPr>
                          <w:p>
                            <w:pPr>
                              <w:pStyle w:val="TableContents"/>
                              <w:spacing w:before="0" w:after="283"/>
                              <w:jc w:val="right"/>
                              <w:rPr/>
                            </w:pPr>
                            <w:hyperlink w:anchor="appendixd">
                              <w:r>
                                <w:rPr>
                                  <w:rStyle w:val="InternetLink"/>
                                  <w:rFonts w:ascii="Arial" w:hAnsi="Arial"/>
                                  <w:strike w:val="false"/>
                                  <w:dstrike w:val="false"/>
                                  <w:color w:val="000000"/>
                                  <w:sz w:val="20"/>
                                  <w:u w:val="none"/>
                                  <w:effect w:val="none"/>
                                </w:rPr>
                                <w:t>D-1</w:t>
                              </w:r>
                            </w:hyperlink>
                          </w:p>
                        </w:tc>
                      </w:tr>
                    </w:tbl>
                    <w:p>
                      <w:pPr>
                        <w:pStyle w:val="TextBody"/>
                        <w:spacing w:before="0" w:after="283"/>
                        <w:rPr/>
                      </w:pPr>
                      <w:r>
                        <w:rPr/>
                      </w:r>
                    </w:p>
                  </w:txbxContent>
                </v:textbox>
                <w10:wrap type="square" side="left"/>
              </v:rect>
            </w:pict>
          </mc:Fallback>
        </mc:AlternateContent>
      </w:r>
    </w:p>
    <w:tbl>
      <w:tblPr>
        <w:tblW w:w="2110" w:type="dxa"/>
        <w:jc w:val="left"/>
        <w:tblInd w:w="0" w:type="dxa"/>
        <w:tblCellMar>
          <w:top w:w="0" w:type="dxa"/>
          <w:left w:w="0" w:type="dxa"/>
          <w:bottom w:w="0" w:type="dxa"/>
          <w:right w:w="0" w:type="dxa"/>
        </w:tblCellMar>
      </w:tblPr>
      <w:tblGrid>
        <w:gridCol w:w="1580"/>
        <w:gridCol w:w="530"/>
      </w:tblGrid>
      <w:tr>
        <w:trPr/>
        <w:tc>
          <w:tcPr>
            <w:tcW w:w="1580" w:type="dxa"/>
            <w:tcBorders/>
            <w:shd w:fill="auto" w:val="clear"/>
            <w:vAlign w:val="center"/>
          </w:tcPr>
          <w:p>
            <w:pPr>
              <w:pStyle w:val="TableContents"/>
              <w:spacing w:before="0" w:after="283"/>
              <w:jc w:val="right"/>
              <w:rPr>
                <w:rFonts w:ascii="Arial" w:hAnsi="Arial"/>
                <w:sz w:val="15"/>
              </w:rPr>
            </w:pPr>
            <w:r>
              <w:rPr>
                <w:rFonts w:ascii="Arial" w:hAnsi="Arial"/>
                <w:sz w:val="15"/>
              </w:rPr>
              <w:t>2023 Proxy Statement</w:t>
            </w:r>
          </w:p>
        </w:tc>
        <w:tc>
          <w:tcPr>
            <w:tcW w:w="530" w:type="dxa"/>
            <w:tcBorders/>
            <w:shd w:fill="auto" w:val="clear"/>
            <w:vAlign w:val="center"/>
          </w:tcPr>
          <w:p>
            <w:pPr>
              <w:pStyle w:val="TableContents"/>
              <w:spacing w:before="0" w:after="283"/>
              <w:jc w:val="right"/>
              <w:rPr/>
            </w:pPr>
            <w:r>
              <w:rPr/>
              <w:t>       </w:t>
            </w:r>
            <w:r>
              <w:rPr>
                <w:rFonts w:ascii="Arial" w:hAnsi="Arial"/>
                <w:b/>
                <w:sz w:val="15"/>
              </w:rPr>
              <w:t>5</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p>
      <w:pPr>
        <w:pStyle w:val="TextBody"/>
        <w:jc w:val="left"/>
        <w:rPr>
          <w:rFonts w:ascii="Arial" w:hAnsi="Arial"/>
          <w:b/>
          <w:sz w:val="36"/>
        </w:rPr>
      </w:pPr>
      <w:bookmarkStart w:id="7" w:name="about"/>
      <w:bookmarkEnd w:id="7"/>
      <w:r>
        <w:rPr>
          <w:rFonts w:ascii="Arial" w:hAnsi="Arial"/>
          <w:b/>
          <w:sz w:val="36"/>
        </w:rPr>
        <w:t>About Comcast</w:t>
      </w:r>
    </w:p>
    <w:p>
      <w:pPr>
        <w:pStyle w:val="TextBody"/>
        <w:jc w:val="left"/>
        <w:rPr>
          <w:rFonts w:ascii="Arial" w:hAnsi="Arial"/>
          <w:color w:val="00A1E0"/>
          <w:sz w:val="26"/>
        </w:rPr>
      </w:pPr>
      <w:r>
        <w:rPr>
          <w:rFonts w:ascii="Arial" w:hAnsi="Arial"/>
          <w:color w:val="00A1E0"/>
          <w:sz w:val="26"/>
        </w:rPr>
        <w:t>Our Company</w:t>
      </w:r>
    </w:p>
    <w:p>
      <w:pPr>
        <w:pStyle w:val="TextBody"/>
        <w:jc w:val="left"/>
        <w:rPr>
          <w:rFonts w:ascii="Arial" w:hAnsi="Arial"/>
          <w:sz w:val="20"/>
        </w:rPr>
      </w:pPr>
      <w:r>
        <w:rPr>
          <w:rFonts w:ascii="Arial" w:hAnsi="Arial"/>
          <w:sz w:val="20"/>
        </w:rPr>
        <w:t>Comcast Corporation (“Comcast,” the “Company,” “we,” “our” or “us”) is a global media and technology company. From the connectivity and platforms we provide, to the content and experiences we create, our businesses reach hundreds of millions of customers, viewers and guests worldwide. We deliver world-class broadband, wireless and video through Xfinity, Comcast Business and Sky; produce, distribute and stream leading entertainment, sports and news through brands including NBC, Telemundo, Universal, Peacock and Sky; and bring incredible theme parks and attractions to life through Universal Destinations and Experiences.</w:t>
      </w:r>
    </w:p>
    <w:p>
      <w:pPr>
        <w:pStyle w:val="TextBody"/>
        <w:jc w:val="left"/>
        <w:rPr>
          <w:rFonts w:ascii="Arial" w:hAnsi="Arial"/>
          <w:color w:val="00A1E0"/>
          <w:sz w:val="26"/>
        </w:rPr>
      </w:pPr>
      <w:r>
        <w:rPr>
          <w:rFonts w:ascii="Arial" w:hAnsi="Arial"/>
          <w:color w:val="00A1E0"/>
          <w:sz w:val="26"/>
        </w:rPr>
        <w:t>2022 Performance Overview</w:t>
      </w:r>
    </w:p>
    <w:p>
      <w:pPr>
        <w:pStyle w:val="TextBody"/>
        <w:jc w:val="left"/>
        <w:rPr>
          <w:rFonts w:ascii="Arial" w:hAnsi="Arial"/>
          <w:sz w:val="20"/>
        </w:rPr>
      </w:pPr>
      <w:r>
        <w:rPr>
          <w:rFonts w:ascii="Arial" w:hAnsi="Arial"/>
          <w:sz w:val="20"/>
        </w:rPr>
        <w:t>Amid an uncertain and evolving macroeconomic and industry environment, we performed at a high level and achieved strong financial results. We delivered the highest levels of consolidated revenue, Adjusted EBITDA and Adjusted EPS in our history; invested for the future; maintained a strong balance sheet; and returned $17.7 billion to shareholders through a combination of $4.7 billion in dividend payments and $13.0 billion in share repurchases.</w:t>
      </w:r>
    </w:p>
    <w:p>
      <w:pPr>
        <w:pStyle w:val="TextBody"/>
        <w:jc w:val="left"/>
        <w:rPr>
          <w:rFonts w:ascii="Arial" w:hAnsi="Arial"/>
          <w:sz w:val="20"/>
        </w:rPr>
      </w:pPr>
      <w:r>
        <w:rPr>
          <w:rFonts w:ascii="Arial" w:hAnsi="Arial"/>
          <w:sz w:val="20"/>
        </w:rPr>
        <w:t>During 2022, each of our businesses posted strong performance.</w:t>
      </w:r>
    </w:p>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0"/>
              <w:jc w:val="left"/>
              <w:rPr>
                <w:rFonts w:ascii="Arial" w:hAnsi="Arial"/>
                <w:sz w:val="20"/>
              </w:rPr>
            </w:pPr>
            <w:r>
              <w:rPr>
                <w:rFonts w:ascii="Arial" w:hAnsi="Arial"/>
                <w:sz w:val="20"/>
              </w:rPr>
              <w:t>Comcast Cable – We continued to make significant investments in our technology and network to stay ahead of customers’ expectations and further differentiate our broadband experience. Effective execution resulted in strong financial results.</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0"/>
              <w:jc w:val="left"/>
              <w:rPr>
                <w:rFonts w:ascii="Arial" w:hAnsi="Arial"/>
                <w:sz w:val="20"/>
              </w:rPr>
            </w:pPr>
            <w:r>
              <w:rPr>
                <w:rFonts w:ascii="Arial" w:hAnsi="Arial"/>
                <w:sz w:val="20"/>
              </w:rPr>
              <w:t>NBCUniversal – Our theme parks broke new records in annual guest attendance and Adjusted EBITDA, and Studios ranked #2 in worldwide box office in 2022. In Media, approximately 100 million U.S. households watched our programming, with 50 million watching at least 10 hours monthly, mostly through our linear networks. Peacock, our streaming service, showed significant growth in 2022 with U.S. paid subscribers more than doubling to over 20 million, and revenue nearly tripling to $2.1 billion.</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0"/>
              <w:jc w:val="left"/>
              <w:rPr>
                <w:rFonts w:ascii="Arial" w:hAnsi="Arial"/>
                <w:sz w:val="20"/>
              </w:rPr>
            </w:pPr>
            <w:r>
              <w:rPr>
                <w:rFonts w:ascii="Arial" w:hAnsi="Arial"/>
                <w:sz w:val="20"/>
              </w:rPr>
              <w:t>Sky – We managed through the macroeconomic challenges in Europe while staying intensely focused on retention and continuing to provide our customers with the best entertainment and connectivity experiences. Sky Mobile was the fastest-growing mobile provider, surpassing 3 million lines, and we narrowed the gap between us and the current #1 broadband provider in the U.K., with Sky Broadband ending the year with more than 6.5 million subscribers.</w:t>
            </w:r>
          </w:p>
        </w:tc>
      </w:tr>
    </w:tbl>
    <w:p>
      <w:pPr>
        <w:pStyle w:val="TextBody"/>
        <w:spacing w:before="240" w:after="283"/>
        <w:jc w:val="left"/>
        <w:rPr>
          <w:rFonts w:ascii="Arial" w:hAnsi="Arial"/>
          <w:sz w:val="20"/>
        </w:rPr>
      </w:pPr>
      <w:r>
        <w:rPr>
          <w:rFonts w:ascii="Arial" w:hAnsi="Arial"/>
          <w:sz w:val="20"/>
        </w:rPr>
        <w:t>We also worked together across our complementary, high-performing business units, as well as with external partners, to continue to accelerate convergence in media and technology. For example, in 2022, as we sought to expand the reach of our proprietary global technology platform and addressable customer base, we formed a joint venture with Charter named Xumo to develop and nationally offer a next generation streaming platform.</w:t>
      </w:r>
    </w:p>
    <w:p>
      <w:pPr>
        <w:pStyle w:val="TextBody"/>
        <w:jc w:val="left"/>
        <w:rPr>
          <w:rFonts w:ascii="Arial" w:hAnsi="Arial"/>
          <w:sz w:val="20"/>
        </w:rPr>
      </w:pPr>
      <w:r>
        <w:rPr>
          <w:rFonts w:ascii="Arial" w:hAnsi="Arial"/>
          <w:sz w:val="20"/>
        </w:rPr>
        <w:t>In March 2023, we announced that beginning in the first quarter of 2023 we will change our presentation of segment operating results around our two primary businesses, Connectivity &amp; Platforms and Content &amp; Experiences. Customer and financial metrics referenced in this proxy statement are expressed based on the presentation of segment operating results in effect in 2022.</w:t>
      </w:r>
    </w:p>
    <w:p>
      <w:pPr>
        <w:pStyle w:val="TextBody"/>
        <w:jc w:val="left"/>
        <w:rPr>
          <w:rFonts w:ascii="Arial" w:hAnsi="Arial"/>
          <w:sz w:val="28"/>
        </w:rPr>
      </w:pPr>
      <w:r>
        <w:rPr>
          <w:rFonts w:ascii="Arial" w:hAnsi="Arial"/>
          <w:sz w:val="28"/>
        </w:rPr>
        <w:t>Financial Performance</w:t>
      </w:r>
    </w:p>
    <w:p>
      <w:pPr>
        <w:pStyle w:val="TextBody"/>
        <w:jc w:val="left"/>
        <w:rPr>
          <w:rFonts w:ascii="Arial" w:hAnsi="Arial"/>
          <w:sz w:val="20"/>
        </w:rPr>
      </w:pPr>
      <w:r>
        <w:rPr>
          <w:rFonts w:ascii="Arial" w:hAnsi="Arial"/>
          <w:sz w:val="20"/>
        </w:rPr>
        <w:t>Our 2022 consolidated financial results were strong, with contributions from across our company, underscoring our business resilience, strategic decision-making and capital allocation priorities, all driven with a view toward growth and creating long-term value. As described in “Compensation, Discussion and Analysis” below, revenue, Adjusted EBITDA and Free Cash Flow are among the key metrics used in our executive compensation program.</w:t>
      </w:r>
    </w:p>
    <w:tbl>
      <w:tblPr>
        <w:tblW w:w="133" w:type="dxa"/>
        <w:jc w:val="left"/>
        <w:tblInd w:w="0" w:type="dxa"/>
        <w:tblCellMar>
          <w:top w:w="0" w:type="dxa"/>
          <w:left w:w="0" w:type="dxa"/>
          <w:bottom w:w="0" w:type="dxa"/>
          <w:right w:w="0" w:type="dxa"/>
        </w:tblCellMar>
      </w:tblPr>
      <w:tblGrid>
        <w:gridCol w:w="110"/>
        <w:gridCol w:w="23"/>
      </w:tblGrid>
      <w:tr>
        <w:trPr/>
        <w:tc>
          <w:tcPr>
            <w:tcW w:w="110" w:type="dxa"/>
            <w:tcBorders/>
            <w:shd w:fill="auto" w:val="clear"/>
            <w:vAlign w:val="center"/>
          </w:tcPr>
          <w:p>
            <w:pPr>
              <w:pStyle w:val="TableContents"/>
              <w:spacing w:before="0" w:after="283"/>
              <w:jc w:val="left"/>
              <w:rPr>
                <w:rFonts w:ascii="Arial" w:hAnsi="Arial"/>
                <w:b/>
                <w:sz w:val="15"/>
              </w:rPr>
            </w:pPr>
            <w:r>
              <w:rPr>
                <w:rFonts w:ascii="Arial" w:hAnsi="Arial"/>
                <w:b/>
                <w:sz w:val="15"/>
              </w:rPr>
              <w:t>6</w:t>
            </w:r>
          </w:p>
        </w:tc>
        <w:tc>
          <w:tcPr>
            <w:tcW w:w="2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9105" w:type="dxa"/>
        <w:jc w:val="left"/>
        <w:tblInd w:w="0" w:type="dxa"/>
        <w:tblCellMar>
          <w:top w:w="0" w:type="dxa"/>
          <w:left w:w="0" w:type="dxa"/>
          <w:bottom w:w="0" w:type="dxa"/>
          <w:right w:w="0" w:type="dxa"/>
        </w:tblCellMar>
      </w:tblPr>
      <w:tblGrid>
        <w:gridCol w:w="2895"/>
        <w:gridCol w:w="300"/>
        <w:gridCol w:w="2805"/>
        <w:gridCol w:w="300"/>
        <w:gridCol w:w="2805"/>
      </w:tblGrid>
      <w:tr>
        <w:trPr/>
        <w:tc>
          <w:tcPr>
            <w:tcW w:w="2895" w:type="dxa"/>
            <w:tcBorders/>
            <w:shd w:fill="auto" w:val="clear"/>
            <w:vAlign w:val="center"/>
          </w:tcPr>
          <w:p>
            <w:pPr>
              <w:pStyle w:val="TableContents"/>
              <w:spacing w:before="0" w:after="283"/>
              <w:jc w:val="left"/>
              <w:rPr/>
            </w:pPr>
            <w:r>
              <w:rPr>
                <w:rFonts w:ascii="Arial" w:hAnsi="Arial"/>
                <w:b/>
                <w:color w:val="00A1E0"/>
                <w:sz w:val="20"/>
              </w:rPr>
              <w:t>REVENUE</w:t>
            </w:r>
            <w:r>
              <w:rPr>
                <w:rFonts w:ascii="Arial" w:hAnsi="Arial"/>
                <w:color w:val="959595"/>
                <w:sz w:val="20"/>
              </w:rPr>
              <w:br/>
              <w:t>($ in billions)</w:t>
            </w:r>
          </w:p>
        </w:tc>
        <w:tc>
          <w:tcPr>
            <w:tcW w:w="300" w:type="dxa"/>
            <w:tcBorders/>
            <w:shd w:fill="auto" w:val="clear"/>
            <w:vAlign w:val="center"/>
          </w:tcPr>
          <w:p>
            <w:pPr>
              <w:pStyle w:val="TableContents"/>
              <w:spacing w:before="0" w:after="283"/>
              <w:jc w:val="left"/>
              <w:rPr/>
            </w:pPr>
            <w:r>
              <w:rPr/>
              <w:t>     </w:t>
            </w:r>
          </w:p>
        </w:tc>
        <w:tc>
          <w:tcPr>
            <w:tcW w:w="2805" w:type="dxa"/>
            <w:tcBorders/>
            <w:shd w:fill="auto" w:val="clear"/>
            <w:vAlign w:val="center"/>
          </w:tcPr>
          <w:p>
            <w:pPr>
              <w:pStyle w:val="TableContents"/>
              <w:spacing w:before="0" w:after="283"/>
              <w:jc w:val="left"/>
              <w:rPr/>
            </w:pPr>
            <w:r>
              <w:rPr>
                <w:rFonts w:ascii="Arial" w:hAnsi="Arial"/>
                <w:b/>
                <w:color w:val="00A1E0"/>
                <w:sz w:val="20"/>
              </w:rPr>
              <w:t>NET INCOME ATTRIBUTABLE</w:t>
              <w:br/>
              <w:t>TO COMCAST</w:t>
            </w:r>
            <w:r>
              <w:rPr>
                <w:rFonts w:ascii="Arial" w:hAnsi="Arial"/>
                <w:b/>
                <w:color w:val="00A1E0"/>
                <w:position w:val="7"/>
                <w:sz w:val="16"/>
                <w:sz w:val="20"/>
              </w:rPr>
              <w:t>(1)</w:t>
            </w:r>
            <w:r>
              <w:rPr>
                <w:rFonts w:ascii="Arial" w:hAnsi="Arial"/>
                <w:color w:val="959595"/>
                <w:sz w:val="20"/>
              </w:rPr>
              <w:br/>
              <w:t>($ in billions)</w:t>
            </w:r>
          </w:p>
        </w:tc>
        <w:tc>
          <w:tcPr>
            <w:tcW w:w="300" w:type="dxa"/>
            <w:tcBorders/>
            <w:shd w:fill="auto" w:val="clear"/>
            <w:vAlign w:val="center"/>
          </w:tcPr>
          <w:p>
            <w:pPr>
              <w:pStyle w:val="TableContents"/>
              <w:spacing w:before="0" w:after="283"/>
              <w:jc w:val="left"/>
              <w:rPr/>
            </w:pPr>
            <w:r>
              <w:rPr/>
              <w:t>     </w:t>
            </w:r>
          </w:p>
        </w:tc>
        <w:tc>
          <w:tcPr>
            <w:tcW w:w="2805" w:type="dxa"/>
            <w:tcBorders/>
            <w:shd w:fill="auto" w:val="clear"/>
            <w:vAlign w:val="center"/>
          </w:tcPr>
          <w:p>
            <w:pPr>
              <w:pStyle w:val="TableContents"/>
              <w:spacing w:before="0" w:after="283"/>
              <w:jc w:val="left"/>
              <w:rPr/>
            </w:pPr>
            <w:r>
              <w:rPr>
                <w:rFonts w:ascii="Arial" w:hAnsi="Arial"/>
                <w:b/>
                <w:color w:val="00A1E0"/>
                <w:sz w:val="20"/>
              </w:rPr>
              <w:t>ADJUSTED EBITDA</w:t>
            </w:r>
            <w:r>
              <w:rPr>
                <w:rFonts w:ascii="Arial" w:hAnsi="Arial"/>
                <w:b/>
                <w:color w:val="00A1E0"/>
                <w:position w:val="7"/>
                <w:sz w:val="16"/>
                <w:sz w:val="20"/>
              </w:rPr>
              <w:t>(2)</w:t>
            </w:r>
            <w:r>
              <w:rPr>
                <w:rFonts w:ascii="Arial" w:hAnsi="Arial"/>
                <w:color w:val="959595"/>
                <w:sz w:val="20"/>
              </w:rPr>
              <w:br/>
              <w:t>($ in billions)</w:t>
            </w:r>
          </w:p>
        </w:tc>
      </w:tr>
      <w:tr>
        <w:trPr/>
        <w:tc>
          <w:tcPr>
            <w:tcW w:w="2895" w:type="dxa"/>
            <w:tcBorders/>
            <w:shd w:fill="auto" w:val="clear"/>
            <w:vAlign w:val="center"/>
          </w:tcPr>
          <w:p>
            <w:pPr>
              <w:pStyle w:val="TableContents"/>
              <w:spacing w:before="0" w:after="283"/>
              <w:jc w:val="left"/>
              <w:rPr/>
            </w:pPr>
            <w:r>
              <w:rPr/>
              <w:drawing>
                <wp:inline distT="0" distB="0" distL="0" distR="0">
                  <wp:extent cx="1838325" cy="952500"/>
                  <wp:effectExtent l="0" t="0" r="0" b="0"/>
                  <wp:docPr id="30"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2" descr=""/>
                          <pic:cNvPicPr>
                            <a:picLocks noChangeAspect="1" noChangeArrowheads="1"/>
                          </pic:cNvPicPr>
                        </pic:nvPicPr>
                        <pic:blipFill>
                          <a:blip r:embed="rId23"/>
                          <a:srcRect l="-548" t="-1058" r="-548" b="-1058"/>
                          <a:stretch>
                            <a:fillRect/>
                          </a:stretch>
                        </pic:blipFill>
                        <pic:spPr bwMode="auto">
                          <a:xfrm>
                            <a:off x="0" y="0"/>
                            <a:ext cx="1838325" cy="952500"/>
                          </a:xfrm>
                          <a:prstGeom prst="rect">
                            <a:avLst/>
                          </a:prstGeom>
                          <a:ln w="635">
                            <a:solidFill>
                              <a:srgbClr val="000000"/>
                            </a:solidFill>
                          </a:ln>
                        </pic:spPr>
                      </pic:pic>
                    </a:graphicData>
                  </a:graphic>
                </wp:inline>
              </w:drawing>
            </w:r>
          </w:p>
        </w:tc>
        <w:tc>
          <w:tcPr>
            <w:tcW w:w="300" w:type="dxa"/>
            <w:tcBorders/>
            <w:shd w:fill="auto" w:val="clear"/>
            <w:vAlign w:val="center"/>
          </w:tcPr>
          <w:p>
            <w:pPr>
              <w:pStyle w:val="TableContents"/>
              <w:spacing w:before="0" w:after="283"/>
              <w:rPr>
                <w:sz w:val="4"/>
                <w:szCs w:val="4"/>
              </w:rPr>
            </w:pPr>
            <w:r>
              <w:rPr>
                <w:sz w:val="4"/>
                <w:szCs w:val="4"/>
              </w:rPr>
            </w:r>
          </w:p>
        </w:tc>
        <w:tc>
          <w:tcPr>
            <w:tcW w:w="2805" w:type="dxa"/>
            <w:tcBorders/>
            <w:shd w:fill="auto" w:val="clear"/>
            <w:vAlign w:val="center"/>
          </w:tcPr>
          <w:p>
            <w:pPr>
              <w:pStyle w:val="TableContents"/>
              <w:spacing w:before="0" w:after="283"/>
              <w:jc w:val="left"/>
              <w:rPr/>
            </w:pPr>
            <w:r>
              <w:rPr/>
              <w:drawing>
                <wp:inline distT="0" distB="0" distL="0" distR="0">
                  <wp:extent cx="1781175" cy="962025"/>
                  <wp:effectExtent l="0" t="0" r="0" b="0"/>
                  <wp:docPr id="31"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3" descr=""/>
                          <pic:cNvPicPr>
                            <a:picLocks noChangeAspect="1" noChangeArrowheads="1"/>
                          </pic:cNvPicPr>
                        </pic:nvPicPr>
                        <pic:blipFill>
                          <a:blip r:embed="rId24"/>
                          <a:srcRect l="-565" t="-1047" r="-565" b="-1047"/>
                          <a:stretch>
                            <a:fillRect/>
                          </a:stretch>
                        </pic:blipFill>
                        <pic:spPr bwMode="auto">
                          <a:xfrm>
                            <a:off x="0" y="0"/>
                            <a:ext cx="1781175" cy="962025"/>
                          </a:xfrm>
                          <a:prstGeom prst="rect">
                            <a:avLst/>
                          </a:prstGeom>
                          <a:ln w="635">
                            <a:solidFill>
                              <a:srgbClr val="000000"/>
                            </a:solidFill>
                          </a:ln>
                        </pic:spPr>
                      </pic:pic>
                    </a:graphicData>
                  </a:graphic>
                </wp:inline>
              </w:drawing>
            </w:r>
          </w:p>
        </w:tc>
        <w:tc>
          <w:tcPr>
            <w:tcW w:w="300" w:type="dxa"/>
            <w:tcBorders/>
            <w:shd w:fill="auto" w:val="clear"/>
            <w:vAlign w:val="center"/>
          </w:tcPr>
          <w:p>
            <w:pPr>
              <w:pStyle w:val="TableContents"/>
              <w:spacing w:before="0" w:after="283"/>
              <w:rPr>
                <w:sz w:val="4"/>
                <w:szCs w:val="4"/>
              </w:rPr>
            </w:pPr>
            <w:r>
              <w:rPr>
                <w:sz w:val="4"/>
                <w:szCs w:val="4"/>
              </w:rPr>
            </w:r>
          </w:p>
        </w:tc>
        <w:tc>
          <w:tcPr>
            <w:tcW w:w="2805" w:type="dxa"/>
            <w:tcBorders/>
            <w:shd w:fill="auto" w:val="clear"/>
            <w:vAlign w:val="center"/>
          </w:tcPr>
          <w:p>
            <w:pPr>
              <w:pStyle w:val="TableContents"/>
              <w:spacing w:before="0" w:after="283"/>
              <w:jc w:val="left"/>
              <w:rPr/>
            </w:pPr>
            <w:r>
              <w:rPr/>
              <w:drawing>
                <wp:inline distT="0" distB="0" distL="0" distR="0">
                  <wp:extent cx="1781175" cy="962025"/>
                  <wp:effectExtent l="0" t="0" r="0" b="0"/>
                  <wp:docPr id="32"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4" descr=""/>
                          <pic:cNvPicPr>
                            <a:picLocks noChangeAspect="1" noChangeArrowheads="1"/>
                          </pic:cNvPicPr>
                        </pic:nvPicPr>
                        <pic:blipFill>
                          <a:blip r:embed="rId25"/>
                          <a:srcRect l="-565" t="-1047" r="-565" b="-1047"/>
                          <a:stretch>
                            <a:fillRect/>
                          </a:stretch>
                        </pic:blipFill>
                        <pic:spPr bwMode="auto">
                          <a:xfrm>
                            <a:off x="0" y="0"/>
                            <a:ext cx="1781175" cy="962025"/>
                          </a:xfrm>
                          <a:prstGeom prst="rect">
                            <a:avLst/>
                          </a:prstGeom>
                          <a:ln w="635">
                            <a:solidFill>
                              <a:srgbClr val="000000"/>
                            </a:solidFill>
                          </a:ln>
                        </pic:spPr>
                      </pic:pic>
                    </a:graphicData>
                  </a:graphic>
                </wp:inline>
              </w:drawing>
            </w:r>
          </w:p>
        </w:tc>
      </w:tr>
    </w:tbl>
    <w:p>
      <w:pPr>
        <w:pStyle w:val="TextBody"/>
        <w:spacing w:before="0" w:after="0"/>
        <w:rPr/>
      </w:pPr>
      <w:r>
        <w:rPr/>
      </w:r>
    </w:p>
    <w:p>
      <w:pPr>
        <w:pStyle w:val="TextBody"/>
        <w:spacing w:before="0" w:after="0"/>
        <w:ind w:left="0" w:right="0" w:hanging="0"/>
        <w:jc w:val="left"/>
        <w:rPr>
          <w:rFonts w:ascii="Arial" w:hAnsi="Arial"/>
          <w:color w:val="FFFFFF"/>
          <w:sz w:val="2"/>
        </w:rPr>
      </w:pPr>
      <w:r>
        <w:rPr>
          <w:rFonts w:ascii="Arial" w:hAnsi="Arial"/>
          <w:color w:val="FFFFFF"/>
          <w:sz w:val="2"/>
        </w:rPr>
        <w:t>REVENUE ($ in billions) $140 $105 $70 $35 $0 $103.6 2020 $116.4 2021 $121.4 2022 NET INCOME ATTRIBUTABLE TO COMCAST (1) ($ in billions) $16 $12 $8 $4 $0 $10.5 2020 $14.2 2021 $5.4 2022 ADJUSTED EBITDA (2) ($ in billions) $40 $30 $20 $10 $0 $30.8 2020 $34.7 2021 $36.5 2022 NET CASH PROVIDED BY OPERATING ACTIVITIES ($ in billions) $35 $28 $21 $14 $7 $0 $24.7 2020 $29.1 2021 $26.4 2022 FREE CASH FLOW (2)(3) ($ in billions) $20 $15 $10 $5 $0 $13.3 2020 $17.1 2021 $12.6 2022</w:t>
      </w:r>
    </w:p>
    <w:tbl>
      <w:tblPr>
        <w:tblW w:w="6233" w:type="dxa"/>
        <w:jc w:val="left"/>
        <w:tblInd w:w="0" w:type="dxa"/>
        <w:tblCellMar>
          <w:top w:w="0" w:type="dxa"/>
          <w:left w:w="0" w:type="dxa"/>
          <w:bottom w:w="0" w:type="dxa"/>
          <w:right w:w="0" w:type="dxa"/>
        </w:tblCellMar>
      </w:tblPr>
      <w:tblGrid>
        <w:gridCol w:w="2805"/>
        <w:gridCol w:w="300"/>
        <w:gridCol w:w="2805"/>
        <w:gridCol w:w="300"/>
        <w:gridCol w:w="23"/>
      </w:tblGrid>
      <w:tr>
        <w:trPr/>
        <w:tc>
          <w:tcPr>
            <w:tcW w:w="2805" w:type="dxa"/>
            <w:tcBorders/>
            <w:shd w:fill="auto" w:val="clear"/>
            <w:vAlign w:val="center"/>
          </w:tcPr>
          <w:p>
            <w:pPr>
              <w:pStyle w:val="TableContents"/>
              <w:spacing w:before="0" w:after="283"/>
              <w:jc w:val="left"/>
              <w:rPr/>
            </w:pPr>
            <w:r>
              <w:rPr>
                <w:rFonts w:ascii="Arial" w:hAnsi="Arial"/>
                <w:b/>
                <w:color w:val="00A1E0"/>
                <w:sz w:val="20"/>
              </w:rPr>
              <w:t>NET CASH PROVIDED</w:t>
              <w:br/>
              <w:t>BY OPERATING ACTIVITIES</w:t>
            </w:r>
            <w:r>
              <w:rPr>
                <w:rFonts w:ascii="Arial" w:hAnsi="Arial"/>
                <w:color w:val="959595"/>
                <w:sz w:val="20"/>
              </w:rPr>
              <w:br/>
              <w:t>($ in billions)</w:t>
            </w:r>
          </w:p>
        </w:tc>
        <w:tc>
          <w:tcPr>
            <w:tcW w:w="300" w:type="dxa"/>
            <w:tcBorders/>
            <w:shd w:fill="auto" w:val="clear"/>
            <w:vAlign w:val="center"/>
          </w:tcPr>
          <w:p>
            <w:pPr>
              <w:pStyle w:val="TableContents"/>
              <w:spacing w:before="0" w:after="283"/>
              <w:jc w:val="left"/>
              <w:rPr/>
            </w:pPr>
            <w:r>
              <w:rPr/>
              <w:t>     </w:t>
            </w:r>
          </w:p>
        </w:tc>
        <w:tc>
          <w:tcPr>
            <w:tcW w:w="2805" w:type="dxa"/>
            <w:tcBorders/>
            <w:shd w:fill="auto" w:val="clear"/>
            <w:vAlign w:val="center"/>
          </w:tcPr>
          <w:p>
            <w:pPr>
              <w:pStyle w:val="TableContents"/>
              <w:spacing w:before="0" w:after="283"/>
              <w:jc w:val="left"/>
              <w:rPr/>
            </w:pPr>
            <w:r>
              <w:rPr>
                <w:rFonts w:ascii="Arial" w:hAnsi="Arial"/>
                <w:b/>
                <w:color w:val="00A1E0"/>
                <w:sz w:val="20"/>
              </w:rPr>
              <w:t>FREE CASH FLOW</w:t>
            </w:r>
            <w:r>
              <w:rPr>
                <w:rFonts w:ascii="Arial" w:hAnsi="Arial"/>
                <w:b/>
                <w:color w:val="00A1E0"/>
                <w:position w:val="7"/>
                <w:sz w:val="16"/>
                <w:sz w:val="20"/>
              </w:rPr>
              <w:t>(2)(3)</w:t>
            </w:r>
            <w:r>
              <w:rPr>
                <w:rFonts w:ascii="Arial" w:hAnsi="Arial"/>
                <w:color w:val="959595"/>
                <w:sz w:val="20"/>
              </w:rPr>
              <w:br/>
              <w:t>($ in billions)</w:t>
            </w:r>
          </w:p>
        </w:tc>
        <w:tc>
          <w:tcPr>
            <w:tcW w:w="300" w:type="dxa"/>
            <w:tcBorders/>
            <w:shd w:fill="auto" w:val="clear"/>
            <w:vAlign w:val="center"/>
          </w:tcPr>
          <w:p>
            <w:pPr>
              <w:pStyle w:val="TableContents"/>
              <w:spacing w:before="0" w:after="283"/>
              <w:jc w:val="left"/>
              <w:rPr/>
            </w:pPr>
            <w:r>
              <w:rPr/>
              <w:t>     </w:t>
            </w:r>
          </w:p>
        </w:tc>
        <w:tc>
          <w:tcPr>
            <w:tcW w:w="23" w:type="dxa"/>
            <w:tcBorders/>
            <w:shd w:fill="auto" w:val="clear"/>
            <w:vAlign w:val="center"/>
          </w:tcPr>
          <w:p>
            <w:pPr>
              <w:pStyle w:val="TableContents"/>
              <w:spacing w:before="0" w:after="283"/>
              <w:rPr>
                <w:sz w:val="4"/>
                <w:szCs w:val="4"/>
              </w:rPr>
            </w:pPr>
            <w:r>
              <w:rPr>
                <w:sz w:val="4"/>
                <w:szCs w:val="4"/>
              </w:rPr>
            </w:r>
          </w:p>
        </w:tc>
      </w:tr>
      <w:tr>
        <w:trPr/>
        <w:tc>
          <w:tcPr>
            <w:tcW w:w="2805" w:type="dxa"/>
            <w:tcBorders/>
            <w:shd w:fill="auto" w:val="clear"/>
            <w:vAlign w:val="center"/>
          </w:tcPr>
          <w:p>
            <w:pPr>
              <w:pStyle w:val="TableContents"/>
              <w:spacing w:before="0" w:after="283"/>
              <w:jc w:val="left"/>
              <w:rPr/>
            </w:pPr>
            <w:r>
              <w:rPr/>
              <w:drawing>
                <wp:inline distT="0" distB="0" distL="0" distR="0">
                  <wp:extent cx="1781175" cy="962025"/>
                  <wp:effectExtent l="0" t="0" r="0" b="0"/>
                  <wp:docPr id="3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5" descr=""/>
                          <pic:cNvPicPr>
                            <a:picLocks noChangeAspect="1" noChangeArrowheads="1"/>
                          </pic:cNvPicPr>
                        </pic:nvPicPr>
                        <pic:blipFill>
                          <a:blip r:embed="rId26"/>
                          <a:srcRect l="-565" t="-1047" r="-565" b="-1047"/>
                          <a:stretch>
                            <a:fillRect/>
                          </a:stretch>
                        </pic:blipFill>
                        <pic:spPr bwMode="auto">
                          <a:xfrm>
                            <a:off x="0" y="0"/>
                            <a:ext cx="1781175" cy="962025"/>
                          </a:xfrm>
                          <a:prstGeom prst="rect">
                            <a:avLst/>
                          </a:prstGeom>
                          <a:ln w="635">
                            <a:solidFill>
                              <a:srgbClr val="000000"/>
                            </a:solidFill>
                          </a:ln>
                        </pic:spPr>
                      </pic:pic>
                    </a:graphicData>
                  </a:graphic>
                </wp:inline>
              </w:drawing>
            </w:r>
          </w:p>
        </w:tc>
        <w:tc>
          <w:tcPr>
            <w:tcW w:w="300" w:type="dxa"/>
            <w:tcBorders/>
            <w:shd w:fill="auto" w:val="clear"/>
            <w:vAlign w:val="center"/>
          </w:tcPr>
          <w:p>
            <w:pPr>
              <w:pStyle w:val="TableContents"/>
              <w:spacing w:before="0" w:after="283"/>
              <w:rPr>
                <w:sz w:val="4"/>
                <w:szCs w:val="4"/>
              </w:rPr>
            </w:pPr>
            <w:r>
              <w:rPr>
                <w:sz w:val="4"/>
                <w:szCs w:val="4"/>
              </w:rPr>
            </w:r>
          </w:p>
        </w:tc>
        <w:tc>
          <w:tcPr>
            <w:tcW w:w="2805" w:type="dxa"/>
            <w:tcBorders/>
            <w:shd w:fill="auto" w:val="clear"/>
            <w:vAlign w:val="center"/>
          </w:tcPr>
          <w:p>
            <w:pPr>
              <w:pStyle w:val="TableContents"/>
              <w:spacing w:before="0" w:after="283"/>
              <w:jc w:val="left"/>
              <w:rPr/>
            </w:pPr>
            <w:r>
              <w:rPr/>
              <w:drawing>
                <wp:inline distT="0" distB="0" distL="0" distR="0">
                  <wp:extent cx="1781175" cy="962025"/>
                  <wp:effectExtent l="0" t="0" r="0" b="0"/>
                  <wp:docPr id="34"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6" descr=""/>
                          <pic:cNvPicPr>
                            <a:picLocks noChangeAspect="1" noChangeArrowheads="1"/>
                          </pic:cNvPicPr>
                        </pic:nvPicPr>
                        <pic:blipFill>
                          <a:blip r:embed="rId27"/>
                          <a:srcRect l="-565" t="-1047" r="-565" b="-1047"/>
                          <a:stretch>
                            <a:fillRect/>
                          </a:stretch>
                        </pic:blipFill>
                        <pic:spPr bwMode="auto">
                          <a:xfrm>
                            <a:off x="0" y="0"/>
                            <a:ext cx="1781175" cy="962025"/>
                          </a:xfrm>
                          <a:prstGeom prst="rect">
                            <a:avLst/>
                          </a:prstGeom>
                          <a:ln w="635">
                            <a:solidFill>
                              <a:srgbClr val="000000"/>
                            </a:solidFill>
                          </a:ln>
                        </pic:spPr>
                      </pic:pic>
                    </a:graphicData>
                  </a:graphic>
                </wp:inline>
              </w:drawing>
            </w:r>
          </w:p>
        </w:tc>
        <w:tc>
          <w:tcPr>
            <w:tcW w:w="30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147"/>
        <w:gridCol w:w="10058"/>
      </w:tblGrid>
      <w:tr>
        <w:trPr/>
        <w:tc>
          <w:tcPr>
            <w:tcW w:w="147"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(1)</w:t>
            </w:r>
          </w:p>
        </w:tc>
        <w:tc>
          <w:tcPr>
            <w:tcW w:w="10058" w:type="dxa"/>
            <w:tcBorders/>
            <w:shd w:fill="auto" w:val="clear"/>
            <w:vAlign w:val="center"/>
          </w:tcPr>
          <w:p>
            <w:pPr>
              <w:pStyle w:val="TableContents"/>
              <w:spacing w:before="0" w:after="283"/>
              <w:jc w:val="left"/>
              <w:rPr>
                <w:rFonts w:ascii="Arial" w:hAnsi="Arial"/>
                <w:sz w:val="15"/>
              </w:rPr>
            </w:pPr>
            <w:r>
              <w:rPr>
                <w:rFonts w:ascii="Arial" w:hAnsi="Arial"/>
                <w:sz w:val="15"/>
              </w:rPr>
              <w:t>In the third quarter of 2022, we recorded noncash impairment charges related to goodwill and intangible assets in our Sky segment totaling $8.6 billion. The impairments primarily reflected an increased discount rate and reduced estimated future cash flows as a result of macroeconomic conditions in Sky’s territories. The impairments are recorded in “Goodwill and long-lived asset impairments” in the Condensed Consolidated Statement of Income.</w:t>
            </w:r>
          </w:p>
        </w:tc>
      </w:tr>
      <w:tr>
        <w:trPr/>
        <w:tc>
          <w:tcPr>
            <w:tcW w:w="147"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(2)</w:t>
            </w:r>
          </w:p>
        </w:tc>
        <w:tc>
          <w:tcPr>
            <w:tcW w:w="10058" w:type="dxa"/>
            <w:tcBorders/>
            <w:shd w:fill="auto" w:val="clear"/>
            <w:vAlign w:val="center"/>
          </w:tcPr>
          <w:p>
            <w:pPr>
              <w:pStyle w:val="TableContents"/>
              <w:spacing w:before="0" w:after="283"/>
              <w:jc w:val="left"/>
              <w:rPr/>
            </w:pPr>
            <w:r>
              <w:rPr>
                <w:rFonts w:ascii="Arial" w:hAnsi="Arial"/>
                <w:sz w:val="15"/>
              </w:rPr>
              <w:t xml:space="preserve">Reconciliations of non-GAAP financial metrics to GAAP are set forth in </w:t>
            </w:r>
            <w:r>
              <w:rPr>
                <w:rFonts w:ascii="Arial" w:hAnsi="Arial"/>
                <w:sz w:val="15"/>
                <w:u w:val="single"/>
              </w:rPr>
              <w:t>Appendix A</w:t>
            </w:r>
            <w:r>
              <w:rPr>
                <w:rFonts w:ascii="Arial" w:hAnsi="Arial"/>
                <w:sz w:val="15"/>
              </w:rPr>
              <w:t>.</w:t>
            </w:r>
          </w:p>
        </w:tc>
      </w:tr>
      <w:tr>
        <w:trPr/>
        <w:tc>
          <w:tcPr>
            <w:tcW w:w="147"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 xml:space="preserve">(3) </w:t>
            </w:r>
          </w:p>
        </w:tc>
        <w:tc>
          <w:tcPr>
            <w:tcW w:w="10058" w:type="dxa"/>
            <w:tcBorders/>
            <w:shd w:fill="auto" w:val="clear"/>
            <w:vAlign w:val="center"/>
          </w:tcPr>
          <w:p>
            <w:pPr>
              <w:pStyle w:val="TableContents"/>
              <w:spacing w:before="0" w:after="283"/>
              <w:jc w:val="left"/>
              <w:rPr>
                <w:rFonts w:ascii="Arial" w:hAnsi="Arial"/>
                <w:sz w:val="15"/>
              </w:rPr>
            </w:pPr>
            <w:r>
              <w:rPr>
                <w:rFonts w:ascii="Arial" w:hAnsi="Arial"/>
                <w:sz w:val="15"/>
              </w:rPr>
              <w:t>2021 Free Cash Flow of $17.1 billion includes a $1.3 billion benefit related to the tax impact of a bond exchange completed in August 2021 and roughly $1 billion from returns on investing activities.</w:t>
            </w:r>
          </w:p>
        </w:tc>
      </w:tr>
    </w:tbl>
    <w:p>
      <w:pPr>
        <w:pStyle w:val="TextBody"/>
        <w:spacing w:before="240" w:after="283"/>
        <w:jc w:val="left"/>
        <w:rPr>
          <w:rFonts w:ascii="Arial" w:hAnsi="Arial"/>
          <w:sz w:val="20"/>
        </w:rPr>
      </w:pPr>
      <w:r>
        <w:rPr>
          <w:rFonts w:ascii="Arial" w:hAnsi="Arial"/>
          <w:sz w:val="20"/>
        </w:rPr>
        <w:t>2022 key reported results included:</w:t>
      </w:r>
    </w:p>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0"/>
              <w:jc w:val="left"/>
              <w:rPr>
                <w:rFonts w:ascii="Arial" w:hAnsi="Arial"/>
                <w:sz w:val="20"/>
              </w:rPr>
            </w:pPr>
            <w:r>
              <w:rPr>
                <w:rFonts w:ascii="Arial" w:hAnsi="Arial"/>
                <w:sz w:val="20"/>
              </w:rPr>
              <w:t>Comcast Cable (whose results through 2022 were reported in our Cable Communications segment) revenue increased 3.1% to $66.3 billion and Adjusted EBITDA increased 4.6% to $29.4 billion.</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0"/>
              <w:jc w:val="left"/>
              <w:rPr>
                <w:rFonts w:ascii="Arial" w:hAnsi="Arial"/>
                <w:sz w:val="20"/>
              </w:rPr>
            </w:pPr>
            <w:r>
              <w:rPr>
                <w:rFonts w:ascii="Arial" w:hAnsi="Arial"/>
                <w:sz w:val="20"/>
              </w:rPr>
              <w:t>NBCUniversal revenue increased 14.2% to $39.2 billion and Adjusted EBITDA increased 4.9% to $6.0 billion. NBCUniversal results included higher Peacock losses.</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0"/>
              <w:jc w:val="left"/>
              <w:rPr/>
            </w:pPr>
            <w:r>
              <w:rPr>
                <w:rFonts w:ascii="Arial" w:hAnsi="Arial"/>
                <w:sz w:val="20"/>
              </w:rPr>
              <w:t xml:space="preserve">Sky revenue decreased 11.5% to $17.9 billion, or 1.2% excluding the impact of foreign currency. Sky Adjusted EBITDA increased 7.0% to $2.5 billion, or 20.3% excluding the impact of foreign currency. See </w:t>
            </w:r>
            <w:r>
              <w:rPr>
                <w:rFonts w:ascii="Arial" w:hAnsi="Arial"/>
                <w:sz w:val="20"/>
                <w:u w:val="single"/>
              </w:rPr>
              <w:t>Appendix A</w:t>
            </w:r>
            <w:r>
              <w:rPr/>
              <w:t xml:space="preserve"> </w:t>
            </w:r>
            <w:r>
              <w:rPr>
                <w:rFonts w:ascii="Arial" w:hAnsi="Arial"/>
                <w:sz w:val="20"/>
              </w:rPr>
              <w:t>for a reconciliation.</w:t>
            </w:r>
          </w:p>
        </w:tc>
      </w:tr>
    </w:tbl>
    <w:p>
      <w:pPr>
        <w:pStyle w:val="TextBody"/>
        <w:spacing w:before="240" w:after="283"/>
        <w:jc w:val="left"/>
        <w:rPr>
          <w:rFonts w:ascii="Arial" w:hAnsi="Arial"/>
          <w:sz w:val="20"/>
        </w:rPr>
      </w:pPr>
      <w:r>
        <w:rPr>
          <w:rFonts w:ascii="Arial" w:hAnsi="Arial"/>
          <w:sz w:val="20"/>
        </w:rPr>
        <w:t>In 2022, we made cash dividend payments of $4.7 billion and repurchased $13.0 billion of our common stock, resulting in a total return of capital to shareholders of $17.7 billion, compared to $8.5 billion in 2021. In January 2023, we announced our 15th consecutive annual increase to our planned annual dividend by $0.08 per share, or 7.4%, to $1.16 per share on an annualized basis.</w:t>
      </w:r>
    </w:p>
    <w:tbl>
      <w:tblPr>
        <w:tblW w:w="2110" w:type="dxa"/>
        <w:jc w:val="left"/>
        <w:tblInd w:w="0" w:type="dxa"/>
        <w:tblCellMar>
          <w:top w:w="0" w:type="dxa"/>
          <w:left w:w="0" w:type="dxa"/>
          <w:bottom w:w="0" w:type="dxa"/>
          <w:right w:w="0" w:type="dxa"/>
        </w:tblCellMar>
      </w:tblPr>
      <w:tblGrid>
        <w:gridCol w:w="1580"/>
        <w:gridCol w:w="530"/>
      </w:tblGrid>
      <w:tr>
        <w:trPr/>
        <w:tc>
          <w:tcPr>
            <w:tcW w:w="1580" w:type="dxa"/>
            <w:tcBorders/>
            <w:shd w:fill="auto" w:val="clear"/>
            <w:vAlign w:val="center"/>
          </w:tcPr>
          <w:p>
            <w:pPr>
              <w:pStyle w:val="TableContents"/>
              <w:spacing w:before="0" w:after="283"/>
              <w:jc w:val="right"/>
              <w:rPr>
                <w:rFonts w:ascii="Arial" w:hAnsi="Arial"/>
                <w:sz w:val="15"/>
              </w:rPr>
            </w:pPr>
            <w:r>
              <w:rPr>
                <w:rFonts w:ascii="Arial" w:hAnsi="Arial"/>
                <w:sz w:val="15"/>
              </w:rPr>
              <w:t>2023 Proxy Statement</w:t>
            </w:r>
          </w:p>
        </w:tc>
        <w:tc>
          <w:tcPr>
            <w:tcW w:w="530" w:type="dxa"/>
            <w:tcBorders/>
            <w:shd w:fill="auto" w:val="clear"/>
            <w:vAlign w:val="center"/>
          </w:tcPr>
          <w:p>
            <w:pPr>
              <w:pStyle w:val="TableContents"/>
              <w:spacing w:before="0" w:after="283"/>
              <w:jc w:val="right"/>
              <w:rPr/>
            </w:pPr>
            <w:r>
              <w:rPr/>
              <w:t>       </w:t>
            </w:r>
            <w:r>
              <w:rPr>
                <w:rFonts w:ascii="Arial" w:hAnsi="Arial"/>
                <w:b/>
                <w:sz w:val="15"/>
              </w:rPr>
              <w:t>7</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p>
      <w:pPr>
        <w:pStyle w:val="TextBody"/>
        <w:jc w:val="left"/>
        <w:rPr>
          <w:rFonts w:ascii="Arial" w:hAnsi="Arial"/>
          <w:b/>
          <w:sz w:val="36"/>
        </w:rPr>
      </w:pPr>
      <w:bookmarkStart w:id="8" w:name="spotlight"/>
      <w:bookmarkEnd w:id="8"/>
      <w:r>
        <w:rPr>
          <w:rFonts w:ascii="Arial" w:hAnsi="Arial"/>
          <w:b/>
          <w:sz w:val="36"/>
        </w:rPr>
        <w:t>Spotlight on Our Corporate Responsibility Initiatives</w:t>
      </w:r>
    </w:p>
    <w:p>
      <w:pPr>
        <w:pStyle w:val="TextBody"/>
        <w:jc w:val="left"/>
        <w:rPr>
          <w:rFonts w:ascii="Arial" w:hAnsi="Arial"/>
          <w:sz w:val="20"/>
        </w:rPr>
      </w:pPr>
      <w:r>
        <w:rPr>
          <w:rFonts w:ascii="Arial" w:hAnsi="Arial"/>
          <w:sz w:val="20"/>
        </w:rPr>
        <w:t>At Comcast, our most significant environmental, social and governance (“ESG”) issues are reviewed with our Board of Directors and its committees. Our Audit Committee oversees cybersecurity and significant business continuity risks. Our Compensation and Human Capital (“CHC”) Committee reviews programs and strategies with respect to human capital management and employee engagement and oversees succession planning. Our Governance and Corporate Responsibility (“GCR”) Committee oversees significant environmental and social issues, risks and trends, including diversity, equity and inclusion (“DE&amp;I”) and harassment and discrimination matters, as well as privacy and political and lobbying activities. For more information about our Board’s oversight of ESG issues, see “Corporate Governance and Board Matters – Board Structure and Responsibilities – Board and Committee Strategy, Risk and ESG Oversight Responsibilities.”</w:t>
      </w:r>
    </w:p>
    <w:p>
      <w:pPr>
        <w:pStyle w:val="TextBody"/>
        <w:jc w:val="left"/>
        <w:rPr/>
      </w:pPr>
      <w:r>
        <w:rPr>
          <w:rFonts w:ascii="Arial" w:hAnsi="Arial"/>
          <w:sz w:val="20"/>
        </w:rPr>
        <w:t xml:space="preserve">We provide reports on various ESG issues and initiatives that are of interest to our stakeholders, including our shareholders, employees, customers, suppliers and the communities where we operate, on our ESG Reporting website at </w:t>
      </w:r>
      <w:r>
        <w:rPr>
          <w:rFonts w:ascii="Arial" w:hAnsi="Arial"/>
          <w:b w:val="false"/>
          <w:i/>
          <w:caps w:val="false"/>
          <w:smallCaps w:val="false"/>
          <w:sz w:val="20"/>
        </w:rPr>
        <w:t>www.cmcsa.com/esg-reporting</w:t>
      </w:r>
      <w:r>
        <w:rPr>
          <w:rFonts w:ascii="Arial" w:hAnsi="Arial"/>
          <w:sz w:val="20"/>
        </w:rPr>
        <w:t>, including our Impact Report, EEO-1 Data Report, Sustainability Accounting Standards Board (“SASB”) Report, Task Force on Climate-Related Financial Disclosures (“TCFD”) Report, Carbon Footprint Data Report and reporting on our political and trade association activities. None of the statements, reports, policies, resources or other content on our website, or any other websites or reports referenced or discussed in this proxy statement, are deemed to be part of, or incorporated by reference into, this proxy statement.</w:t>
      </w:r>
    </w:p>
    <w:p>
      <w:pPr>
        <w:pStyle w:val="TextBody"/>
        <w:jc w:val="left"/>
        <w:rPr>
          <w:rFonts w:ascii="Arial" w:hAnsi="Arial"/>
          <w:color w:val="00A1E0"/>
          <w:sz w:val="26"/>
        </w:rPr>
      </w:pPr>
      <w:r>
        <w:rPr>
          <w:rFonts w:ascii="Arial" w:hAnsi="Arial"/>
          <w:color w:val="00A1E0"/>
          <w:sz w:val="26"/>
        </w:rPr>
        <w:t>Digital Equity</w:t>
      </w:r>
    </w:p>
    <w:p>
      <w:pPr>
        <w:pStyle w:val="TextBody"/>
        <w:jc w:val="left"/>
        <w:rPr>
          <w:rFonts w:ascii="Arial" w:hAnsi="Arial"/>
          <w:sz w:val="20"/>
        </w:rPr>
      </w:pPr>
      <w:r>
        <w:rPr>
          <w:rFonts w:ascii="Arial" w:hAnsi="Arial"/>
          <w:sz w:val="20"/>
        </w:rPr>
        <w:t>As a media and technology company, we have a unique opportunity to address digital inequities to help create a more equitable society. Over the last decade, we have connected a cumulative total of more than 10 million low-income Americans to the internet through our Internet Essentials program. At the same time, we have sought to improve access to digital tools and resources, invested in organizations that help people build digital skills, and partnered with cable industry peers, schools, governments, nonprofits, businesses and communities to help bridge the digital divide.</w:t>
      </w:r>
    </w:p>
    <w:p>
      <w:pPr>
        <w:pStyle w:val="TextBody"/>
        <w:jc w:val="left"/>
        <w:rPr>
          <w:rFonts w:ascii="Arial" w:hAnsi="Arial"/>
          <w:sz w:val="20"/>
        </w:rPr>
      </w:pPr>
      <w:r>
        <w:rPr>
          <w:rFonts w:ascii="Arial" w:hAnsi="Arial"/>
          <w:sz w:val="20"/>
        </w:rPr>
        <w:t>In 2022, we continued our efforts to extend our broadband services to underserved and unserved Americans by:</w:t>
      </w:r>
    </w:p>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0"/>
              <w:jc w:val="left"/>
              <w:rPr>
                <w:rFonts w:ascii="Arial" w:hAnsi="Arial"/>
                <w:sz w:val="20"/>
              </w:rPr>
            </w:pPr>
            <w:r>
              <w:rPr>
                <w:rFonts w:ascii="Arial" w:hAnsi="Arial"/>
                <w:sz w:val="20"/>
              </w:rPr>
              <w:t>Supporting and participating in the federal government’s Affordable Connectivity Program, which enables qualifying low-income customers to apply a financial subsidy to our broadband services, allowing them to receive our Internet Essentials service or our new enhanced Internet Essentials Plus service with twice the download speed – up to 100 Mbps – effectively for free.</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0"/>
              <w:jc w:val="left"/>
              <w:rPr>
                <w:rFonts w:ascii="Arial" w:hAnsi="Arial"/>
                <w:sz w:val="20"/>
              </w:rPr>
            </w:pPr>
            <w:r>
              <w:rPr>
                <w:rFonts w:ascii="Arial" w:hAnsi="Arial"/>
                <w:sz w:val="20"/>
              </w:rPr>
              <w:t>Participating in federal, state and local programs designed to fund the expansion of broadband to unserved Americans and extending our network to new areas where reliable, high-speed internet services had been unavailable.</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0"/>
              <w:jc w:val="left"/>
              <w:rPr>
                <w:rFonts w:ascii="Arial" w:hAnsi="Arial"/>
                <w:sz w:val="20"/>
              </w:rPr>
            </w:pPr>
            <w:r>
              <w:rPr>
                <w:rFonts w:ascii="Arial" w:hAnsi="Arial"/>
                <w:sz w:val="20"/>
              </w:rPr>
              <w:t>Investing directly in community-based initiatives and programs to launch, support and scale digital navigator programs across the country. Digital navigators are trusted individuals affiliated with local nonprofits, educational institutions and governmental organizations who are trained to help more people sign up for internet service, get devices and connect to skills training and other digital literacy resources.</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0"/>
              <w:jc w:val="left"/>
              <w:rPr>
                <w:rFonts w:ascii="Arial" w:hAnsi="Arial"/>
                <w:sz w:val="20"/>
              </w:rPr>
            </w:pPr>
            <w:r>
              <w:rPr>
                <w:rFonts w:ascii="Arial" w:hAnsi="Arial"/>
                <w:sz w:val="20"/>
              </w:rPr>
              <w:t>Contributing to partners such as CodePath, Hispanic Federation, NPower and Per Scholas that are helping to create equitable access to skills and training, so more people can secure jobs and climb the economic ladder.</w:t>
            </w:r>
          </w:p>
        </w:tc>
      </w:tr>
    </w:tbl>
    <w:p>
      <w:pPr>
        <w:pStyle w:val="TextBody"/>
        <w:spacing w:before="240" w:after="283"/>
        <w:jc w:val="left"/>
        <w:rPr>
          <w:rFonts w:ascii="Arial" w:hAnsi="Arial"/>
          <w:color w:val="00A1E0"/>
          <w:sz w:val="26"/>
        </w:rPr>
      </w:pPr>
      <w:r>
        <w:rPr>
          <w:rFonts w:ascii="Arial" w:hAnsi="Arial"/>
          <w:color w:val="00A1E0"/>
          <w:sz w:val="26"/>
        </w:rPr>
        <w:t>Diversity, Equity &amp; Inclusion</w:t>
      </w:r>
    </w:p>
    <w:p>
      <w:pPr>
        <w:pStyle w:val="TextBody"/>
        <w:jc w:val="left"/>
        <w:rPr>
          <w:rFonts w:ascii="Arial" w:hAnsi="Arial"/>
          <w:sz w:val="20"/>
        </w:rPr>
      </w:pPr>
      <w:r>
        <w:rPr>
          <w:rFonts w:ascii="Arial" w:hAnsi="Arial"/>
          <w:sz w:val="20"/>
        </w:rPr>
        <w:t>Our commitment to DE&amp;I is long-standing. We believe that a diverse, equitable and inclusive company helps to foster creativity, innovation and success. We embrace diversity of background, perspective, culture and experience, and we use our resources – our people, programming and platforms – to work toward racial equity in areas where we can have a meaningful impact. Our ongoing efforts and continued progress in this regard are reviewed and discussed by our Board and/or its committees, our senior leadership teams and our external DE&amp;I Advisory Council, which is chaired by our Chief Diversity Officer.</w:t>
      </w:r>
    </w:p>
    <w:tbl>
      <w:tblPr>
        <w:tblW w:w="133" w:type="dxa"/>
        <w:jc w:val="left"/>
        <w:tblInd w:w="0" w:type="dxa"/>
        <w:tblCellMar>
          <w:top w:w="0" w:type="dxa"/>
          <w:left w:w="0" w:type="dxa"/>
          <w:bottom w:w="0" w:type="dxa"/>
          <w:right w:w="0" w:type="dxa"/>
        </w:tblCellMar>
      </w:tblPr>
      <w:tblGrid>
        <w:gridCol w:w="110"/>
        <w:gridCol w:w="23"/>
      </w:tblGrid>
      <w:tr>
        <w:trPr/>
        <w:tc>
          <w:tcPr>
            <w:tcW w:w="110" w:type="dxa"/>
            <w:tcBorders/>
            <w:shd w:fill="auto" w:val="clear"/>
            <w:vAlign w:val="center"/>
          </w:tcPr>
          <w:p>
            <w:pPr>
              <w:pStyle w:val="TableContents"/>
              <w:spacing w:before="0" w:after="283"/>
              <w:jc w:val="left"/>
              <w:rPr>
                <w:rFonts w:ascii="Arial" w:hAnsi="Arial"/>
                <w:b/>
                <w:sz w:val="15"/>
              </w:rPr>
            </w:pPr>
            <w:r>
              <w:rPr>
                <w:rFonts w:ascii="Arial" w:hAnsi="Arial"/>
                <w:b/>
                <w:sz w:val="15"/>
              </w:rPr>
              <w:t>8</w:t>
            </w:r>
          </w:p>
        </w:tc>
        <w:tc>
          <w:tcPr>
            <w:tcW w:w="2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p>
      <w:pPr>
        <w:pStyle w:val="TextBody"/>
        <w:jc w:val="left"/>
        <w:rPr/>
      </w:pPr>
      <w:r>
        <w:rPr>
          <w:rFonts w:ascii="Arial" w:hAnsi="Arial"/>
          <w:sz w:val="24"/>
        </w:rPr>
        <w:t>Board of Directors and Workforce</w:t>
      </w:r>
      <w:r>
        <w:rPr/>
        <w:br/>
      </w:r>
      <w:r>
        <w:rPr>
          <w:rFonts w:ascii="Arial" w:hAnsi="Arial"/>
          <w:sz w:val="18"/>
        </w:rPr>
        <w:t>(Workforce statistics based on U.S. full-time employees as of year-end 2022)</w:t>
      </w:r>
    </w:p>
    <w:tbl>
      <w:tblPr>
        <w:tblW w:w="10205" w:type="dxa"/>
        <w:jc w:val="left"/>
        <w:tblInd w:w="0" w:type="dxa"/>
        <w:tblCellMar>
          <w:top w:w="80" w:type="dxa"/>
          <w:left w:w="0" w:type="dxa"/>
          <w:bottom w:w="0" w:type="dxa"/>
          <w:right w:w="0" w:type="dxa"/>
        </w:tblCellMar>
      </w:tblPr>
      <w:tblGrid>
        <w:gridCol w:w="645"/>
        <w:gridCol w:w="2764"/>
        <w:gridCol w:w="2175"/>
        <w:gridCol w:w="3154"/>
        <w:gridCol w:w="1467"/>
      </w:tblGrid>
      <w:tr>
        <w:trPr/>
        <w:tc>
          <w:tcPr>
            <w:tcW w:w="8738" w:type="dxa"/>
            <w:gridSpan w:val="4"/>
            <w:tcBorders>
              <w:top w:val="single" w:sz="8" w:space="0" w:color="959595"/>
            </w:tcBorders>
            <w:shd w:fill="auto" w:val="clear"/>
            <w:vAlign w:val="center"/>
          </w:tcPr>
          <w:p>
            <w:pPr>
              <w:pStyle w:val="TableContents"/>
              <w:spacing w:before="0" w:after="283"/>
              <w:rPr>
                <w:rFonts w:ascii="Arial" w:hAnsi="Arial"/>
                <w:b/>
                <w:color w:val="00A1E0"/>
                <w:sz w:val="20"/>
              </w:rPr>
            </w:pPr>
            <w:r>
              <w:rPr>
                <w:rFonts w:ascii="Arial" w:hAnsi="Arial"/>
                <w:b/>
                <w:color w:val="00A1E0"/>
                <w:sz w:val="20"/>
              </w:rPr>
              <w:t>BOARD OF DIRECTORS NOMINEES</w:t>
            </w:r>
          </w:p>
        </w:tc>
        <w:tc>
          <w:tcPr>
            <w:tcW w:w="1467" w:type="dxa"/>
            <w:vMerge w:val="restart"/>
            <w:tcBorders>
              <w:top w:val="single" w:sz="8" w:space="0" w:color="959595"/>
              <w:right w:val="single" w:sz="8" w:space="0" w:color="959595"/>
            </w:tcBorders>
            <w:shd w:fill="auto" w:val="clear"/>
            <w:tcMar>
              <w:top w:w="28" w:type="dxa"/>
              <w:right w:w="120" w:type="dxa"/>
            </w:tcMar>
            <w:vAlign w:val="center"/>
          </w:tcPr>
          <w:p>
            <w:pPr>
              <w:pStyle w:val="TableContents"/>
              <w:spacing w:before="0" w:after="283"/>
              <w:jc w:val="center"/>
              <w:rPr/>
            </w:pPr>
            <w:r>
              <w:rPr/>
              <w:t xml:space="preserve">  </w:t>
            </w:r>
            <w:r>
              <w:rPr/>
              <w:drawing>
                <wp:inline distT="0" distB="0" distL="0" distR="0">
                  <wp:extent cx="885825" cy="3619500"/>
                  <wp:effectExtent l="0" t="0" r="0" b="0"/>
                  <wp:docPr id="35"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7" descr=""/>
                          <pic:cNvPicPr>
                            <a:picLocks noChangeAspect="1" noChangeArrowheads="1"/>
                          </pic:cNvPicPr>
                        </pic:nvPicPr>
                        <pic:blipFill>
                          <a:blip r:embed="rId28"/>
                          <a:srcRect l="-358" t="-278" r="-358" b="-278"/>
                          <a:stretch>
                            <a:fillRect/>
                          </a:stretch>
                        </pic:blipFill>
                        <pic:spPr bwMode="auto">
                          <a:xfrm>
                            <a:off x="0" y="0"/>
                            <a:ext cx="885825" cy="3619500"/>
                          </a:xfrm>
                          <a:prstGeom prst="rect">
                            <a:avLst/>
                          </a:prstGeom>
                          <a:ln w="635">
                            <a:solidFill>
                              <a:srgbClr val="000000"/>
                            </a:solidFill>
                          </a:ln>
                        </pic:spPr>
                      </pic:pic>
                    </a:graphicData>
                  </a:graphic>
                </wp:inline>
              </w:drawing>
            </w:r>
          </w:p>
        </w:tc>
      </w:tr>
      <w:tr>
        <w:trPr/>
        <w:tc>
          <w:tcPr>
            <w:tcW w:w="645" w:type="dxa"/>
            <w:tcBorders/>
            <w:shd w:fill="auto" w:val="clear"/>
            <w:tcMar>
              <w:top w:w="0" w:type="dxa"/>
            </w:tcMar>
            <w:vAlign w:val="center"/>
          </w:tcPr>
          <w:p>
            <w:pPr>
              <w:pStyle w:val="TableContents"/>
              <w:spacing w:before="0" w:after="283"/>
              <w:rPr/>
            </w:pPr>
            <w:r>
              <w:rPr/>
              <w:drawing>
                <wp:inline distT="0" distB="0" distL="0" distR="0">
                  <wp:extent cx="409575" cy="1323975"/>
                  <wp:effectExtent l="0" t="0" r="0" b="0"/>
                  <wp:docPr id="36"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8" descr=""/>
                          <pic:cNvPicPr>
                            <a:picLocks noChangeAspect="1" noChangeArrowheads="1"/>
                          </pic:cNvPicPr>
                        </pic:nvPicPr>
                        <pic:blipFill>
                          <a:blip r:embed="rId29"/>
                          <a:srcRect l="-766" t="-761" r="-766" b="-761"/>
                          <a:stretch>
                            <a:fillRect/>
                          </a:stretch>
                        </pic:blipFill>
                        <pic:spPr bwMode="auto">
                          <a:xfrm>
                            <a:off x="0" y="0"/>
                            <a:ext cx="409575" cy="1323975"/>
                          </a:xfrm>
                          <a:prstGeom prst="rect">
                            <a:avLst/>
                          </a:prstGeom>
                          <a:ln w="635">
                            <a:solidFill>
                              <a:srgbClr val="000000"/>
                            </a:solidFill>
                          </a:ln>
                        </pic:spPr>
                      </pic:pic>
                    </a:graphicData>
                  </a:graphic>
                </wp:inline>
              </w:drawing>
            </w:r>
          </w:p>
        </w:tc>
        <w:tc>
          <w:tcPr>
            <w:tcW w:w="2764" w:type="dxa"/>
            <w:tcBorders/>
            <w:shd w:fill="auto" w:val="clear"/>
            <w:tcMar>
              <w:top w:w="0" w:type="dxa"/>
            </w:tcMar>
            <w:vAlign w:val="center"/>
          </w:tcPr>
          <w:p>
            <w:pPr>
              <w:pStyle w:val="TableContents"/>
              <w:spacing w:before="0" w:after="283"/>
              <w:rPr/>
            </w:pPr>
            <w:r>
              <w:rPr>
                <w:rFonts w:ascii="Arial" w:hAnsi="Arial"/>
                <w:b/>
                <w:sz w:val="30"/>
              </w:rPr>
              <w:t>20%</w:t>
            </w:r>
            <w:r>
              <w:rPr/>
              <w:br/>
            </w:r>
            <w:r>
              <w:rPr>
                <w:rFonts w:ascii="Arial" w:hAnsi="Arial"/>
                <w:sz w:val="20"/>
              </w:rPr>
              <w:t>of our Board nominees are women</w:t>
            </w:r>
          </w:p>
        </w:tc>
        <w:tc>
          <w:tcPr>
            <w:tcW w:w="2175" w:type="dxa"/>
            <w:tcBorders/>
            <w:shd w:fill="auto" w:val="clear"/>
            <w:tcMar>
              <w:top w:w="0" w:type="dxa"/>
            </w:tcMar>
            <w:vAlign w:val="center"/>
          </w:tcPr>
          <w:p>
            <w:pPr>
              <w:pStyle w:val="TableContents"/>
              <w:spacing w:before="0" w:after="283"/>
              <w:rPr/>
            </w:pPr>
            <w:r>
              <w:rPr/>
              <w:drawing>
                <wp:inline distT="0" distB="0" distL="0" distR="0">
                  <wp:extent cx="1371600" cy="1323975"/>
                  <wp:effectExtent l="0" t="0" r="0" b="0"/>
                  <wp:docPr id="37"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9" descr=""/>
                          <pic:cNvPicPr>
                            <a:picLocks noChangeAspect="1" noChangeArrowheads="1"/>
                          </pic:cNvPicPr>
                        </pic:nvPicPr>
                        <pic:blipFill>
                          <a:blip r:embed="rId30"/>
                          <a:srcRect l="-231" t="-761" r="-231" b="-761"/>
                          <a:stretch>
                            <a:fillRect/>
                          </a:stretch>
                        </pic:blipFill>
                        <pic:spPr bwMode="auto">
                          <a:xfrm>
                            <a:off x="0" y="0"/>
                            <a:ext cx="1371600" cy="1323975"/>
                          </a:xfrm>
                          <a:prstGeom prst="rect">
                            <a:avLst/>
                          </a:prstGeom>
                          <a:ln w="635">
                            <a:solidFill>
                              <a:srgbClr val="000000"/>
                            </a:solidFill>
                          </a:ln>
                        </pic:spPr>
                      </pic:pic>
                    </a:graphicData>
                  </a:graphic>
                </wp:inline>
              </w:drawing>
            </w:r>
          </w:p>
        </w:tc>
        <w:tc>
          <w:tcPr>
            <w:tcW w:w="3154" w:type="dxa"/>
            <w:tcBorders/>
            <w:shd w:fill="auto" w:val="clear"/>
            <w:tcMar>
              <w:top w:w="0" w:type="dxa"/>
            </w:tcMar>
            <w:vAlign w:val="center"/>
          </w:tcPr>
          <w:p>
            <w:pPr>
              <w:pStyle w:val="TableContents"/>
              <w:spacing w:before="0" w:after="283"/>
              <w:rPr/>
            </w:pPr>
            <w:r>
              <w:rPr>
                <w:rFonts w:ascii="Arial" w:hAnsi="Arial"/>
                <w:b/>
                <w:sz w:val="30"/>
              </w:rPr>
              <w:t>40%</w:t>
            </w:r>
            <w:r>
              <w:rPr/>
              <w:br/>
            </w:r>
            <w:r>
              <w:rPr>
                <w:rFonts w:ascii="Arial" w:hAnsi="Arial"/>
                <w:sz w:val="20"/>
              </w:rPr>
              <w:t>of our Board nominees are people of color</w:t>
            </w:r>
          </w:p>
        </w:tc>
        <w:tc>
          <w:tcPr>
            <w:tcW w:w="1467" w:type="dxa"/>
            <w:vMerge w:val="continue"/>
            <w:tcBorders>
              <w:top w:val="single" w:sz="8" w:space="0" w:color="959595"/>
              <w:right w:val="single" w:sz="8" w:space="0" w:color="959595"/>
            </w:tcBorders>
            <w:shd w:fill="auto" w:val="clear"/>
            <w:tcMar>
              <w:top w:w="28" w:type="dxa"/>
              <w:right w:w="120" w:type="dxa"/>
            </w:tcMar>
            <w:vAlign w:val="center"/>
          </w:tcPr>
          <w:p>
            <w:pPr>
              <w:pStyle w:val="Normal"/>
              <w:rPr/>
            </w:pPr>
            <w:r>
              <w:rPr/>
            </w:r>
          </w:p>
        </w:tc>
      </w:tr>
      <w:tr>
        <w:trPr/>
        <w:tc>
          <w:tcPr>
            <w:tcW w:w="8738" w:type="dxa"/>
            <w:gridSpan w:val="4"/>
            <w:tcBorders/>
            <w:shd w:fill="auto" w:val="clear"/>
            <w:tcMar>
              <w:top w:w="0" w:type="dxa"/>
            </w:tcMar>
            <w:vAlign w:val="center"/>
          </w:tcPr>
          <w:p>
            <w:pPr>
              <w:pStyle w:val="TableContents"/>
              <w:spacing w:before="0" w:after="283"/>
              <w:rPr>
                <w:rFonts w:ascii="Arial" w:hAnsi="Arial"/>
                <w:b/>
                <w:color w:val="00A1E0"/>
                <w:sz w:val="20"/>
              </w:rPr>
            </w:pPr>
            <w:r>
              <w:rPr>
                <w:rFonts w:ascii="Arial" w:hAnsi="Arial"/>
                <w:b/>
                <w:color w:val="00A1E0"/>
                <w:sz w:val="20"/>
              </w:rPr>
              <w:t>OVERALL WORKFORCE</w:t>
            </w:r>
          </w:p>
        </w:tc>
        <w:tc>
          <w:tcPr>
            <w:tcW w:w="1467" w:type="dxa"/>
            <w:vMerge w:val="continue"/>
            <w:tcBorders>
              <w:top w:val="single" w:sz="8" w:space="0" w:color="959595"/>
              <w:right w:val="single" w:sz="8" w:space="0" w:color="959595"/>
            </w:tcBorders>
            <w:shd w:fill="auto" w:val="clear"/>
            <w:tcMar>
              <w:top w:w="28" w:type="dxa"/>
              <w:right w:w="120" w:type="dxa"/>
            </w:tcMar>
            <w:vAlign w:val="center"/>
          </w:tcPr>
          <w:p>
            <w:pPr>
              <w:pStyle w:val="Normal"/>
              <w:rPr/>
            </w:pPr>
            <w:r>
              <w:rPr/>
            </w:r>
          </w:p>
        </w:tc>
      </w:tr>
      <w:tr>
        <w:trPr/>
        <w:tc>
          <w:tcPr>
            <w:tcW w:w="645" w:type="dxa"/>
            <w:tcBorders/>
            <w:shd w:fill="auto" w:val="clear"/>
            <w:tcMar>
              <w:top w:w="0" w:type="dxa"/>
            </w:tcMar>
            <w:vAlign w:val="center"/>
          </w:tcPr>
          <w:p>
            <w:pPr>
              <w:pStyle w:val="TableContents"/>
              <w:spacing w:before="0" w:after="283"/>
              <w:rPr/>
            </w:pPr>
            <w:r>
              <w:rPr/>
              <w:drawing>
                <wp:inline distT="0" distB="0" distL="0" distR="0">
                  <wp:extent cx="409575" cy="1323975"/>
                  <wp:effectExtent l="0" t="0" r="0" b="0"/>
                  <wp:docPr id="38"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0" descr=""/>
                          <pic:cNvPicPr>
                            <a:picLocks noChangeAspect="1" noChangeArrowheads="1"/>
                          </pic:cNvPicPr>
                        </pic:nvPicPr>
                        <pic:blipFill>
                          <a:blip r:embed="rId31"/>
                          <a:srcRect l="-766" t="-761" r="-766" b="-761"/>
                          <a:stretch>
                            <a:fillRect/>
                          </a:stretch>
                        </pic:blipFill>
                        <pic:spPr bwMode="auto">
                          <a:xfrm>
                            <a:off x="0" y="0"/>
                            <a:ext cx="409575" cy="1323975"/>
                          </a:xfrm>
                          <a:prstGeom prst="rect">
                            <a:avLst/>
                          </a:prstGeom>
                          <a:ln w="635">
                            <a:solidFill>
                              <a:srgbClr val="000000"/>
                            </a:solidFill>
                          </a:ln>
                        </pic:spPr>
                      </pic:pic>
                    </a:graphicData>
                  </a:graphic>
                </wp:inline>
              </w:drawing>
            </w:r>
          </w:p>
        </w:tc>
        <w:tc>
          <w:tcPr>
            <w:tcW w:w="2764" w:type="dxa"/>
            <w:tcBorders/>
            <w:shd w:fill="auto" w:val="clear"/>
            <w:tcMar>
              <w:top w:w="0" w:type="dxa"/>
            </w:tcMar>
            <w:vAlign w:val="center"/>
          </w:tcPr>
          <w:p>
            <w:pPr>
              <w:pStyle w:val="TableContents"/>
              <w:spacing w:before="0" w:after="283"/>
              <w:rPr/>
            </w:pPr>
            <w:r>
              <w:rPr>
                <w:rFonts w:ascii="Arial" w:hAnsi="Arial"/>
                <w:b/>
                <w:sz w:val="30"/>
              </w:rPr>
              <w:t>37%</w:t>
            </w:r>
            <w:r>
              <w:rPr/>
              <w:br/>
            </w:r>
            <w:r>
              <w:rPr>
                <w:rFonts w:ascii="Arial" w:hAnsi="Arial"/>
                <w:sz w:val="20"/>
              </w:rPr>
              <w:t>of our employees were women</w:t>
            </w:r>
          </w:p>
        </w:tc>
        <w:tc>
          <w:tcPr>
            <w:tcW w:w="2175" w:type="dxa"/>
            <w:tcBorders/>
            <w:shd w:fill="auto" w:val="clear"/>
            <w:tcMar>
              <w:top w:w="0" w:type="dxa"/>
            </w:tcMar>
            <w:vAlign w:val="center"/>
          </w:tcPr>
          <w:p>
            <w:pPr>
              <w:pStyle w:val="TableContents"/>
              <w:spacing w:before="0" w:after="283"/>
              <w:rPr/>
            </w:pPr>
            <w:r>
              <w:rPr/>
              <w:drawing>
                <wp:inline distT="0" distB="0" distL="0" distR="0">
                  <wp:extent cx="1381125" cy="1333500"/>
                  <wp:effectExtent l="0" t="0" r="0" b="0"/>
                  <wp:docPr id="39"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1" descr=""/>
                          <pic:cNvPicPr>
                            <a:picLocks noChangeAspect="1" noChangeArrowheads="1"/>
                          </pic:cNvPicPr>
                        </pic:nvPicPr>
                        <pic:blipFill>
                          <a:blip r:embed="rId32"/>
                          <a:srcRect l="-214" t="-755" r="-214" b="-755"/>
                          <a:stretch>
                            <a:fillRect/>
                          </a:stretch>
                        </pic:blipFill>
                        <pic:spPr bwMode="auto">
                          <a:xfrm>
                            <a:off x="0" y="0"/>
                            <a:ext cx="1381125" cy="1333500"/>
                          </a:xfrm>
                          <a:prstGeom prst="rect">
                            <a:avLst/>
                          </a:prstGeom>
                          <a:ln w="635">
                            <a:solidFill>
                              <a:srgbClr val="000000"/>
                            </a:solidFill>
                          </a:ln>
                        </pic:spPr>
                      </pic:pic>
                    </a:graphicData>
                  </a:graphic>
                </wp:inline>
              </w:drawing>
            </w:r>
          </w:p>
        </w:tc>
        <w:tc>
          <w:tcPr>
            <w:tcW w:w="3154" w:type="dxa"/>
            <w:tcBorders/>
            <w:shd w:fill="auto" w:val="clear"/>
            <w:tcMar>
              <w:top w:w="0" w:type="dxa"/>
            </w:tcMar>
            <w:vAlign w:val="center"/>
          </w:tcPr>
          <w:p>
            <w:pPr>
              <w:pStyle w:val="TableContents"/>
              <w:spacing w:before="0" w:after="283"/>
              <w:rPr/>
            </w:pPr>
            <w:r>
              <w:rPr>
                <w:rFonts w:ascii="Arial" w:hAnsi="Arial"/>
                <w:b/>
                <w:sz w:val="30"/>
              </w:rPr>
              <w:t>46%</w:t>
            </w:r>
            <w:r>
              <w:rPr/>
              <w:br/>
            </w:r>
            <w:r>
              <w:rPr>
                <w:rFonts w:ascii="Arial" w:hAnsi="Arial"/>
                <w:sz w:val="20"/>
              </w:rPr>
              <w:t>of our employees were people of color</w:t>
            </w:r>
          </w:p>
        </w:tc>
        <w:tc>
          <w:tcPr>
            <w:tcW w:w="1467" w:type="dxa"/>
            <w:vMerge w:val="continue"/>
            <w:tcBorders>
              <w:top w:val="single" w:sz="8" w:space="0" w:color="959595"/>
              <w:right w:val="single" w:sz="8" w:space="0" w:color="959595"/>
            </w:tcBorders>
            <w:shd w:fill="auto" w:val="clear"/>
            <w:tcMar>
              <w:top w:w="28" w:type="dxa"/>
              <w:right w:w="120" w:type="dxa"/>
            </w:tcMar>
            <w:vAlign w:val="center"/>
          </w:tcPr>
          <w:p>
            <w:pPr>
              <w:pStyle w:val="Normal"/>
              <w:rPr/>
            </w:pPr>
            <w:r>
              <w:rPr/>
            </w:r>
          </w:p>
        </w:tc>
      </w:tr>
      <w:tr>
        <w:trPr/>
        <w:tc>
          <w:tcPr>
            <w:tcW w:w="8738" w:type="dxa"/>
            <w:gridSpan w:val="4"/>
            <w:tcBorders/>
            <w:shd w:fill="auto" w:val="clear"/>
            <w:tcMar>
              <w:top w:w="0" w:type="dxa"/>
            </w:tcMar>
            <w:vAlign w:val="center"/>
          </w:tcPr>
          <w:p>
            <w:pPr>
              <w:pStyle w:val="TableContents"/>
              <w:spacing w:before="0" w:after="283"/>
              <w:rPr>
                <w:rFonts w:ascii="Arial" w:hAnsi="Arial"/>
                <w:b/>
                <w:color w:val="00A1E0"/>
                <w:sz w:val="20"/>
              </w:rPr>
            </w:pPr>
            <w:r>
              <w:rPr>
                <w:rFonts w:ascii="Arial" w:hAnsi="Arial"/>
                <w:b/>
                <w:color w:val="00A1E0"/>
                <w:sz w:val="20"/>
              </w:rPr>
              <w:t>VP+</w:t>
            </w:r>
          </w:p>
        </w:tc>
        <w:tc>
          <w:tcPr>
            <w:tcW w:w="1467" w:type="dxa"/>
            <w:vMerge w:val="continue"/>
            <w:tcBorders>
              <w:top w:val="single" w:sz="8" w:space="0" w:color="959595"/>
              <w:right w:val="single" w:sz="8" w:space="0" w:color="959595"/>
            </w:tcBorders>
            <w:shd w:fill="auto" w:val="clear"/>
            <w:tcMar>
              <w:top w:w="28" w:type="dxa"/>
              <w:right w:w="120" w:type="dxa"/>
            </w:tcMar>
            <w:vAlign w:val="center"/>
          </w:tcPr>
          <w:p>
            <w:pPr>
              <w:pStyle w:val="Normal"/>
              <w:rPr/>
            </w:pPr>
            <w:r>
              <w:rPr/>
            </w:r>
          </w:p>
        </w:tc>
      </w:tr>
      <w:tr>
        <w:trPr/>
        <w:tc>
          <w:tcPr>
            <w:tcW w:w="645" w:type="dxa"/>
            <w:tcBorders/>
            <w:shd w:fill="auto" w:val="clear"/>
            <w:tcMar>
              <w:top w:w="0" w:type="dxa"/>
            </w:tcMar>
            <w:vAlign w:val="center"/>
          </w:tcPr>
          <w:p>
            <w:pPr>
              <w:pStyle w:val="TableContents"/>
              <w:spacing w:before="0" w:after="283"/>
              <w:rPr/>
            </w:pPr>
            <w:r>
              <w:rPr/>
              <w:drawing>
                <wp:inline distT="0" distB="0" distL="0" distR="0">
                  <wp:extent cx="409575" cy="1314450"/>
                  <wp:effectExtent l="0" t="0" r="0" b="0"/>
                  <wp:docPr id="40"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2" descr=""/>
                          <pic:cNvPicPr>
                            <a:picLocks noChangeAspect="1" noChangeArrowheads="1"/>
                          </pic:cNvPicPr>
                        </pic:nvPicPr>
                        <pic:blipFill>
                          <a:blip r:embed="rId33"/>
                          <a:srcRect l="-766" t="-766" r="-766" b="-766"/>
                          <a:stretch>
                            <a:fillRect/>
                          </a:stretch>
                        </pic:blipFill>
                        <pic:spPr bwMode="auto">
                          <a:xfrm>
                            <a:off x="0" y="0"/>
                            <a:ext cx="409575" cy="1314450"/>
                          </a:xfrm>
                          <a:prstGeom prst="rect">
                            <a:avLst/>
                          </a:prstGeom>
                          <a:ln w="635">
                            <a:solidFill>
                              <a:srgbClr val="000000"/>
                            </a:solidFill>
                          </a:ln>
                        </pic:spPr>
                      </pic:pic>
                    </a:graphicData>
                  </a:graphic>
                </wp:inline>
              </w:drawing>
            </w:r>
          </w:p>
        </w:tc>
        <w:tc>
          <w:tcPr>
            <w:tcW w:w="2764" w:type="dxa"/>
            <w:tcBorders/>
            <w:shd w:fill="auto" w:val="clear"/>
            <w:tcMar>
              <w:top w:w="0" w:type="dxa"/>
            </w:tcMar>
            <w:vAlign w:val="center"/>
          </w:tcPr>
          <w:p>
            <w:pPr>
              <w:pStyle w:val="TableContents"/>
              <w:spacing w:before="0" w:after="283"/>
              <w:rPr/>
            </w:pPr>
            <w:r>
              <w:rPr>
                <w:rFonts w:ascii="Arial" w:hAnsi="Arial"/>
                <w:b/>
                <w:sz w:val="30"/>
              </w:rPr>
              <w:t>44%</w:t>
            </w:r>
            <w:r>
              <w:rPr/>
              <w:br/>
            </w:r>
            <w:r>
              <w:rPr>
                <w:rFonts w:ascii="Arial" w:hAnsi="Arial"/>
                <w:sz w:val="20"/>
              </w:rPr>
              <w:t>of our Vice Presidents &amp; above were women</w:t>
            </w:r>
          </w:p>
        </w:tc>
        <w:tc>
          <w:tcPr>
            <w:tcW w:w="2175" w:type="dxa"/>
            <w:tcBorders/>
            <w:shd w:fill="auto" w:val="clear"/>
            <w:tcMar>
              <w:top w:w="0" w:type="dxa"/>
            </w:tcMar>
            <w:vAlign w:val="center"/>
          </w:tcPr>
          <w:p>
            <w:pPr>
              <w:pStyle w:val="TableContents"/>
              <w:spacing w:before="0" w:after="283"/>
              <w:rPr/>
            </w:pPr>
            <w:r>
              <w:rPr/>
              <w:drawing>
                <wp:inline distT="0" distB="0" distL="0" distR="0">
                  <wp:extent cx="1285875" cy="1314450"/>
                  <wp:effectExtent l="0" t="0" r="0" b="0"/>
                  <wp:docPr id="41"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3" descr=""/>
                          <pic:cNvPicPr>
                            <a:picLocks noChangeAspect="1" noChangeArrowheads="1"/>
                          </pic:cNvPicPr>
                        </pic:nvPicPr>
                        <pic:blipFill>
                          <a:blip r:embed="rId34"/>
                          <a:srcRect l="-246" t="-766" r="-246" b="-766"/>
                          <a:stretch>
                            <a:fillRect/>
                          </a:stretch>
                        </pic:blipFill>
                        <pic:spPr bwMode="auto">
                          <a:xfrm>
                            <a:off x="0" y="0"/>
                            <a:ext cx="1285875" cy="1314450"/>
                          </a:xfrm>
                          <a:prstGeom prst="rect">
                            <a:avLst/>
                          </a:prstGeom>
                          <a:ln w="635">
                            <a:solidFill>
                              <a:srgbClr val="000000"/>
                            </a:solidFill>
                          </a:ln>
                        </pic:spPr>
                      </pic:pic>
                    </a:graphicData>
                  </a:graphic>
                </wp:inline>
              </w:drawing>
            </w:r>
          </w:p>
        </w:tc>
        <w:tc>
          <w:tcPr>
            <w:tcW w:w="3154" w:type="dxa"/>
            <w:tcBorders/>
            <w:shd w:fill="auto" w:val="clear"/>
            <w:tcMar>
              <w:top w:w="0" w:type="dxa"/>
            </w:tcMar>
            <w:vAlign w:val="center"/>
          </w:tcPr>
          <w:p>
            <w:pPr>
              <w:pStyle w:val="TableContents"/>
              <w:spacing w:before="0" w:after="283"/>
              <w:rPr/>
            </w:pPr>
            <w:r>
              <w:rPr>
                <w:rFonts w:ascii="Arial" w:hAnsi="Arial"/>
                <w:b/>
                <w:sz w:val="30"/>
              </w:rPr>
              <w:t>25%</w:t>
            </w:r>
            <w:r>
              <w:rPr/>
              <w:br/>
            </w:r>
            <w:r>
              <w:rPr>
                <w:rFonts w:ascii="Arial" w:hAnsi="Arial"/>
                <w:sz w:val="20"/>
              </w:rPr>
              <w:t>of our Vice Presidents &amp; above were people of color</w:t>
            </w:r>
          </w:p>
        </w:tc>
        <w:tc>
          <w:tcPr>
            <w:tcW w:w="1467" w:type="dxa"/>
            <w:vMerge w:val="continue"/>
            <w:tcBorders>
              <w:top w:val="single" w:sz="8" w:space="0" w:color="959595"/>
              <w:right w:val="single" w:sz="8" w:space="0" w:color="959595"/>
            </w:tcBorders>
            <w:shd w:fill="auto" w:val="clear"/>
            <w:tcMar>
              <w:top w:w="28" w:type="dxa"/>
              <w:right w:w="120" w:type="dxa"/>
            </w:tcMar>
            <w:vAlign w:val="center"/>
          </w:tcPr>
          <w:p>
            <w:pPr>
              <w:pStyle w:val="Normal"/>
              <w:rPr/>
            </w:pPr>
            <w:r>
              <w:rPr/>
            </w:r>
          </w:p>
        </w:tc>
      </w:tr>
      <w:tr>
        <w:trPr/>
        <w:tc>
          <w:tcPr>
            <w:tcW w:w="8738" w:type="dxa"/>
            <w:gridSpan w:val="4"/>
            <w:tcBorders/>
            <w:shd w:fill="auto" w:val="clear"/>
            <w:tcMar>
              <w:top w:w="0" w:type="dxa"/>
            </w:tcMar>
            <w:vAlign w:val="center"/>
          </w:tcPr>
          <w:p>
            <w:pPr>
              <w:pStyle w:val="TableContents"/>
              <w:spacing w:before="0" w:after="283"/>
              <w:rPr>
                <w:rFonts w:ascii="Arial" w:hAnsi="Arial"/>
                <w:b/>
                <w:color w:val="00A1E0"/>
                <w:sz w:val="20"/>
              </w:rPr>
            </w:pPr>
            <w:r>
              <w:rPr>
                <w:rFonts w:ascii="Arial" w:hAnsi="Arial"/>
                <w:b/>
                <w:color w:val="00A1E0"/>
                <w:sz w:val="20"/>
              </w:rPr>
              <w:t>DIRECTOR-LEVEL EMPLOYEES</w:t>
            </w:r>
          </w:p>
        </w:tc>
        <w:tc>
          <w:tcPr>
            <w:tcW w:w="1467" w:type="dxa"/>
            <w:vMerge w:val="continue"/>
            <w:tcBorders>
              <w:top w:val="single" w:sz="8" w:space="0" w:color="959595"/>
              <w:right w:val="single" w:sz="8" w:space="0" w:color="959595"/>
            </w:tcBorders>
            <w:shd w:fill="auto" w:val="clear"/>
            <w:tcMar>
              <w:top w:w="28" w:type="dxa"/>
              <w:right w:w="120" w:type="dxa"/>
            </w:tcMar>
            <w:vAlign w:val="center"/>
          </w:tcPr>
          <w:p>
            <w:pPr>
              <w:pStyle w:val="Normal"/>
              <w:rPr/>
            </w:pPr>
            <w:r>
              <w:rPr/>
            </w:r>
          </w:p>
        </w:tc>
      </w:tr>
      <w:tr>
        <w:trPr/>
        <w:tc>
          <w:tcPr>
            <w:tcW w:w="645" w:type="dxa"/>
            <w:tcBorders/>
            <w:shd w:fill="auto" w:val="clear"/>
            <w:tcMar>
              <w:top w:w="0" w:type="dxa"/>
            </w:tcMar>
            <w:vAlign w:val="center"/>
          </w:tcPr>
          <w:p>
            <w:pPr>
              <w:pStyle w:val="TableContents"/>
              <w:spacing w:before="0" w:after="283"/>
              <w:rPr/>
            </w:pPr>
            <w:r>
              <w:rPr/>
              <w:drawing>
                <wp:inline distT="0" distB="0" distL="0" distR="0">
                  <wp:extent cx="409575" cy="1314450"/>
                  <wp:effectExtent l="0" t="0" r="0" b="0"/>
                  <wp:docPr id="42"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4" descr=""/>
                          <pic:cNvPicPr>
                            <a:picLocks noChangeAspect="1" noChangeArrowheads="1"/>
                          </pic:cNvPicPr>
                        </pic:nvPicPr>
                        <pic:blipFill>
                          <a:blip r:embed="rId35"/>
                          <a:srcRect l="-761" t="-766" r="-761" b="-766"/>
                          <a:stretch>
                            <a:fillRect/>
                          </a:stretch>
                        </pic:blipFill>
                        <pic:spPr bwMode="auto">
                          <a:xfrm>
                            <a:off x="0" y="0"/>
                            <a:ext cx="409575" cy="1314450"/>
                          </a:xfrm>
                          <a:prstGeom prst="rect">
                            <a:avLst/>
                          </a:prstGeom>
                          <a:ln w="635">
                            <a:solidFill>
                              <a:srgbClr val="000000"/>
                            </a:solidFill>
                          </a:ln>
                        </pic:spPr>
                      </pic:pic>
                    </a:graphicData>
                  </a:graphic>
                </wp:inline>
              </w:drawing>
            </w:r>
          </w:p>
        </w:tc>
        <w:tc>
          <w:tcPr>
            <w:tcW w:w="2764" w:type="dxa"/>
            <w:tcBorders/>
            <w:shd w:fill="auto" w:val="clear"/>
            <w:tcMar>
              <w:top w:w="0" w:type="dxa"/>
            </w:tcMar>
            <w:vAlign w:val="center"/>
          </w:tcPr>
          <w:p>
            <w:pPr>
              <w:pStyle w:val="TableContents"/>
              <w:spacing w:before="0" w:after="283"/>
              <w:rPr/>
            </w:pPr>
            <w:r>
              <w:rPr>
                <w:rFonts w:ascii="Arial" w:hAnsi="Arial"/>
                <w:b/>
                <w:sz w:val="30"/>
              </w:rPr>
              <w:t>44%</w:t>
            </w:r>
            <w:r>
              <w:rPr/>
              <w:br/>
            </w:r>
            <w:r>
              <w:rPr>
                <w:rFonts w:ascii="Arial" w:hAnsi="Arial"/>
                <w:sz w:val="20"/>
              </w:rPr>
              <w:t>of our Director-level employees were women</w:t>
            </w:r>
          </w:p>
        </w:tc>
        <w:tc>
          <w:tcPr>
            <w:tcW w:w="2175" w:type="dxa"/>
            <w:tcBorders/>
            <w:shd w:fill="auto" w:val="clear"/>
            <w:tcMar>
              <w:top w:w="0" w:type="dxa"/>
            </w:tcMar>
            <w:vAlign w:val="center"/>
          </w:tcPr>
          <w:p>
            <w:pPr>
              <w:pStyle w:val="TableContents"/>
              <w:spacing w:before="0" w:after="283"/>
              <w:rPr/>
            </w:pPr>
            <w:r>
              <w:rPr/>
              <w:drawing>
                <wp:inline distT="0" distB="0" distL="0" distR="0">
                  <wp:extent cx="1381125" cy="1323975"/>
                  <wp:effectExtent l="0" t="0" r="0" b="0"/>
                  <wp:docPr id="43"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5" descr=""/>
                          <pic:cNvPicPr>
                            <a:picLocks noChangeAspect="1" noChangeArrowheads="1"/>
                          </pic:cNvPicPr>
                        </pic:nvPicPr>
                        <pic:blipFill>
                          <a:blip r:embed="rId36"/>
                          <a:srcRect l="-215" t="-761" r="-215" b="-761"/>
                          <a:stretch>
                            <a:fillRect/>
                          </a:stretch>
                        </pic:blipFill>
                        <pic:spPr bwMode="auto">
                          <a:xfrm>
                            <a:off x="0" y="0"/>
                            <a:ext cx="1381125" cy="1323975"/>
                          </a:xfrm>
                          <a:prstGeom prst="rect">
                            <a:avLst/>
                          </a:prstGeom>
                          <a:ln w="635">
                            <a:solidFill>
                              <a:srgbClr val="000000"/>
                            </a:solidFill>
                          </a:ln>
                        </pic:spPr>
                      </pic:pic>
                    </a:graphicData>
                  </a:graphic>
                </wp:inline>
              </w:drawing>
            </w:r>
          </w:p>
        </w:tc>
        <w:tc>
          <w:tcPr>
            <w:tcW w:w="3154" w:type="dxa"/>
            <w:tcBorders/>
            <w:shd w:fill="auto" w:val="clear"/>
            <w:tcMar>
              <w:top w:w="0" w:type="dxa"/>
            </w:tcMar>
            <w:vAlign w:val="center"/>
          </w:tcPr>
          <w:p>
            <w:pPr>
              <w:pStyle w:val="TableContents"/>
              <w:spacing w:before="0" w:after="283"/>
              <w:rPr/>
            </w:pPr>
            <w:r>
              <w:rPr>
                <w:rFonts w:ascii="Arial" w:hAnsi="Arial"/>
                <w:b/>
                <w:sz w:val="30"/>
              </w:rPr>
              <w:t>31%</w:t>
            </w:r>
            <w:r>
              <w:rPr/>
              <w:br/>
            </w:r>
            <w:r>
              <w:rPr>
                <w:rFonts w:ascii="Arial" w:hAnsi="Arial"/>
                <w:sz w:val="20"/>
              </w:rPr>
              <w:t>of our Director-level employees were people of color</w:t>
            </w:r>
          </w:p>
        </w:tc>
        <w:tc>
          <w:tcPr>
            <w:tcW w:w="1467" w:type="dxa"/>
            <w:vMerge w:val="continue"/>
            <w:tcBorders>
              <w:top w:val="single" w:sz="8" w:space="0" w:color="959595"/>
              <w:right w:val="single" w:sz="8" w:space="0" w:color="959595"/>
            </w:tcBorders>
            <w:shd w:fill="auto" w:val="clear"/>
            <w:tcMar>
              <w:top w:w="28" w:type="dxa"/>
              <w:right w:w="120" w:type="dxa"/>
            </w:tcMar>
            <w:vAlign w:val="center"/>
          </w:tcPr>
          <w:p>
            <w:pPr>
              <w:pStyle w:val="Normal"/>
              <w:rPr/>
            </w:pPr>
            <w:r>
              <w:rPr/>
            </w:r>
          </w:p>
        </w:tc>
      </w:tr>
    </w:tbl>
    <w:p>
      <w:pPr>
        <w:pStyle w:val="TextBody"/>
        <w:spacing w:before="0" w:after="0"/>
        <w:rPr/>
      </w:pPr>
      <w:r>
        <w:rPr/>
      </w:r>
    </w:p>
    <w:p>
      <w:pPr>
        <w:pStyle w:val="TextBody"/>
        <w:spacing w:before="0" w:after="0"/>
        <w:ind w:left="0" w:right="0" w:hanging="0"/>
        <w:jc w:val="left"/>
        <w:rPr>
          <w:rFonts w:ascii="Arial" w:hAnsi="Arial"/>
          <w:color w:val="FFFFFF"/>
          <w:sz w:val="2"/>
        </w:rPr>
      </w:pPr>
      <w:r>
        <w:rPr>
          <w:rFonts w:ascii="Arial" w:hAnsi="Arial"/>
          <w:color w:val="FFFFFF"/>
          <w:sz w:val="2"/>
        </w:rPr>
        <w:t>20% 10% 10% 17% 8% 17% 0.4% 3% 6% 9% 8% 0.1% 2% 0 7% 13% 9% .2% 2% Black and African American Asian and Pacific Islander Hispanic and Latino/a/e 2+ Races Indigenous</w:t>
      </w:r>
    </w:p>
    <w:tbl>
      <w:tblPr>
        <w:tblW w:w="10205" w:type="dxa"/>
        <w:jc w:val="left"/>
        <w:tblInd w:w="0" w:type="dxa"/>
        <w:tblCellMar>
          <w:top w:w="0" w:type="dxa"/>
          <w:left w:w="0" w:type="dxa"/>
          <w:bottom w:w="0" w:type="dxa"/>
          <w:right w:w="0" w:type="dxa"/>
        </w:tblCellMar>
      </w:tblPr>
      <w:tblGrid>
        <w:gridCol w:w="200"/>
        <w:gridCol w:w="10005"/>
      </w:tblGrid>
      <w:tr>
        <w:trPr/>
        <w:tc>
          <w:tcPr>
            <w:tcW w:w="200" w:type="dxa"/>
            <w:tcBorders/>
            <w:shd w:fill="auto" w:val="clear"/>
            <w:vAlign w:val="center"/>
          </w:tcPr>
          <w:p>
            <w:pPr>
              <w:pStyle w:val="TableContents"/>
              <w:spacing w:before="0" w:after="283"/>
              <w:jc w:val="left"/>
              <w:rPr>
                <w:color w:val="00A1E0"/>
              </w:rPr>
            </w:pPr>
            <w:r>
              <w:rPr>
                <w:color w:val="00A1E0"/>
              </w:rPr>
              <w:t>●</w:t>
            </w:r>
          </w:p>
        </w:tc>
        <w:tc>
          <w:tcPr>
            <w:tcW w:w="10005" w:type="dxa"/>
            <w:tcBorders/>
            <w:shd w:fill="auto" w:val="clear"/>
            <w:vAlign w:val="center"/>
          </w:tcPr>
          <w:p>
            <w:pPr>
              <w:pStyle w:val="TableContents"/>
              <w:spacing w:before="0" w:after="283"/>
              <w:jc w:val="left"/>
              <w:rPr/>
            </w:pPr>
            <w:r>
              <w:rPr>
                <w:rFonts w:ascii="Arial" w:hAnsi="Arial"/>
                <w:b/>
                <w:color w:val="00A1E0"/>
                <w:sz w:val="20"/>
              </w:rPr>
              <w:t xml:space="preserve">Diverse Talent Development Efforts: </w:t>
            </w:r>
            <w:r>
              <w:rPr>
                <w:rFonts w:ascii="Arial" w:hAnsi="Arial"/>
                <w:sz w:val="20"/>
              </w:rPr>
              <w:t>We seek to hire, promote and develop people from a diversity of backgrounds and experiences. To best serve our unique workforce, we offer both voluntary tailored programs designed for specific audiences to accelerate the development of talent, as well as broad-based leadership development programs designed for employees to lead inclusively and with cultural competence. Some of our learning experiences include foundational leadership development programs to help employees embrace their leadership potential, voluntary networking experiences, coaching and online learning platforms.</w:t>
            </w:r>
          </w:p>
        </w:tc>
      </w:tr>
      <w:tr>
        <w:trPr/>
        <w:tc>
          <w:tcPr>
            <w:tcW w:w="200" w:type="dxa"/>
            <w:tcBorders/>
            <w:shd w:fill="auto" w:val="clear"/>
            <w:vAlign w:val="center"/>
          </w:tcPr>
          <w:p>
            <w:pPr>
              <w:pStyle w:val="TableContents"/>
              <w:spacing w:before="0" w:after="283"/>
              <w:jc w:val="left"/>
              <w:rPr>
                <w:color w:val="00A1E0"/>
              </w:rPr>
            </w:pPr>
            <w:r>
              <w:rPr>
                <w:color w:val="00A1E0"/>
              </w:rPr>
              <w:t>●</w:t>
            </w:r>
          </w:p>
        </w:tc>
        <w:tc>
          <w:tcPr>
            <w:tcW w:w="10005" w:type="dxa"/>
            <w:tcBorders/>
            <w:shd w:fill="auto" w:val="clear"/>
            <w:vAlign w:val="center"/>
          </w:tcPr>
          <w:p>
            <w:pPr>
              <w:pStyle w:val="TableContents"/>
              <w:spacing w:before="0" w:after="283"/>
              <w:jc w:val="left"/>
              <w:rPr/>
            </w:pPr>
            <w:r>
              <w:rPr>
                <w:rFonts w:ascii="Arial" w:hAnsi="Arial"/>
                <w:b/>
                <w:color w:val="00A1E0"/>
                <w:sz w:val="20"/>
              </w:rPr>
              <w:t xml:space="preserve">DE&amp;I Education and Training: </w:t>
            </w:r>
            <w:r>
              <w:rPr>
                <w:rFonts w:ascii="Arial" w:hAnsi="Arial"/>
                <w:sz w:val="20"/>
              </w:rPr>
              <w:t>We offer a variety of training programs and initiatives focused on creating a more inclusive workplace culture, including an annual mandatory DE&amp;I training for employees, senior management training programs and company-wide forums like our DE&amp;I speaker series designed to inform, inspire dialogue and foster employee engagement through a curated experience anchored by external scholars, authors and thought leaders focusing on a variety of DE&amp;I topics. Additionally, we offer an enterprise-wide learning catalog with digital eLearning modules and self-directed curated learning guides, as well as instructor-led virtual workshops covering inclusion topics such as: Interrupting Unconscious Bias, Social Identities/Dimensions of Diversity, Allyship and Neurodiversity, among others. Our various DE&amp;I newsletters and communications cover essential DE&amp;I topics such as inclusive leadership behaviors, updates on training opportunities, employee-driven DE&amp;I events and DE&amp;I data milestones, to name a few.</w:t>
            </w:r>
          </w:p>
        </w:tc>
      </w:tr>
      <w:tr>
        <w:trPr/>
        <w:tc>
          <w:tcPr>
            <w:tcW w:w="200" w:type="dxa"/>
            <w:tcBorders/>
            <w:shd w:fill="auto" w:val="clear"/>
            <w:vAlign w:val="center"/>
          </w:tcPr>
          <w:p>
            <w:pPr>
              <w:pStyle w:val="TableContents"/>
              <w:spacing w:before="0" w:after="283"/>
              <w:jc w:val="left"/>
              <w:rPr>
                <w:color w:val="00A1E0"/>
              </w:rPr>
            </w:pPr>
            <w:r>
              <w:rPr>
                <w:color w:val="00A1E0"/>
              </w:rPr>
              <w:t>●</w:t>
            </w:r>
          </w:p>
        </w:tc>
        <w:tc>
          <w:tcPr>
            <w:tcW w:w="10005" w:type="dxa"/>
            <w:tcBorders/>
            <w:shd w:fill="auto" w:val="clear"/>
            <w:vAlign w:val="center"/>
          </w:tcPr>
          <w:p>
            <w:pPr>
              <w:pStyle w:val="TableContents"/>
              <w:spacing w:before="0" w:after="283"/>
              <w:jc w:val="left"/>
              <w:rPr/>
            </w:pPr>
            <w:r>
              <w:rPr>
                <w:rFonts w:ascii="Arial" w:hAnsi="Arial"/>
                <w:b/>
                <w:color w:val="00A1E0"/>
                <w:sz w:val="20"/>
              </w:rPr>
              <w:t xml:space="preserve">Employee Resource Groups (“ERGs”): </w:t>
            </w:r>
            <w:r>
              <w:rPr>
                <w:rFonts w:ascii="Arial" w:hAnsi="Arial"/>
                <w:sz w:val="20"/>
              </w:rPr>
              <w:t>We support nine ERGs for Asian and Pacific Islander, Black and African American, People with Disabilities, LGBTQ, Hispanic/Latino/a/e, Veteran, Young Professional, Women and Indigenous employees. Our ERGs have 35,000 members in over 240 chapters, and are voluntary, employee-led organizations dedicated to developing the careers of our employees, contributing to community service and building on an inclusive and collaborative workplace and culture. Each ERG has two executive sponsors, and further financial support is provided with a $500,000 annual fund for projects, programs and events beyond existing ERG budgets.</w:t>
            </w:r>
          </w:p>
        </w:tc>
      </w:tr>
      <w:tr>
        <w:trPr/>
        <w:tc>
          <w:tcPr>
            <w:tcW w:w="200" w:type="dxa"/>
            <w:tcBorders/>
            <w:shd w:fill="auto" w:val="clear"/>
            <w:vAlign w:val="center"/>
          </w:tcPr>
          <w:p>
            <w:pPr>
              <w:pStyle w:val="TableContents"/>
              <w:spacing w:before="0" w:after="283"/>
              <w:jc w:val="left"/>
              <w:rPr>
                <w:color w:val="00A1E0"/>
              </w:rPr>
            </w:pPr>
            <w:r>
              <w:rPr>
                <w:color w:val="00A1E0"/>
              </w:rPr>
              <w:t>●</w:t>
            </w:r>
          </w:p>
        </w:tc>
        <w:tc>
          <w:tcPr>
            <w:tcW w:w="10005" w:type="dxa"/>
            <w:tcBorders/>
            <w:shd w:fill="auto" w:val="clear"/>
            <w:vAlign w:val="center"/>
          </w:tcPr>
          <w:p>
            <w:pPr>
              <w:pStyle w:val="TableContents"/>
              <w:spacing w:before="0" w:after="283"/>
              <w:jc w:val="left"/>
              <w:rPr/>
            </w:pPr>
            <w:r>
              <w:rPr>
                <w:rFonts w:ascii="Arial" w:hAnsi="Arial"/>
                <w:b/>
                <w:color w:val="00A1E0"/>
                <w:sz w:val="20"/>
              </w:rPr>
              <w:t xml:space="preserve">External Input: </w:t>
            </w:r>
            <w:r>
              <w:rPr>
                <w:rFonts w:ascii="Arial" w:hAnsi="Arial"/>
                <w:sz w:val="20"/>
              </w:rPr>
              <w:t>We routinely engage third-party consultants and leverage third-party survey instruments to review and evaluate workforce-related programs and recommend opportunities for improvement. For example, we are currently partnering with a respected national nonprofit to perform an assessment of existing DE&amp;I initiatives, benchmark our efforts and identify opportunities to advance racial equity even further in our workplaces. We also leverage the expertise of our external DE&amp;I Advisory Council to help us prioritize and identify opportunities in critical DE&amp;I focus areas, both in connection with our workforce and our external impacts.</w:t>
            </w:r>
          </w:p>
        </w:tc>
      </w:tr>
    </w:tbl>
    <w:p>
      <w:pPr>
        <w:pStyle w:val="TextBody"/>
        <w:spacing w:before="0" w:after="0"/>
        <w:rPr/>
      </w:pPr>
      <w:r>
        <w:rPr/>
      </w:r>
    </w:p>
    <w:tbl>
      <w:tblPr>
        <w:tblW w:w="2110" w:type="dxa"/>
        <w:jc w:val="left"/>
        <w:tblInd w:w="0" w:type="dxa"/>
        <w:tblCellMar>
          <w:top w:w="0" w:type="dxa"/>
          <w:left w:w="0" w:type="dxa"/>
          <w:bottom w:w="0" w:type="dxa"/>
          <w:right w:w="0" w:type="dxa"/>
        </w:tblCellMar>
      </w:tblPr>
      <w:tblGrid>
        <w:gridCol w:w="1580"/>
        <w:gridCol w:w="530"/>
      </w:tblGrid>
      <w:tr>
        <w:trPr/>
        <w:tc>
          <w:tcPr>
            <w:tcW w:w="1580" w:type="dxa"/>
            <w:tcBorders/>
            <w:shd w:fill="auto" w:val="clear"/>
            <w:vAlign w:val="center"/>
          </w:tcPr>
          <w:p>
            <w:pPr>
              <w:pStyle w:val="TableContents"/>
              <w:spacing w:before="0" w:after="283"/>
              <w:jc w:val="right"/>
              <w:rPr>
                <w:rFonts w:ascii="Arial" w:hAnsi="Arial"/>
                <w:sz w:val="15"/>
              </w:rPr>
            </w:pPr>
            <w:r>
              <w:rPr>
                <w:rFonts w:ascii="Arial" w:hAnsi="Arial"/>
                <w:sz w:val="15"/>
              </w:rPr>
              <w:t>2023 Proxy Statement</w:t>
            </w:r>
          </w:p>
        </w:tc>
        <w:tc>
          <w:tcPr>
            <w:tcW w:w="530" w:type="dxa"/>
            <w:tcBorders/>
            <w:shd w:fill="auto" w:val="clear"/>
            <w:vAlign w:val="center"/>
          </w:tcPr>
          <w:p>
            <w:pPr>
              <w:pStyle w:val="TableContents"/>
              <w:spacing w:before="0" w:after="283"/>
              <w:jc w:val="right"/>
              <w:rPr/>
            </w:pPr>
            <w:r>
              <w:rPr/>
              <w:t>       </w:t>
            </w:r>
            <w:r>
              <w:rPr>
                <w:rFonts w:ascii="Arial" w:hAnsi="Arial"/>
                <w:b/>
                <w:sz w:val="15"/>
              </w:rPr>
              <w:t>9</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p>
      <w:pPr>
        <w:pStyle w:val="TextBody"/>
        <w:spacing w:before="0" w:after="0"/>
        <w:jc w:val="left"/>
        <w:rPr>
          <w:rFonts w:ascii="Arial" w:hAnsi="Arial"/>
          <w:sz w:val="24"/>
        </w:rPr>
      </w:pPr>
      <w:r>
        <w:rPr>
          <w:rFonts w:ascii="Arial" w:hAnsi="Arial"/>
          <w:sz w:val="24"/>
        </w:rPr>
        <w:t>Supplier Diversity and Small Business Support</w:t>
      </w:r>
    </w:p>
    <w:p>
      <w:pPr>
        <w:pStyle w:val="TextBody"/>
        <w:jc w:val="left"/>
        <w:rPr>
          <w:rFonts w:ascii="Arial" w:hAnsi="Arial"/>
          <w:sz w:val="20"/>
        </w:rPr>
      </w:pPr>
      <w:r>
        <w:rPr>
          <w:rFonts w:ascii="Arial" w:hAnsi="Arial"/>
          <w:sz w:val="20"/>
        </w:rPr>
        <w:t>Our supplier diversity program is designed to promote, increase and improve the participation of diverse businesses within our corporate supply chain – including companies owned by women, people of color, veterans, people with disabilities and LGBTQ individuals. We have been a member of the Billion Dollar Roundtable since 2015, which recognizes corporations that achieve spending of at least $1 billion each year with diverse suppliers, and that have spent at least $3 billion each year with diverse suppliers during the past 5 years. In 2022, we spent nearly $5 billion with diverse Tier 1 vendors (with direct purchases from approximately 4,250 diverse suppliers). Additionally, in 2022, we completed the initial two year term of Comcast RISE, a program aimed at small businesses owned by people of color and women, and fulfilled our commitment to support 13,000 small businesses with over $110 million in monetary grants and in-kind marketing and technology resources.</w:t>
      </w:r>
    </w:p>
    <w:p>
      <w:pPr>
        <w:pStyle w:val="TextBody"/>
        <w:jc w:val="left"/>
        <w:rPr>
          <w:rFonts w:ascii="Arial" w:hAnsi="Arial"/>
          <w:sz w:val="20"/>
        </w:rPr>
      </w:pPr>
      <w:r>
        <w:rPr>
          <w:rFonts w:ascii="Arial" w:hAnsi="Arial"/>
          <w:sz w:val="20"/>
        </w:rPr>
        <w:t>Our efforts extend beyond our traditional supply chain, including by:</w:t>
      </w:r>
    </w:p>
    <w:tbl>
      <w:tblPr>
        <w:tblW w:w="10205" w:type="dxa"/>
        <w:jc w:val="left"/>
        <w:tblInd w:w="0" w:type="dxa"/>
        <w:tblCellMar>
          <w:top w:w="0" w:type="dxa"/>
          <w:left w:w="0" w:type="dxa"/>
          <w:bottom w:w="0" w:type="dxa"/>
          <w:right w:w="0" w:type="dxa"/>
        </w:tblCellMar>
      </w:tblPr>
      <w:tblGrid>
        <w:gridCol w:w="200"/>
        <w:gridCol w:w="10005"/>
      </w:tblGrid>
      <w:tr>
        <w:trPr/>
        <w:tc>
          <w:tcPr>
            <w:tcW w:w="200" w:type="dxa"/>
            <w:tcBorders/>
            <w:shd w:fill="auto" w:val="clear"/>
            <w:vAlign w:val="center"/>
          </w:tcPr>
          <w:p>
            <w:pPr>
              <w:pStyle w:val="TableContents"/>
              <w:spacing w:before="0" w:after="283"/>
              <w:jc w:val="left"/>
              <w:rPr>
                <w:color w:val="00A1E0"/>
              </w:rPr>
            </w:pPr>
            <w:r>
              <w:rPr>
                <w:color w:val="00A1E0"/>
              </w:rPr>
              <w:t>●</w:t>
            </w:r>
          </w:p>
        </w:tc>
        <w:tc>
          <w:tcPr>
            <w:tcW w:w="10005" w:type="dxa"/>
            <w:tcBorders/>
            <w:shd w:fill="auto" w:val="clear"/>
            <w:vAlign w:val="center"/>
          </w:tcPr>
          <w:p>
            <w:pPr>
              <w:pStyle w:val="TableContents"/>
              <w:spacing w:before="0" w:after="283"/>
              <w:jc w:val="left"/>
              <w:rPr>
                <w:rFonts w:ascii="Arial" w:hAnsi="Arial"/>
                <w:sz w:val="20"/>
              </w:rPr>
            </w:pPr>
            <w:r>
              <w:rPr>
                <w:rFonts w:ascii="Arial" w:hAnsi="Arial"/>
                <w:sz w:val="20"/>
              </w:rPr>
              <w:t>Committing $25 million to the Seibert Williams Shank Clear Vision Impact Fund, a diverse-led and diverse-serving financial institution that provides direct support to local community businesses.</w:t>
            </w:r>
          </w:p>
        </w:tc>
      </w:tr>
      <w:tr>
        <w:trPr/>
        <w:tc>
          <w:tcPr>
            <w:tcW w:w="200" w:type="dxa"/>
            <w:tcBorders/>
            <w:shd w:fill="auto" w:val="clear"/>
            <w:vAlign w:val="center"/>
          </w:tcPr>
          <w:p>
            <w:pPr>
              <w:pStyle w:val="TableContents"/>
              <w:spacing w:before="0" w:after="283"/>
              <w:jc w:val="left"/>
              <w:rPr>
                <w:color w:val="00A1E0"/>
              </w:rPr>
            </w:pPr>
            <w:r>
              <w:rPr>
                <w:color w:val="00A1E0"/>
              </w:rPr>
              <w:t>●</w:t>
            </w:r>
          </w:p>
        </w:tc>
        <w:tc>
          <w:tcPr>
            <w:tcW w:w="10005" w:type="dxa"/>
            <w:tcBorders/>
            <w:shd w:fill="auto" w:val="clear"/>
            <w:vAlign w:val="center"/>
          </w:tcPr>
          <w:p>
            <w:pPr>
              <w:pStyle w:val="TableContents"/>
              <w:spacing w:before="0" w:after="283"/>
              <w:jc w:val="left"/>
              <w:rPr>
                <w:rFonts w:ascii="Arial" w:hAnsi="Arial"/>
                <w:sz w:val="20"/>
              </w:rPr>
            </w:pPr>
            <w:r>
              <w:rPr>
                <w:rFonts w:ascii="Arial" w:hAnsi="Arial"/>
                <w:sz w:val="20"/>
              </w:rPr>
              <w:t>Committing $10 million to the Inclusiv Racial Equity and Resilience Investment Fund, which is aimed at building equity in credit unions led by and/or serving people of color in an effort to help increase lending to people of color-owned businesses, homeowners and consumers by providing financial opportunities to traditionally underserved and underbanked communities.</w:t>
            </w:r>
          </w:p>
        </w:tc>
      </w:tr>
      <w:tr>
        <w:trPr/>
        <w:tc>
          <w:tcPr>
            <w:tcW w:w="200" w:type="dxa"/>
            <w:tcBorders/>
            <w:shd w:fill="auto" w:val="clear"/>
            <w:vAlign w:val="center"/>
          </w:tcPr>
          <w:p>
            <w:pPr>
              <w:pStyle w:val="TableContents"/>
              <w:spacing w:before="0" w:after="283"/>
              <w:jc w:val="left"/>
              <w:rPr>
                <w:color w:val="00A1E0"/>
              </w:rPr>
            </w:pPr>
            <w:r>
              <w:rPr>
                <w:color w:val="00A1E0"/>
              </w:rPr>
              <w:t>●</w:t>
            </w:r>
          </w:p>
        </w:tc>
        <w:tc>
          <w:tcPr>
            <w:tcW w:w="10005" w:type="dxa"/>
            <w:tcBorders/>
            <w:shd w:fill="auto" w:val="clear"/>
            <w:vAlign w:val="center"/>
          </w:tcPr>
          <w:p>
            <w:pPr>
              <w:pStyle w:val="TableContents"/>
              <w:spacing w:before="0" w:after="283"/>
              <w:jc w:val="left"/>
              <w:rPr>
                <w:rFonts w:ascii="Arial" w:hAnsi="Arial"/>
                <w:sz w:val="20"/>
              </w:rPr>
            </w:pPr>
            <w:r>
              <w:rPr>
                <w:rFonts w:ascii="Arial" w:hAnsi="Arial"/>
                <w:sz w:val="20"/>
              </w:rPr>
              <w:t>Selecting four nationally recognized minority-, women- and service-disabled veteran-owned firms to lead the underwriting syndicate for our first $1 billion green bond offering in 2023.</w:t>
            </w:r>
          </w:p>
        </w:tc>
      </w:tr>
    </w:tbl>
    <w:p>
      <w:pPr>
        <w:pStyle w:val="TextBody"/>
        <w:spacing w:before="0" w:after="0"/>
        <w:jc w:val="left"/>
        <w:rPr>
          <w:rFonts w:ascii="Arial" w:hAnsi="Arial"/>
          <w:sz w:val="24"/>
        </w:rPr>
      </w:pPr>
      <w:r>
        <w:rPr>
          <w:rFonts w:ascii="Arial" w:hAnsi="Arial"/>
          <w:sz w:val="24"/>
        </w:rPr>
        <w:t>Diverse Programming and Platforms</w:t>
      </w:r>
    </w:p>
    <w:p>
      <w:pPr>
        <w:pStyle w:val="TextBody"/>
        <w:jc w:val="left"/>
        <w:rPr>
          <w:rFonts w:ascii="Arial" w:hAnsi="Arial"/>
          <w:sz w:val="20"/>
        </w:rPr>
      </w:pPr>
      <w:r>
        <w:rPr>
          <w:rFonts w:ascii="Arial" w:hAnsi="Arial"/>
          <w:sz w:val="20"/>
        </w:rPr>
        <w:t>We strive to have diverse perspectives that resonate with a wide range of audiences in our programming at NBCUniversal and in the content we distribute on our Xfinity platforms. We have created opportunities in front of and behind the camera, including by offering a wide range of programs designed to build a diverse pipeline of talent, including directors, writers, actors, music composers and journalists.</w:t>
      </w:r>
    </w:p>
    <w:p>
      <w:pPr>
        <w:pStyle w:val="TextBody"/>
        <w:jc w:val="left"/>
        <w:rPr>
          <w:rFonts w:ascii="Arial" w:hAnsi="Arial"/>
          <w:sz w:val="20"/>
        </w:rPr>
      </w:pPr>
      <w:r>
        <w:rPr>
          <w:rFonts w:ascii="Arial" w:hAnsi="Arial"/>
          <w:sz w:val="20"/>
        </w:rPr>
        <w:t>Examples of programs we have developed that seek to build additional opportunities for diverse talent include NBCU Academy, through which we are investing $8.5 million into a training program for aspiring diverse journalists by partnering with academic institutions, including Historically Black Colleges and Universities, Hispanic-Serving Institutions, and colleges with significant underrepresented populations. NBCUniversal also created the Creative Impact Lab, which focuses on non-profit storytelling and provides opportunities for apprentices from diverse backgrounds to hone their production skills.</w:t>
      </w:r>
    </w:p>
    <w:p>
      <w:pPr>
        <w:pStyle w:val="TextBody"/>
        <w:jc w:val="left"/>
        <w:rPr>
          <w:rFonts w:ascii="Arial" w:hAnsi="Arial"/>
          <w:sz w:val="20"/>
        </w:rPr>
      </w:pPr>
      <w:r>
        <w:rPr>
          <w:rFonts w:ascii="Arial" w:hAnsi="Arial"/>
          <w:sz w:val="20"/>
        </w:rPr>
        <w:t>Through our media platforms, we have worked to amplify diverse voices and cultures, including through a vast ecosystem of diverse content on Xfinity, including curated On Demand destinations, as well as through NBCUniversal’s ‘The More You Know’ series of public service announcements that have kept audiences informed and educated on issues that include a campaign to speak out against systemic racism and speaking up for social justice, equality and equity, to name a few.</w:t>
      </w:r>
    </w:p>
    <w:p>
      <w:pPr>
        <w:pStyle w:val="TextBody"/>
        <w:spacing w:before="0" w:after="0"/>
        <w:jc w:val="left"/>
        <w:rPr>
          <w:rFonts w:ascii="Arial" w:hAnsi="Arial"/>
          <w:sz w:val="24"/>
        </w:rPr>
      </w:pPr>
      <w:r>
        <w:rPr>
          <w:rFonts w:ascii="Arial" w:hAnsi="Arial"/>
          <w:sz w:val="24"/>
        </w:rPr>
        <w:t>Community</w:t>
      </w:r>
    </w:p>
    <w:p>
      <w:pPr>
        <w:pStyle w:val="TextBody"/>
        <w:jc w:val="left"/>
        <w:rPr>
          <w:rFonts w:ascii="Arial" w:hAnsi="Arial"/>
          <w:sz w:val="20"/>
        </w:rPr>
      </w:pPr>
      <w:r>
        <w:rPr>
          <w:rFonts w:ascii="Arial" w:hAnsi="Arial"/>
          <w:sz w:val="20"/>
        </w:rPr>
        <w:t>Building on our longstanding commitment to DE&amp;I, in 2022 we fulfilled the commitment we made in 2020 to allocate $100 million in cash and in-kind support to fight injustice and inequality against any race, ethnicity, gender identity or sexual orientation. This is on top of the existing commitments Comcast makes to thousands of organizations supporting underrepresented communities nationwide through our social impact programs and the Comcast NBCUniversal Foundation.</w:t>
      </w:r>
    </w:p>
    <w:p>
      <w:pPr>
        <w:pStyle w:val="TextBody"/>
        <w:jc w:val="left"/>
        <w:rPr>
          <w:rFonts w:ascii="Arial" w:hAnsi="Arial"/>
          <w:color w:val="00A1E0"/>
          <w:sz w:val="26"/>
        </w:rPr>
      </w:pPr>
      <w:r>
        <w:rPr>
          <w:rFonts w:ascii="Arial" w:hAnsi="Arial"/>
          <w:color w:val="00A1E0"/>
          <w:sz w:val="26"/>
        </w:rPr>
        <w:t>Human Capital Management</w:t>
      </w:r>
    </w:p>
    <w:p>
      <w:pPr>
        <w:pStyle w:val="TextBody"/>
        <w:spacing w:before="0" w:after="0"/>
        <w:jc w:val="left"/>
        <w:rPr>
          <w:rFonts w:ascii="Arial" w:hAnsi="Arial"/>
          <w:sz w:val="20"/>
        </w:rPr>
      </w:pPr>
      <w:r>
        <w:rPr>
          <w:rFonts w:ascii="Arial" w:hAnsi="Arial"/>
          <w:sz w:val="20"/>
        </w:rPr>
        <w:t>As a global media and technology company, we have a wide range of employees, including management professionals, technicians, engineers, call center employees, theme park employees and media talent and production employees. Our human capital management policies, programs and initiatives are tailored to the specific employee populations within our businesses and include the following:</w:t>
      </w:r>
    </w:p>
    <w:tbl>
      <w:tblPr>
        <w:tblW w:w="10205" w:type="dxa"/>
        <w:jc w:val="left"/>
        <w:tblInd w:w="0" w:type="dxa"/>
        <w:tblCellMar>
          <w:top w:w="0" w:type="dxa"/>
          <w:left w:w="0" w:type="dxa"/>
          <w:bottom w:w="0" w:type="dxa"/>
          <w:right w:w="0" w:type="dxa"/>
        </w:tblCellMar>
      </w:tblPr>
      <w:tblGrid>
        <w:gridCol w:w="200"/>
        <w:gridCol w:w="10005"/>
      </w:tblGrid>
      <w:tr>
        <w:trPr/>
        <w:tc>
          <w:tcPr>
            <w:tcW w:w="200" w:type="dxa"/>
            <w:tcBorders/>
            <w:shd w:fill="auto" w:val="clear"/>
            <w:vAlign w:val="center"/>
          </w:tcPr>
          <w:p>
            <w:pPr>
              <w:pStyle w:val="TableContents"/>
              <w:spacing w:before="0" w:after="283"/>
              <w:jc w:val="left"/>
              <w:rPr>
                <w:color w:val="00A1E0"/>
              </w:rPr>
            </w:pPr>
            <w:r>
              <w:rPr>
                <w:color w:val="00A1E0"/>
              </w:rPr>
              <w:t>●</w:t>
            </w:r>
          </w:p>
        </w:tc>
        <w:tc>
          <w:tcPr>
            <w:tcW w:w="10005" w:type="dxa"/>
            <w:tcBorders/>
            <w:shd w:fill="auto" w:val="clear"/>
            <w:vAlign w:val="center"/>
          </w:tcPr>
          <w:p>
            <w:pPr>
              <w:pStyle w:val="TableContents"/>
              <w:spacing w:before="0" w:after="283"/>
              <w:jc w:val="left"/>
              <w:rPr/>
            </w:pPr>
            <w:r>
              <w:rPr>
                <w:rFonts w:ascii="Arial" w:hAnsi="Arial"/>
                <w:b/>
                <w:color w:val="00A1E0"/>
                <w:sz w:val="20"/>
              </w:rPr>
              <w:t xml:space="preserve">Employee Engagement: </w:t>
            </w:r>
            <w:r>
              <w:rPr>
                <w:rFonts w:ascii="Arial" w:hAnsi="Arial"/>
                <w:sz w:val="20"/>
              </w:rPr>
              <w:t>We seek to create an engaged workforce through proactive listening and constructive dialogue, including through employee engagement surveys, as well as through the nine ERGs described above. We have an open door policy and culture so employees can report any questions or concerns, whether involving a workplace issue, a concern about suspected illegal or unethical conduct or any other matter, trusting that we will take their concerns seriously and without retaliation. Our Board, through its committees, also receives periodic reports on our employee engagement surveys and employee concerns reported through our Comcast NBCUniversal Listens and Sky Listens programs.</w:t>
            </w:r>
          </w:p>
        </w:tc>
      </w:tr>
    </w:tbl>
    <w:p>
      <w:pPr>
        <w:pStyle w:val="TextBody"/>
        <w:spacing w:before="0" w:after="0"/>
        <w:rPr/>
      </w:pPr>
      <w:r>
        <w:rPr/>
      </w:r>
    </w:p>
    <w:tbl>
      <w:tblPr>
        <w:tblW w:w="223" w:type="dxa"/>
        <w:jc w:val="left"/>
        <w:tblInd w:w="0" w:type="dxa"/>
        <w:tblCellMar>
          <w:top w:w="0" w:type="dxa"/>
          <w:left w:w="0" w:type="dxa"/>
          <w:bottom w:w="0" w:type="dxa"/>
          <w:right w:w="0" w:type="dxa"/>
        </w:tblCellMar>
      </w:tblPr>
      <w:tblGrid>
        <w:gridCol w:w="200"/>
        <w:gridCol w:w="23"/>
      </w:tblGrid>
      <w:tr>
        <w:trPr/>
        <w:tc>
          <w:tcPr>
            <w:tcW w:w="200" w:type="dxa"/>
            <w:tcBorders/>
            <w:shd w:fill="auto" w:val="clear"/>
            <w:vAlign w:val="center"/>
          </w:tcPr>
          <w:p>
            <w:pPr>
              <w:pStyle w:val="TableContents"/>
              <w:spacing w:before="0" w:after="283"/>
              <w:jc w:val="left"/>
              <w:rPr>
                <w:rFonts w:ascii="Arial" w:hAnsi="Arial"/>
                <w:b/>
                <w:sz w:val="15"/>
              </w:rPr>
            </w:pPr>
            <w:r>
              <w:rPr>
                <w:rFonts w:ascii="Arial" w:hAnsi="Arial"/>
                <w:b/>
                <w:sz w:val="15"/>
              </w:rPr>
              <w:t>10</w:t>
            </w:r>
          </w:p>
        </w:tc>
        <w:tc>
          <w:tcPr>
            <w:tcW w:w="2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10205" w:type="dxa"/>
        <w:jc w:val="left"/>
        <w:tblInd w:w="0" w:type="dxa"/>
        <w:tblCellMar>
          <w:top w:w="0" w:type="dxa"/>
          <w:left w:w="0" w:type="dxa"/>
          <w:bottom w:w="0" w:type="dxa"/>
          <w:right w:w="0" w:type="dxa"/>
        </w:tblCellMar>
      </w:tblPr>
      <w:tblGrid>
        <w:gridCol w:w="200"/>
        <w:gridCol w:w="10005"/>
      </w:tblGrid>
      <w:tr>
        <w:trPr/>
        <w:tc>
          <w:tcPr>
            <w:tcW w:w="200" w:type="dxa"/>
            <w:tcBorders/>
            <w:shd w:fill="auto" w:val="clear"/>
            <w:vAlign w:val="center"/>
          </w:tcPr>
          <w:p>
            <w:pPr>
              <w:pStyle w:val="TableContents"/>
              <w:spacing w:before="0" w:after="283"/>
              <w:jc w:val="left"/>
              <w:rPr>
                <w:color w:val="00A1E0"/>
              </w:rPr>
            </w:pPr>
            <w:r>
              <w:rPr>
                <w:color w:val="00A1E0"/>
              </w:rPr>
              <w:t>●</w:t>
            </w:r>
          </w:p>
        </w:tc>
        <w:tc>
          <w:tcPr>
            <w:tcW w:w="10005" w:type="dxa"/>
            <w:tcBorders/>
            <w:shd w:fill="auto" w:val="clear"/>
            <w:vAlign w:val="center"/>
          </w:tcPr>
          <w:p>
            <w:pPr>
              <w:pStyle w:val="TableContents"/>
              <w:spacing w:before="0" w:after="283"/>
              <w:jc w:val="left"/>
              <w:rPr/>
            </w:pPr>
            <w:r>
              <w:rPr>
                <w:rFonts w:ascii="Arial" w:hAnsi="Arial"/>
                <w:b/>
                <w:color w:val="00A1E0"/>
                <w:sz w:val="20"/>
              </w:rPr>
              <w:t xml:space="preserve">Talent Development and Succession Planning: </w:t>
            </w:r>
            <w:r>
              <w:rPr>
                <w:rFonts w:ascii="Arial" w:hAnsi="Arial"/>
                <w:sz w:val="20"/>
              </w:rPr>
              <w:t>We provide a wide variety of opportunities for professional growth for all employees with in-classroom and online trainings and on-the-job experience, including as described above in “Diversity, Equity &amp; Inclusion.” We also offer education tuition assistance to full-time employees in the United States. Our Board discusses succession planning for our CEO and the remainder of our senior executive management team annually on a formal basis and in private sessions at most of its regularly scheduled meetings. Throughout the year, our senior executive management team, as well as a broader array of executives throughout our businesses, make presentations to the Board and its committees and interact with our directors informally outside of regularly scheduled Board meetings, which provides directors with meaningful insight into our current pool of talent, what attracts and retains our executives and our company culture. See “Corporate Governance and Board Matters – Corporate Governance Practices, Policies and Processes – Succession Planning” for additional information.</w:t>
            </w:r>
          </w:p>
        </w:tc>
      </w:tr>
      <w:tr>
        <w:trPr/>
        <w:tc>
          <w:tcPr>
            <w:tcW w:w="200" w:type="dxa"/>
            <w:tcBorders/>
            <w:shd w:fill="auto" w:val="clear"/>
            <w:vAlign w:val="center"/>
          </w:tcPr>
          <w:p>
            <w:pPr>
              <w:pStyle w:val="TableContents"/>
              <w:spacing w:before="0" w:after="283"/>
              <w:jc w:val="left"/>
              <w:rPr>
                <w:color w:val="00A1E0"/>
              </w:rPr>
            </w:pPr>
            <w:r>
              <w:rPr>
                <w:color w:val="00A1E0"/>
              </w:rPr>
              <w:t>●</w:t>
            </w:r>
          </w:p>
        </w:tc>
        <w:tc>
          <w:tcPr>
            <w:tcW w:w="10005" w:type="dxa"/>
            <w:tcBorders/>
            <w:shd w:fill="auto" w:val="clear"/>
            <w:vAlign w:val="center"/>
          </w:tcPr>
          <w:p>
            <w:pPr>
              <w:pStyle w:val="TableContents"/>
              <w:spacing w:before="0" w:after="283"/>
              <w:jc w:val="left"/>
              <w:rPr/>
            </w:pPr>
            <w:r>
              <w:rPr>
                <w:rFonts w:ascii="Arial" w:hAnsi="Arial"/>
                <w:b/>
                <w:color w:val="00A1E0"/>
                <w:sz w:val="20"/>
              </w:rPr>
              <w:t xml:space="preserve">Health and Welfare Benefits: </w:t>
            </w:r>
            <w:r>
              <w:rPr>
                <w:rFonts w:ascii="Arial" w:hAnsi="Arial"/>
                <w:sz w:val="20"/>
              </w:rPr>
              <w:t>We offer a portfolio of services and tools to support our employees’ health and well-being, including dedicated health assistants, expert medical opinion services, virtual and telehealth options, diabetes treatment programs, tobacco cessation and others. We also have a robust Employee Assistance Program and generous portfolio of mental and behavioral health resources. In 2022, we expanded our family planning options, including for adoption and surrogacy, and provide specialized support teams to help manage the first months of parenthood and all stages in the family planning journey.</w:t>
            </w:r>
          </w:p>
        </w:tc>
      </w:tr>
      <w:tr>
        <w:trPr/>
        <w:tc>
          <w:tcPr>
            <w:tcW w:w="200" w:type="dxa"/>
            <w:tcBorders/>
            <w:shd w:fill="auto" w:val="clear"/>
            <w:vAlign w:val="center"/>
          </w:tcPr>
          <w:p>
            <w:pPr>
              <w:pStyle w:val="TableContents"/>
              <w:spacing w:before="0" w:after="283"/>
              <w:jc w:val="left"/>
              <w:rPr>
                <w:color w:val="00A1E0"/>
              </w:rPr>
            </w:pPr>
            <w:r>
              <w:rPr>
                <w:color w:val="00A1E0"/>
              </w:rPr>
              <w:t>●</w:t>
            </w:r>
          </w:p>
        </w:tc>
        <w:tc>
          <w:tcPr>
            <w:tcW w:w="10005" w:type="dxa"/>
            <w:tcBorders/>
            <w:shd w:fill="auto" w:val="clear"/>
            <w:vAlign w:val="center"/>
          </w:tcPr>
          <w:p>
            <w:pPr>
              <w:pStyle w:val="TableContents"/>
              <w:spacing w:before="0" w:after="283"/>
              <w:jc w:val="left"/>
              <w:rPr/>
            </w:pPr>
            <w:r>
              <w:rPr>
                <w:rFonts w:ascii="Arial" w:hAnsi="Arial"/>
                <w:b/>
                <w:color w:val="00A1E0"/>
                <w:sz w:val="20"/>
              </w:rPr>
              <w:t xml:space="preserve">Financial Benefits: </w:t>
            </w:r>
            <w:r>
              <w:rPr>
                <w:rFonts w:ascii="Arial" w:hAnsi="Arial"/>
                <w:sz w:val="20"/>
              </w:rPr>
              <w:t>We focus on attracting and retaining employees by providing compensation and benefits packages that are competitive within the applicable market, taking into account the job’s location and responsibilities. We provide competitive financial benefits such as a 401(k) retirement plan in the United States with a company match and other retirement arrangements internationally. We have employee stock purchase plans in the United States, United Kingdom, Ireland and several other European countries where most of our full-time and part-time employees can purchase our stock at a discount. We generally grant awards of restricted stock units (“RSUs”) and stock options on an annual basis to a meaningful portion of our employees, with over 20,000 employees receiving such awards in 2022. We offer financial literacy training and counseling to support employees in making their own financial decisions.</w:t>
            </w:r>
          </w:p>
        </w:tc>
      </w:tr>
    </w:tbl>
    <w:p>
      <w:pPr>
        <w:pStyle w:val="TextBody"/>
        <w:spacing w:before="240" w:after="283"/>
        <w:jc w:val="left"/>
        <w:rPr>
          <w:rFonts w:ascii="Arial" w:hAnsi="Arial"/>
          <w:color w:val="00A1E0"/>
          <w:sz w:val="26"/>
        </w:rPr>
      </w:pPr>
      <w:r>
        <w:rPr>
          <w:rFonts w:ascii="Arial" w:hAnsi="Arial"/>
          <w:color w:val="00A1E0"/>
          <w:sz w:val="26"/>
        </w:rPr>
        <w:t>Environmental Sustainability</w:t>
      </w:r>
    </w:p>
    <w:p>
      <w:pPr>
        <w:pStyle w:val="TextBody"/>
        <w:jc w:val="left"/>
        <w:rPr>
          <w:rFonts w:ascii="Arial" w:hAnsi="Arial"/>
          <w:sz w:val="20"/>
        </w:rPr>
      </w:pPr>
      <w:r>
        <w:rPr>
          <w:rFonts w:ascii="Arial" w:hAnsi="Arial"/>
          <w:sz w:val="20"/>
        </w:rPr>
        <w:t>In 2022, we continued to make significant progress toward our goal to become carbon neutral by 2035 for Scope 1 and 2 emissions across our global operations. We have reduced our Scope 1 and 2 greenhouse gas (GHG) emissions by 28% between our 2019 base year and 2021, and in 2022 we committed to set near-term science-based GHG reduction targets with the Science Based Targets initiative (“SBTi”).</w:t>
      </w:r>
    </w:p>
    <w:p>
      <w:pPr>
        <w:pStyle w:val="TextBody"/>
        <w:jc w:val="left"/>
        <w:rPr>
          <w:rFonts w:ascii="Arial" w:hAnsi="Arial"/>
          <w:sz w:val="20"/>
        </w:rPr>
      </w:pPr>
      <w:r>
        <w:rPr>
          <w:rFonts w:ascii="Arial" w:hAnsi="Arial"/>
          <w:sz w:val="20"/>
        </w:rPr>
        <w:t>The primary components of our 2021 Scope 1 and 2 GHG emissions are reflected below.</w:t>
      </w:r>
    </w:p>
    <w:p>
      <w:pPr>
        <w:pStyle w:val="TextBody"/>
        <w:spacing w:before="0" w:after="0"/>
        <w:ind w:left="0" w:right="0" w:hanging="0"/>
        <w:jc w:val="left"/>
        <w:rPr>
          <w:rFonts w:ascii="Arial" w:hAnsi="Arial"/>
          <w:color w:val="FFFFFF"/>
          <w:sz w:val="2"/>
        </w:rPr>
      </w:pPr>
      <w:r>
        <w:rPr>
          <w:rFonts w:ascii="Arial" w:hAnsi="Arial"/>
          <w:color w:val="FFFFFF"/>
          <w:sz w:val="2"/>
        </w:rPr>
        <w:t>18% Emissions from our owned and operated eet and vehicles 11% Generators, cooling systems, purchased steam, cooling and heating 71% Purchased electricity powering facilities, data centers, theme parks, and network 2.5M 2.0M 1.5M 1.0M 0.5M 0.0M ~2.5M tons CO2e . 2019 ~2.2M tons CO2e . 2020 ~1.8M tons CO2e 2021 28% MWh 700,000 600,000 500,000 400,000 300,000 200,000 100,000 0 2019 2020 2021</w:t>
      </w:r>
    </w:p>
    <w:tbl>
      <w:tblPr>
        <w:tblW w:w="8505" w:type="dxa"/>
        <w:jc w:val="left"/>
        <w:tblInd w:w="0" w:type="dxa"/>
        <w:tblCellMar>
          <w:top w:w="0" w:type="dxa"/>
          <w:left w:w="0" w:type="dxa"/>
          <w:bottom w:w="0" w:type="dxa"/>
          <w:right w:w="0" w:type="dxa"/>
        </w:tblCellMar>
      </w:tblPr>
      <w:tblGrid>
        <w:gridCol w:w="3030"/>
        <w:gridCol w:w="2595"/>
        <w:gridCol w:w="2880"/>
      </w:tblGrid>
      <w:tr>
        <w:trPr/>
        <w:tc>
          <w:tcPr>
            <w:tcW w:w="3030" w:type="dxa"/>
            <w:vMerge w:val="restart"/>
            <w:tcBorders/>
            <w:shd w:fill="auto" w:val="clear"/>
            <w:vAlign w:val="center"/>
          </w:tcPr>
          <w:p>
            <w:pPr>
              <w:pStyle w:val="TableContents"/>
              <w:spacing w:before="0" w:after="283"/>
              <w:rPr/>
            </w:pPr>
            <w:r>
              <w:rPr/>
              <w:drawing>
                <wp:inline distT="0" distB="0" distL="0" distR="0">
                  <wp:extent cx="1924050" cy="4552950"/>
                  <wp:effectExtent l="0" t="0" r="0" b="0"/>
                  <wp:docPr id="44"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6" descr=""/>
                          <pic:cNvPicPr>
                            <a:picLocks noChangeAspect="1" noChangeArrowheads="1"/>
                          </pic:cNvPicPr>
                        </pic:nvPicPr>
                        <pic:blipFill>
                          <a:blip r:embed="rId37"/>
                          <a:srcRect l="-163" t="-221" r="-163" b="-221"/>
                          <a:stretch>
                            <a:fillRect/>
                          </a:stretch>
                        </pic:blipFill>
                        <pic:spPr bwMode="auto">
                          <a:xfrm>
                            <a:off x="0" y="0"/>
                            <a:ext cx="1924050" cy="4552950"/>
                          </a:xfrm>
                          <a:prstGeom prst="rect">
                            <a:avLst/>
                          </a:prstGeom>
                          <a:ln w="635">
                            <a:solidFill>
                              <a:srgbClr val="000000"/>
                            </a:solidFill>
                          </a:ln>
                        </pic:spPr>
                      </pic:pic>
                    </a:graphicData>
                  </a:graphic>
                </wp:inline>
              </w:drawing>
            </w:r>
          </w:p>
        </w:tc>
        <w:tc>
          <w:tcPr>
            <w:tcW w:w="2595" w:type="dxa"/>
            <w:tcBorders/>
            <w:shd w:fill="auto" w:val="clear"/>
            <w:vAlign w:val="center"/>
          </w:tcPr>
          <w:p>
            <w:pPr>
              <w:pStyle w:val="TableContents"/>
              <w:spacing w:before="0" w:after="283"/>
              <w:rPr>
                <w:rFonts w:ascii="Arial" w:hAnsi="Arial"/>
                <w:b/>
                <w:color w:val="00A1E0"/>
                <w:sz w:val="15"/>
              </w:rPr>
            </w:pPr>
            <w:r>
              <w:rPr>
                <w:rFonts w:ascii="Arial" w:hAnsi="Arial"/>
                <w:b/>
                <w:color w:val="00A1E0"/>
                <w:sz w:val="15"/>
              </w:rPr>
              <w:t>SCOPE 1 AND 2 GHG EMISSIONS</w:t>
            </w:r>
          </w:p>
        </w:tc>
        <w:tc>
          <w:tcPr>
            <w:tcW w:w="2880" w:type="dxa"/>
            <w:tcBorders/>
            <w:shd w:fill="auto" w:val="clear"/>
            <w:vAlign w:val="center"/>
          </w:tcPr>
          <w:p>
            <w:pPr>
              <w:pStyle w:val="TableContents"/>
              <w:spacing w:before="0" w:after="283"/>
              <w:rPr>
                <w:rFonts w:ascii="Arial" w:hAnsi="Arial"/>
                <w:b/>
                <w:color w:val="00A1E0"/>
                <w:sz w:val="15"/>
              </w:rPr>
            </w:pPr>
            <w:r>
              <w:rPr>
                <w:rFonts w:ascii="Arial" w:hAnsi="Arial"/>
                <w:b/>
                <w:color w:val="00A1E0"/>
                <w:sz w:val="15"/>
              </w:rPr>
              <w:t>RENEWABLE ELECTRICITY</w:t>
            </w:r>
          </w:p>
        </w:tc>
      </w:tr>
      <w:tr>
        <w:trPr/>
        <w:tc>
          <w:tcPr>
            <w:tcW w:w="3030" w:type="dxa"/>
            <w:vMerge w:val="continue"/>
            <w:tcBorders/>
            <w:shd w:fill="auto" w:val="clear"/>
            <w:vAlign w:val="center"/>
          </w:tcPr>
          <w:p>
            <w:pPr>
              <w:pStyle w:val="Normal"/>
              <w:rPr/>
            </w:pPr>
            <w:r>
              <w:rPr/>
            </w:r>
          </w:p>
        </w:tc>
        <w:tc>
          <w:tcPr>
            <w:tcW w:w="2595" w:type="dxa"/>
            <w:tcBorders/>
            <w:shd w:fill="auto" w:val="clear"/>
            <w:vAlign w:val="center"/>
          </w:tcPr>
          <w:p>
            <w:pPr>
              <w:pStyle w:val="TableContents"/>
              <w:spacing w:before="0" w:after="283"/>
              <w:rPr/>
            </w:pPr>
            <w:r>
              <w:rPr/>
              <w:drawing>
                <wp:inline distT="0" distB="0" distL="0" distR="0">
                  <wp:extent cx="1647825" cy="3505200"/>
                  <wp:effectExtent l="0" t="0" r="0" b="0"/>
                  <wp:docPr id="45"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7" descr=""/>
                          <pic:cNvPicPr>
                            <a:picLocks noChangeAspect="1" noChangeArrowheads="1"/>
                          </pic:cNvPicPr>
                        </pic:nvPicPr>
                        <pic:blipFill>
                          <a:blip r:embed="rId38"/>
                          <a:srcRect l="-191" t="-287" r="-191" b="-287"/>
                          <a:stretch>
                            <a:fillRect/>
                          </a:stretch>
                        </pic:blipFill>
                        <pic:spPr bwMode="auto">
                          <a:xfrm>
                            <a:off x="0" y="0"/>
                            <a:ext cx="1647825" cy="3505200"/>
                          </a:xfrm>
                          <a:prstGeom prst="rect">
                            <a:avLst/>
                          </a:prstGeom>
                          <a:ln w="635">
                            <a:solidFill>
                              <a:srgbClr val="000000"/>
                            </a:solidFill>
                          </a:ln>
                        </pic:spPr>
                      </pic:pic>
                    </a:graphicData>
                  </a:graphic>
                </wp:inline>
              </w:drawing>
            </w:r>
          </w:p>
        </w:tc>
        <w:tc>
          <w:tcPr>
            <w:tcW w:w="2880" w:type="dxa"/>
            <w:tcBorders/>
            <w:shd w:fill="auto" w:val="clear"/>
            <w:vAlign w:val="center"/>
          </w:tcPr>
          <w:p>
            <w:pPr>
              <w:pStyle w:val="TableContents"/>
              <w:spacing w:before="0" w:after="283"/>
              <w:rPr/>
            </w:pPr>
            <w:r>
              <w:rPr/>
              <w:drawing>
                <wp:inline distT="0" distB="0" distL="0" distR="0">
                  <wp:extent cx="1828800" cy="3429000"/>
                  <wp:effectExtent l="0" t="0" r="0" b="0"/>
                  <wp:docPr id="46"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8" descr=""/>
                          <pic:cNvPicPr>
                            <a:picLocks noChangeAspect="1" noChangeArrowheads="1"/>
                          </pic:cNvPicPr>
                        </pic:nvPicPr>
                        <pic:blipFill>
                          <a:blip r:embed="rId39"/>
                          <a:srcRect l="-172" t="-293" r="-172" b="-293"/>
                          <a:stretch>
                            <a:fillRect/>
                          </a:stretch>
                        </pic:blipFill>
                        <pic:spPr bwMode="auto">
                          <a:xfrm>
                            <a:off x="0" y="0"/>
                            <a:ext cx="1828800" cy="3429000"/>
                          </a:xfrm>
                          <a:prstGeom prst="rect">
                            <a:avLst/>
                          </a:prstGeom>
                          <a:ln w="635">
                            <a:solidFill>
                              <a:srgbClr val="000000"/>
                            </a:solidFill>
                          </a:ln>
                        </pic:spPr>
                      </pic:pic>
                    </a:graphicData>
                  </a:graphic>
                </wp:inline>
              </w:drawing>
            </w:r>
          </w:p>
        </w:tc>
      </w:tr>
    </w:tbl>
    <w:p>
      <w:pPr>
        <w:pStyle w:val="TextBody"/>
        <w:spacing w:before="240" w:after="283"/>
        <w:jc w:val="left"/>
        <w:rPr>
          <w:rFonts w:ascii="Arial" w:hAnsi="Arial"/>
          <w:sz w:val="20"/>
        </w:rPr>
      </w:pPr>
      <w:r>
        <w:rPr>
          <w:rFonts w:ascii="Arial" w:hAnsi="Arial"/>
          <w:sz w:val="20"/>
        </w:rPr>
        <w:t>To address our largest source of emissions, we plan to invest in clean and renewable energy. We have more than doubled our use of renewable electricity across our global operations from 2020 to 2021, and in 2022 we signed additional contracts for more than 183,000 megawatt-hours (“MWh”) per year of renewable energy from new projects under development, bringing our contracted total to over 1 million MWh per year, or roughly 25% of our projected electricity needs in 2026 when these projects are scheduled to be operational.</w:t>
      </w:r>
    </w:p>
    <w:p>
      <w:pPr>
        <w:pStyle w:val="TextBody"/>
        <w:jc w:val="left"/>
        <w:rPr>
          <w:rFonts w:ascii="Arial" w:hAnsi="Arial"/>
          <w:sz w:val="20"/>
        </w:rPr>
      </w:pPr>
      <w:r>
        <w:rPr>
          <w:rFonts w:ascii="Arial" w:hAnsi="Arial"/>
          <w:sz w:val="20"/>
        </w:rPr>
        <w:t>While we expect to continue making progress toward our environmental goals, our goals are subject to certain risks and challenges that are beyond our control, including political, economic, regulatory and geopolitical conditions, supply chain and labor issues, supplier emissions reductions, the evolution of carbon offset markets and limited large-scale investments and innovations in technology and infrastructure.</w:t>
      </w:r>
    </w:p>
    <w:tbl>
      <w:tblPr>
        <w:tblW w:w="2200" w:type="dxa"/>
        <w:jc w:val="left"/>
        <w:tblInd w:w="0" w:type="dxa"/>
        <w:tblCellMar>
          <w:top w:w="0" w:type="dxa"/>
          <w:left w:w="0" w:type="dxa"/>
          <w:bottom w:w="0" w:type="dxa"/>
          <w:right w:w="0" w:type="dxa"/>
        </w:tblCellMar>
      </w:tblPr>
      <w:tblGrid>
        <w:gridCol w:w="1580"/>
        <w:gridCol w:w="620"/>
      </w:tblGrid>
      <w:tr>
        <w:trPr/>
        <w:tc>
          <w:tcPr>
            <w:tcW w:w="1580" w:type="dxa"/>
            <w:tcBorders/>
            <w:shd w:fill="auto" w:val="clear"/>
            <w:vAlign w:val="center"/>
          </w:tcPr>
          <w:p>
            <w:pPr>
              <w:pStyle w:val="TableContents"/>
              <w:spacing w:before="0" w:after="283"/>
              <w:jc w:val="right"/>
              <w:rPr>
                <w:rFonts w:ascii="Arial" w:hAnsi="Arial"/>
                <w:sz w:val="15"/>
              </w:rPr>
            </w:pPr>
            <w:r>
              <w:rPr>
                <w:rFonts w:ascii="Arial" w:hAnsi="Arial"/>
                <w:sz w:val="15"/>
              </w:rPr>
              <w:t>2023 Proxy Statement</w:t>
            </w:r>
          </w:p>
        </w:tc>
        <w:tc>
          <w:tcPr>
            <w:tcW w:w="620" w:type="dxa"/>
            <w:tcBorders/>
            <w:shd w:fill="auto" w:val="clear"/>
            <w:vAlign w:val="center"/>
          </w:tcPr>
          <w:p>
            <w:pPr>
              <w:pStyle w:val="TableContents"/>
              <w:spacing w:before="0" w:after="283"/>
              <w:jc w:val="right"/>
              <w:rPr/>
            </w:pPr>
            <w:r>
              <w:rPr/>
              <w:t>       </w:t>
            </w:r>
            <w:r>
              <w:rPr>
                <w:rFonts w:ascii="Arial" w:hAnsi="Arial"/>
                <w:b/>
                <w:sz w:val="15"/>
              </w:rPr>
              <w:t>11</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p>
      <w:pPr>
        <w:pStyle w:val="TextBody"/>
        <w:jc w:val="left"/>
        <w:rPr>
          <w:rFonts w:ascii="Arial" w:hAnsi="Arial"/>
          <w:color w:val="00A1E0"/>
          <w:sz w:val="26"/>
        </w:rPr>
      </w:pPr>
      <w:r>
        <w:rPr>
          <w:rFonts w:ascii="Arial" w:hAnsi="Arial"/>
          <w:color w:val="00A1E0"/>
          <w:sz w:val="26"/>
        </w:rPr>
        <w:t>Cybersecurity and Privacy</w:t>
      </w:r>
    </w:p>
    <w:p>
      <w:pPr>
        <w:pStyle w:val="TextBody"/>
        <w:jc w:val="left"/>
        <w:rPr>
          <w:rFonts w:ascii="Arial" w:hAnsi="Arial"/>
          <w:sz w:val="20"/>
        </w:rPr>
      </w:pPr>
      <w:r>
        <w:rPr>
          <w:rFonts w:ascii="Arial" w:hAnsi="Arial"/>
          <w:sz w:val="20"/>
        </w:rPr>
        <w:t>Protecting the security and integrity of the information and systems under our control and safeguarding the privacy of our customer and employee information has long been a priority at Comcast. In fact, cybersecurity and privacy risks are among the core enterprise risks for Board-level oversight identified through our annual enterprise risk management (“ERM”) assessment.</w:t>
      </w:r>
    </w:p>
    <w:p>
      <w:pPr>
        <w:pStyle w:val="TextBody"/>
        <w:jc w:val="left"/>
        <w:rPr>
          <w:rFonts w:ascii="Arial" w:hAnsi="Arial"/>
          <w:sz w:val="20"/>
        </w:rPr>
      </w:pPr>
      <w:r>
        <w:rPr>
          <w:rFonts w:ascii="Arial" w:hAnsi="Arial"/>
          <w:sz w:val="20"/>
        </w:rPr>
        <w:t>Our cybersecurity strategy, policies and practices are overseen by a Cybersecurity Leadership Council, which includes our President, Chief Financial Officer and Chief Legal Officer. Other members include the Chief Information Security Officers (“CISOs”), Chief Technology Officers or other similar officers (“CTOs”), Chief Financial Officers and General Counsels of Comcast Cable, NBCUniversal and Sky, along with our head of Internal Audit. Our information security programs cover a comprehensive range of capabilities, including network security, endpoint security, vulnerability management, antivirus and malware protection, encryption and access control. We are committed to data protection, perform annual third-party certifications/audits where appropriate, and engage an independent firm to perform a cyber capability maturity assessment every three years. Our Board, including through our Audit Committee, reviews and discusses our cybersecurity risks, practices and protections with our CISOs and CTOs at least twice per year. In addition, our Audit Committee receives regular updates on our cybersecurity posture throughout the year from our head of Internal Audit as appropriate.</w:t>
      </w:r>
    </w:p>
    <w:p>
      <w:pPr>
        <w:pStyle w:val="TextBody"/>
        <w:jc w:val="left"/>
        <w:rPr>
          <w:rFonts w:ascii="Arial" w:hAnsi="Arial"/>
          <w:sz w:val="20"/>
        </w:rPr>
      </w:pPr>
      <w:r>
        <w:rPr>
          <w:rFonts w:ascii="Arial" w:hAnsi="Arial"/>
          <w:sz w:val="20"/>
        </w:rPr>
        <w:t>We also have a Privacy Council, which includes our Chief Legal Officer, Chief Compliance Officer and the Chief Privacy Officers and General Counsels of Comcast Cable, NBCUniversal and Sky, that reviews and assesses privacy risks throughout our businesses and shares best practices. We respect the privacy rights of individuals and have implemented tailored privacy compliance programs for our businesses. Our Board, through our GCR Committee, reviews and discusses our privacy programs, processes and priorities with our Chief Privacy Officers.</w:t>
      </w:r>
    </w:p>
    <w:p>
      <w:pPr>
        <w:pStyle w:val="TextBody"/>
        <w:jc w:val="left"/>
        <w:rPr>
          <w:rFonts w:ascii="Arial" w:hAnsi="Arial"/>
          <w:color w:val="00A1E0"/>
          <w:sz w:val="26"/>
        </w:rPr>
      </w:pPr>
      <w:r>
        <w:rPr>
          <w:rFonts w:ascii="Arial" w:hAnsi="Arial"/>
          <w:color w:val="00A1E0"/>
          <w:sz w:val="26"/>
        </w:rPr>
        <w:t>Political and Trade Association Activities</w:t>
      </w:r>
    </w:p>
    <w:p>
      <w:pPr>
        <w:pStyle w:val="TextBody"/>
        <w:jc w:val="left"/>
        <w:rPr>
          <w:rFonts w:ascii="Arial" w:hAnsi="Arial"/>
          <w:sz w:val="20"/>
        </w:rPr>
      </w:pPr>
      <w:r>
        <w:rPr>
          <w:rFonts w:ascii="Arial" w:hAnsi="Arial"/>
          <w:sz w:val="20"/>
        </w:rPr>
        <w:t>Our code of conduct, statement on political and trade association activities, semi-annual political contributions reports and annual tax-exempt organization disclosures provide information about our political, lobbying and trade association activities. Our GCR Committee is responsible for overseeing our political, lobbying and trade association activities. In 2022, we received the leading “Trendsetter” designation from the CPA Zicklin Index of Corporate Political Disclosure and Accountability for our transparency and accountability in political and trade association disclosure, policy and oversight.</w:t>
      </w:r>
    </w:p>
    <w:p>
      <w:pPr>
        <w:pStyle w:val="TextBody"/>
        <w:jc w:val="left"/>
        <w:rPr>
          <w:rFonts w:ascii="Arial" w:hAnsi="Arial"/>
          <w:color w:val="00A1E0"/>
          <w:sz w:val="26"/>
        </w:rPr>
      </w:pPr>
      <w:r>
        <w:rPr>
          <w:rFonts w:ascii="Arial" w:hAnsi="Arial"/>
          <w:color w:val="00A1E0"/>
          <w:sz w:val="26"/>
        </w:rPr>
        <w:t>Integrity</w:t>
      </w:r>
    </w:p>
    <w:p>
      <w:pPr>
        <w:pStyle w:val="TextBody"/>
        <w:jc w:val="left"/>
        <w:rPr>
          <w:rFonts w:ascii="Arial" w:hAnsi="Arial"/>
          <w:sz w:val="20"/>
        </w:rPr>
      </w:pPr>
      <w:r>
        <w:rPr>
          <w:rFonts w:ascii="Arial" w:hAnsi="Arial"/>
          <w:sz w:val="20"/>
        </w:rPr>
        <w:t>Our company’s culture is built on integrity and respect, and we believe that all of our employees have a responsibility to promote the highest ethical standards and comply with the law everywhere we operate. As set forth in our code of conduct, our principles of business conduct guide us to act with integrity in everything we do, including a commitment to do what’s right for our employees, customers, audiences, investors and the communities we serve. We are committed to creating an environment where employees feel comfortable asking questions, raising concerns and speaking up without fear of retaliation.</w:t>
      </w:r>
    </w:p>
    <w:tbl>
      <w:tblPr>
        <w:tblW w:w="223" w:type="dxa"/>
        <w:jc w:val="left"/>
        <w:tblInd w:w="0" w:type="dxa"/>
        <w:tblCellMar>
          <w:top w:w="0" w:type="dxa"/>
          <w:left w:w="0" w:type="dxa"/>
          <w:bottom w:w="0" w:type="dxa"/>
          <w:right w:w="0" w:type="dxa"/>
        </w:tblCellMar>
      </w:tblPr>
      <w:tblGrid>
        <w:gridCol w:w="200"/>
        <w:gridCol w:w="23"/>
      </w:tblGrid>
      <w:tr>
        <w:trPr/>
        <w:tc>
          <w:tcPr>
            <w:tcW w:w="200" w:type="dxa"/>
            <w:tcBorders/>
            <w:shd w:fill="auto" w:val="clear"/>
            <w:vAlign w:val="center"/>
          </w:tcPr>
          <w:p>
            <w:pPr>
              <w:pStyle w:val="TableContents"/>
              <w:spacing w:before="0" w:after="283"/>
              <w:jc w:val="left"/>
              <w:rPr>
                <w:rFonts w:ascii="Arial" w:hAnsi="Arial"/>
                <w:b/>
                <w:sz w:val="15"/>
              </w:rPr>
            </w:pPr>
            <w:r>
              <w:rPr>
                <w:rFonts w:ascii="Arial" w:hAnsi="Arial"/>
                <w:b/>
                <w:sz w:val="15"/>
              </w:rPr>
              <w:t>12</w:t>
            </w:r>
          </w:p>
        </w:tc>
        <w:tc>
          <w:tcPr>
            <w:tcW w:w="2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p>
      <w:pPr>
        <w:pStyle w:val="TextBody"/>
        <w:jc w:val="left"/>
        <w:rPr>
          <w:rFonts w:ascii="Arial" w:hAnsi="Arial"/>
          <w:b/>
          <w:sz w:val="36"/>
        </w:rPr>
      </w:pPr>
      <w:bookmarkStart w:id="9" w:name="corpogovernance"/>
      <w:bookmarkEnd w:id="9"/>
      <w:r>
        <w:rPr>
          <w:rFonts w:ascii="Arial" w:hAnsi="Arial"/>
          <w:b/>
          <w:sz w:val="36"/>
        </w:rPr>
        <w:t>Corporate Governance and Board Matters</w:t>
      </w:r>
    </w:p>
    <w:tbl>
      <w:tblPr>
        <w:tblW w:w="10205" w:type="dxa"/>
        <w:jc w:val="left"/>
        <w:tblInd w:w="0" w:type="dxa"/>
        <w:tblCellMar>
          <w:top w:w="28" w:type="dxa"/>
          <w:left w:w="28" w:type="dxa"/>
          <w:bottom w:w="0" w:type="dxa"/>
          <w:right w:w="0" w:type="dxa"/>
        </w:tblCellMar>
      </w:tblPr>
      <w:tblGrid>
        <w:gridCol w:w="120"/>
        <w:gridCol w:w="648"/>
        <w:gridCol w:w="1374"/>
        <w:gridCol w:w="718"/>
        <w:gridCol w:w="7223"/>
        <w:gridCol w:w="122"/>
      </w:tblGrid>
      <w:tr>
        <w:trPr/>
        <w:tc>
          <w:tcPr>
            <w:tcW w:w="120" w:type="dxa"/>
            <w:tcBorders>
              <w:top w:val="single" w:sz="8" w:space="0" w:color="959595"/>
              <w:left w:val="single" w:sz="8" w:space="0" w:color="959595"/>
            </w:tcBorders>
            <w:shd w:fill="auto" w:val="clear"/>
            <w:vAlign w:val="center"/>
          </w:tcPr>
          <w:p>
            <w:pPr>
              <w:pStyle w:val="TableContents"/>
              <w:spacing w:before="0" w:after="283"/>
              <w:jc w:val="left"/>
              <w:rPr/>
            </w:pPr>
            <w:r>
              <w:rPr/>
              <w:t>  </w:t>
            </w:r>
          </w:p>
        </w:tc>
        <w:tc>
          <w:tcPr>
            <w:tcW w:w="648" w:type="dxa"/>
            <w:tcBorders>
              <w:top w:val="single" w:sz="8" w:space="0" w:color="959595"/>
            </w:tcBorders>
            <w:shd w:fill="auto" w:val="clear"/>
            <w:tcMar>
              <w:left w:w="0" w:type="dxa"/>
            </w:tcMar>
            <w:vAlign w:val="center"/>
          </w:tcPr>
          <w:p>
            <w:pPr>
              <w:pStyle w:val="TableContents"/>
              <w:spacing w:before="0" w:after="283"/>
              <w:rPr>
                <w:sz w:val="4"/>
                <w:szCs w:val="4"/>
              </w:rPr>
            </w:pPr>
            <w:r>
              <w:rPr>
                <w:sz w:val="4"/>
                <w:szCs w:val="4"/>
              </w:rPr>
            </w:r>
          </w:p>
        </w:tc>
        <w:tc>
          <w:tcPr>
            <w:tcW w:w="1374" w:type="dxa"/>
            <w:tcBorders>
              <w:top w:val="single" w:sz="8" w:space="0" w:color="959595"/>
            </w:tcBorders>
            <w:shd w:fill="auto" w:val="clear"/>
            <w:tcMar>
              <w:left w:w="0" w:type="dxa"/>
            </w:tcMar>
            <w:vAlign w:val="center"/>
          </w:tcPr>
          <w:p>
            <w:pPr>
              <w:pStyle w:val="TableContents"/>
              <w:spacing w:before="0" w:after="283"/>
              <w:rPr/>
            </w:pPr>
            <w:r>
              <w:rPr/>
              <w:t> </w:t>
            </w:r>
          </w:p>
        </w:tc>
        <w:tc>
          <w:tcPr>
            <w:tcW w:w="718" w:type="dxa"/>
            <w:tcBorders>
              <w:top w:val="single" w:sz="8" w:space="0" w:color="959595"/>
            </w:tcBorders>
            <w:shd w:fill="auto" w:val="clear"/>
            <w:tcMar>
              <w:left w:w="0" w:type="dxa"/>
            </w:tcMar>
            <w:vAlign w:val="center"/>
          </w:tcPr>
          <w:p>
            <w:pPr>
              <w:pStyle w:val="TableContents"/>
              <w:spacing w:before="0" w:after="283"/>
              <w:rPr/>
            </w:pPr>
            <w:r>
              <w:rPr/>
              <w:t> </w:t>
            </w:r>
          </w:p>
        </w:tc>
        <w:tc>
          <w:tcPr>
            <w:tcW w:w="7223" w:type="dxa"/>
            <w:tcBorders>
              <w:top w:val="single" w:sz="8" w:space="0" w:color="959595"/>
            </w:tcBorders>
            <w:shd w:fill="auto" w:val="clear"/>
            <w:tcMar>
              <w:left w:w="0" w:type="dxa"/>
            </w:tcMar>
            <w:vAlign w:val="center"/>
          </w:tcPr>
          <w:p>
            <w:pPr>
              <w:pStyle w:val="TableContents"/>
              <w:spacing w:before="0" w:after="283"/>
              <w:jc w:val="left"/>
              <w:rPr/>
            </w:pPr>
            <w:r>
              <w:rPr/>
              <w:t>                              </w:t>
            </w:r>
          </w:p>
        </w:tc>
        <w:tc>
          <w:tcPr>
            <w:tcW w:w="122" w:type="dxa"/>
            <w:tcBorders>
              <w:top w:val="single" w:sz="8" w:space="0" w:color="959595"/>
              <w:right w:val="single" w:sz="8" w:space="0" w:color="959595"/>
            </w:tcBorders>
            <w:shd w:fill="auto" w:val="clear"/>
            <w:tcMar>
              <w:left w:w="0" w:type="dxa"/>
              <w:right w:w="28" w:type="dxa"/>
            </w:tcMar>
            <w:vAlign w:val="center"/>
          </w:tcPr>
          <w:p>
            <w:pPr>
              <w:pStyle w:val="TableContents"/>
              <w:spacing w:before="0" w:after="283"/>
              <w:jc w:val="left"/>
              <w:rPr/>
            </w:pPr>
            <w:r>
              <w:rPr/>
              <w:t>  </w:t>
            </w:r>
          </w:p>
        </w:tc>
      </w:tr>
      <w:tr>
        <w:trPr/>
        <w:tc>
          <w:tcPr>
            <w:tcW w:w="120" w:type="dxa"/>
            <w:tcBorders>
              <w:left w:val="single" w:sz="8" w:space="0" w:color="959595"/>
            </w:tcBorders>
            <w:shd w:fill="auto" w:val="clear"/>
            <w:tcMar>
              <w:top w:w="0" w:type="dxa"/>
            </w:tcMar>
            <w:vAlign w:val="center"/>
          </w:tcPr>
          <w:p>
            <w:pPr>
              <w:pStyle w:val="TableContents"/>
              <w:spacing w:before="0" w:after="283"/>
              <w:rPr>
                <w:sz w:val="4"/>
                <w:szCs w:val="4"/>
              </w:rPr>
            </w:pPr>
            <w:r>
              <w:rPr>
                <w:sz w:val="4"/>
                <w:szCs w:val="4"/>
              </w:rPr>
            </w:r>
          </w:p>
        </w:tc>
        <w:tc>
          <w:tcPr>
            <w:tcW w:w="2022" w:type="dxa"/>
            <w:gridSpan w:val="2"/>
            <w:tcBorders/>
            <w:shd w:fill="ECF6FA" w:val="clear"/>
            <w:tcMar>
              <w:top w:w="0" w:type="dxa"/>
              <w:left w:w="0" w:type="dxa"/>
            </w:tcMar>
            <w:vAlign w:val="center"/>
          </w:tcPr>
          <w:p>
            <w:pPr>
              <w:pStyle w:val="TableContents"/>
              <w:spacing w:before="0" w:after="283"/>
              <w:jc w:val="left"/>
              <w:rPr>
                <w:rFonts w:ascii="Arial" w:hAnsi="Arial"/>
                <w:color w:val="00A1E0"/>
                <w:sz w:val="24"/>
              </w:rPr>
            </w:pPr>
            <w:bookmarkStart w:id="10" w:name="proposal1"/>
            <w:bookmarkEnd w:id="10"/>
            <w:r>
              <w:rPr>
                <w:rFonts w:ascii="Arial" w:hAnsi="Arial"/>
                <w:color w:val="00A1E0"/>
                <w:sz w:val="24"/>
              </w:rPr>
              <w:t>Proposal 1:</w:t>
            </w:r>
          </w:p>
        </w:tc>
        <w:tc>
          <w:tcPr>
            <w:tcW w:w="718" w:type="dxa"/>
            <w:tcBorders/>
            <w:shd w:fill="ECF6FA" w:val="clear"/>
            <w:tcMar>
              <w:top w:w="0" w:type="dxa"/>
              <w:left w:w="0" w:type="dxa"/>
            </w:tcMar>
            <w:vAlign w:val="center"/>
          </w:tcPr>
          <w:p>
            <w:pPr>
              <w:pStyle w:val="TableContents"/>
              <w:spacing w:before="0" w:after="283"/>
              <w:rPr/>
            </w:pPr>
            <w:r>
              <w:rPr/>
              <w:t>     </w:t>
            </w:r>
          </w:p>
        </w:tc>
        <w:tc>
          <w:tcPr>
            <w:tcW w:w="7223" w:type="dxa"/>
            <w:tcBorders/>
            <w:shd w:fill="ECF6FA" w:val="clear"/>
            <w:tcMar>
              <w:top w:w="0" w:type="dxa"/>
              <w:left w:w="0" w:type="dxa"/>
            </w:tcMar>
            <w:vAlign w:val="center"/>
          </w:tcPr>
          <w:p>
            <w:pPr>
              <w:pStyle w:val="TableContents"/>
              <w:spacing w:before="0" w:after="283"/>
              <w:jc w:val="left"/>
              <w:rPr>
                <w:rFonts w:ascii="Arial" w:hAnsi="Arial"/>
                <w:color w:val="00A1E0"/>
                <w:sz w:val="24"/>
              </w:rPr>
            </w:pPr>
            <w:r>
              <w:rPr>
                <w:rFonts w:ascii="Arial" w:hAnsi="Arial"/>
                <w:color w:val="00A1E0"/>
                <w:sz w:val="24"/>
              </w:rPr>
              <w:t>ELECTION OF DIRECTORS</w:t>
            </w:r>
          </w:p>
        </w:tc>
        <w:tc>
          <w:tcPr>
            <w:tcW w:w="122" w:type="dxa"/>
            <w:tcBorders>
              <w:right w:val="single" w:sz="8" w:space="0" w:color="959595"/>
            </w:tcBorders>
            <w:shd w:fill="auto" w:val="clear"/>
            <w:tcMar>
              <w:top w:w="0" w:type="dxa"/>
              <w:left w:w="0" w:type="dxa"/>
              <w:right w:w="28" w:type="dxa"/>
            </w:tcMar>
            <w:vAlign w:val="center"/>
          </w:tcPr>
          <w:p>
            <w:pPr>
              <w:pStyle w:val="TableContents"/>
              <w:spacing w:before="0" w:after="283"/>
              <w:rPr>
                <w:sz w:val="4"/>
                <w:szCs w:val="4"/>
              </w:rPr>
            </w:pPr>
            <w:r>
              <w:rPr>
                <w:sz w:val="4"/>
                <w:szCs w:val="4"/>
              </w:rPr>
            </w:r>
          </w:p>
        </w:tc>
      </w:tr>
      <w:tr>
        <w:trPr/>
        <w:tc>
          <w:tcPr>
            <w:tcW w:w="120" w:type="dxa"/>
            <w:tcBorders>
              <w:left w:val="single" w:sz="8" w:space="0" w:color="959595"/>
            </w:tcBorders>
            <w:shd w:fill="auto" w:val="clear"/>
            <w:tcMar>
              <w:top w:w="0" w:type="dxa"/>
            </w:tcMar>
            <w:vAlign w:val="center"/>
          </w:tcPr>
          <w:p>
            <w:pPr>
              <w:pStyle w:val="TableContents"/>
              <w:spacing w:before="0" w:after="283"/>
              <w:jc w:val="left"/>
              <w:rPr/>
            </w:pPr>
            <w:r>
              <w:rPr/>
              <w:t> </w:t>
            </w:r>
          </w:p>
        </w:tc>
        <w:tc>
          <w:tcPr>
            <w:tcW w:w="648" w:type="dxa"/>
            <w:tcBorders/>
            <w:shd w:fill="auto" w:val="clear"/>
            <w:tcMar>
              <w:top w:w="0" w:type="dxa"/>
              <w:left w:w="0" w:type="dxa"/>
            </w:tcMar>
            <w:vAlign w:val="center"/>
          </w:tcPr>
          <w:p>
            <w:pPr>
              <w:pStyle w:val="TableContents"/>
              <w:spacing w:before="0" w:after="283"/>
              <w:rPr>
                <w:sz w:val="4"/>
                <w:szCs w:val="4"/>
              </w:rPr>
            </w:pPr>
            <w:r>
              <w:rPr>
                <w:sz w:val="4"/>
                <w:szCs w:val="4"/>
              </w:rPr>
            </w:r>
          </w:p>
        </w:tc>
        <w:tc>
          <w:tcPr>
            <w:tcW w:w="1374" w:type="dxa"/>
            <w:tcBorders/>
            <w:shd w:fill="auto" w:val="clear"/>
            <w:tcMar>
              <w:top w:w="0" w:type="dxa"/>
              <w:left w:w="0" w:type="dxa"/>
            </w:tcMar>
            <w:vAlign w:val="center"/>
          </w:tcPr>
          <w:p>
            <w:pPr>
              <w:pStyle w:val="TableContents"/>
              <w:spacing w:before="0" w:after="283"/>
              <w:rPr/>
            </w:pPr>
            <w:r>
              <w:rPr/>
              <w:t>         </w:t>
            </w:r>
          </w:p>
        </w:tc>
        <w:tc>
          <w:tcPr>
            <w:tcW w:w="718" w:type="dxa"/>
            <w:tcBorders/>
            <w:shd w:fill="auto" w:val="clear"/>
            <w:tcMar>
              <w:top w:w="0" w:type="dxa"/>
              <w:left w:w="0" w:type="dxa"/>
            </w:tcMar>
            <w:vAlign w:val="center"/>
          </w:tcPr>
          <w:p>
            <w:pPr>
              <w:pStyle w:val="TableContents"/>
              <w:spacing w:before="0" w:after="283"/>
              <w:rPr/>
            </w:pPr>
            <w:r>
              <w:rPr/>
              <w:t> </w:t>
            </w:r>
          </w:p>
        </w:tc>
        <w:tc>
          <w:tcPr>
            <w:tcW w:w="7223" w:type="dxa"/>
            <w:tcBorders/>
            <w:shd w:fill="auto" w:val="clear"/>
            <w:tcMar>
              <w:top w:w="0" w:type="dxa"/>
              <w:left w:w="0" w:type="dxa"/>
            </w:tcMar>
            <w:vAlign w:val="center"/>
          </w:tcPr>
          <w:p>
            <w:pPr>
              <w:pStyle w:val="TableContents"/>
              <w:spacing w:before="0" w:after="283"/>
              <w:rPr>
                <w:sz w:val="4"/>
                <w:szCs w:val="4"/>
              </w:rPr>
            </w:pPr>
            <w:r>
              <w:rPr>
                <w:sz w:val="4"/>
                <w:szCs w:val="4"/>
              </w:rPr>
            </w:r>
          </w:p>
        </w:tc>
        <w:tc>
          <w:tcPr>
            <w:tcW w:w="122" w:type="dxa"/>
            <w:tcBorders>
              <w:right w:val="single" w:sz="8" w:space="0" w:color="959595"/>
            </w:tcBorders>
            <w:shd w:fill="auto" w:val="clear"/>
            <w:tcMar>
              <w:top w:w="0" w:type="dxa"/>
              <w:left w:w="0" w:type="dxa"/>
              <w:right w:w="28" w:type="dxa"/>
            </w:tcMar>
            <w:vAlign w:val="center"/>
          </w:tcPr>
          <w:p>
            <w:pPr>
              <w:pStyle w:val="TableContents"/>
              <w:spacing w:before="0" w:after="283"/>
              <w:rPr>
                <w:sz w:val="4"/>
                <w:szCs w:val="4"/>
              </w:rPr>
            </w:pPr>
            <w:r>
              <w:rPr>
                <w:sz w:val="4"/>
                <w:szCs w:val="4"/>
              </w:rPr>
            </w:r>
          </w:p>
        </w:tc>
      </w:tr>
      <w:tr>
        <w:trPr/>
        <w:tc>
          <w:tcPr>
            <w:tcW w:w="120" w:type="dxa"/>
            <w:tcBorders>
              <w:left w:val="single" w:sz="8" w:space="0" w:color="959595"/>
            </w:tcBorders>
            <w:shd w:fill="auto" w:val="clear"/>
            <w:tcMar>
              <w:top w:w="0" w:type="dxa"/>
            </w:tcMar>
            <w:vAlign w:val="center"/>
          </w:tcPr>
          <w:p>
            <w:pPr>
              <w:pStyle w:val="TableContents"/>
              <w:spacing w:before="0" w:after="283"/>
              <w:rPr>
                <w:sz w:val="4"/>
                <w:szCs w:val="4"/>
              </w:rPr>
            </w:pPr>
            <w:r>
              <w:rPr>
                <w:sz w:val="4"/>
                <w:szCs w:val="4"/>
              </w:rPr>
            </w:r>
          </w:p>
        </w:tc>
        <w:tc>
          <w:tcPr>
            <w:tcW w:w="648" w:type="dxa"/>
            <w:tcBorders/>
            <w:shd w:fill="auto" w:val="clear"/>
            <w:tcMar>
              <w:top w:w="0" w:type="dxa"/>
              <w:left w:w="0" w:type="dxa"/>
            </w:tcMar>
            <w:vAlign w:val="center"/>
          </w:tcPr>
          <w:p>
            <w:pPr>
              <w:pStyle w:val="TableContents"/>
              <w:spacing w:before="0" w:after="283"/>
              <w:jc w:val="left"/>
              <w:rPr/>
            </w:pPr>
            <w:r>
              <w:rPr/>
              <w:drawing>
                <wp:inline distT="0" distB="0" distL="0" distR="0">
                  <wp:extent cx="390525" cy="266700"/>
                  <wp:effectExtent l="0" t="0" r="0" b="0"/>
                  <wp:docPr id="47"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9" descr=""/>
                          <pic:cNvPicPr>
                            <a:picLocks noChangeAspect="1" noChangeArrowheads="1"/>
                          </pic:cNvPicPr>
                        </pic:nvPicPr>
                        <pic:blipFill>
                          <a:blip r:embed="rId40"/>
                          <a:srcRect l="-2580" t="-3650" r="-2580" b="-3650"/>
                          <a:stretch>
                            <a:fillRect/>
                          </a:stretch>
                        </pic:blipFill>
                        <pic:spPr bwMode="auto">
                          <a:xfrm>
                            <a:off x="0" y="0"/>
                            <a:ext cx="390525" cy="266700"/>
                          </a:xfrm>
                          <a:prstGeom prst="rect">
                            <a:avLst/>
                          </a:prstGeom>
                          <a:ln w="635">
                            <a:solidFill>
                              <a:srgbClr val="000000"/>
                            </a:solidFill>
                          </a:ln>
                        </pic:spPr>
                      </pic:pic>
                    </a:graphicData>
                  </a:graphic>
                </wp:inline>
              </w:drawing>
            </w:r>
          </w:p>
        </w:tc>
        <w:tc>
          <w:tcPr>
            <w:tcW w:w="9315" w:type="dxa"/>
            <w:gridSpan w:val="3"/>
            <w:tcBorders/>
            <w:shd w:fill="auto" w:val="clear"/>
            <w:tcMar>
              <w:top w:w="0" w:type="dxa"/>
              <w:left w:w="0" w:type="dxa"/>
            </w:tcMar>
            <w:vAlign w:val="center"/>
          </w:tcPr>
          <w:p>
            <w:pPr>
              <w:pStyle w:val="TableContents"/>
              <w:spacing w:before="0" w:after="0"/>
              <w:jc w:val="left"/>
              <w:rPr/>
            </w:pPr>
            <w:r>
              <w:rPr>
                <w:rStyle w:val="StrongEmphasis"/>
                <w:rFonts w:ascii="Arial" w:hAnsi="Arial"/>
                <w:sz w:val="20"/>
              </w:rPr>
              <w:t>Our Board unanimously recommends that shareholders vote “</w:t>
            </w:r>
            <w:r>
              <w:rPr>
                <w:rStyle w:val="StrongEmphasis"/>
                <w:rFonts w:ascii="Arial" w:hAnsi="Arial"/>
                <w:color w:val="00A1E0"/>
                <w:sz w:val="20"/>
              </w:rPr>
              <w:t>FOR</w:t>
            </w:r>
            <w:r>
              <w:rPr>
                <w:rStyle w:val="StrongEmphasis"/>
              </w:rPr>
              <w:t xml:space="preserve">” </w:t>
            </w:r>
            <w:r>
              <w:rPr>
                <w:rStyle w:val="StrongEmphasis"/>
                <w:rFonts w:ascii="Arial" w:hAnsi="Arial"/>
                <w:sz w:val="20"/>
              </w:rPr>
              <w:t>the election of each of the nominees for director.</w:t>
            </w:r>
          </w:p>
        </w:tc>
        <w:tc>
          <w:tcPr>
            <w:tcW w:w="122" w:type="dxa"/>
            <w:tcBorders>
              <w:right w:val="single" w:sz="8" w:space="0" w:color="959595"/>
            </w:tcBorders>
            <w:shd w:fill="auto" w:val="clear"/>
            <w:tcMar>
              <w:top w:w="0" w:type="dxa"/>
              <w:left w:w="0" w:type="dxa"/>
              <w:right w:w="28" w:type="dxa"/>
            </w:tcMar>
            <w:vAlign w:val="center"/>
          </w:tcPr>
          <w:p>
            <w:pPr>
              <w:pStyle w:val="TableContents"/>
              <w:spacing w:before="0" w:after="283"/>
              <w:rPr>
                <w:sz w:val="4"/>
                <w:szCs w:val="4"/>
              </w:rPr>
            </w:pPr>
            <w:r>
              <w:rPr>
                <w:sz w:val="4"/>
                <w:szCs w:val="4"/>
              </w:rPr>
            </w:r>
          </w:p>
        </w:tc>
      </w:tr>
      <w:tr>
        <w:trPr/>
        <w:tc>
          <w:tcPr>
            <w:tcW w:w="120" w:type="dxa"/>
            <w:tcBorders>
              <w:left w:val="single" w:sz="8" w:space="0" w:color="959595"/>
              <w:bottom w:val="single" w:sz="8" w:space="0" w:color="959595"/>
            </w:tcBorders>
            <w:shd w:fill="auto" w:val="clear"/>
            <w:tcMar>
              <w:top w:w="0" w:type="dxa"/>
              <w:bottom w:w="28" w:type="dxa"/>
            </w:tcMar>
            <w:vAlign w:val="center"/>
          </w:tcPr>
          <w:p>
            <w:pPr>
              <w:pStyle w:val="TableContents"/>
              <w:spacing w:before="0" w:after="283"/>
              <w:jc w:val="left"/>
              <w:rPr/>
            </w:pPr>
            <w:r>
              <w:rPr/>
              <w:t> </w:t>
            </w:r>
          </w:p>
        </w:tc>
        <w:tc>
          <w:tcPr>
            <w:tcW w:w="648" w:type="dxa"/>
            <w:tcBorders>
              <w:bottom w:val="single" w:sz="8" w:space="0" w:color="959595"/>
            </w:tcBorders>
            <w:shd w:fill="auto" w:val="clear"/>
            <w:tcMar>
              <w:top w:w="0" w:type="dxa"/>
              <w:left w:w="0" w:type="dxa"/>
              <w:bottom w:w="28" w:type="dxa"/>
            </w:tcMar>
            <w:vAlign w:val="center"/>
          </w:tcPr>
          <w:p>
            <w:pPr>
              <w:pStyle w:val="TableContents"/>
              <w:spacing w:before="0" w:after="283"/>
              <w:rPr>
                <w:sz w:val="4"/>
                <w:szCs w:val="4"/>
              </w:rPr>
            </w:pPr>
            <w:r>
              <w:rPr>
                <w:sz w:val="4"/>
                <w:szCs w:val="4"/>
              </w:rPr>
            </w:r>
          </w:p>
        </w:tc>
        <w:tc>
          <w:tcPr>
            <w:tcW w:w="1374" w:type="dxa"/>
            <w:tcBorders>
              <w:bottom w:val="single" w:sz="8" w:space="0" w:color="959595"/>
            </w:tcBorders>
            <w:shd w:fill="auto" w:val="clear"/>
            <w:tcMar>
              <w:top w:w="0" w:type="dxa"/>
              <w:left w:w="0" w:type="dxa"/>
              <w:bottom w:w="28" w:type="dxa"/>
            </w:tcMar>
            <w:vAlign w:val="center"/>
          </w:tcPr>
          <w:p>
            <w:pPr>
              <w:pStyle w:val="TableContents"/>
              <w:spacing w:before="0" w:after="283"/>
              <w:rPr/>
            </w:pPr>
            <w:r>
              <w:rPr/>
              <w:t> </w:t>
            </w:r>
          </w:p>
        </w:tc>
        <w:tc>
          <w:tcPr>
            <w:tcW w:w="718" w:type="dxa"/>
            <w:tcBorders>
              <w:bottom w:val="single" w:sz="8" w:space="0" w:color="959595"/>
            </w:tcBorders>
            <w:shd w:fill="auto" w:val="clear"/>
            <w:tcMar>
              <w:top w:w="0" w:type="dxa"/>
              <w:left w:w="0" w:type="dxa"/>
              <w:bottom w:w="28" w:type="dxa"/>
            </w:tcMar>
            <w:vAlign w:val="center"/>
          </w:tcPr>
          <w:p>
            <w:pPr>
              <w:pStyle w:val="TableContents"/>
              <w:spacing w:before="0" w:after="283"/>
              <w:rPr/>
            </w:pPr>
            <w:r>
              <w:rPr/>
              <w:t> </w:t>
            </w:r>
          </w:p>
        </w:tc>
        <w:tc>
          <w:tcPr>
            <w:tcW w:w="7223" w:type="dxa"/>
            <w:tcBorders>
              <w:bottom w:val="single" w:sz="8" w:space="0" w:color="959595"/>
            </w:tcBorders>
            <w:shd w:fill="auto" w:val="clear"/>
            <w:tcMar>
              <w:top w:w="0" w:type="dxa"/>
              <w:left w:w="0" w:type="dxa"/>
              <w:bottom w:w="28" w:type="dxa"/>
            </w:tcMar>
            <w:vAlign w:val="center"/>
          </w:tcPr>
          <w:p>
            <w:pPr>
              <w:pStyle w:val="TableContents"/>
              <w:spacing w:before="0" w:after="283"/>
              <w:rPr>
                <w:sz w:val="4"/>
                <w:szCs w:val="4"/>
              </w:rPr>
            </w:pPr>
            <w:r>
              <w:rPr>
                <w:sz w:val="4"/>
                <w:szCs w:val="4"/>
              </w:rPr>
            </w:r>
          </w:p>
        </w:tc>
        <w:tc>
          <w:tcPr>
            <w:tcW w:w="122" w:type="dxa"/>
            <w:tcBorders>
              <w:bottom w:val="single" w:sz="8" w:space="0" w:color="959595"/>
              <w:right w:val="single" w:sz="8" w:space="0" w:color="959595"/>
            </w:tcBorders>
            <w:shd w:fill="auto" w:val="clear"/>
            <w:tcMar>
              <w:top w:w="0" w:type="dxa"/>
              <w:left w:w="0" w:type="dxa"/>
              <w:bottom w:w="28" w:type="dxa"/>
              <w:right w:w="28" w:type="dxa"/>
            </w:tcMar>
            <w:vAlign w:val="center"/>
          </w:tcPr>
          <w:p>
            <w:pPr>
              <w:pStyle w:val="TableContents"/>
              <w:spacing w:before="0" w:after="283"/>
              <w:rPr>
                <w:sz w:val="4"/>
                <w:szCs w:val="4"/>
              </w:rPr>
            </w:pPr>
            <w:r>
              <w:rPr>
                <w:sz w:val="4"/>
                <w:szCs w:val="4"/>
              </w:rPr>
            </w:r>
          </w:p>
        </w:tc>
      </w:tr>
    </w:tbl>
    <w:p>
      <w:pPr>
        <w:pStyle w:val="TextBody"/>
        <w:spacing w:before="240" w:after="283"/>
        <w:jc w:val="left"/>
        <w:rPr>
          <w:rFonts w:ascii="Arial" w:hAnsi="Arial"/>
          <w:b/>
          <w:color w:val="00A1E0"/>
          <w:sz w:val="32"/>
        </w:rPr>
      </w:pPr>
      <w:bookmarkStart w:id="11" w:name="boarddirectors"/>
      <w:bookmarkEnd w:id="11"/>
      <w:r>
        <w:rPr>
          <w:rFonts w:ascii="Arial" w:hAnsi="Arial"/>
          <w:b/>
          <w:color w:val="00A1E0"/>
          <w:sz w:val="32"/>
        </w:rPr>
        <w:t>Board of Directors Nominees</w:t>
      </w:r>
    </w:p>
    <w:p>
      <w:pPr>
        <w:pStyle w:val="TextBody"/>
        <w:jc w:val="left"/>
        <w:rPr>
          <w:rFonts w:ascii="Arial" w:hAnsi="Arial"/>
          <w:sz w:val="28"/>
        </w:rPr>
      </w:pPr>
      <w:r>
        <w:rPr>
          <w:rFonts w:ascii="Arial" w:hAnsi="Arial"/>
          <w:sz w:val="28"/>
        </w:rPr>
        <w:t>Board Snapshot</w:t>
      </w:r>
    </w:p>
    <w:tbl>
      <w:tblPr>
        <w:tblW w:w="10590" w:type="dxa"/>
        <w:jc w:val="left"/>
        <w:tblInd w:w="0" w:type="dxa"/>
        <w:tblCellMar>
          <w:top w:w="0" w:type="dxa"/>
          <w:left w:w="0" w:type="dxa"/>
          <w:bottom w:w="0" w:type="dxa"/>
          <w:right w:w="0" w:type="dxa"/>
        </w:tblCellMar>
      </w:tblPr>
      <w:tblGrid>
        <w:gridCol w:w="120"/>
        <w:gridCol w:w="3358"/>
        <w:gridCol w:w="73"/>
        <w:gridCol w:w="3376"/>
        <w:gridCol w:w="73"/>
        <w:gridCol w:w="3470"/>
        <w:gridCol w:w="120"/>
      </w:tblGrid>
      <w:tr>
        <w:trPr/>
        <w:tc>
          <w:tcPr>
            <w:tcW w:w="120" w:type="dxa"/>
            <w:tcBorders/>
            <w:shd w:fill="ECF6FA" w:val="clear"/>
            <w:vAlign w:val="center"/>
          </w:tcPr>
          <w:p>
            <w:pPr>
              <w:pStyle w:val="TableContents"/>
              <w:spacing w:before="0" w:after="283"/>
              <w:jc w:val="left"/>
              <w:rPr/>
            </w:pPr>
            <w:r>
              <w:rPr/>
              <w:t>  </w:t>
            </w:r>
          </w:p>
        </w:tc>
        <w:tc>
          <w:tcPr>
            <w:tcW w:w="3358" w:type="dxa"/>
            <w:tcBorders/>
            <w:shd w:fill="ECF6FA" w:val="clear"/>
            <w:vAlign w:val="center"/>
          </w:tcPr>
          <w:p>
            <w:pPr>
              <w:pStyle w:val="TableContents"/>
              <w:spacing w:before="0" w:after="283"/>
              <w:rPr>
                <w:sz w:val="4"/>
                <w:szCs w:val="4"/>
              </w:rPr>
            </w:pPr>
            <w:r>
              <w:rPr>
                <w:sz w:val="4"/>
                <w:szCs w:val="4"/>
              </w:rPr>
            </w:r>
          </w:p>
        </w:tc>
        <w:tc>
          <w:tcPr>
            <w:tcW w:w="73" w:type="dxa"/>
            <w:tcBorders/>
            <w:shd w:fill="ECF6FA" w:val="clear"/>
            <w:vAlign w:val="center"/>
          </w:tcPr>
          <w:p>
            <w:pPr>
              <w:pStyle w:val="TableContents"/>
              <w:spacing w:before="0" w:after="283"/>
              <w:rPr>
                <w:sz w:val="4"/>
                <w:szCs w:val="4"/>
              </w:rPr>
            </w:pPr>
            <w:r>
              <w:rPr>
                <w:sz w:val="4"/>
                <w:szCs w:val="4"/>
              </w:rPr>
            </w:r>
          </w:p>
        </w:tc>
        <w:tc>
          <w:tcPr>
            <w:tcW w:w="3376" w:type="dxa"/>
            <w:tcBorders/>
            <w:shd w:fill="ECF6FA" w:val="clear"/>
            <w:vAlign w:val="center"/>
          </w:tcPr>
          <w:p>
            <w:pPr>
              <w:pStyle w:val="TableContents"/>
              <w:spacing w:before="0" w:after="283"/>
              <w:rPr>
                <w:sz w:val="4"/>
                <w:szCs w:val="4"/>
              </w:rPr>
            </w:pPr>
            <w:r>
              <w:rPr>
                <w:sz w:val="4"/>
                <w:szCs w:val="4"/>
              </w:rPr>
            </w:r>
          </w:p>
        </w:tc>
        <w:tc>
          <w:tcPr>
            <w:tcW w:w="73" w:type="dxa"/>
            <w:tcBorders/>
            <w:shd w:fill="ECF6FA" w:val="clear"/>
            <w:vAlign w:val="center"/>
          </w:tcPr>
          <w:p>
            <w:pPr>
              <w:pStyle w:val="TableContents"/>
              <w:spacing w:before="0" w:after="283"/>
              <w:rPr>
                <w:sz w:val="4"/>
                <w:szCs w:val="4"/>
              </w:rPr>
            </w:pPr>
            <w:r>
              <w:rPr>
                <w:sz w:val="4"/>
                <w:szCs w:val="4"/>
              </w:rPr>
            </w:r>
          </w:p>
        </w:tc>
        <w:tc>
          <w:tcPr>
            <w:tcW w:w="3470" w:type="dxa"/>
            <w:tcBorders/>
            <w:shd w:fill="ECF6FA" w:val="clear"/>
            <w:vAlign w:val="center"/>
          </w:tcPr>
          <w:p>
            <w:pPr>
              <w:pStyle w:val="TableContents"/>
              <w:spacing w:before="0" w:after="283"/>
              <w:rPr>
                <w:sz w:val="4"/>
                <w:szCs w:val="4"/>
              </w:rPr>
            </w:pPr>
            <w:r>
              <w:rPr>
                <w:sz w:val="4"/>
                <w:szCs w:val="4"/>
              </w:rPr>
            </w:r>
          </w:p>
        </w:tc>
        <w:tc>
          <w:tcPr>
            <w:tcW w:w="120" w:type="dxa"/>
            <w:tcBorders/>
            <w:shd w:fill="ECF6FA" w:val="clear"/>
            <w:vAlign w:val="center"/>
          </w:tcPr>
          <w:p>
            <w:pPr>
              <w:pStyle w:val="TableContents"/>
              <w:spacing w:before="0" w:after="283"/>
              <w:jc w:val="left"/>
              <w:rPr/>
            </w:pPr>
            <w:r>
              <w:rPr/>
              <w:t>  </w:t>
            </w:r>
          </w:p>
        </w:tc>
      </w:tr>
      <w:tr>
        <w:trPr/>
        <w:tc>
          <w:tcPr>
            <w:tcW w:w="120" w:type="dxa"/>
            <w:tcBorders/>
            <w:shd w:fill="ECF6FA" w:val="clear"/>
            <w:vAlign w:val="center"/>
          </w:tcPr>
          <w:p>
            <w:pPr>
              <w:pStyle w:val="TableContents"/>
              <w:spacing w:before="0" w:after="283"/>
              <w:jc w:val="left"/>
              <w:rPr/>
            </w:pPr>
            <w:r>
              <w:rPr/>
              <w:t> </w:t>
            </w:r>
          </w:p>
        </w:tc>
        <w:tc>
          <w:tcPr>
            <w:tcW w:w="3358" w:type="dxa"/>
            <w:tcBorders/>
            <w:shd w:fill="FFFFFF" w:val="clear"/>
            <w:vAlign w:val="center"/>
          </w:tcPr>
          <w:p>
            <w:pPr>
              <w:pStyle w:val="TableContents"/>
              <w:spacing w:before="0" w:after="0"/>
              <w:jc w:val="left"/>
              <w:rPr>
                <w:rFonts w:ascii="Arial" w:hAnsi="Arial"/>
                <w:color w:val="00A1E0"/>
                <w:sz w:val="20"/>
              </w:rPr>
            </w:pPr>
            <w:r>
              <w:rPr>
                <w:rFonts w:ascii="Arial" w:hAnsi="Arial"/>
                <w:b/>
                <w:color w:val="00A1E0"/>
                <w:sz w:val="20"/>
              </w:rPr>
              <w:t>INDEPENDENCE</w:t>
            </w:r>
            <w:r>
              <w:rPr>
                <w:rFonts w:ascii="Arial" w:hAnsi="Arial"/>
                <w:color w:val="00A1E0"/>
                <w:sz w:val="20"/>
              </w:rPr>
              <w:br/>
              <w:t> </w:t>
            </w:r>
          </w:p>
          <w:p>
            <w:pPr>
              <w:pStyle w:val="TableContents"/>
              <w:spacing w:before="0" w:after="0"/>
              <w:jc w:val="left"/>
              <w:rPr/>
            </w:pPr>
            <w:r>
              <w:rPr/>
              <w:drawing>
                <wp:inline distT="0" distB="0" distL="0" distR="0">
                  <wp:extent cx="1743075" cy="390525"/>
                  <wp:effectExtent l="0" t="0" r="0" b="0"/>
                  <wp:docPr id="48"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0" descr=""/>
                          <pic:cNvPicPr>
                            <a:picLocks noChangeAspect="1" noChangeArrowheads="1"/>
                          </pic:cNvPicPr>
                        </pic:nvPicPr>
                        <pic:blipFill>
                          <a:blip r:embed="rId41"/>
                          <a:srcRect l="-178" t="-795" r="-178" b="-795"/>
                          <a:stretch>
                            <a:fillRect/>
                          </a:stretch>
                        </pic:blipFill>
                        <pic:spPr bwMode="auto">
                          <a:xfrm>
                            <a:off x="0" y="0"/>
                            <a:ext cx="1743075" cy="390525"/>
                          </a:xfrm>
                          <a:prstGeom prst="rect">
                            <a:avLst/>
                          </a:prstGeom>
                          <a:ln w="635">
                            <a:solidFill>
                              <a:srgbClr val="000000"/>
                            </a:solidFill>
                          </a:ln>
                        </pic:spPr>
                      </pic:pic>
                    </a:graphicData>
                  </a:graphic>
                </wp:inline>
              </w:drawing>
            </w:r>
          </w:p>
        </w:tc>
        <w:tc>
          <w:tcPr>
            <w:tcW w:w="73" w:type="dxa"/>
            <w:tcBorders/>
            <w:shd w:fill="ECF6FA" w:val="clear"/>
            <w:vAlign w:val="center"/>
          </w:tcPr>
          <w:p>
            <w:pPr>
              <w:pStyle w:val="TableContents"/>
              <w:spacing w:before="0" w:after="283"/>
              <w:jc w:val="left"/>
              <w:rPr/>
            </w:pPr>
            <w:r>
              <w:rPr/>
              <w:t> </w:t>
            </w:r>
          </w:p>
        </w:tc>
        <w:tc>
          <w:tcPr>
            <w:tcW w:w="3376" w:type="dxa"/>
            <w:tcBorders/>
            <w:shd w:fill="FFFFFF" w:val="clear"/>
            <w:vAlign w:val="center"/>
          </w:tcPr>
          <w:p>
            <w:pPr>
              <w:pStyle w:val="TableContents"/>
              <w:spacing w:before="0" w:after="0"/>
              <w:jc w:val="left"/>
              <w:rPr>
                <w:rFonts w:ascii="Arial" w:hAnsi="Arial"/>
                <w:b/>
                <w:color w:val="00A1E0"/>
                <w:sz w:val="20"/>
              </w:rPr>
            </w:pPr>
            <w:r>
              <w:rPr>
                <w:rFonts w:ascii="Arial" w:hAnsi="Arial"/>
                <w:b/>
                <w:color w:val="00A1E0"/>
                <w:sz w:val="20"/>
              </w:rPr>
              <w:t>DIVERSITY (GENDER</w:t>
              <w:br/>
              <w:t>&amp; RACE)*</w:t>
            </w:r>
          </w:p>
          <w:p>
            <w:pPr>
              <w:pStyle w:val="TableContents"/>
              <w:spacing w:before="0" w:after="0"/>
              <w:jc w:val="left"/>
              <w:rPr/>
            </w:pPr>
            <w:r>
              <w:rPr/>
              <w:drawing>
                <wp:inline distT="0" distB="0" distL="0" distR="0">
                  <wp:extent cx="1752600" cy="514350"/>
                  <wp:effectExtent l="0" t="0" r="0" b="0"/>
                  <wp:docPr id="49"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1" descr=""/>
                          <pic:cNvPicPr>
                            <a:picLocks noChangeAspect="1" noChangeArrowheads="1"/>
                          </pic:cNvPicPr>
                        </pic:nvPicPr>
                        <pic:blipFill>
                          <a:blip r:embed="rId42"/>
                          <a:srcRect l="-178" t="-608" r="-178" b="-608"/>
                          <a:stretch>
                            <a:fillRect/>
                          </a:stretch>
                        </pic:blipFill>
                        <pic:spPr bwMode="auto">
                          <a:xfrm>
                            <a:off x="0" y="0"/>
                            <a:ext cx="1752600" cy="514350"/>
                          </a:xfrm>
                          <a:prstGeom prst="rect">
                            <a:avLst/>
                          </a:prstGeom>
                          <a:ln w="635">
                            <a:solidFill>
                              <a:srgbClr val="000000"/>
                            </a:solidFill>
                          </a:ln>
                        </pic:spPr>
                      </pic:pic>
                    </a:graphicData>
                  </a:graphic>
                </wp:inline>
              </w:drawing>
            </w:r>
          </w:p>
        </w:tc>
        <w:tc>
          <w:tcPr>
            <w:tcW w:w="73" w:type="dxa"/>
            <w:tcBorders/>
            <w:shd w:fill="ECF6FA" w:val="clear"/>
            <w:vAlign w:val="center"/>
          </w:tcPr>
          <w:p>
            <w:pPr>
              <w:pStyle w:val="TableContents"/>
              <w:spacing w:before="0" w:after="283"/>
              <w:jc w:val="left"/>
              <w:rPr/>
            </w:pPr>
            <w:r>
              <w:rPr/>
              <w:t> </w:t>
            </w:r>
          </w:p>
        </w:tc>
        <w:tc>
          <w:tcPr>
            <w:tcW w:w="3470" w:type="dxa"/>
            <w:tcBorders/>
            <w:shd w:fill="FFFFFF" w:val="clear"/>
            <w:vAlign w:val="center"/>
          </w:tcPr>
          <w:p>
            <w:pPr>
              <w:pStyle w:val="TableContents"/>
              <w:spacing w:before="0" w:after="0"/>
              <w:jc w:val="left"/>
              <w:rPr>
                <w:rFonts w:ascii="Arial" w:hAnsi="Arial"/>
                <w:b/>
                <w:color w:val="00A1E0"/>
                <w:sz w:val="20"/>
              </w:rPr>
            </w:pPr>
            <w:r>
              <w:rPr>
                <w:rFonts w:ascii="Arial" w:hAnsi="Arial"/>
                <w:b/>
                <w:color w:val="00A1E0"/>
                <w:sz w:val="20"/>
              </w:rPr>
              <w:t>INDEPENDENT DIRECTOR TENURE</w:t>
            </w:r>
          </w:p>
          <w:p>
            <w:pPr>
              <w:pStyle w:val="TableContents"/>
              <w:spacing w:before="0" w:after="0"/>
              <w:jc w:val="left"/>
              <w:rPr/>
            </w:pPr>
            <w:r>
              <w:rPr/>
              <w:drawing>
                <wp:inline distT="0" distB="0" distL="0" distR="0">
                  <wp:extent cx="1762125" cy="1752600"/>
                  <wp:effectExtent l="0" t="0" r="0" b="0"/>
                  <wp:docPr id="50"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2" descr=""/>
                          <pic:cNvPicPr>
                            <a:picLocks noChangeAspect="1" noChangeArrowheads="1"/>
                          </pic:cNvPicPr>
                        </pic:nvPicPr>
                        <pic:blipFill>
                          <a:blip r:embed="rId43"/>
                          <a:srcRect l="-178" t="-575" r="-178" b="-575"/>
                          <a:stretch>
                            <a:fillRect/>
                          </a:stretch>
                        </pic:blipFill>
                        <pic:spPr bwMode="auto">
                          <a:xfrm>
                            <a:off x="0" y="0"/>
                            <a:ext cx="1762125" cy="1752600"/>
                          </a:xfrm>
                          <a:prstGeom prst="rect">
                            <a:avLst/>
                          </a:prstGeom>
                          <a:ln w="635">
                            <a:solidFill>
                              <a:srgbClr val="000000"/>
                            </a:solidFill>
                          </a:ln>
                        </pic:spPr>
                      </pic:pic>
                    </a:graphicData>
                  </a:graphic>
                </wp:inline>
              </w:drawing>
            </w:r>
            <w:r>
              <w:rPr/>
              <w:t> </w:t>
            </w:r>
          </w:p>
        </w:tc>
        <w:tc>
          <w:tcPr>
            <w:tcW w:w="120" w:type="dxa"/>
            <w:tcBorders/>
            <w:shd w:fill="ECF6FA" w:val="clear"/>
            <w:vAlign w:val="center"/>
          </w:tcPr>
          <w:p>
            <w:pPr>
              <w:pStyle w:val="TableContents"/>
              <w:spacing w:before="0" w:after="283"/>
              <w:rPr>
                <w:sz w:val="4"/>
                <w:szCs w:val="4"/>
              </w:rPr>
            </w:pPr>
            <w:r>
              <w:rPr>
                <w:sz w:val="4"/>
                <w:szCs w:val="4"/>
              </w:rPr>
            </w:r>
          </w:p>
        </w:tc>
      </w:tr>
      <w:tr>
        <w:trPr/>
        <w:tc>
          <w:tcPr>
            <w:tcW w:w="120" w:type="dxa"/>
            <w:tcBorders/>
            <w:shd w:fill="ECF6FA" w:val="clear"/>
            <w:vAlign w:val="center"/>
          </w:tcPr>
          <w:p>
            <w:pPr>
              <w:pStyle w:val="TableContents"/>
              <w:spacing w:before="0" w:after="283"/>
              <w:rPr>
                <w:sz w:val="4"/>
                <w:szCs w:val="4"/>
              </w:rPr>
            </w:pPr>
            <w:r>
              <w:rPr>
                <w:sz w:val="4"/>
                <w:szCs w:val="4"/>
              </w:rPr>
            </w:r>
          </w:p>
        </w:tc>
        <w:tc>
          <w:tcPr>
            <w:tcW w:w="10350" w:type="dxa"/>
            <w:gridSpan w:val="5"/>
            <w:tcBorders/>
            <w:shd w:fill="ECF6FA" w:val="clear"/>
            <w:vAlign w:val="center"/>
          </w:tcPr>
          <w:p>
            <w:pPr>
              <w:pStyle w:val="TableContents"/>
              <w:spacing w:before="0" w:after="0"/>
              <w:jc w:val="center"/>
              <w:rPr/>
            </w:pPr>
            <w:r>
              <w:rPr/>
              <w:drawing>
                <wp:inline distT="0" distB="0" distL="0" distR="0">
                  <wp:extent cx="6572250" cy="4848225"/>
                  <wp:effectExtent l="0" t="0" r="0" b="0"/>
                  <wp:docPr id="51"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3" descr=""/>
                          <pic:cNvPicPr>
                            <a:picLocks noChangeAspect="1" noChangeArrowheads="1"/>
                          </pic:cNvPicPr>
                        </pic:nvPicPr>
                        <pic:blipFill>
                          <a:blip r:embed="rId44"/>
                          <a:srcRect l="-163" t="-228" r="-163" b="-228"/>
                          <a:stretch>
                            <a:fillRect/>
                          </a:stretch>
                        </pic:blipFill>
                        <pic:spPr bwMode="auto">
                          <a:xfrm>
                            <a:off x="0" y="0"/>
                            <a:ext cx="6572250" cy="4848225"/>
                          </a:xfrm>
                          <a:prstGeom prst="rect">
                            <a:avLst/>
                          </a:prstGeom>
                          <a:ln w="635">
                            <a:solidFill>
                              <a:srgbClr val="000000"/>
                            </a:solidFill>
                          </a:ln>
                        </pic:spPr>
                      </pic:pic>
                    </a:graphicData>
                  </a:graphic>
                </wp:inline>
              </w:drawing>
            </w:r>
            <w:r>
              <w:rPr/>
              <w:t xml:space="preserve"> </w:t>
            </w:r>
          </w:p>
          <w:p>
            <w:pPr>
              <w:pStyle w:val="TableContents"/>
              <w:spacing w:before="0" w:after="0"/>
              <w:ind w:left="0" w:right="0" w:hanging="0"/>
              <w:jc w:val="left"/>
              <w:rPr>
                <w:rFonts w:ascii="Arial" w:hAnsi="Arial"/>
                <w:color w:val="ECF6FA"/>
                <w:sz w:val="2"/>
              </w:rPr>
            </w:pPr>
            <w:r>
              <w:rPr>
                <w:rFonts w:ascii="Arial" w:hAnsi="Arial"/>
                <w:color w:val="ECF6FA"/>
                <w:sz w:val="2"/>
              </w:rPr>
              <w:t>Independent: 90% Independent - 9 Non-independent - 1 Diverse: 50% Racial/Ethnic Diversity - 40% Female - 20% Average Tenure: 9.7 years &lt; 6 years - 2 6-10 years - 4 &gt; 10 years - 4 Brian L. Roberts, 63 Chairman of the Board, President and CEO Director Since: March 1988 Committee Membership: None Kenneth J. Bacon, 68 Independent Director Director Since: November 2002 Committee Membership: Governance and Corporate Responsibility Committee Thomas J. Baltimore, Jr., 59 Independent Director Director Since: March 2023 Madeline S. Bell, 61 Independent Director Director Since: February 2016 Committee Membership: Governance and Corporate Responsibility Committee Edward D. Breen, 67 Lead Independent Director Director Since: February 2014 Committee Membership: Compensation and Human Capital Committee Gerald L. Hassell, 71 Independent Director Director Since: May 2008 Committee Membership: Compensation and Human Capital Committee Jeffrey A. Honickman, 66 Independent Director Director Since: December 2005 Committee Membership: Audit** and Governance and Corporate Responsibility Committees Maritza G. Montiel, 71 Independent Director Director Since: June 2018 Committee Membership: Audit Committee** Asuka Nakahara, 67 Independent Director Director Since: February 2017 Committee Membership: Audit Committee David C. Novak, 70 Independent Director Director Since: December 2016 Committee Membership: Compensation and Human Capital Committee Non-independent – 1 Non-Diverse – 5 Diverse – 5 Independent – 9 Board Nominees</w:t>
            </w:r>
          </w:p>
        </w:tc>
        <w:tc>
          <w:tcPr>
            <w:tcW w:w="120" w:type="dxa"/>
            <w:tcBorders/>
            <w:shd w:fill="ECF6FA" w:val="clear"/>
            <w:vAlign w:val="center"/>
          </w:tcPr>
          <w:p>
            <w:pPr>
              <w:pStyle w:val="TableContents"/>
              <w:spacing w:before="0" w:after="283"/>
              <w:rPr>
                <w:sz w:val="4"/>
                <w:szCs w:val="4"/>
              </w:rPr>
            </w:pPr>
            <w:r>
              <w:rPr>
                <w:sz w:val="4"/>
                <w:szCs w:val="4"/>
              </w:rPr>
            </w:r>
          </w:p>
        </w:tc>
      </w:tr>
    </w:tbl>
    <w:tbl>
      <w:tblPr>
        <w:tblW w:w="9850" w:type="dxa"/>
        <w:jc w:val="left"/>
        <w:tblInd w:w="0" w:type="dxa"/>
        <w:tblCellMar>
          <w:top w:w="0" w:type="dxa"/>
          <w:left w:w="0" w:type="dxa"/>
          <w:bottom w:w="0" w:type="dxa"/>
          <w:right w:w="0" w:type="dxa"/>
        </w:tblCellMar>
      </w:tblPr>
      <w:tblGrid>
        <w:gridCol w:w="300"/>
        <w:gridCol w:w="185"/>
        <w:gridCol w:w="9065"/>
        <w:gridCol w:w="300"/>
      </w:tblGrid>
      <w:tr>
        <w:trPr/>
        <w:tc>
          <w:tcPr>
            <w:tcW w:w="300" w:type="dxa"/>
            <w:tcBorders/>
            <w:shd w:fill="ECF6FA" w:val="clear"/>
            <w:vAlign w:val="center"/>
          </w:tcPr>
          <w:p>
            <w:pPr>
              <w:pStyle w:val="TableContents"/>
              <w:spacing w:before="0" w:after="283"/>
              <w:rPr>
                <w:sz w:val="4"/>
                <w:szCs w:val="4"/>
              </w:rPr>
            </w:pPr>
            <w:r>
              <w:rPr>
                <w:sz w:val="4"/>
                <w:szCs w:val="4"/>
              </w:rPr>
            </w:r>
          </w:p>
        </w:tc>
        <w:tc>
          <w:tcPr>
            <w:tcW w:w="185" w:type="dxa"/>
            <w:tcBorders/>
            <w:shd w:fill="ECF6FA" w:val="clear"/>
            <w:vAlign w:val="center"/>
          </w:tcPr>
          <w:p>
            <w:pPr>
              <w:pStyle w:val="TableContents"/>
              <w:spacing w:before="0" w:after="283"/>
              <w:jc w:val="left"/>
              <w:rPr>
                <w:rFonts w:ascii="Arial" w:hAnsi="Arial"/>
                <w:sz w:val="15"/>
              </w:rPr>
            </w:pPr>
            <w:r>
              <w:rPr>
                <w:rFonts w:ascii="Arial" w:hAnsi="Arial"/>
                <w:sz w:val="15"/>
              </w:rPr>
              <w:t xml:space="preserve">* </w:t>
            </w:r>
          </w:p>
        </w:tc>
        <w:tc>
          <w:tcPr>
            <w:tcW w:w="9065" w:type="dxa"/>
            <w:tcBorders/>
            <w:shd w:fill="ECF6FA" w:val="clear"/>
            <w:vAlign w:val="center"/>
          </w:tcPr>
          <w:p>
            <w:pPr>
              <w:pStyle w:val="TableContents"/>
              <w:spacing w:before="0" w:after="283"/>
              <w:jc w:val="left"/>
              <w:rPr/>
            </w:pPr>
            <w:r>
              <w:rPr>
                <w:rFonts w:ascii="Arial" w:hAnsi="Arial"/>
                <w:sz w:val="15"/>
              </w:rPr>
              <w:t xml:space="preserve">See “— Director Skills, Experience and Diversity” below and Nasdaq Board Diversity Matrix in </w:t>
            </w:r>
            <w:r>
              <w:rPr>
                <w:rFonts w:ascii="Arial" w:hAnsi="Arial"/>
                <w:sz w:val="15"/>
                <w:u w:val="single"/>
              </w:rPr>
              <w:t>Appendix B</w:t>
            </w:r>
            <w:r>
              <w:rPr/>
              <w:t xml:space="preserve"> </w:t>
            </w:r>
            <w:r>
              <w:rPr>
                <w:rFonts w:ascii="Arial" w:hAnsi="Arial"/>
                <w:sz w:val="15"/>
              </w:rPr>
              <w:t>for additional information.</w:t>
            </w:r>
          </w:p>
        </w:tc>
        <w:tc>
          <w:tcPr>
            <w:tcW w:w="300" w:type="dxa"/>
            <w:tcBorders/>
            <w:shd w:fill="ECF6FA" w:val="clear"/>
            <w:vAlign w:val="center"/>
          </w:tcPr>
          <w:p>
            <w:pPr>
              <w:pStyle w:val="TableContents"/>
              <w:spacing w:before="0" w:after="283"/>
              <w:jc w:val="left"/>
              <w:rPr/>
            </w:pPr>
            <w:r>
              <w:rPr/>
              <w:t>     </w:t>
            </w:r>
          </w:p>
        </w:tc>
      </w:tr>
      <w:tr>
        <w:trPr/>
        <w:tc>
          <w:tcPr>
            <w:tcW w:w="300" w:type="dxa"/>
            <w:tcBorders/>
            <w:shd w:fill="ECF6FA" w:val="clear"/>
            <w:vAlign w:val="center"/>
          </w:tcPr>
          <w:p>
            <w:pPr>
              <w:pStyle w:val="TableContents"/>
              <w:spacing w:before="0" w:after="283"/>
              <w:jc w:val="left"/>
              <w:rPr/>
            </w:pPr>
            <w:r>
              <w:rPr/>
              <w:t>     </w:t>
            </w:r>
          </w:p>
        </w:tc>
        <w:tc>
          <w:tcPr>
            <w:tcW w:w="185" w:type="dxa"/>
            <w:tcBorders/>
            <w:shd w:fill="ECF6FA" w:val="clear"/>
            <w:vAlign w:val="center"/>
          </w:tcPr>
          <w:p>
            <w:pPr>
              <w:pStyle w:val="TableContents"/>
              <w:spacing w:before="0" w:after="283"/>
              <w:jc w:val="left"/>
              <w:rPr>
                <w:rFonts w:ascii="Arial" w:hAnsi="Arial"/>
                <w:sz w:val="15"/>
              </w:rPr>
            </w:pPr>
            <w:r>
              <w:rPr>
                <w:rFonts w:ascii="Arial" w:hAnsi="Arial"/>
                <w:sz w:val="15"/>
              </w:rPr>
              <w:t xml:space="preserve">** </w:t>
            </w:r>
          </w:p>
        </w:tc>
        <w:tc>
          <w:tcPr>
            <w:tcW w:w="9065" w:type="dxa"/>
            <w:tcBorders/>
            <w:shd w:fill="ECF6FA" w:val="clear"/>
            <w:vAlign w:val="center"/>
          </w:tcPr>
          <w:p>
            <w:pPr>
              <w:pStyle w:val="TableContents"/>
              <w:spacing w:before="0" w:after="283"/>
              <w:jc w:val="left"/>
              <w:rPr>
                <w:rFonts w:ascii="Arial" w:hAnsi="Arial"/>
                <w:sz w:val="15"/>
              </w:rPr>
            </w:pPr>
            <w:r>
              <w:rPr>
                <w:rFonts w:ascii="Arial" w:hAnsi="Arial"/>
                <w:sz w:val="15"/>
              </w:rPr>
              <w:t>Audit Committee Financial Expert</w:t>
            </w:r>
          </w:p>
        </w:tc>
        <w:tc>
          <w:tcPr>
            <w:tcW w:w="300" w:type="dxa"/>
            <w:tcBorders/>
            <w:shd w:fill="ECF6FA" w:val="clear"/>
            <w:vAlign w:val="center"/>
          </w:tcPr>
          <w:p>
            <w:pPr>
              <w:pStyle w:val="TableContents"/>
              <w:spacing w:before="0" w:after="283"/>
              <w:jc w:val="left"/>
              <w:rPr/>
            </w:pPr>
            <w:r>
              <w:rPr/>
              <w:t>     </w:t>
            </w:r>
          </w:p>
        </w:tc>
      </w:tr>
    </w:tbl>
    <w:p>
      <w:pPr>
        <w:pStyle w:val="TextBody"/>
        <w:spacing w:before="0" w:after="0"/>
        <w:rPr/>
      </w:pPr>
      <w:r>
        <w:rPr/>
      </w:r>
    </w:p>
    <w:tbl>
      <w:tblPr>
        <w:tblW w:w="2095" w:type="dxa"/>
        <w:jc w:val="left"/>
        <w:tblInd w:w="0" w:type="dxa"/>
        <w:tblCellMar>
          <w:top w:w="0" w:type="dxa"/>
          <w:left w:w="0" w:type="dxa"/>
          <w:bottom w:w="0" w:type="dxa"/>
          <w:right w:w="0" w:type="dxa"/>
        </w:tblCellMar>
      </w:tblPr>
      <w:tblGrid>
        <w:gridCol w:w="1895"/>
        <w:gridCol w:w="200"/>
      </w:tblGrid>
      <w:tr>
        <w:trPr/>
        <w:tc>
          <w:tcPr>
            <w:tcW w:w="1895" w:type="dxa"/>
            <w:tcBorders/>
            <w:shd w:fill="auto" w:val="clear"/>
            <w:vAlign w:val="center"/>
          </w:tcPr>
          <w:p>
            <w:pPr>
              <w:pStyle w:val="TableContents"/>
              <w:spacing w:before="0" w:after="283"/>
              <w:jc w:val="right"/>
              <w:rPr>
                <w:rFonts w:ascii="Arial" w:hAnsi="Arial"/>
                <w:sz w:val="15"/>
              </w:rPr>
            </w:pPr>
            <w:r>
              <w:rPr>
                <w:rFonts w:ascii="Arial" w:hAnsi="Arial"/>
                <w:sz w:val="15"/>
              </w:rPr>
              <w:t>2023 Proxy Statement       </w:t>
            </w:r>
          </w:p>
        </w:tc>
        <w:tc>
          <w:tcPr>
            <w:tcW w:w="200" w:type="dxa"/>
            <w:tcBorders/>
            <w:shd w:fill="auto" w:val="clear"/>
            <w:vAlign w:val="center"/>
          </w:tcPr>
          <w:p>
            <w:pPr>
              <w:pStyle w:val="TableContents"/>
              <w:spacing w:before="0" w:after="283"/>
              <w:jc w:val="right"/>
              <w:rPr/>
            </w:pPr>
            <w:r>
              <w:rPr>
                <w:rStyle w:val="StrongEmphasis"/>
                <w:rFonts w:ascii="Arial" w:hAnsi="Arial"/>
                <w:sz w:val="15"/>
              </w:rPr>
              <w:t>13</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p>
      <w:pPr>
        <w:pStyle w:val="TextBody"/>
        <w:jc w:val="left"/>
        <w:rPr>
          <w:rFonts w:ascii="Arial" w:hAnsi="Arial"/>
          <w:sz w:val="28"/>
        </w:rPr>
      </w:pPr>
      <w:r>
        <w:rPr>
          <w:rFonts w:ascii="Arial" w:hAnsi="Arial"/>
          <w:sz w:val="28"/>
        </w:rPr>
        <w:t>Director Skills, Experience and Diversity</w:t>
      </w:r>
    </w:p>
    <w:p>
      <w:pPr>
        <w:pStyle w:val="TextBody"/>
        <w:jc w:val="left"/>
        <w:rPr>
          <w:rFonts w:ascii="Arial" w:hAnsi="Arial"/>
          <w:sz w:val="20"/>
        </w:rPr>
      </w:pPr>
      <w:r>
        <w:rPr>
          <w:rFonts w:ascii="Arial" w:hAnsi="Arial"/>
          <w:sz w:val="20"/>
        </w:rPr>
        <w:t>As baseline director qualifications, our Board seeks, and each of our directors possesses, key attributes that we deem critical in being a director, including strong and effective decision-making, communication and leadership skills; high ethical standards, integrity and values; and a commitment to representing the long-term interests of our shareholders. Our Board also strives to balance the need to have directors with a diversity of skills, backgrounds, experiences, perspectives and viewpoints, areas of expertise and knowledge, while including gender and racial and ethnic representation.</w:t>
      </w:r>
    </w:p>
    <w:p>
      <w:pPr>
        <w:pStyle w:val="TextBody"/>
        <w:jc w:val="left"/>
        <w:rPr>
          <w:rFonts w:ascii="Arial" w:hAnsi="Arial"/>
          <w:sz w:val="20"/>
        </w:rPr>
      </w:pPr>
      <w:r>
        <w:rPr>
          <w:rFonts w:ascii="Arial" w:hAnsi="Arial"/>
          <w:sz w:val="20"/>
        </w:rPr>
        <w:t>Our Board and each of its committees assess their effectiveness in this regard as part of their annual self-assessment which, among other things, evaluates the overall composition of our Board, including the diversity of skills and backgrounds of our directors. Our GCR Committee focuses on certain specific director qualifications and skills, including those highlighted below, to select directors that bring to the Board a diversity of experience, qualifications, skills, viewpoints and perspectives to oversee and address the current issues facing our company. Our GCR Committee considers these qualifications, recognizes the value of diversity of backgrounds and experiences among its membership and is committed to diversity on our Board as it seeks to identify and evaluate potential new directors. In evaluating current directors for renomination to the Board or reappointment to Board committees, the GCR Committee also assesses the director’s performance, as well as the current challenges and needs of the Board and each committee.</w:t>
      </w:r>
    </w:p>
    <w:p>
      <w:pPr>
        <w:pStyle w:val="TextBody"/>
        <w:jc w:val="left"/>
        <w:rPr>
          <w:rFonts w:ascii="Arial" w:hAnsi="Arial"/>
          <w:sz w:val="20"/>
        </w:rPr>
      </w:pPr>
      <w:r>
        <w:rPr>
          <w:rFonts w:ascii="Arial" w:hAnsi="Arial"/>
          <w:sz w:val="20"/>
        </w:rPr>
        <w:t>The GCR Committee also considers each director’s ability to dedicate sufficient time, energy and attention to the fulfillment of his or her duties when it nominates directors each year. In accordance with our corporate governance guidelines, an independent director who is a chief executive officer of a public company may serve on the boards of no more than two other public companies in addition to our Board, while all other independent directors may serve on up to four public company boards in total. The Board also considers directors’ other obligations and commitments, including leadership positions the director may hold on other boards, in assessing directors’ ability to dedicate sufficient time to our Board. In renominating directors for election at our 2023 annual meeting, the GCR Committee and Board have determined that each of our directors is currently in compliance with our corporate governance guidelines and has sufficient time, energy and attention to serve on our Board.</w:t>
      </w:r>
    </w:p>
    <w:p>
      <w:pPr>
        <w:pStyle w:val="TextBody"/>
        <w:spacing w:before="0" w:after="0"/>
        <w:jc w:val="center"/>
        <w:rPr/>
      </w:pPr>
      <w:r>
        <w:rPr/>
        <w:drawing>
          <wp:inline distT="0" distB="0" distL="0" distR="0">
            <wp:extent cx="6858000" cy="13858875"/>
            <wp:effectExtent l="0" t="0" r="0" b="0"/>
            <wp:docPr id="52"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4" descr=""/>
                    <pic:cNvPicPr>
                      <a:picLocks noChangeAspect="1" noChangeArrowheads="1"/>
                    </pic:cNvPicPr>
                  </pic:nvPicPr>
                  <pic:blipFill>
                    <a:blip r:embed="rId45"/>
                    <a:srcRect l="-49" t="-72" r="-49" b="-72"/>
                    <a:stretch>
                      <a:fillRect/>
                    </a:stretch>
                  </pic:blipFill>
                  <pic:spPr bwMode="auto">
                    <a:xfrm>
                      <a:off x="0" y="0"/>
                      <a:ext cx="6858000" cy="13858875"/>
                    </a:xfrm>
                    <a:prstGeom prst="rect">
                      <a:avLst/>
                    </a:prstGeom>
                    <a:ln w="635">
                      <a:solidFill>
                        <a:srgbClr val="000000"/>
                      </a:solidFill>
                    </a:ln>
                  </pic:spPr>
                </pic:pic>
              </a:graphicData>
            </a:graphic>
          </wp:inline>
        </w:drawing>
      </w:r>
    </w:p>
    <w:p>
      <w:pPr>
        <w:pStyle w:val="TextBody"/>
        <w:ind w:left="0" w:right="0" w:hanging="0"/>
        <w:jc w:val="left"/>
        <w:rPr>
          <w:rFonts w:ascii="Arial" w:hAnsi="Arial"/>
          <w:color w:val="FFFFFF"/>
          <w:sz w:val="2"/>
        </w:rPr>
      </w:pPr>
      <w:r>
        <w:rPr>
          <w:rFonts w:ascii="Arial" w:hAnsi="Arial"/>
          <w:color w:val="FFFFFF"/>
          <w:sz w:val="2"/>
        </w:rPr>
        <w:t>KENNETH J. BACON THOMAS J. BALTIMORE, JR. MADELINE S. BELL EDWARD D. BREEN GERALD L. HASSELL JEFFREY A. HONICKMAN MARITZA G. MONTIEL ASUKA NAKAHARA DAVID C. NOVAK BRIAN L. ROBERTS Executive Leadership Relevant Industry Experience Consumer Products/Customer-Oriented Technology Financial/Accounting Risk Management Oversight International Government Affairs Human Capital Management Non-Profit/Educational/Philanthropic Gender* Race/Ethnicity* M M F M M M F M M M B B W W W W H A W W</w:t>
      </w:r>
    </w:p>
    <w:p>
      <w:pPr>
        <w:pStyle w:val="TextBody"/>
        <w:jc w:val="center"/>
        <w:rPr>
          <w:rFonts w:ascii="Arial" w:hAnsi="Arial"/>
          <w:b w:val="false"/>
          <w:i w:val="false"/>
          <w:caps w:val="false"/>
          <w:smallCaps w:val="false"/>
          <w:color w:val="FFFFFF"/>
          <w:sz w:val="2"/>
        </w:rPr>
      </w:pPr>
      <w:r>
        <w:rPr>
          <w:rFonts w:ascii="Arial" w:hAnsi="Arial"/>
          <w:b w:val="false"/>
          <w:i w:val="false"/>
          <w:caps w:val="false"/>
          <w:smallCaps w:val="false"/>
          <w:color w:val="FFFFFF"/>
          <w:sz w:val="2"/>
        </w:rPr>
        <w:t>Executive Leadership Relevant Industry Experience Consumer Products/Customer-Oriented Technology Financial/Accounting Risk Management Oversight International Government Affairs Human Capital Management Non-Profit/Educational/Philanthropic Gender* Race/Ethnicity*</w:t>
      </w:r>
    </w:p>
    <w:tbl>
      <w:tblPr>
        <w:tblW w:w="8380" w:type="dxa"/>
        <w:jc w:val="center"/>
        <w:tblInd w:w="0" w:type="dxa"/>
        <w:tblCellMar>
          <w:top w:w="0" w:type="dxa"/>
          <w:left w:w="0" w:type="dxa"/>
          <w:bottom w:w="0" w:type="dxa"/>
          <w:right w:w="0" w:type="dxa"/>
        </w:tblCellMar>
      </w:tblPr>
      <w:tblGrid>
        <w:gridCol w:w="125"/>
        <w:gridCol w:w="8255"/>
      </w:tblGrid>
      <w:tr>
        <w:trPr/>
        <w:tc>
          <w:tcPr>
            <w:tcW w:w="125" w:type="dxa"/>
            <w:tcBorders/>
            <w:shd w:fill="auto" w:val="clear"/>
            <w:vAlign w:val="center"/>
          </w:tcPr>
          <w:p>
            <w:pPr>
              <w:pStyle w:val="TableContents"/>
              <w:spacing w:before="0" w:after="283"/>
              <w:jc w:val="left"/>
              <w:rPr>
                <w:rFonts w:ascii="Arial" w:hAnsi="Arial"/>
                <w:sz w:val="15"/>
              </w:rPr>
            </w:pPr>
            <w:r>
              <w:rPr>
                <w:rFonts w:ascii="Arial" w:hAnsi="Arial"/>
                <w:sz w:val="15"/>
              </w:rPr>
              <w:t xml:space="preserve">* </w:t>
            </w:r>
          </w:p>
        </w:tc>
        <w:tc>
          <w:tcPr>
            <w:tcW w:w="8255" w:type="dxa"/>
            <w:tcBorders/>
            <w:shd w:fill="auto" w:val="clear"/>
            <w:vAlign w:val="center"/>
          </w:tcPr>
          <w:p>
            <w:pPr>
              <w:pStyle w:val="TableContents"/>
              <w:spacing w:before="0" w:after="283"/>
              <w:jc w:val="left"/>
              <w:rPr>
                <w:rFonts w:ascii="Arial" w:hAnsi="Arial"/>
                <w:sz w:val="15"/>
              </w:rPr>
            </w:pPr>
            <w:r>
              <w:rPr>
                <w:rFonts w:ascii="Arial" w:hAnsi="Arial"/>
                <w:sz w:val="15"/>
              </w:rPr>
              <w:t>F – Female; M – Male; A – Asian or Pacific Islander; B – Black or African American; H – Hispanic/Latino/a/e; W – White.</w:t>
              <w:br/>
              <w:t xml:space="preserve">See also Nasdaq Board Diversity Matrix in </w:t>
            </w:r>
            <w:r>
              <w:rPr>
                <w:rFonts w:ascii="Arial" w:hAnsi="Arial"/>
                <w:sz w:val="15"/>
                <w:u w:val="single"/>
              </w:rPr>
              <w:t>Appendix B</w:t>
            </w:r>
            <w:r>
              <w:rPr>
                <w:rFonts w:ascii="Arial" w:hAnsi="Arial"/>
                <w:sz w:val="15"/>
              </w:rPr>
              <w:t>.</w:t>
            </w:r>
          </w:p>
        </w:tc>
      </w:tr>
    </w:tbl>
    <w:p>
      <w:pPr>
        <w:pStyle w:val="TextBody"/>
        <w:spacing w:before="0" w:after="0"/>
        <w:rPr/>
      </w:pPr>
      <w:r>
        <w:rPr/>
      </w:r>
    </w:p>
    <w:tbl>
      <w:tblPr>
        <w:tblW w:w="200" w:type="dxa"/>
        <w:jc w:val="left"/>
        <w:tblInd w:w="0" w:type="dxa"/>
        <w:tblCellMar>
          <w:top w:w="0" w:type="dxa"/>
          <w:left w:w="0" w:type="dxa"/>
          <w:bottom w:w="0" w:type="dxa"/>
          <w:right w:w="0" w:type="dxa"/>
        </w:tblCellMar>
      </w:tblPr>
      <w:tblGrid>
        <w:gridCol w:w="200"/>
      </w:tblGrid>
      <w:tr>
        <w:trPr/>
        <w:tc>
          <w:tcPr>
            <w:tcW w:w="200" w:type="dxa"/>
            <w:tcBorders/>
            <w:shd w:fill="auto" w:val="clear"/>
            <w:vAlign w:val="center"/>
          </w:tcPr>
          <w:p>
            <w:pPr>
              <w:pStyle w:val="TableContents"/>
              <w:spacing w:before="0" w:after="283"/>
              <w:jc w:val="left"/>
              <w:rPr/>
            </w:pPr>
            <w:r>
              <w:rPr>
                <w:rStyle w:val="StrongEmphasis"/>
                <w:rFonts w:ascii="Arial" w:hAnsi="Arial"/>
                <w:sz w:val="15"/>
              </w:rPr>
              <w:t>14</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p>
      <w:pPr>
        <w:pStyle w:val="TextBody"/>
        <w:jc w:val="left"/>
        <w:rPr>
          <w:rFonts w:ascii="Arial" w:hAnsi="Arial"/>
          <w:sz w:val="28"/>
        </w:rPr>
      </w:pPr>
      <w:r>
        <w:rPr>
          <w:rFonts w:ascii="Arial" w:hAnsi="Arial"/>
          <w:sz w:val="28"/>
        </w:rPr>
        <w:t>Director Nominee Biographies</w:t>
      </w:r>
    </w:p>
    <w:tbl>
      <w:tblPr>
        <w:tblW w:w="4040" w:type="dxa"/>
        <w:jc w:val="left"/>
        <w:tblInd w:w="0" w:type="dxa"/>
        <w:tblCellMar>
          <w:top w:w="0" w:type="dxa"/>
          <w:left w:w="0" w:type="dxa"/>
          <w:bottom w:w="100" w:type="dxa"/>
          <w:right w:w="0" w:type="dxa"/>
        </w:tblCellMar>
      </w:tblPr>
      <w:tblGrid>
        <w:gridCol w:w="2480"/>
        <w:gridCol w:w="1560"/>
      </w:tblGrid>
      <w:tr>
        <w:trPr/>
        <w:tc>
          <w:tcPr>
            <w:tcW w:w="2480" w:type="dxa"/>
            <w:tcBorders>
              <w:bottom w:val="single" w:sz="8" w:space="0" w:color="000000"/>
            </w:tcBorders>
            <w:shd w:fill="auto" w:val="clear"/>
            <w:vAlign w:val="center"/>
          </w:tcPr>
          <w:p>
            <w:pPr>
              <w:pStyle w:val="TableContents"/>
              <w:spacing w:before="0" w:after="0"/>
              <w:jc w:val="left"/>
              <w:rPr/>
            </w:pPr>
            <w:r>
              <w:rPr>
                <w:rStyle w:val="StrongEmphasis"/>
                <w:rFonts w:ascii="Arial" w:hAnsi="Arial"/>
                <w:sz w:val="24"/>
              </w:rPr>
              <w:t>Kenneth J. Bacon</w:t>
            </w:r>
          </w:p>
          <w:p>
            <w:pPr>
              <w:pStyle w:val="TableContents"/>
              <w:spacing w:before="0" w:after="0"/>
              <w:jc w:val="left"/>
              <w:rPr/>
            </w:pPr>
            <w:r>
              <w:rPr>
                <w:rStyle w:val="StrongEmphasis"/>
                <w:rFonts w:ascii="Arial" w:hAnsi="Arial"/>
                <w:color w:val="00A1E0"/>
                <w:sz w:val="15"/>
              </w:rPr>
              <w:t>INDEPENDENT</w:t>
            </w:r>
          </w:p>
          <w:p>
            <w:pPr>
              <w:pStyle w:val="TableContents"/>
              <w:spacing w:before="0" w:after="0"/>
              <w:jc w:val="left"/>
              <w:rPr>
                <w:rFonts w:ascii="Arial" w:hAnsi="Arial"/>
                <w:sz w:val="20"/>
              </w:rPr>
            </w:pPr>
            <w:r>
              <w:rPr>
                <w:rFonts w:ascii="Arial" w:hAnsi="Arial"/>
                <w:sz w:val="20"/>
              </w:rPr>
              <w:t>Partner at RailField Partners</w:t>
            </w:r>
          </w:p>
        </w:tc>
        <w:tc>
          <w:tcPr>
            <w:tcW w:w="1560" w:type="dxa"/>
            <w:vMerge w:val="restart"/>
            <w:tcBorders/>
            <w:shd w:fill="auto" w:val="clear"/>
            <w:tcMar>
              <w:bottom w:w="0" w:type="dxa"/>
            </w:tcMar>
            <w:vAlign w:val="center"/>
          </w:tcPr>
          <w:p>
            <w:pPr>
              <w:pStyle w:val="TableContents"/>
              <w:spacing w:before="0" w:after="283"/>
              <w:jc w:val="left"/>
              <w:rPr/>
            </w:pPr>
            <w:r>
              <w:rPr/>
              <w:drawing>
                <wp:inline distT="0" distB="0" distL="0" distR="0">
                  <wp:extent cx="990600" cy="981075"/>
                  <wp:effectExtent l="0" t="0" r="0" b="0"/>
                  <wp:docPr id="53"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5" descr=""/>
                          <pic:cNvPicPr>
                            <a:picLocks noChangeAspect="1" noChangeArrowheads="1"/>
                          </pic:cNvPicPr>
                        </pic:nvPicPr>
                        <pic:blipFill>
                          <a:blip r:embed="rId46"/>
                          <a:srcRect l="-1033" t="-1027" r="-1033" b="-1027"/>
                          <a:stretch>
                            <a:fillRect/>
                          </a:stretch>
                        </pic:blipFill>
                        <pic:spPr bwMode="auto">
                          <a:xfrm>
                            <a:off x="0" y="0"/>
                            <a:ext cx="990600" cy="981075"/>
                          </a:xfrm>
                          <a:prstGeom prst="rect">
                            <a:avLst/>
                          </a:prstGeom>
                          <a:ln w="635">
                            <a:solidFill>
                              <a:srgbClr val="000000"/>
                            </a:solidFill>
                          </a:ln>
                        </pic:spPr>
                      </pic:pic>
                    </a:graphicData>
                  </a:graphic>
                </wp:inline>
              </w:drawing>
            </w:r>
          </w:p>
        </w:tc>
      </w:tr>
      <w:tr>
        <w:trPr/>
        <w:tc>
          <w:tcPr>
            <w:tcW w:w="2480" w:type="dxa"/>
            <w:tcBorders/>
            <w:shd w:fill="auto" w:val="clear"/>
            <w:tcMar>
              <w:bottom w:w="0" w:type="dxa"/>
            </w:tcMar>
            <w:vAlign w:val="center"/>
          </w:tcPr>
          <w:p>
            <w:pPr>
              <w:pStyle w:val="TableContents"/>
              <w:spacing w:before="0" w:after="283"/>
              <w:jc w:val="left"/>
              <w:rPr/>
            </w:pPr>
            <w:r>
              <w:rPr/>
              <w:t> </w:t>
            </w:r>
            <w:r>
              <w:rPr/>
              <w:br/>
              <w:t> </w:t>
            </w:r>
          </w:p>
        </w:tc>
        <w:tc>
          <w:tcPr>
            <w:tcW w:w="1560" w:type="dxa"/>
            <w:vMerge w:val="continue"/>
            <w:tcBorders/>
            <w:shd w:fill="auto" w:val="clear"/>
            <w:tcMar>
              <w:bottom w:w="0" w:type="dxa"/>
            </w:tcMar>
            <w:vAlign w:val="center"/>
          </w:tcPr>
          <w:p>
            <w:pPr>
              <w:pStyle w:val="Normal"/>
              <w:rPr/>
            </w:pPr>
            <w:r>
              <w:rPr/>
            </w:r>
          </w:p>
        </w:tc>
      </w:tr>
    </w:tbl>
    <w:p>
      <w:pPr>
        <w:pStyle w:val="TextBody"/>
        <w:spacing w:before="0" w:after="283"/>
        <w:jc w:val="left"/>
        <w:rPr/>
      </w:pPr>
      <w:r>
        <w:rPr>
          <w:rFonts w:ascii="Arial" w:hAnsi="Arial"/>
          <w:sz w:val="20"/>
          <w:highlight w:val="cyan"/>
        </w:rPr>
        <w:t xml:space="preserve">Age: </w:t>
      </w:r>
      <w:r>
        <w:rPr>
          <w:rStyle w:val="StrongEmphasis"/>
          <w:rFonts w:ascii="Arial" w:hAnsi="Arial"/>
          <w:sz w:val="20"/>
          <w:highlight w:val="cyan"/>
        </w:rPr>
        <w:t>68</w:t>
        <w:br/>
      </w:r>
      <w:r>
        <w:rPr>
          <w:rFonts w:ascii="Arial" w:hAnsi="Arial"/>
          <w:sz w:val="20"/>
          <w:highlight w:val="cyan"/>
        </w:rPr>
        <w:t xml:space="preserve">Director since: </w:t>
      </w:r>
      <w:r>
        <w:rPr>
          <w:rStyle w:val="StrongEmphasis"/>
          <w:rFonts w:ascii="Arial" w:hAnsi="Arial"/>
          <w:sz w:val="20"/>
          <w:highlight w:val="cyan"/>
        </w:rPr>
        <w:t>November 2002</w:t>
        <w:br/>
      </w:r>
      <w:r>
        <w:rPr>
          <w:rFonts w:ascii="Arial" w:hAnsi="Arial"/>
          <w:sz w:val="20"/>
          <w:highlight w:val="cyan"/>
        </w:rPr>
        <w:t xml:space="preserve">Committees: </w:t>
      </w:r>
      <w:r>
        <w:rPr>
          <w:rStyle w:val="StrongEmphasis"/>
          <w:rFonts w:ascii="Arial" w:hAnsi="Arial"/>
          <w:sz w:val="20"/>
          <w:highlight w:val="cyan"/>
        </w:rPr>
        <w:t>Governance and Corporate Responsibility</w:t>
      </w:r>
    </w:p>
    <w:tbl>
      <w:tblPr>
        <w:tblW w:w="8523" w:type="dxa"/>
        <w:jc w:val="left"/>
        <w:tblInd w:w="0" w:type="dxa"/>
        <w:tblCellMar>
          <w:top w:w="0" w:type="dxa"/>
          <w:left w:w="0" w:type="dxa"/>
          <w:bottom w:w="0" w:type="dxa"/>
          <w:right w:w="0" w:type="dxa"/>
        </w:tblCellMar>
      </w:tblPr>
      <w:tblGrid>
        <w:gridCol w:w="5090"/>
        <w:gridCol w:w="23"/>
        <w:gridCol w:w="3410"/>
      </w:tblGrid>
      <w:tr>
        <w:trPr/>
        <w:tc>
          <w:tcPr>
            <w:tcW w:w="5090" w:type="dxa"/>
            <w:tcBorders/>
            <w:shd w:fill="auto" w:val="clear"/>
            <w:vAlign w:val="center"/>
          </w:tcPr>
          <w:p>
            <w:pPr>
              <w:pStyle w:val="TableContents"/>
              <w:spacing w:before="0" w:after="0"/>
              <w:jc w:val="left"/>
              <w:rPr/>
            </w:pPr>
            <w:r>
              <w:rPr>
                <w:rFonts w:ascii="Arial" w:hAnsi="Arial"/>
                <w:color w:val="00A1E0"/>
                <w:sz w:val="15"/>
              </w:rPr>
              <w:t>OTHER CURRENT PUBLIC COMPANY DIRECTORSHIPS:</w:t>
              <w:br/>
            </w:r>
            <w:r>
              <w:rPr>
                <w:rFonts w:ascii="Arial" w:hAnsi="Arial"/>
                <w:sz w:val="20"/>
              </w:rPr>
              <w:t>Ally Financial Inc., Arbor Realty Trust, Inc., Welltower Inc.</w:t>
            </w:r>
          </w:p>
        </w:tc>
        <w:tc>
          <w:tcPr>
            <w:tcW w:w="23" w:type="dxa"/>
            <w:tcBorders/>
            <w:shd w:fill="auto" w:val="clear"/>
            <w:vAlign w:val="center"/>
          </w:tcPr>
          <w:p>
            <w:pPr>
              <w:pStyle w:val="TableContents"/>
              <w:spacing w:before="0" w:after="283"/>
              <w:rPr>
                <w:sz w:val="4"/>
                <w:szCs w:val="4"/>
              </w:rPr>
            </w:pPr>
            <w:r>
              <w:rPr>
                <w:sz w:val="4"/>
                <w:szCs w:val="4"/>
              </w:rPr>
            </w:r>
          </w:p>
        </w:tc>
        <w:tc>
          <w:tcPr>
            <w:tcW w:w="3410" w:type="dxa"/>
            <w:tcBorders/>
            <w:shd w:fill="auto" w:val="clear"/>
            <w:vAlign w:val="center"/>
          </w:tcPr>
          <w:p>
            <w:pPr>
              <w:pStyle w:val="TableContents"/>
              <w:spacing w:before="0" w:after="0"/>
              <w:jc w:val="left"/>
              <w:rPr/>
            </w:pPr>
            <w:r>
              <w:rPr>
                <w:rFonts w:ascii="Arial" w:hAnsi="Arial"/>
                <w:color w:val="00A1E0"/>
                <w:sz w:val="15"/>
              </w:rPr>
              <w:t>FORMER PUBLIC COMPANY DIRECTORSHIPS:</w:t>
              <w:br/>
            </w:r>
            <w:r>
              <w:rPr>
                <w:rFonts w:ascii="Arial" w:hAnsi="Arial"/>
                <w:sz w:val="20"/>
              </w:rPr>
              <w:t>Forest City Realty Trust</w:t>
            </w:r>
          </w:p>
        </w:tc>
      </w:tr>
    </w:tbl>
    <w:p>
      <w:pPr>
        <w:pStyle w:val="TextBody"/>
        <w:spacing w:before="0" w:after="0"/>
        <w:rPr/>
      </w:pPr>
      <w:r>
        <w:rPr/>
      </w:r>
      <w:r>
        <mc:AlternateContent>
          <mc:Choice Requires="wps">
            <w:drawing>
              <wp:anchor behindDoc="0" distT="0" distB="0" distL="0" distR="0" simplePos="0" locked="0" layoutInCell="1" allowOverlap="1" relativeHeight="25">
                <wp:simplePos x="0" y="0"/>
                <wp:positionH relativeFrom="column">
                  <wp:align>left</wp:align>
                </wp:positionH>
                <wp:positionV relativeFrom="line">
                  <wp:posOffset>635</wp:posOffset>
                </wp:positionV>
                <wp:extent cx="3110230" cy="1880235"/>
                <wp:effectExtent l="0" t="0" r="0" b="0"/>
                <wp:wrapSquare wrapText="largest"/>
                <wp:docPr id="54" name="Frame3"/>
                <a:graphic xmlns:a="http://schemas.openxmlformats.org/drawingml/2006/main">
                  <a:graphicData uri="http://schemas.microsoft.com/office/word/2010/wordprocessingShape">
                    <wps:wsp>
                      <wps:cNvSpPr txBox="1"/>
                      <wps:spPr>
                        <a:xfrm>
                          <a:off x="0" y="0"/>
                          <a:ext cx="3110230" cy="1880235"/>
                        </a:xfrm>
                        <a:prstGeom prst="rect"/>
                      </wps:spPr>
                      <wps:txbx>
                        <w:txbxContent>
                          <w:p>
                            <w:pPr>
                              <w:pStyle w:val="TextBody"/>
                              <w:spacing w:before="0" w:after="0"/>
                              <w:jc w:val="left"/>
                              <w:rPr>
                                <w:rFonts w:ascii="Arial" w:hAnsi="Arial"/>
                                <w:color w:val="00A1E0"/>
                                <w:sz w:val="15"/>
                              </w:rPr>
                            </w:pPr>
                            <w:r>
                              <w:rPr>
                                <w:rFonts w:ascii="Arial" w:hAnsi="Arial"/>
                                <w:color w:val="00A1E0"/>
                                <w:sz w:val="15"/>
                              </w:rPr>
                              <w:t>CAREER HIGHLIGHTS:</w:t>
                            </w:r>
                          </w:p>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t>Partner, RailField Partners, a financial advisory and asset management firm, 2012  Present</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t>Executive Vice President of the multifamily mortgage business, Fannie Mae, 2005  2012</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t>Interim Executive Vice President, Housing and Community Development, Fannie Mae, January 2005  July 2005</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t>Member, National Multifamily Housing Council</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4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left"/>
                        <w:rPr>
                          <w:rFonts w:ascii="Arial" w:hAnsi="Arial"/>
                          <w:color w:val="00A1E0"/>
                          <w:sz w:val="15"/>
                        </w:rPr>
                      </w:pPr>
                      <w:r>
                        <w:rPr>
                          <w:rFonts w:ascii="Arial" w:hAnsi="Arial"/>
                          <w:color w:val="00A1E0"/>
                          <w:sz w:val="15"/>
                        </w:rPr>
                        <w:t>CAREER HIGHLIGHTS:</w:t>
                      </w:r>
                    </w:p>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t>Partner, RailField Partners, a financial advisory and asset management firm, 2012  Present</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t>Executive Vice President of the multifamily mortgage business, Fannie Mae, 2005  2012</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t>Interim Executive Vice President, Housing and Community Development, Fannie Mae, January 2005  July 2005</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t>Member, National Multifamily Housing Council</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6">
                <wp:simplePos x="0" y="0"/>
                <wp:positionH relativeFrom="column">
                  <wp:align>right</wp:align>
                </wp:positionH>
                <wp:positionV relativeFrom="line">
                  <wp:posOffset>635</wp:posOffset>
                </wp:positionV>
                <wp:extent cx="3110230" cy="3006090"/>
                <wp:effectExtent l="0" t="0" r="0" b="0"/>
                <wp:wrapSquare wrapText="largest"/>
                <wp:docPr id="55" name="Frame4"/>
                <a:graphic xmlns:a="http://schemas.openxmlformats.org/drawingml/2006/main">
                  <a:graphicData uri="http://schemas.microsoft.com/office/word/2010/wordprocessingShape">
                    <wps:wsp>
                      <wps:cNvSpPr txBox="1"/>
                      <wps:spPr>
                        <a:xfrm>
                          <a:off x="0" y="0"/>
                          <a:ext cx="3110230" cy="3006090"/>
                        </a:xfrm>
                        <a:prstGeom prst="rect"/>
                      </wps:spPr>
                      <wps:txbx>
                        <w:txbxContent>
                          <w:p>
                            <w:pPr>
                              <w:pStyle w:val="TextBody"/>
                              <w:spacing w:before="0" w:after="0"/>
                              <w:jc w:val="left"/>
                              <w:rPr>
                                <w:rFonts w:ascii="Arial" w:hAnsi="Arial"/>
                                <w:color w:val="00A1E0"/>
                                <w:sz w:val="15"/>
                              </w:rPr>
                            </w:pPr>
                            <w:r>
                              <w:rPr>
                                <w:rFonts w:ascii="Arial" w:hAnsi="Arial"/>
                                <w:color w:val="00A1E0"/>
                                <w:sz w:val="15"/>
                              </w:rPr>
                              <w:t>SKILLS AND QUALIFICATIONS:</w:t>
                            </w:r>
                          </w:p>
                          <w:p>
                            <w:pPr>
                              <w:pStyle w:val="TextBody"/>
                              <w:spacing w:before="0" w:after="0"/>
                              <w:jc w:val="left"/>
                              <w:rPr>
                                <w:rFonts w:ascii="Arial" w:hAnsi="Arial"/>
                                <w:sz w:val="20"/>
                              </w:rPr>
                            </w:pPr>
                            <w:r>
                              <w:rPr>
                                <w:rFonts w:ascii="Arial" w:hAnsi="Arial"/>
                                <w:sz w:val="20"/>
                              </w:rPr>
                              <w:t>We believe that Mr. Bacons significant experience in senior executive leadership, regulatory and government affairs, risk management and the financial and housing industries renders him qualified to serve as one of our directors.</w:t>
                            </w:r>
                          </w:p>
                          <w:tbl>
                            <w:tblPr>
                              <w:tblW w:w="3470" w:type="dxa"/>
                              <w:jc w:val="left"/>
                              <w:tblInd w:w="0" w:type="dxa"/>
                              <w:tblCellMar>
                                <w:top w:w="0" w:type="dxa"/>
                                <w:left w:w="0" w:type="dxa"/>
                                <w:bottom w:w="0" w:type="dxa"/>
                                <w:right w:w="0" w:type="dxa"/>
                              </w:tblCellMar>
                            </w:tblPr>
                            <w:tblGrid>
                              <w:gridCol w:w="315"/>
                              <w:gridCol w:w="3155"/>
                            </w:tblGrid>
                            <w:tr>
                              <w:trPr/>
                              <w:tc>
                                <w:tcPr>
                                  <w:tcW w:w="315" w:type="dxa"/>
                                  <w:tcBorders/>
                                  <w:shd w:fill="auto" w:val="clear"/>
                                  <w:vAlign w:val="center"/>
                                </w:tcPr>
                                <w:p>
                                  <w:pPr>
                                    <w:pStyle w:val="TableContents"/>
                                    <w:spacing w:before="0" w:after="283"/>
                                    <w:jc w:val="center"/>
                                    <w:rPr/>
                                  </w:pPr>
                                  <w:r>
                                    <w:rPr/>
                                    <w:drawing>
                                      <wp:inline distT="0" distB="0" distL="0" distR="0">
                                        <wp:extent cx="171450" cy="200025"/>
                                        <wp:effectExtent l="0" t="0" r="0" b="0"/>
                                        <wp:docPr id="5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6" descr=""/>
                                                <pic:cNvPicPr>
                                                  <a:picLocks noChangeAspect="1" noChangeArrowheads="1"/>
                                                </pic:cNvPicPr>
                                              </pic:nvPicPr>
                                              <pic:blipFill>
                                                <a:blip r:embed="rId47"/>
                                                <a:srcRect l="-5566" t="-4810" r="-5566" b="-4810"/>
                                                <a:stretch>
                                                  <a:fillRect/>
                                                </a:stretch>
                                              </pic:blipFill>
                                              <pic:spPr bwMode="auto">
                                                <a:xfrm>
                                                  <a:off x="0" y="0"/>
                                                  <a:ext cx="171450" cy="200025"/>
                                                </a:xfrm>
                                                <a:prstGeom prst="rect">
                                                  <a:avLst/>
                                                </a:prstGeom>
                                                <a:ln w="635">
                                                  <a:solidFill>
                                                    <a:srgbClr val="000000"/>
                                                  </a:solidFill>
                                                </a:ln>
                                              </pic:spPr>
                                            </pic:pic>
                                          </a:graphicData>
                                        </a:graphic>
                                      </wp:inline>
                                    </w:drawing>
                                  </w:r>
                                </w:p>
                              </w:tc>
                              <w:tc>
                                <w:tcPr>
                                  <w:tcW w:w="3155" w:type="dxa"/>
                                  <w:tcBorders/>
                                  <w:shd w:fill="auto" w:val="clear"/>
                                  <w:vAlign w:val="center"/>
                                </w:tcPr>
                                <w:p>
                                  <w:pPr>
                                    <w:pStyle w:val="TableContents"/>
                                    <w:spacing w:before="0" w:after="0"/>
                                    <w:jc w:val="left"/>
                                    <w:rPr>
                                      <w:rFonts w:ascii="Arial" w:hAnsi="Arial"/>
                                      <w:sz w:val="20"/>
                                    </w:rPr>
                                  </w:pPr>
                                  <w:r>
                                    <w:rPr>
                                      <w:rFonts w:ascii="Arial" w:hAnsi="Arial"/>
                                      <w:sz w:val="20"/>
                                    </w:rPr>
                                    <w:t>Executive Leadership</w:t>
                                  </w:r>
                                </w:p>
                              </w:tc>
                            </w:tr>
                            <w:tr>
                              <w:trPr/>
                              <w:tc>
                                <w:tcPr>
                                  <w:tcW w:w="315" w:type="dxa"/>
                                  <w:tcBorders/>
                                  <w:shd w:fill="auto" w:val="clear"/>
                                  <w:vAlign w:val="center"/>
                                </w:tcPr>
                                <w:p>
                                  <w:pPr>
                                    <w:pStyle w:val="TableContents"/>
                                    <w:spacing w:before="0" w:after="283"/>
                                    <w:jc w:val="center"/>
                                    <w:rPr/>
                                  </w:pPr>
                                  <w:r>
                                    <w:rPr/>
                                    <w:drawing>
                                      <wp:inline distT="0" distB="0" distL="0" distR="0">
                                        <wp:extent cx="200025" cy="200025"/>
                                        <wp:effectExtent l="0" t="0" r="0" b="0"/>
                                        <wp:docPr id="5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7" descr=""/>
                                                <pic:cNvPicPr>
                                                  <a:picLocks noChangeAspect="1" noChangeArrowheads="1"/>
                                                </pic:cNvPicPr>
                                              </pic:nvPicPr>
                                              <pic:blipFill>
                                                <a:blip r:embed="rId48"/>
                                                <a:srcRect l="-4810" t="-4810" r="-4810" b="-4810"/>
                                                <a:stretch>
                                                  <a:fillRect/>
                                                </a:stretch>
                                              </pic:blipFill>
                                              <pic:spPr bwMode="auto">
                                                <a:xfrm>
                                                  <a:off x="0" y="0"/>
                                                  <a:ext cx="200025" cy="200025"/>
                                                </a:xfrm>
                                                <a:prstGeom prst="rect">
                                                  <a:avLst/>
                                                </a:prstGeom>
                                                <a:ln w="635">
                                                  <a:solidFill>
                                                    <a:srgbClr val="000000"/>
                                                  </a:solidFill>
                                                </a:ln>
                                              </pic:spPr>
                                            </pic:pic>
                                          </a:graphicData>
                                        </a:graphic>
                                      </wp:inline>
                                    </w:drawing>
                                  </w:r>
                                </w:p>
                              </w:tc>
                              <w:tc>
                                <w:tcPr>
                                  <w:tcW w:w="3155" w:type="dxa"/>
                                  <w:tcBorders/>
                                  <w:shd w:fill="auto" w:val="clear"/>
                                  <w:vAlign w:val="center"/>
                                </w:tcPr>
                                <w:p>
                                  <w:pPr>
                                    <w:pStyle w:val="TableContents"/>
                                    <w:spacing w:before="0" w:after="283"/>
                                    <w:jc w:val="left"/>
                                    <w:rPr>
                                      <w:rFonts w:ascii="Arial" w:hAnsi="Arial"/>
                                      <w:sz w:val="20"/>
                                    </w:rPr>
                                  </w:pPr>
                                  <w:r>
                                    <w:rPr>
                                      <w:rFonts w:ascii="Arial" w:hAnsi="Arial"/>
                                      <w:sz w:val="20"/>
                                    </w:rPr>
                                    <w:t xml:space="preserve">Financial/Accounting </w:t>
                                  </w:r>
                                </w:p>
                              </w:tc>
                            </w:tr>
                            <w:tr>
                              <w:trPr/>
                              <w:tc>
                                <w:tcPr>
                                  <w:tcW w:w="315" w:type="dxa"/>
                                  <w:tcBorders/>
                                  <w:shd w:fill="auto" w:val="clear"/>
                                  <w:vAlign w:val="center"/>
                                </w:tcPr>
                                <w:p>
                                  <w:pPr>
                                    <w:pStyle w:val="TableContents"/>
                                    <w:spacing w:before="0" w:after="283"/>
                                    <w:jc w:val="center"/>
                                    <w:rPr/>
                                  </w:pPr>
                                  <w:r>
                                    <w:rPr/>
                                    <w:drawing>
                                      <wp:inline distT="0" distB="0" distL="0" distR="0">
                                        <wp:extent cx="200025" cy="209550"/>
                                        <wp:effectExtent l="0" t="0" r="0" b="0"/>
                                        <wp:docPr id="5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8" descr=""/>
                                                <pic:cNvPicPr>
                                                  <a:picLocks noChangeAspect="1" noChangeArrowheads="1"/>
                                                </pic:cNvPicPr>
                                              </pic:nvPicPr>
                                              <pic:blipFill>
                                                <a:blip r:embed="rId49"/>
                                                <a:srcRect l="-4810" t="-4810" r="-4810" b="-4810"/>
                                                <a:stretch>
                                                  <a:fillRect/>
                                                </a:stretch>
                                              </pic:blipFill>
                                              <pic:spPr bwMode="auto">
                                                <a:xfrm>
                                                  <a:off x="0" y="0"/>
                                                  <a:ext cx="200025" cy="209550"/>
                                                </a:xfrm>
                                                <a:prstGeom prst="rect">
                                                  <a:avLst/>
                                                </a:prstGeom>
                                                <a:ln w="635">
                                                  <a:solidFill>
                                                    <a:srgbClr val="000000"/>
                                                  </a:solidFill>
                                                </a:ln>
                                              </pic:spPr>
                                            </pic:pic>
                                          </a:graphicData>
                                        </a:graphic>
                                      </wp:inline>
                                    </w:drawing>
                                  </w:r>
                                </w:p>
                              </w:tc>
                              <w:tc>
                                <w:tcPr>
                                  <w:tcW w:w="3155" w:type="dxa"/>
                                  <w:tcBorders/>
                                  <w:shd w:fill="auto" w:val="clear"/>
                                  <w:vAlign w:val="center"/>
                                </w:tcPr>
                                <w:p>
                                  <w:pPr>
                                    <w:pStyle w:val="TableContents"/>
                                    <w:spacing w:before="0" w:after="283"/>
                                    <w:jc w:val="left"/>
                                    <w:rPr>
                                      <w:rFonts w:ascii="Arial" w:hAnsi="Arial"/>
                                      <w:sz w:val="20"/>
                                    </w:rPr>
                                  </w:pPr>
                                  <w:r>
                                    <w:rPr>
                                      <w:rFonts w:ascii="Arial" w:hAnsi="Arial"/>
                                      <w:sz w:val="20"/>
                                    </w:rPr>
                                    <w:t>Risk Management Oversight</w:t>
                                  </w:r>
                                </w:p>
                              </w:tc>
                            </w:tr>
                            <w:tr>
                              <w:trPr/>
                              <w:tc>
                                <w:tcPr>
                                  <w:tcW w:w="315" w:type="dxa"/>
                                  <w:tcBorders/>
                                  <w:shd w:fill="auto" w:val="clear"/>
                                  <w:vAlign w:val="center"/>
                                </w:tcPr>
                                <w:p>
                                  <w:pPr>
                                    <w:pStyle w:val="TableContents"/>
                                    <w:spacing w:before="0" w:after="283"/>
                                    <w:jc w:val="center"/>
                                    <w:rPr/>
                                  </w:pPr>
                                  <w:r>
                                    <w:rPr/>
                                    <w:drawing>
                                      <wp:inline distT="0" distB="0" distL="0" distR="0">
                                        <wp:extent cx="200025" cy="190500"/>
                                        <wp:effectExtent l="0" t="0" r="0" b="0"/>
                                        <wp:docPr id="5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49" descr=""/>
                                                <pic:cNvPicPr>
                                                  <a:picLocks noChangeAspect="1" noChangeArrowheads="1"/>
                                                </pic:cNvPicPr>
                                              </pic:nvPicPr>
                                              <pic:blipFill>
                                                <a:blip r:embed="rId50"/>
                                                <a:srcRect l="-5035" t="-4810" r="-5035" b="-4810"/>
                                                <a:stretch>
                                                  <a:fillRect/>
                                                </a:stretch>
                                              </pic:blipFill>
                                              <pic:spPr bwMode="auto">
                                                <a:xfrm>
                                                  <a:off x="0" y="0"/>
                                                  <a:ext cx="200025" cy="190500"/>
                                                </a:xfrm>
                                                <a:prstGeom prst="rect">
                                                  <a:avLst/>
                                                </a:prstGeom>
                                                <a:ln w="635">
                                                  <a:solidFill>
                                                    <a:srgbClr val="000000"/>
                                                  </a:solidFill>
                                                </a:ln>
                                              </pic:spPr>
                                            </pic:pic>
                                          </a:graphicData>
                                        </a:graphic>
                                      </wp:inline>
                                    </w:drawing>
                                  </w:r>
                                </w:p>
                              </w:tc>
                              <w:tc>
                                <w:tcPr>
                                  <w:tcW w:w="3155" w:type="dxa"/>
                                  <w:tcBorders/>
                                  <w:shd w:fill="auto" w:val="clear"/>
                                  <w:vAlign w:val="center"/>
                                </w:tcPr>
                                <w:p>
                                  <w:pPr>
                                    <w:pStyle w:val="TableContents"/>
                                    <w:spacing w:before="0" w:after="283"/>
                                    <w:jc w:val="left"/>
                                    <w:rPr>
                                      <w:rFonts w:ascii="Arial" w:hAnsi="Arial"/>
                                      <w:sz w:val="20"/>
                                    </w:rPr>
                                  </w:pPr>
                                  <w:r>
                                    <w:rPr>
                                      <w:rFonts w:ascii="Arial" w:hAnsi="Arial"/>
                                      <w:sz w:val="20"/>
                                    </w:rPr>
                                    <w:t>Government Affairs</w:t>
                                  </w:r>
                                </w:p>
                              </w:tc>
                            </w:tr>
                            <w:tr>
                              <w:trPr/>
                              <w:tc>
                                <w:tcPr>
                                  <w:tcW w:w="315" w:type="dxa"/>
                                  <w:tcBorders/>
                                  <w:shd w:fill="auto" w:val="clear"/>
                                  <w:vAlign w:val="center"/>
                                </w:tcPr>
                                <w:p>
                                  <w:pPr>
                                    <w:pStyle w:val="TableContents"/>
                                    <w:spacing w:before="0" w:after="283"/>
                                    <w:jc w:val="center"/>
                                    <w:rPr/>
                                  </w:pPr>
                                  <w:r>
                                    <w:rPr/>
                                    <w:drawing>
                                      <wp:inline distT="0" distB="0" distL="0" distR="0">
                                        <wp:extent cx="200025" cy="152400"/>
                                        <wp:effectExtent l="0" t="0" r="0" b="0"/>
                                        <wp:docPr id="6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0" descr=""/>
                                                <pic:cNvPicPr>
                                                  <a:picLocks noChangeAspect="1" noChangeArrowheads="1"/>
                                                </pic:cNvPicPr>
                                              </pic:nvPicPr>
                                              <pic:blipFill>
                                                <a:blip r:embed="rId51"/>
                                                <a:srcRect l="-4597" t="-6222" r="-4597" b="-6222"/>
                                                <a:stretch>
                                                  <a:fillRect/>
                                                </a:stretch>
                                              </pic:blipFill>
                                              <pic:spPr bwMode="auto">
                                                <a:xfrm>
                                                  <a:off x="0" y="0"/>
                                                  <a:ext cx="200025" cy="152400"/>
                                                </a:xfrm>
                                                <a:prstGeom prst="rect">
                                                  <a:avLst/>
                                                </a:prstGeom>
                                                <a:ln w="635">
                                                  <a:solidFill>
                                                    <a:srgbClr val="000000"/>
                                                  </a:solidFill>
                                                </a:ln>
                                              </pic:spPr>
                                            </pic:pic>
                                          </a:graphicData>
                                        </a:graphic>
                                      </wp:inline>
                                    </w:drawing>
                                  </w:r>
                                </w:p>
                              </w:tc>
                              <w:tc>
                                <w:tcPr>
                                  <w:tcW w:w="3155" w:type="dxa"/>
                                  <w:tcBorders/>
                                  <w:shd w:fill="auto" w:val="clear"/>
                                  <w:vAlign w:val="center"/>
                                </w:tcPr>
                                <w:p>
                                  <w:pPr>
                                    <w:pStyle w:val="TableContents"/>
                                    <w:spacing w:before="0" w:after="283"/>
                                    <w:jc w:val="left"/>
                                    <w:rPr>
                                      <w:rFonts w:ascii="Arial" w:hAnsi="Arial"/>
                                      <w:sz w:val="20"/>
                                    </w:rPr>
                                  </w:pPr>
                                  <w:r>
                                    <w:rPr>
                                      <w:rFonts w:ascii="Arial" w:hAnsi="Arial"/>
                                      <w:sz w:val="20"/>
                                    </w:rPr>
                                    <w:t>Non-Profit/Educational/Philanthropic</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36.7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spacing w:before="0" w:after="0"/>
                        <w:jc w:val="left"/>
                        <w:rPr>
                          <w:rFonts w:ascii="Arial" w:hAnsi="Arial"/>
                          <w:color w:val="00A1E0"/>
                          <w:sz w:val="15"/>
                        </w:rPr>
                      </w:pPr>
                      <w:r>
                        <w:rPr>
                          <w:rFonts w:ascii="Arial" w:hAnsi="Arial"/>
                          <w:color w:val="00A1E0"/>
                          <w:sz w:val="15"/>
                        </w:rPr>
                        <w:t>SKILLS AND QUALIFICATIONS:</w:t>
                      </w:r>
                    </w:p>
                    <w:p>
                      <w:pPr>
                        <w:pStyle w:val="TextBody"/>
                        <w:spacing w:before="0" w:after="0"/>
                        <w:jc w:val="left"/>
                        <w:rPr>
                          <w:rFonts w:ascii="Arial" w:hAnsi="Arial"/>
                          <w:sz w:val="20"/>
                        </w:rPr>
                      </w:pPr>
                      <w:r>
                        <w:rPr>
                          <w:rFonts w:ascii="Arial" w:hAnsi="Arial"/>
                          <w:sz w:val="20"/>
                        </w:rPr>
                        <w:t>We believe that Mr. Bacons significant experience in senior executive leadership, regulatory and government affairs, risk management and the financial and housing industries renders him qualified to serve as one of our directors.</w:t>
                      </w:r>
                    </w:p>
                    <w:tbl>
                      <w:tblPr>
                        <w:tblW w:w="3470" w:type="dxa"/>
                        <w:jc w:val="left"/>
                        <w:tblInd w:w="0" w:type="dxa"/>
                        <w:tblCellMar>
                          <w:top w:w="0" w:type="dxa"/>
                          <w:left w:w="0" w:type="dxa"/>
                          <w:bottom w:w="0" w:type="dxa"/>
                          <w:right w:w="0" w:type="dxa"/>
                        </w:tblCellMar>
                      </w:tblPr>
                      <w:tblGrid>
                        <w:gridCol w:w="315"/>
                        <w:gridCol w:w="3155"/>
                      </w:tblGrid>
                      <w:tr>
                        <w:trPr/>
                        <w:tc>
                          <w:tcPr>
                            <w:tcW w:w="315" w:type="dxa"/>
                            <w:tcBorders/>
                            <w:shd w:fill="auto" w:val="clear"/>
                            <w:vAlign w:val="center"/>
                          </w:tcPr>
                          <w:p>
                            <w:pPr>
                              <w:pStyle w:val="TableContents"/>
                              <w:spacing w:before="0" w:after="283"/>
                              <w:jc w:val="center"/>
                              <w:rPr/>
                            </w:pPr>
                            <w:r>
                              <w:rPr/>
                              <w:drawing>
                                <wp:inline distT="0" distB="0" distL="0" distR="0">
                                  <wp:extent cx="171450" cy="200025"/>
                                  <wp:effectExtent l="0" t="0" r="0" b="0"/>
                                  <wp:docPr id="61"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46" descr=""/>
                                          <pic:cNvPicPr>
                                            <a:picLocks noChangeAspect="1" noChangeArrowheads="1"/>
                                          </pic:cNvPicPr>
                                        </pic:nvPicPr>
                                        <pic:blipFill>
                                          <a:blip r:embed="rId47"/>
                                          <a:srcRect l="-5566" t="-4810" r="-5566" b="-4810"/>
                                          <a:stretch>
                                            <a:fillRect/>
                                          </a:stretch>
                                        </pic:blipFill>
                                        <pic:spPr bwMode="auto">
                                          <a:xfrm>
                                            <a:off x="0" y="0"/>
                                            <a:ext cx="171450" cy="200025"/>
                                          </a:xfrm>
                                          <a:prstGeom prst="rect">
                                            <a:avLst/>
                                          </a:prstGeom>
                                          <a:ln w="635">
                                            <a:solidFill>
                                              <a:srgbClr val="000000"/>
                                            </a:solidFill>
                                          </a:ln>
                                        </pic:spPr>
                                      </pic:pic>
                                    </a:graphicData>
                                  </a:graphic>
                                </wp:inline>
                              </w:drawing>
                            </w:r>
                          </w:p>
                        </w:tc>
                        <w:tc>
                          <w:tcPr>
                            <w:tcW w:w="3155" w:type="dxa"/>
                            <w:tcBorders/>
                            <w:shd w:fill="auto" w:val="clear"/>
                            <w:vAlign w:val="center"/>
                          </w:tcPr>
                          <w:p>
                            <w:pPr>
                              <w:pStyle w:val="TableContents"/>
                              <w:spacing w:before="0" w:after="0"/>
                              <w:jc w:val="left"/>
                              <w:rPr>
                                <w:rFonts w:ascii="Arial" w:hAnsi="Arial"/>
                                <w:sz w:val="20"/>
                              </w:rPr>
                            </w:pPr>
                            <w:r>
                              <w:rPr>
                                <w:rFonts w:ascii="Arial" w:hAnsi="Arial"/>
                                <w:sz w:val="20"/>
                              </w:rPr>
                              <w:t>Executive Leadership</w:t>
                            </w:r>
                          </w:p>
                        </w:tc>
                      </w:tr>
                      <w:tr>
                        <w:trPr/>
                        <w:tc>
                          <w:tcPr>
                            <w:tcW w:w="315" w:type="dxa"/>
                            <w:tcBorders/>
                            <w:shd w:fill="auto" w:val="clear"/>
                            <w:vAlign w:val="center"/>
                          </w:tcPr>
                          <w:p>
                            <w:pPr>
                              <w:pStyle w:val="TableContents"/>
                              <w:spacing w:before="0" w:after="283"/>
                              <w:jc w:val="center"/>
                              <w:rPr/>
                            </w:pPr>
                            <w:r>
                              <w:rPr/>
                              <w:drawing>
                                <wp:inline distT="0" distB="0" distL="0" distR="0">
                                  <wp:extent cx="200025" cy="200025"/>
                                  <wp:effectExtent l="0" t="0" r="0" b="0"/>
                                  <wp:docPr id="62"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47" descr=""/>
                                          <pic:cNvPicPr>
                                            <a:picLocks noChangeAspect="1" noChangeArrowheads="1"/>
                                          </pic:cNvPicPr>
                                        </pic:nvPicPr>
                                        <pic:blipFill>
                                          <a:blip r:embed="rId48"/>
                                          <a:srcRect l="-4810" t="-4810" r="-4810" b="-4810"/>
                                          <a:stretch>
                                            <a:fillRect/>
                                          </a:stretch>
                                        </pic:blipFill>
                                        <pic:spPr bwMode="auto">
                                          <a:xfrm>
                                            <a:off x="0" y="0"/>
                                            <a:ext cx="200025" cy="200025"/>
                                          </a:xfrm>
                                          <a:prstGeom prst="rect">
                                            <a:avLst/>
                                          </a:prstGeom>
                                          <a:ln w="635">
                                            <a:solidFill>
                                              <a:srgbClr val="000000"/>
                                            </a:solidFill>
                                          </a:ln>
                                        </pic:spPr>
                                      </pic:pic>
                                    </a:graphicData>
                                  </a:graphic>
                                </wp:inline>
                              </w:drawing>
                            </w:r>
                          </w:p>
                        </w:tc>
                        <w:tc>
                          <w:tcPr>
                            <w:tcW w:w="3155" w:type="dxa"/>
                            <w:tcBorders/>
                            <w:shd w:fill="auto" w:val="clear"/>
                            <w:vAlign w:val="center"/>
                          </w:tcPr>
                          <w:p>
                            <w:pPr>
                              <w:pStyle w:val="TableContents"/>
                              <w:spacing w:before="0" w:after="283"/>
                              <w:jc w:val="left"/>
                              <w:rPr>
                                <w:rFonts w:ascii="Arial" w:hAnsi="Arial"/>
                                <w:sz w:val="20"/>
                              </w:rPr>
                            </w:pPr>
                            <w:r>
                              <w:rPr>
                                <w:rFonts w:ascii="Arial" w:hAnsi="Arial"/>
                                <w:sz w:val="20"/>
                              </w:rPr>
                              <w:t xml:space="preserve">Financial/Accounting </w:t>
                            </w:r>
                          </w:p>
                        </w:tc>
                      </w:tr>
                      <w:tr>
                        <w:trPr/>
                        <w:tc>
                          <w:tcPr>
                            <w:tcW w:w="315" w:type="dxa"/>
                            <w:tcBorders/>
                            <w:shd w:fill="auto" w:val="clear"/>
                            <w:vAlign w:val="center"/>
                          </w:tcPr>
                          <w:p>
                            <w:pPr>
                              <w:pStyle w:val="TableContents"/>
                              <w:spacing w:before="0" w:after="283"/>
                              <w:jc w:val="center"/>
                              <w:rPr/>
                            </w:pPr>
                            <w:r>
                              <w:rPr/>
                              <w:drawing>
                                <wp:inline distT="0" distB="0" distL="0" distR="0">
                                  <wp:extent cx="200025" cy="209550"/>
                                  <wp:effectExtent l="0" t="0" r="0" b="0"/>
                                  <wp:docPr id="63"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48" descr=""/>
                                          <pic:cNvPicPr>
                                            <a:picLocks noChangeAspect="1" noChangeArrowheads="1"/>
                                          </pic:cNvPicPr>
                                        </pic:nvPicPr>
                                        <pic:blipFill>
                                          <a:blip r:embed="rId49"/>
                                          <a:srcRect l="-4810" t="-4810" r="-4810" b="-4810"/>
                                          <a:stretch>
                                            <a:fillRect/>
                                          </a:stretch>
                                        </pic:blipFill>
                                        <pic:spPr bwMode="auto">
                                          <a:xfrm>
                                            <a:off x="0" y="0"/>
                                            <a:ext cx="200025" cy="209550"/>
                                          </a:xfrm>
                                          <a:prstGeom prst="rect">
                                            <a:avLst/>
                                          </a:prstGeom>
                                          <a:ln w="635">
                                            <a:solidFill>
                                              <a:srgbClr val="000000"/>
                                            </a:solidFill>
                                          </a:ln>
                                        </pic:spPr>
                                      </pic:pic>
                                    </a:graphicData>
                                  </a:graphic>
                                </wp:inline>
                              </w:drawing>
                            </w:r>
                          </w:p>
                        </w:tc>
                        <w:tc>
                          <w:tcPr>
                            <w:tcW w:w="3155" w:type="dxa"/>
                            <w:tcBorders/>
                            <w:shd w:fill="auto" w:val="clear"/>
                            <w:vAlign w:val="center"/>
                          </w:tcPr>
                          <w:p>
                            <w:pPr>
                              <w:pStyle w:val="TableContents"/>
                              <w:spacing w:before="0" w:after="283"/>
                              <w:jc w:val="left"/>
                              <w:rPr>
                                <w:rFonts w:ascii="Arial" w:hAnsi="Arial"/>
                                <w:sz w:val="20"/>
                              </w:rPr>
                            </w:pPr>
                            <w:r>
                              <w:rPr>
                                <w:rFonts w:ascii="Arial" w:hAnsi="Arial"/>
                                <w:sz w:val="20"/>
                              </w:rPr>
                              <w:t>Risk Management Oversight</w:t>
                            </w:r>
                          </w:p>
                        </w:tc>
                      </w:tr>
                      <w:tr>
                        <w:trPr/>
                        <w:tc>
                          <w:tcPr>
                            <w:tcW w:w="315" w:type="dxa"/>
                            <w:tcBorders/>
                            <w:shd w:fill="auto" w:val="clear"/>
                            <w:vAlign w:val="center"/>
                          </w:tcPr>
                          <w:p>
                            <w:pPr>
                              <w:pStyle w:val="TableContents"/>
                              <w:spacing w:before="0" w:after="283"/>
                              <w:jc w:val="center"/>
                              <w:rPr/>
                            </w:pPr>
                            <w:r>
                              <w:rPr/>
                              <w:drawing>
                                <wp:inline distT="0" distB="0" distL="0" distR="0">
                                  <wp:extent cx="200025" cy="190500"/>
                                  <wp:effectExtent l="0" t="0" r="0" b="0"/>
                                  <wp:docPr id="64"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49" descr=""/>
                                          <pic:cNvPicPr>
                                            <a:picLocks noChangeAspect="1" noChangeArrowheads="1"/>
                                          </pic:cNvPicPr>
                                        </pic:nvPicPr>
                                        <pic:blipFill>
                                          <a:blip r:embed="rId50"/>
                                          <a:srcRect l="-5035" t="-4810" r="-5035" b="-4810"/>
                                          <a:stretch>
                                            <a:fillRect/>
                                          </a:stretch>
                                        </pic:blipFill>
                                        <pic:spPr bwMode="auto">
                                          <a:xfrm>
                                            <a:off x="0" y="0"/>
                                            <a:ext cx="200025" cy="190500"/>
                                          </a:xfrm>
                                          <a:prstGeom prst="rect">
                                            <a:avLst/>
                                          </a:prstGeom>
                                          <a:ln w="635">
                                            <a:solidFill>
                                              <a:srgbClr val="000000"/>
                                            </a:solidFill>
                                          </a:ln>
                                        </pic:spPr>
                                      </pic:pic>
                                    </a:graphicData>
                                  </a:graphic>
                                </wp:inline>
                              </w:drawing>
                            </w:r>
                          </w:p>
                        </w:tc>
                        <w:tc>
                          <w:tcPr>
                            <w:tcW w:w="3155" w:type="dxa"/>
                            <w:tcBorders/>
                            <w:shd w:fill="auto" w:val="clear"/>
                            <w:vAlign w:val="center"/>
                          </w:tcPr>
                          <w:p>
                            <w:pPr>
                              <w:pStyle w:val="TableContents"/>
                              <w:spacing w:before="0" w:after="283"/>
                              <w:jc w:val="left"/>
                              <w:rPr>
                                <w:rFonts w:ascii="Arial" w:hAnsi="Arial"/>
                                <w:sz w:val="20"/>
                              </w:rPr>
                            </w:pPr>
                            <w:r>
                              <w:rPr>
                                <w:rFonts w:ascii="Arial" w:hAnsi="Arial"/>
                                <w:sz w:val="20"/>
                              </w:rPr>
                              <w:t>Government Affairs</w:t>
                            </w:r>
                          </w:p>
                        </w:tc>
                      </w:tr>
                      <w:tr>
                        <w:trPr/>
                        <w:tc>
                          <w:tcPr>
                            <w:tcW w:w="315" w:type="dxa"/>
                            <w:tcBorders/>
                            <w:shd w:fill="auto" w:val="clear"/>
                            <w:vAlign w:val="center"/>
                          </w:tcPr>
                          <w:p>
                            <w:pPr>
                              <w:pStyle w:val="TableContents"/>
                              <w:spacing w:before="0" w:after="283"/>
                              <w:jc w:val="center"/>
                              <w:rPr/>
                            </w:pPr>
                            <w:r>
                              <w:rPr/>
                              <w:drawing>
                                <wp:inline distT="0" distB="0" distL="0" distR="0">
                                  <wp:extent cx="200025" cy="152400"/>
                                  <wp:effectExtent l="0" t="0" r="0" b="0"/>
                                  <wp:docPr id="65"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50" descr=""/>
                                          <pic:cNvPicPr>
                                            <a:picLocks noChangeAspect="1" noChangeArrowheads="1"/>
                                          </pic:cNvPicPr>
                                        </pic:nvPicPr>
                                        <pic:blipFill>
                                          <a:blip r:embed="rId51"/>
                                          <a:srcRect l="-4597" t="-6222" r="-4597" b="-6222"/>
                                          <a:stretch>
                                            <a:fillRect/>
                                          </a:stretch>
                                        </pic:blipFill>
                                        <pic:spPr bwMode="auto">
                                          <a:xfrm>
                                            <a:off x="0" y="0"/>
                                            <a:ext cx="200025" cy="152400"/>
                                          </a:xfrm>
                                          <a:prstGeom prst="rect">
                                            <a:avLst/>
                                          </a:prstGeom>
                                          <a:ln w="635">
                                            <a:solidFill>
                                              <a:srgbClr val="000000"/>
                                            </a:solidFill>
                                          </a:ln>
                                        </pic:spPr>
                                      </pic:pic>
                                    </a:graphicData>
                                  </a:graphic>
                                </wp:inline>
                              </w:drawing>
                            </w:r>
                          </w:p>
                        </w:tc>
                        <w:tc>
                          <w:tcPr>
                            <w:tcW w:w="3155" w:type="dxa"/>
                            <w:tcBorders/>
                            <w:shd w:fill="auto" w:val="clear"/>
                            <w:vAlign w:val="center"/>
                          </w:tcPr>
                          <w:p>
                            <w:pPr>
                              <w:pStyle w:val="TableContents"/>
                              <w:spacing w:before="0" w:after="283"/>
                              <w:jc w:val="left"/>
                              <w:rPr>
                                <w:rFonts w:ascii="Arial" w:hAnsi="Arial"/>
                                <w:sz w:val="20"/>
                              </w:rPr>
                            </w:pPr>
                            <w:r>
                              <w:rPr>
                                <w:rFonts w:ascii="Arial" w:hAnsi="Arial"/>
                                <w:sz w:val="20"/>
                              </w:rPr>
                              <w:t>Non-Profit/Educational/Philanthropic</w:t>
                            </w:r>
                          </w:p>
                        </w:tc>
                      </w:tr>
                    </w:tbl>
                    <w:p>
                      <w:pPr>
                        <w:pStyle w:val="TextBody"/>
                        <w:spacing w:before="0" w:after="283"/>
                        <w:rPr/>
                      </w:pPr>
                      <w:r>
                        <w:rPr/>
                      </w:r>
                    </w:p>
                  </w:txbxContent>
                </v:textbox>
                <w10:wrap type="square" side="left"/>
              </v:rect>
            </w:pict>
          </mc:Fallback>
        </mc:AlternateContent>
      </w:r>
    </w:p>
    <w:tbl>
      <w:tblPr>
        <w:tblW w:w="8045" w:type="dxa"/>
        <w:jc w:val="left"/>
        <w:tblInd w:w="0" w:type="dxa"/>
        <w:tblCellMar>
          <w:top w:w="0" w:type="dxa"/>
          <w:left w:w="0" w:type="dxa"/>
          <w:bottom w:w="100" w:type="dxa"/>
          <w:right w:w="0" w:type="dxa"/>
        </w:tblCellMar>
      </w:tblPr>
      <w:tblGrid>
        <w:gridCol w:w="6485"/>
        <w:gridCol w:w="1560"/>
      </w:tblGrid>
      <w:tr>
        <w:trPr/>
        <w:tc>
          <w:tcPr>
            <w:tcW w:w="6485" w:type="dxa"/>
            <w:tcBorders>
              <w:bottom w:val="single" w:sz="8" w:space="0" w:color="000000"/>
            </w:tcBorders>
            <w:shd w:fill="auto" w:val="clear"/>
            <w:vAlign w:val="center"/>
          </w:tcPr>
          <w:p>
            <w:pPr>
              <w:pStyle w:val="TableContents"/>
              <w:spacing w:before="0" w:after="0"/>
              <w:jc w:val="left"/>
              <w:rPr/>
            </w:pPr>
            <w:r>
              <w:rPr>
                <w:rStyle w:val="StrongEmphasis"/>
                <w:rFonts w:ascii="Arial" w:hAnsi="Arial"/>
                <w:sz w:val="24"/>
              </w:rPr>
              <w:t>Thomas J. Baltimore, Jr.</w:t>
            </w:r>
          </w:p>
          <w:p>
            <w:pPr>
              <w:pStyle w:val="TableContents"/>
              <w:spacing w:before="0" w:after="0"/>
              <w:jc w:val="left"/>
              <w:rPr/>
            </w:pPr>
            <w:r>
              <w:rPr>
                <w:rStyle w:val="StrongEmphasis"/>
                <w:rFonts w:ascii="Arial" w:hAnsi="Arial"/>
                <w:color w:val="00A1E0"/>
                <w:sz w:val="15"/>
              </w:rPr>
              <w:t>INDEPENDENT</w:t>
            </w:r>
          </w:p>
          <w:p>
            <w:pPr>
              <w:pStyle w:val="TableContents"/>
              <w:spacing w:before="0" w:after="0"/>
              <w:jc w:val="left"/>
              <w:rPr>
                <w:rFonts w:ascii="Arial" w:hAnsi="Arial"/>
                <w:sz w:val="20"/>
              </w:rPr>
            </w:pPr>
            <w:r>
              <w:rPr>
                <w:rFonts w:ascii="Arial" w:hAnsi="Arial"/>
                <w:sz w:val="20"/>
              </w:rPr>
              <w:t>Chairman, President and Chief Executive Officer of Park Hotels &amp; Resorts</w:t>
            </w:r>
          </w:p>
        </w:tc>
        <w:tc>
          <w:tcPr>
            <w:tcW w:w="1560" w:type="dxa"/>
            <w:vMerge w:val="restart"/>
            <w:tcBorders/>
            <w:shd w:fill="auto" w:val="clear"/>
            <w:tcMar>
              <w:bottom w:w="0" w:type="dxa"/>
            </w:tcMar>
            <w:vAlign w:val="center"/>
          </w:tcPr>
          <w:p>
            <w:pPr>
              <w:pStyle w:val="TableContents"/>
              <w:spacing w:before="0" w:after="283"/>
              <w:jc w:val="left"/>
              <w:rPr/>
            </w:pPr>
            <w:r>
              <w:rPr/>
              <w:drawing>
                <wp:inline distT="0" distB="0" distL="0" distR="0">
                  <wp:extent cx="990600" cy="3057525"/>
                  <wp:effectExtent l="0" t="0" r="0" b="0"/>
                  <wp:docPr id="66"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51" descr=""/>
                          <pic:cNvPicPr>
                            <a:picLocks noChangeAspect="1" noChangeArrowheads="1"/>
                          </pic:cNvPicPr>
                        </pic:nvPicPr>
                        <pic:blipFill>
                          <a:blip r:embed="rId52"/>
                          <a:srcRect l="-330" t="-329" r="-330" b="-329"/>
                          <a:stretch>
                            <a:fillRect/>
                          </a:stretch>
                        </pic:blipFill>
                        <pic:spPr bwMode="auto">
                          <a:xfrm>
                            <a:off x="0" y="0"/>
                            <a:ext cx="990600" cy="3057525"/>
                          </a:xfrm>
                          <a:prstGeom prst="rect">
                            <a:avLst/>
                          </a:prstGeom>
                          <a:ln w="635">
                            <a:solidFill>
                              <a:srgbClr val="000000"/>
                            </a:solidFill>
                          </a:ln>
                        </pic:spPr>
                      </pic:pic>
                    </a:graphicData>
                  </a:graphic>
                </wp:inline>
              </w:drawing>
            </w:r>
          </w:p>
        </w:tc>
      </w:tr>
      <w:tr>
        <w:trPr/>
        <w:tc>
          <w:tcPr>
            <w:tcW w:w="6485" w:type="dxa"/>
            <w:tcBorders/>
            <w:shd w:fill="auto" w:val="clear"/>
            <w:tcMar>
              <w:bottom w:w="0" w:type="dxa"/>
            </w:tcMar>
            <w:vAlign w:val="center"/>
          </w:tcPr>
          <w:p>
            <w:pPr>
              <w:pStyle w:val="TableContents"/>
              <w:spacing w:before="0" w:after="283"/>
              <w:jc w:val="left"/>
              <w:rPr/>
            </w:pPr>
            <w:r>
              <w:rPr/>
              <w:t> </w:t>
            </w:r>
            <w:r>
              <w:rPr/>
              <w:br/>
              <w:t> </w:t>
            </w:r>
          </w:p>
        </w:tc>
        <w:tc>
          <w:tcPr>
            <w:tcW w:w="1560" w:type="dxa"/>
            <w:vMerge w:val="continue"/>
            <w:tcBorders/>
            <w:shd w:fill="auto" w:val="clear"/>
            <w:tcMar>
              <w:bottom w:w="0" w:type="dxa"/>
            </w:tcMar>
            <w:vAlign w:val="center"/>
          </w:tcPr>
          <w:p>
            <w:pPr>
              <w:pStyle w:val="Normal"/>
              <w:rPr/>
            </w:pPr>
            <w:r>
              <w:rPr/>
            </w:r>
          </w:p>
        </w:tc>
      </w:tr>
    </w:tbl>
    <w:p>
      <w:pPr>
        <w:pStyle w:val="TextBody"/>
        <w:spacing w:before="0" w:after="283"/>
        <w:jc w:val="left"/>
        <w:rPr/>
      </w:pPr>
      <w:r>
        <w:rPr>
          <w:rFonts w:ascii="Arial" w:hAnsi="Arial"/>
          <w:sz w:val="20"/>
          <w:highlight w:val="cyan"/>
        </w:rPr>
        <w:t xml:space="preserve">Age: </w:t>
      </w:r>
      <w:r>
        <w:rPr>
          <w:rStyle w:val="StrongEmphasis"/>
          <w:rFonts w:ascii="Arial" w:hAnsi="Arial"/>
          <w:sz w:val="20"/>
          <w:highlight w:val="cyan"/>
        </w:rPr>
        <w:t>59</w:t>
        <w:br/>
      </w:r>
      <w:r>
        <w:rPr>
          <w:rFonts w:ascii="Arial" w:hAnsi="Arial"/>
          <w:sz w:val="20"/>
          <w:highlight w:val="cyan"/>
        </w:rPr>
        <w:t xml:space="preserve">Director since: </w:t>
      </w:r>
      <w:r>
        <w:rPr>
          <w:rStyle w:val="StrongEmphasis"/>
          <w:rFonts w:ascii="Arial" w:hAnsi="Arial"/>
          <w:sz w:val="20"/>
          <w:highlight w:val="cyan"/>
        </w:rPr>
        <w:t>March 2023</w:t>
      </w:r>
    </w:p>
    <w:tbl>
      <w:tblPr>
        <w:tblW w:w="8763" w:type="dxa"/>
        <w:jc w:val="left"/>
        <w:tblInd w:w="0" w:type="dxa"/>
        <w:tblCellMar>
          <w:top w:w="0" w:type="dxa"/>
          <w:left w:w="0" w:type="dxa"/>
          <w:bottom w:w="0" w:type="dxa"/>
          <w:right w:w="0" w:type="dxa"/>
        </w:tblCellMar>
      </w:tblPr>
      <w:tblGrid>
        <w:gridCol w:w="5030"/>
        <w:gridCol w:w="23"/>
        <w:gridCol w:w="3710"/>
      </w:tblGrid>
      <w:tr>
        <w:trPr/>
        <w:tc>
          <w:tcPr>
            <w:tcW w:w="5030" w:type="dxa"/>
            <w:tcBorders/>
            <w:shd w:fill="auto" w:val="clear"/>
            <w:vAlign w:val="center"/>
          </w:tcPr>
          <w:p>
            <w:pPr>
              <w:pStyle w:val="TableContents"/>
              <w:spacing w:before="0" w:after="0"/>
              <w:jc w:val="left"/>
              <w:rPr/>
            </w:pPr>
            <w:r>
              <w:rPr>
                <w:rFonts w:ascii="Arial" w:hAnsi="Arial"/>
                <w:color w:val="00A1E0"/>
                <w:sz w:val="15"/>
              </w:rPr>
              <w:t>OTHER CURRENT PUBLIC COMPANY DIRECTORSHIPS:</w:t>
              <w:br/>
            </w:r>
            <w:r>
              <w:rPr>
                <w:rFonts w:ascii="Arial" w:hAnsi="Arial"/>
                <w:sz w:val="20"/>
              </w:rPr>
              <w:t>American Express Company, Park Hotels &amp; Resorts, Inc.</w:t>
            </w:r>
          </w:p>
        </w:tc>
        <w:tc>
          <w:tcPr>
            <w:tcW w:w="23" w:type="dxa"/>
            <w:tcBorders/>
            <w:shd w:fill="auto" w:val="clear"/>
            <w:vAlign w:val="center"/>
          </w:tcPr>
          <w:p>
            <w:pPr>
              <w:pStyle w:val="TableContents"/>
              <w:spacing w:before="0" w:after="283"/>
              <w:rPr>
                <w:sz w:val="4"/>
                <w:szCs w:val="4"/>
              </w:rPr>
            </w:pPr>
            <w:r>
              <w:rPr>
                <w:sz w:val="4"/>
                <w:szCs w:val="4"/>
              </w:rPr>
            </w:r>
          </w:p>
        </w:tc>
        <w:tc>
          <w:tcPr>
            <w:tcW w:w="3710" w:type="dxa"/>
            <w:tcBorders/>
            <w:shd w:fill="auto" w:val="clear"/>
            <w:vAlign w:val="center"/>
          </w:tcPr>
          <w:p>
            <w:pPr>
              <w:pStyle w:val="TableContents"/>
              <w:spacing w:before="0" w:after="0"/>
              <w:jc w:val="left"/>
              <w:rPr/>
            </w:pPr>
            <w:r>
              <w:rPr>
                <w:rFonts w:ascii="Arial" w:hAnsi="Arial"/>
                <w:color w:val="00A1E0"/>
                <w:sz w:val="15"/>
              </w:rPr>
              <w:t>FORMER PUBLIC COMPANY DIRECTORSHIPS:</w:t>
              <w:br/>
            </w:r>
            <w:r>
              <w:rPr>
                <w:rFonts w:ascii="Arial" w:hAnsi="Arial"/>
                <w:sz w:val="20"/>
              </w:rPr>
              <w:t>AutoNation, Inc., Prudential Financial, Inc.</w:t>
            </w:r>
          </w:p>
        </w:tc>
      </w:tr>
    </w:tbl>
    <w:p>
      <w:pPr>
        <w:pStyle w:val="TextBody"/>
        <w:spacing w:before="0" w:after="0"/>
        <w:rPr/>
      </w:pPr>
      <w:r>
        <w:rPr/>
      </w:r>
      <w:r>
        <mc:AlternateContent>
          <mc:Choice Requires="wps">
            <w:drawing>
              <wp:anchor behindDoc="0" distT="0" distB="0" distL="0" distR="0" simplePos="0" locked="0" layoutInCell="1" allowOverlap="1" relativeHeight="27">
                <wp:simplePos x="0" y="0"/>
                <wp:positionH relativeFrom="column">
                  <wp:align>left</wp:align>
                </wp:positionH>
                <wp:positionV relativeFrom="line">
                  <wp:posOffset>635</wp:posOffset>
                </wp:positionV>
                <wp:extent cx="3110230" cy="3242945"/>
                <wp:effectExtent l="0" t="0" r="0" b="0"/>
                <wp:wrapSquare wrapText="largest"/>
                <wp:docPr id="67" name="Frame5"/>
                <a:graphic xmlns:a="http://schemas.openxmlformats.org/drawingml/2006/main">
                  <a:graphicData uri="http://schemas.microsoft.com/office/word/2010/wordprocessingShape">
                    <wps:wsp>
                      <wps:cNvSpPr txBox="1"/>
                      <wps:spPr>
                        <a:xfrm>
                          <a:off x="0" y="0"/>
                          <a:ext cx="3110230" cy="3242945"/>
                        </a:xfrm>
                        <a:prstGeom prst="rect"/>
                      </wps:spPr>
                      <wps:txbx>
                        <w:txbxContent>
                          <w:p>
                            <w:pPr>
                              <w:pStyle w:val="TextBody"/>
                              <w:spacing w:before="0" w:after="0"/>
                              <w:jc w:val="left"/>
                              <w:rPr>
                                <w:rFonts w:ascii="Arial" w:hAnsi="Arial"/>
                                <w:color w:val="00A1E0"/>
                                <w:sz w:val="15"/>
                              </w:rPr>
                            </w:pPr>
                            <w:r>
                              <w:rPr>
                                <w:rFonts w:ascii="Arial" w:hAnsi="Arial"/>
                                <w:color w:val="00A1E0"/>
                                <w:sz w:val="15"/>
                              </w:rPr>
                              <w:t>CAREER HIGHLIGHTS:</w:t>
                            </w:r>
                          </w:p>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sz w:val="20"/>
                                    </w:rPr>
                                  </w:pPr>
                                  <w:r>
                                    <w:rPr>
                                      <w:sz w:val="20"/>
                                    </w:rPr>
                                    <w:t>Chairman, President and Chief Executive Officer of Park Hotels &amp; Resorts, Inc., a lodging and real estate investment trust, 2017  Present</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sz w:val="20"/>
                                    </w:rPr>
                                  </w:pPr>
                                  <w:r>
                                    <w:rPr>
                                      <w:sz w:val="20"/>
                                    </w:rPr>
                                    <w:t>President, Chief Executive Officer and Member of Board of Trustees of RLJ Lodging Trust, 2011  2016</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sz w:val="20"/>
                                    </w:rPr>
                                  </w:pPr>
                                  <w:r>
                                    <w:rPr>
                                      <w:sz w:val="20"/>
                                    </w:rPr>
                                    <w:t>Co-Founder and President, RLJ Development, LLC, 2000  2011</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sz w:val="20"/>
                                    </w:rPr>
                                  </w:pPr>
                                  <w:r>
                                    <w:rPr>
                                      <w:sz w:val="20"/>
                                    </w:rPr>
                                    <w:t>Various management positions at Hilton Hotels Corporation, Marriott Corporation and Host Marriott Services Corporation</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sz w:val="20"/>
                                    </w:rPr>
                                  </w:pPr>
                                  <w:r>
                                    <w:rPr>
                                      <w:sz w:val="20"/>
                                    </w:rPr>
                                    <w:t>Board Member, University of Virginia Investment Management Company</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sz w:val="20"/>
                                    </w:rPr>
                                  </w:pPr>
                                  <w:r>
                                    <w:rPr>
                                      <w:sz w:val="20"/>
                                    </w:rPr>
                                    <w:t>Board Member, The Real Estate Roundtable</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sz w:val="20"/>
                                    </w:rPr>
                                  </w:pPr>
                                  <w:r>
                                    <w:rPr>
                                      <w:sz w:val="20"/>
                                    </w:rPr>
                                    <w:t>Executive Committee Member, American Hotel &amp; Lodging Association</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sz w:val="20"/>
                                    </w:rPr>
                                  </w:pPr>
                                  <w:r>
                                    <w:rPr>
                                      <w:sz w:val="20"/>
                                    </w:rPr>
                                    <w:t>Board Member, UVA McIntire School of Commerce Foundation</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5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left"/>
                        <w:rPr>
                          <w:rFonts w:ascii="Arial" w:hAnsi="Arial"/>
                          <w:color w:val="00A1E0"/>
                          <w:sz w:val="15"/>
                        </w:rPr>
                      </w:pPr>
                      <w:r>
                        <w:rPr>
                          <w:rFonts w:ascii="Arial" w:hAnsi="Arial"/>
                          <w:color w:val="00A1E0"/>
                          <w:sz w:val="15"/>
                        </w:rPr>
                        <w:t>CAREER HIGHLIGHTS:</w:t>
                      </w:r>
                    </w:p>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sz w:val="20"/>
                              </w:rPr>
                            </w:pPr>
                            <w:r>
                              <w:rPr>
                                <w:sz w:val="20"/>
                              </w:rPr>
                              <w:t>Chairman, President and Chief Executive Officer of Park Hotels &amp; Resorts, Inc., a lodging and real estate investment trust, 2017  Present</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sz w:val="20"/>
                              </w:rPr>
                            </w:pPr>
                            <w:r>
                              <w:rPr>
                                <w:sz w:val="20"/>
                              </w:rPr>
                              <w:t>President, Chief Executive Officer and Member of Board of Trustees of RLJ Lodging Trust, 2011  2016</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sz w:val="20"/>
                              </w:rPr>
                            </w:pPr>
                            <w:r>
                              <w:rPr>
                                <w:sz w:val="20"/>
                              </w:rPr>
                              <w:t>Co-Founder and President, RLJ Development, LLC, 2000  2011</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sz w:val="20"/>
                              </w:rPr>
                            </w:pPr>
                            <w:r>
                              <w:rPr>
                                <w:sz w:val="20"/>
                              </w:rPr>
                              <w:t>Various management positions at Hilton Hotels Corporation, Marriott Corporation and Host Marriott Services Corporation</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sz w:val="20"/>
                              </w:rPr>
                            </w:pPr>
                            <w:r>
                              <w:rPr>
                                <w:sz w:val="20"/>
                              </w:rPr>
                              <w:t>Board Member, University of Virginia Investment Management Company</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sz w:val="20"/>
                              </w:rPr>
                            </w:pPr>
                            <w:r>
                              <w:rPr>
                                <w:sz w:val="20"/>
                              </w:rPr>
                              <w:t>Board Member, The Real Estate Roundtable</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sz w:val="20"/>
                              </w:rPr>
                            </w:pPr>
                            <w:r>
                              <w:rPr>
                                <w:sz w:val="20"/>
                              </w:rPr>
                              <w:t>Executive Committee Member, American Hotel &amp; Lodging Association</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sz w:val="20"/>
                              </w:rPr>
                            </w:pPr>
                            <w:r>
                              <w:rPr>
                                <w:sz w:val="20"/>
                              </w:rPr>
                              <w:t>Board Member, UVA McIntire School of Commerce Foundation</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8">
                <wp:simplePos x="0" y="0"/>
                <wp:positionH relativeFrom="column">
                  <wp:align>right</wp:align>
                </wp:positionH>
                <wp:positionV relativeFrom="line">
                  <wp:posOffset>635</wp:posOffset>
                </wp:positionV>
                <wp:extent cx="3110230" cy="3117215"/>
                <wp:effectExtent l="0" t="0" r="0" b="0"/>
                <wp:wrapSquare wrapText="largest"/>
                <wp:docPr id="68" name="Frame6"/>
                <a:graphic xmlns:a="http://schemas.openxmlformats.org/drawingml/2006/main">
                  <a:graphicData uri="http://schemas.microsoft.com/office/word/2010/wordprocessingShape">
                    <wps:wsp>
                      <wps:cNvSpPr txBox="1"/>
                      <wps:spPr>
                        <a:xfrm>
                          <a:off x="0" y="0"/>
                          <a:ext cx="3110230" cy="3117215"/>
                        </a:xfrm>
                        <a:prstGeom prst="rect"/>
                      </wps:spPr>
                      <wps:txbx>
                        <w:txbxContent>
                          <w:p>
                            <w:pPr>
                              <w:pStyle w:val="TextBody"/>
                              <w:spacing w:before="0" w:after="0"/>
                              <w:jc w:val="left"/>
                              <w:rPr>
                                <w:rFonts w:ascii="Arial" w:hAnsi="Arial"/>
                                <w:color w:val="00A1E0"/>
                                <w:sz w:val="15"/>
                              </w:rPr>
                            </w:pPr>
                            <w:r>
                              <w:rPr>
                                <w:rFonts w:ascii="Arial" w:hAnsi="Arial"/>
                                <w:color w:val="00A1E0"/>
                                <w:sz w:val="15"/>
                              </w:rPr>
                              <w:t>SKILLS AND QUALIFICATIONS:</w:t>
                            </w:r>
                          </w:p>
                          <w:p>
                            <w:pPr>
                              <w:pStyle w:val="TextBody"/>
                              <w:spacing w:before="0" w:after="0"/>
                              <w:jc w:val="left"/>
                              <w:rPr>
                                <w:rFonts w:ascii="Arial" w:hAnsi="Arial"/>
                                <w:sz w:val="20"/>
                              </w:rPr>
                            </w:pPr>
                            <w:r>
                              <w:rPr>
                                <w:rFonts w:ascii="Arial" w:hAnsi="Arial"/>
                                <w:sz w:val="20"/>
                              </w:rPr>
                              <w:t>We believe that Mr. Baltimores executive leadership experience as a president and chief executive officer, extensive risk management, finance and strategy expertise, as well as his experience in the hospitality industry, render him qualified to serve as one of our directors.</w:t>
                            </w:r>
                          </w:p>
                          <w:tbl>
                            <w:tblPr>
                              <w:tblW w:w="3755" w:type="dxa"/>
                              <w:jc w:val="left"/>
                              <w:tblInd w:w="0" w:type="dxa"/>
                              <w:tblCellMar>
                                <w:top w:w="0" w:type="dxa"/>
                                <w:left w:w="0" w:type="dxa"/>
                                <w:bottom w:w="0" w:type="dxa"/>
                                <w:right w:w="0" w:type="dxa"/>
                              </w:tblCellMar>
                            </w:tblPr>
                            <w:tblGrid>
                              <w:gridCol w:w="315"/>
                              <w:gridCol w:w="3440"/>
                            </w:tblGrid>
                            <w:tr>
                              <w:trPr/>
                              <w:tc>
                                <w:tcPr>
                                  <w:tcW w:w="315" w:type="dxa"/>
                                  <w:tcBorders/>
                                  <w:shd w:fill="auto" w:val="clear"/>
                                  <w:vAlign w:val="center"/>
                                </w:tcPr>
                                <w:p>
                                  <w:pPr>
                                    <w:pStyle w:val="TableContents"/>
                                    <w:spacing w:before="0" w:after="283"/>
                                    <w:jc w:val="center"/>
                                    <w:rPr/>
                                  </w:pPr>
                                  <w:r>
                                    <w:rPr/>
                                    <w:drawing>
                                      <wp:inline distT="0" distB="0" distL="0" distR="0">
                                        <wp:extent cx="171450" cy="200025"/>
                                        <wp:effectExtent l="0" t="0" r="0" b="0"/>
                                        <wp:docPr id="69"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52" descr=""/>
                                                <pic:cNvPicPr>
                                                  <a:picLocks noChangeAspect="1" noChangeArrowheads="1"/>
                                                </pic:cNvPicPr>
                                              </pic:nvPicPr>
                                              <pic:blipFill>
                                                <a:blip r:embed="rId53"/>
                                                <a:srcRect l="-5566" t="-4810" r="-5566" b="-4810"/>
                                                <a:stretch>
                                                  <a:fillRect/>
                                                </a:stretch>
                                              </pic:blipFill>
                                              <pic:spPr bwMode="auto">
                                                <a:xfrm>
                                                  <a:off x="0" y="0"/>
                                                  <a:ext cx="171450" cy="200025"/>
                                                </a:xfrm>
                                                <a:prstGeom prst="rect">
                                                  <a:avLst/>
                                                </a:prstGeom>
                                                <a:ln w="635">
                                                  <a:solidFill>
                                                    <a:srgbClr val="000000"/>
                                                  </a:solidFill>
                                                </a:ln>
                                              </pic:spPr>
                                            </pic:pic>
                                          </a:graphicData>
                                        </a:graphic>
                                      </wp:inline>
                                    </w:drawing>
                                  </w:r>
                                </w:p>
                              </w:tc>
                              <w:tc>
                                <w:tcPr>
                                  <w:tcW w:w="3440" w:type="dxa"/>
                                  <w:tcBorders/>
                                  <w:shd w:fill="auto" w:val="clear"/>
                                  <w:vAlign w:val="center"/>
                                </w:tcPr>
                                <w:p>
                                  <w:pPr>
                                    <w:pStyle w:val="TableContents"/>
                                    <w:spacing w:before="0" w:after="0"/>
                                    <w:jc w:val="left"/>
                                    <w:rPr>
                                      <w:rFonts w:ascii="Arial" w:hAnsi="Arial"/>
                                      <w:sz w:val="20"/>
                                    </w:rPr>
                                  </w:pPr>
                                  <w:r>
                                    <w:rPr>
                                      <w:rFonts w:ascii="Arial" w:hAnsi="Arial"/>
                                      <w:sz w:val="20"/>
                                    </w:rPr>
                                    <w:t>Executive Leadership</w:t>
                                  </w:r>
                                </w:p>
                              </w:tc>
                            </w:tr>
                            <w:tr>
                              <w:trPr/>
                              <w:tc>
                                <w:tcPr>
                                  <w:tcW w:w="315" w:type="dxa"/>
                                  <w:tcBorders/>
                                  <w:shd w:fill="auto" w:val="clear"/>
                                  <w:vAlign w:val="center"/>
                                </w:tcPr>
                                <w:p>
                                  <w:pPr>
                                    <w:pStyle w:val="TableContents"/>
                                    <w:spacing w:before="0" w:after="283"/>
                                    <w:jc w:val="center"/>
                                    <w:rPr/>
                                  </w:pPr>
                                  <w:r>
                                    <w:rPr/>
                                    <w:drawing>
                                      <wp:inline distT="0" distB="0" distL="0" distR="0">
                                        <wp:extent cx="190500" cy="133350"/>
                                        <wp:effectExtent l="0" t="0" r="0" b="0"/>
                                        <wp:docPr id="70"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53" descr=""/>
                                                <pic:cNvPicPr>
                                                  <a:picLocks noChangeAspect="1" noChangeArrowheads="1"/>
                                                </pic:cNvPicPr>
                                              </pic:nvPicPr>
                                              <pic:blipFill>
                                                <a:blip r:embed="rId54"/>
                                                <a:srcRect l="-3650" t="-5293" r="-3650" b="-5293"/>
                                                <a:stretch>
                                                  <a:fillRect/>
                                                </a:stretch>
                                              </pic:blipFill>
                                              <pic:spPr bwMode="auto">
                                                <a:xfrm>
                                                  <a:off x="0" y="0"/>
                                                  <a:ext cx="190500" cy="133350"/>
                                                </a:xfrm>
                                                <a:prstGeom prst="rect">
                                                  <a:avLst/>
                                                </a:prstGeom>
                                                <a:ln w="635">
                                                  <a:solidFill>
                                                    <a:srgbClr val="000000"/>
                                                  </a:solidFill>
                                                </a:ln>
                                              </pic:spPr>
                                            </pic:pic>
                                          </a:graphicData>
                                        </a:graphic>
                                      </wp:inline>
                                    </w:drawing>
                                  </w:r>
                                </w:p>
                              </w:tc>
                              <w:tc>
                                <w:tcPr>
                                  <w:tcW w:w="3440" w:type="dxa"/>
                                  <w:tcBorders/>
                                  <w:shd w:fill="auto" w:val="clear"/>
                                  <w:vAlign w:val="center"/>
                                </w:tcPr>
                                <w:p>
                                  <w:pPr>
                                    <w:pStyle w:val="TableContents"/>
                                    <w:spacing w:before="0" w:after="283"/>
                                    <w:jc w:val="left"/>
                                    <w:rPr>
                                      <w:rFonts w:ascii="Arial" w:hAnsi="Arial"/>
                                      <w:sz w:val="20"/>
                                    </w:rPr>
                                  </w:pPr>
                                  <w:r>
                                    <w:rPr>
                                      <w:rFonts w:ascii="Arial" w:hAnsi="Arial"/>
                                      <w:sz w:val="20"/>
                                    </w:rPr>
                                    <w:t>Relevant Industry Experience</w:t>
                                  </w:r>
                                </w:p>
                              </w:tc>
                            </w:tr>
                            <w:tr>
                              <w:trPr/>
                              <w:tc>
                                <w:tcPr>
                                  <w:tcW w:w="315" w:type="dxa"/>
                                  <w:tcBorders/>
                                  <w:shd w:fill="auto" w:val="clear"/>
                                  <w:vAlign w:val="center"/>
                                </w:tcPr>
                                <w:p>
                                  <w:pPr>
                                    <w:pStyle w:val="TableContents"/>
                                    <w:spacing w:before="0" w:after="283"/>
                                    <w:jc w:val="center"/>
                                    <w:rPr/>
                                  </w:pPr>
                                  <w:r>
                                    <w:rPr/>
                                    <w:drawing>
                                      <wp:inline distT="0" distB="0" distL="0" distR="0">
                                        <wp:extent cx="190500" cy="200025"/>
                                        <wp:effectExtent l="0" t="0" r="0" b="0"/>
                                        <wp:docPr id="71"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54" descr=""/>
                                                <pic:cNvPicPr>
                                                  <a:picLocks noChangeAspect="1" noChangeArrowheads="1"/>
                                                </pic:cNvPicPr>
                                              </pic:nvPicPr>
                                              <pic:blipFill>
                                                <a:blip r:embed="rId55"/>
                                                <a:srcRect l="-3650" t="-3921" r="-3650" b="-3921"/>
                                                <a:stretch>
                                                  <a:fillRect/>
                                                </a:stretch>
                                              </pic:blipFill>
                                              <pic:spPr bwMode="auto">
                                                <a:xfrm>
                                                  <a:off x="0" y="0"/>
                                                  <a:ext cx="190500" cy="200025"/>
                                                </a:xfrm>
                                                <a:prstGeom prst="rect">
                                                  <a:avLst/>
                                                </a:prstGeom>
                                                <a:ln w="635">
                                                  <a:solidFill>
                                                    <a:srgbClr val="000000"/>
                                                  </a:solidFill>
                                                </a:ln>
                                              </pic:spPr>
                                            </pic:pic>
                                          </a:graphicData>
                                        </a:graphic>
                                      </wp:inline>
                                    </w:drawing>
                                  </w:r>
                                </w:p>
                              </w:tc>
                              <w:tc>
                                <w:tcPr>
                                  <w:tcW w:w="3440" w:type="dxa"/>
                                  <w:tcBorders/>
                                  <w:shd w:fill="auto" w:val="clear"/>
                                  <w:vAlign w:val="center"/>
                                </w:tcPr>
                                <w:p>
                                  <w:pPr>
                                    <w:pStyle w:val="TableContents"/>
                                    <w:spacing w:before="0" w:after="283"/>
                                    <w:jc w:val="left"/>
                                    <w:rPr>
                                      <w:rFonts w:ascii="Arial" w:hAnsi="Arial"/>
                                      <w:sz w:val="20"/>
                                    </w:rPr>
                                  </w:pPr>
                                  <w:r>
                                    <w:rPr>
                                      <w:rFonts w:ascii="Arial" w:hAnsi="Arial"/>
                                      <w:sz w:val="20"/>
                                    </w:rPr>
                                    <w:t>Consumer Products/Customer-Oriented</w:t>
                                  </w:r>
                                </w:p>
                              </w:tc>
                            </w:tr>
                            <w:tr>
                              <w:trPr/>
                              <w:tc>
                                <w:tcPr>
                                  <w:tcW w:w="315" w:type="dxa"/>
                                  <w:tcBorders/>
                                  <w:shd w:fill="auto" w:val="clear"/>
                                  <w:vAlign w:val="center"/>
                                </w:tcPr>
                                <w:p>
                                  <w:pPr>
                                    <w:pStyle w:val="TableContents"/>
                                    <w:spacing w:before="0" w:after="283"/>
                                    <w:jc w:val="center"/>
                                    <w:rPr/>
                                  </w:pPr>
                                  <w:r>
                                    <w:rPr/>
                                    <w:drawing>
                                      <wp:inline distT="0" distB="0" distL="0" distR="0">
                                        <wp:extent cx="200025" cy="209550"/>
                                        <wp:effectExtent l="0" t="0" r="0" b="0"/>
                                        <wp:docPr id="72"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55" descr=""/>
                                                <pic:cNvPicPr>
                                                  <a:picLocks noChangeAspect="1" noChangeArrowheads="1"/>
                                                </pic:cNvPicPr>
                                              </pic:nvPicPr>
                                              <pic:blipFill>
                                                <a:blip r:embed="rId56"/>
                                                <a:srcRect l="-4810" t="-4810" r="-4810" b="-4810"/>
                                                <a:stretch>
                                                  <a:fillRect/>
                                                </a:stretch>
                                              </pic:blipFill>
                                              <pic:spPr bwMode="auto">
                                                <a:xfrm>
                                                  <a:off x="0" y="0"/>
                                                  <a:ext cx="200025" cy="209550"/>
                                                </a:xfrm>
                                                <a:prstGeom prst="rect">
                                                  <a:avLst/>
                                                </a:prstGeom>
                                                <a:ln w="635">
                                                  <a:solidFill>
                                                    <a:srgbClr val="000000"/>
                                                  </a:solidFill>
                                                </a:ln>
                                              </pic:spPr>
                                            </pic:pic>
                                          </a:graphicData>
                                        </a:graphic>
                                      </wp:inline>
                                    </w:drawing>
                                  </w:r>
                                </w:p>
                              </w:tc>
                              <w:tc>
                                <w:tcPr>
                                  <w:tcW w:w="3440" w:type="dxa"/>
                                  <w:tcBorders/>
                                  <w:shd w:fill="auto" w:val="clear"/>
                                  <w:vAlign w:val="center"/>
                                </w:tcPr>
                                <w:p>
                                  <w:pPr>
                                    <w:pStyle w:val="TableContents"/>
                                    <w:spacing w:before="0" w:after="283"/>
                                    <w:jc w:val="left"/>
                                    <w:rPr>
                                      <w:rFonts w:ascii="Arial" w:hAnsi="Arial"/>
                                      <w:sz w:val="20"/>
                                    </w:rPr>
                                  </w:pPr>
                                  <w:r>
                                    <w:rPr>
                                      <w:rFonts w:ascii="Arial" w:hAnsi="Arial"/>
                                      <w:sz w:val="20"/>
                                    </w:rPr>
                                    <w:t xml:space="preserve">Financial/Accounting </w:t>
                                  </w:r>
                                </w:p>
                              </w:tc>
                            </w:tr>
                            <w:tr>
                              <w:trPr/>
                              <w:tc>
                                <w:tcPr>
                                  <w:tcW w:w="315" w:type="dxa"/>
                                  <w:tcBorders/>
                                  <w:shd w:fill="auto" w:val="clear"/>
                                  <w:vAlign w:val="center"/>
                                </w:tcPr>
                                <w:p>
                                  <w:pPr>
                                    <w:pStyle w:val="TableContents"/>
                                    <w:spacing w:before="0" w:after="283"/>
                                    <w:jc w:val="center"/>
                                    <w:rPr/>
                                  </w:pPr>
                                  <w:r>
                                    <w:rPr/>
                                    <w:drawing>
                                      <wp:inline distT="0" distB="0" distL="0" distR="0">
                                        <wp:extent cx="200025" cy="209550"/>
                                        <wp:effectExtent l="0" t="0" r="0" b="0"/>
                                        <wp:docPr id="73"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56" descr=""/>
                                                <pic:cNvPicPr>
                                                  <a:picLocks noChangeAspect="1" noChangeArrowheads="1"/>
                                                </pic:cNvPicPr>
                                              </pic:nvPicPr>
                                              <pic:blipFill>
                                                <a:blip r:embed="rId57"/>
                                                <a:srcRect l="-4810" t="-4810" r="-4810" b="-4810"/>
                                                <a:stretch>
                                                  <a:fillRect/>
                                                </a:stretch>
                                              </pic:blipFill>
                                              <pic:spPr bwMode="auto">
                                                <a:xfrm>
                                                  <a:off x="0" y="0"/>
                                                  <a:ext cx="200025" cy="209550"/>
                                                </a:xfrm>
                                                <a:prstGeom prst="rect">
                                                  <a:avLst/>
                                                </a:prstGeom>
                                                <a:ln w="635">
                                                  <a:solidFill>
                                                    <a:srgbClr val="000000"/>
                                                  </a:solidFill>
                                                </a:ln>
                                              </pic:spPr>
                                            </pic:pic>
                                          </a:graphicData>
                                        </a:graphic>
                                      </wp:inline>
                                    </w:drawing>
                                  </w:r>
                                </w:p>
                              </w:tc>
                              <w:tc>
                                <w:tcPr>
                                  <w:tcW w:w="3440" w:type="dxa"/>
                                  <w:tcBorders/>
                                  <w:shd w:fill="auto" w:val="clear"/>
                                  <w:vAlign w:val="center"/>
                                </w:tcPr>
                                <w:p>
                                  <w:pPr>
                                    <w:pStyle w:val="TableContents"/>
                                    <w:spacing w:before="0" w:after="283"/>
                                    <w:jc w:val="left"/>
                                    <w:rPr>
                                      <w:rFonts w:ascii="Arial" w:hAnsi="Arial"/>
                                      <w:sz w:val="20"/>
                                    </w:rPr>
                                  </w:pPr>
                                  <w:r>
                                    <w:rPr>
                                      <w:rFonts w:ascii="Arial" w:hAnsi="Arial"/>
                                      <w:sz w:val="20"/>
                                    </w:rPr>
                                    <w:t>Risk Management Oversight</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45.4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spacing w:before="0" w:after="0"/>
                        <w:jc w:val="left"/>
                        <w:rPr>
                          <w:rFonts w:ascii="Arial" w:hAnsi="Arial"/>
                          <w:color w:val="00A1E0"/>
                          <w:sz w:val="15"/>
                        </w:rPr>
                      </w:pPr>
                      <w:r>
                        <w:rPr>
                          <w:rFonts w:ascii="Arial" w:hAnsi="Arial"/>
                          <w:color w:val="00A1E0"/>
                          <w:sz w:val="15"/>
                        </w:rPr>
                        <w:t>SKILLS AND QUALIFICATIONS:</w:t>
                      </w:r>
                    </w:p>
                    <w:p>
                      <w:pPr>
                        <w:pStyle w:val="TextBody"/>
                        <w:spacing w:before="0" w:after="0"/>
                        <w:jc w:val="left"/>
                        <w:rPr>
                          <w:rFonts w:ascii="Arial" w:hAnsi="Arial"/>
                          <w:sz w:val="20"/>
                        </w:rPr>
                      </w:pPr>
                      <w:r>
                        <w:rPr>
                          <w:rFonts w:ascii="Arial" w:hAnsi="Arial"/>
                          <w:sz w:val="20"/>
                        </w:rPr>
                        <w:t>We believe that Mr. Baltimores executive leadership experience as a president and chief executive officer, extensive risk management, finance and strategy expertise, as well as his experience in the hospitality industry, render him qualified to serve as one of our directors.</w:t>
                      </w:r>
                    </w:p>
                    <w:tbl>
                      <w:tblPr>
                        <w:tblW w:w="3755" w:type="dxa"/>
                        <w:jc w:val="left"/>
                        <w:tblInd w:w="0" w:type="dxa"/>
                        <w:tblCellMar>
                          <w:top w:w="0" w:type="dxa"/>
                          <w:left w:w="0" w:type="dxa"/>
                          <w:bottom w:w="0" w:type="dxa"/>
                          <w:right w:w="0" w:type="dxa"/>
                        </w:tblCellMar>
                      </w:tblPr>
                      <w:tblGrid>
                        <w:gridCol w:w="315"/>
                        <w:gridCol w:w="3440"/>
                      </w:tblGrid>
                      <w:tr>
                        <w:trPr/>
                        <w:tc>
                          <w:tcPr>
                            <w:tcW w:w="315" w:type="dxa"/>
                            <w:tcBorders/>
                            <w:shd w:fill="auto" w:val="clear"/>
                            <w:vAlign w:val="center"/>
                          </w:tcPr>
                          <w:p>
                            <w:pPr>
                              <w:pStyle w:val="TableContents"/>
                              <w:spacing w:before="0" w:after="283"/>
                              <w:jc w:val="center"/>
                              <w:rPr/>
                            </w:pPr>
                            <w:r>
                              <w:rPr/>
                              <w:drawing>
                                <wp:inline distT="0" distB="0" distL="0" distR="0">
                                  <wp:extent cx="171450" cy="200025"/>
                                  <wp:effectExtent l="0" t="0" r="0" b="0"/>
                                  <wp:docPr id="74"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52" descr=""/>
                                          <pic:cNvPicPr>
                                            <a:picLocks noChangeAspect="1" noChangeArrowheads="1"/>
                                          </pic:cNvPicPr>
                                        </pic:nvPicPr>
                                        <pic:blipFill>
                                          <a:blip r:embed="rId53"/>
                                          <a:srcRect l="-5566" t="-4810" r="-5566" b="-4810"/>
                                          <a:stretch>
                                            <a:fillRect/>
                                          </a:stretch>
                                        </pic:blipFill>
                                        <pic:spPr bwMode="auto">
                                          <a:xfrm>
                                            <a:off x="0" y="0"/>
                                            <a:ext cx="171450" cy="200025"/>
                                          </a:xfrm>
                                          <a:prstGeom prst="rect">
                                            <a:avLst/>
                                          </a:prstGeom>
                                          <a:ln w="635">
                                            <a:solidFill>
                                              <a:srgbClr val="000000"/>
                                            </a:solidFill>
                                          </a:ln>
                                        </pic:spPr>
                                      </pic:pic>
                                    </a:graphicData>
                                  </a:graphic>
                                </wp:inline>
                              </w:drawing>
                            </w:r>
                          </w:p>
                        </w:tc>
                        <w:tc>
                          <w:tcPr>
                            <w:tcW w:w="3440" w:type="dxa"/>
                            <w:tcBorders/>
                            <w:shd w:fill="auto" w:val="clear"/>
                            <w:vAlign w:val="center"/>
                          </w:tcPr>
                          <w:p>
                            <w:pPr>
                              <w:pStyle w:val="TableContents"/>
                              <w:spacing w:before="0" w:after="0"/>
                              <w:jc w:val="left"/>
                              <w:rPr>
                                <w:rFonts w:ascii="Arial" w:hAnsi="Arial"/>
                                <w:sz w:val="20"/>
                              </w:rPr>
                            </w:pPr>
                            <w:r>
                              <w:rPr>
                                <w:rFonts w:ascii="Arial" w:hAnsi="Arial"/>
                                <w:sz w:val="20"/>
                              </w:rPr>
                              <w:t>Executive Leadership</w:t>
                            </w:r>
                          </w:p>
                        </w:tc>
                      </w:tr>
                      <w:tr>
                        <w:trPr/>
                        <w:tc>
                          <w:tcPr>
                            <w:tcW w:w="315" w:type="dxa"/>
                            <w:tcBorders/>
                            <w:shd w:fill="auto" w:val="clear"/>
                            <w:vAlign w:val="center"/>
                          </w:tcPr>
                          <w:p>
                            <w:pPr>
                              <w:pStyle w:val="TableContents"/>
                              <w:spacing w:before="0" w:after="283"/>
                              <w:jc w:val="center"/>
                              <w:rPr/>
                            </w:pPr>
                            <w:r>
                              <w:rPr/>
                              <w:drawing>
                                <wp:inline distT="0" distB="0" distL="0" distR="0">
                                  <wp:extent cx="190500" cy="133350"/>
                                  <wp:effectExtent l="0" t="0" r="0" b="0"/>
                                  <wp:docPr id="75"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53" descr=""/>
                                          <pic:cNvPicPr>
                                            <a:picLocks noChangeAspect="1" noChangeArrowheads="1"/>
                                          </pic:cNvPicPr>
                                        </pic:nvPicPr>
                                        <pic:blipFill>
                                          <a:blip r:embed="rId54"/>
                                          <a:srcRect l="-3650" t="-5293" r="-3650" b="-5293"/>
                                          <a:stretch>
                                            <a:fillRect/>
                                          </a:stretch>
                                        </pic:blipFill>
                                        <pic:spPr bwMode="auto">
                                          <a:xfrm>
                                            <a:off x="0" y="0"/>
                                            <a:ext cx="190500" cy="133350"/>
                                          </a:xfrm>
                                          <a:prstGeom prst="rect">
                                            <a:avLst/>
                                          </a:prstGeom>
                                          <a:ln w="635">
                                            <a:solidFill>
                                              <a:srgbClr val="000000"/>
                                            </a:solidFill>
                                          </a:ln>
                                        </pic:spPr>
                                      </pic:pic>
                                    </a:graphicData>
                                  </a:graphic>
                                </wp:inline>
                              </w:drawing>
                            </w:r>
                          </w:p>
                        </w:tc>
                        <w:tc>
                          <w:tcPr>
                            <w:tcW w:w="3440" w:type="dxa"/>
                            <w:tcBorders/>
                            <w:shd w:fill="auto" w:val="clear"/>
                            <w:vAlign w:val="center"/>
                          </w:tcPr>
                          <w:p>
                            <w:pPr>
                              <w:pStyle w:val="TableContents"/>
                              <w:spacing w:before="0" w:after="283"/>
                              <w:jc w:val="left"/>
                              <w:rPr>
                                <w:rFonts w:ascii="Arial" w:hAnsi="Arial"/>
                                <w:sz w:val="20"/>
                              </w:rPr>
                            </w:pPr>
                            <w:r>
                              <w:rPr>
                                <w:rFonts w:ascii="Arial" w:hAnsi="Arial"/>
                                <w:sz w:val="20"/>
                              </w:rPr>
                              <w:t>Relevant Industry Experience</w:t>
                            </w:r>
                          </w:p>
                        </w:tc>
                      </w:tr>
                      <w:tr>
                        <w:trPr/>
                        <w:tc>
                          <w:tcPr>
                            <w:tcW w:w="315" w:type="dxa"/>
                            <w:tcBorders/>
                            <w:shd w:fill="auto" w:val="clear"/>
                            <w:vAlign w:val="center"/>
                          </w:tcPr>
                          <w:p>
                            <w:pPr>
                              <w:pStyle w:val="TableContents"/>
                              <w:spacing w:before="0" w:after="283"/>
                              <w:jc w:val="center"/>
                              <w:rPr/>
                            </w:pPr>
                            <w:r>
                              <w:rPr/>
                              <w:drawing>
                                <wp:inline distT="0" distB="0" distL="0" distR="0">
                                  <wp:extent cx="190500" cy="200025"/>
                                  <wp:effectExtent l="0" t="0" r="0" b="0"/>
                                  <wp:docPr id="76"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54" descr=""/>
                                          <pic:cNvPicPr>
                                            <a:picLocks noChangeAspect="1" noChangeArrowheads="1"/>
                                          </pic:cNvPicPr>
                                        </pic:nvPicPr>
                                        <pic:blipFill>
                                          <a:blip r:embed="rId55"/>
                                          <a:srcRect l="-3650" t="-3921" r="-3650" b="-3921"/>
                                          <a:stretch>
                                            <a:fillRect/>
                                          </a:stretch>
                                        </pic:blipFill>
                                        <pic:spPr bwMode="auto">
                                          <a:xfrm>
                                            <a:off x="0" y="0"/>
                                            <a:ext cx="190500" cy="200025"/>
                                          </a:xfrm>
                                          <a:prstGeom prst="rect">
                                            <a:avLst/>
                                          </a:prstGeom>
                                          <a:ln w="635">
                                            <a:solidFill>
                                              <a:srgbClr val="000000"/>
                                            </a:solidFill>
                                          </a:ln>
                                        </pic:spPr>
                                      </pic:pic>
                                    </a:graphicData>
                                  </a:graphic>
                                </wp:inline>
                              </w:drawing>
                            </w:r>
                          </w:p>
                        </w:tc>
                        <w:tc>
                          <w:tcPr>
                            <w:tcW w:w="3440" w:type="dxa"/>
                            <w:tcBorders/>
                            <w:shd w:fill="auto" w:val="clear"/>
                            <w:vAlign w:val="center"/>
                          </w:tcPr>
                          <w:p>
                            <w:pPr>
                              <w:pStyle w:val="TableContents"/>
                              <w:spacing w:before="0" w:after="283"/>
                              <w:jc w:val="left"/>
                              <w:rPr>
                                <w:rFonts w:ascii="Arial" w:hAnsi="Arial"/>
                                <w:sz w:val="20"/>
                              </w:rPr>
                            </w:pPr>
                            <w:r>
                              <w:rPr>
                                <w:rFonts w:ascii="Arial" w:hAnsi="Arial"/>
                                <w:sz w:val="20"/>
                              </w:rPr>
                              <w:t>Consumer Products/Customer-Oriented</w:t>
                            </w:r>
                          </w:p>
                        </w:tc>
                      </w:tr>
                      <w:tr>
                        <w:trPr/>
                        <w:tc>
                          <w:tcPr>
                            <w:tcW w:w="315" w:type="dxa"/>
                            <w:tcBorders/>
                            <w:shd w:fill="auto" w:val="clear"/>
                            <w:vAlign w:val="center"/>
                          </w:tcPr>
                          <w:p>
                            <w:pPr>
                              <w:pStyle w:val="TableContents"/>
                              <w:spacing w:before="0" w:after="283"/>
                              <w:jc w:val="center"/>
                              <w:rPr/>
                            </w:pPr>
                            <w:r>
                              <w:rPr/>
                              <w:drawing>
                                <wp:inline distT="0" distB="0" distL="0" distR="0">
                                  <wp:extent cx="200025" cy="209550"/>
                                  <wp:effectExtent l="0" t="0" r="0" b="0"/>
                                  <wp:docPr id="77"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55" descr=""/>
                                          <pic:cNvPicPr>
                                            <a:picLocks noChangeAspect="1" noChangeArrowheads="1"/>
                                          </pic:cNvPicPr>
                                        </pic:nvPicPr>
                                        <pic:blipFill>
                                          <a:blip r:embed="rId56"/>
                                          <a:srcRect l="-4810" t="-4810" r="-4810" b="-4810"/>
                                          <a:stretch>
                                            <a:fillRect/>
                                          </a:stretch>
                                        </pic:blipFill>
                                        <pic:spPr bwMode="auto">
                                          <a:xfrm>
                                            <a:off x="0" y="0"/>
                                            <a:ext cx="200025" cy="209550"/>
                                          </a:xfrm>
                                          <a:prstGeom prst="rect">
                                            <a:avLst/>
                                          </a:prstGeom>
                                          <a:ln w="635">
                                            <a:solidFill>
                                              <a:srgbClr val="000000"/>
                                            </a:solidFill>
                                          </a:ln>
                                        </pic:spPr>
                                      </pic:pic>
                                    </a:graphicData>
                                  </a:graphic>
                                </wp:inline>
                              </w:drawing>
                            </w:r>
                          </w:p>
                        </w:tc>
                        <w:tc>
                          <w:tcPr>
                            <w:tcW w:w="3440" w:type="dxa"/>
                            <w:tcBorders/>
                            <w:shd w:fill="auto" w:val="clear"/>
                            <w:vAlign w:val="center"/>
                          </w:tcPr>
                          <w:p>
                            <w:pPr>
                              <w:pStyle w:val="TableContents"/>
                              <w:spacing w:before="0" w:after="283"/>
                              <w:jc w:val="left"/>
                              <w:rPr>
                                <w:rFonts w:ascii="Arial" w:hAnsi="Arial"/>
                                <w:sz w:val="20"/>
                              </w:rPr>
                            </w:pPr>
                            <w:r>
                              <w:rPr>
                                <w:rFonts w:ascii="Arial" w:hAnsi="Arial"/>
                                <w:sz w:val="20"/>
                              </w:rPr>
                              <w:t xml:space="preserve">Financial/Accounting </w:t>
                            </w:r>
                          </w:p>
                        </w:tc>
                      </w:tr>
                      <w:tr>
                        <w:trPr/>
                        <w:tc>
                          <w:tcPr>
                            <w:tcW w:w="315" w:type="dxa"/>
                            <w:tcBorders/>
                            <w:shd w:fill="auto" w:val="clear"/>
                            <w:vAlign w:val="center"/>
                          </w:tcPr>
                          <w:p>
                            <w:pPr>
                              <w:pStyle w:val="TableContents"/>
                              <w:spacing w:before="0" w:after="283"/>
                              <w:jc w:val="center"/>
                              <w:rPr/>
                            </w:pPr>
                            <w:r>
                              <w:rPr/>
                              <w:drawing>
                                <wp:inline distT="0" distB="0" distL="0" distR="0">
                                  <wp:extent cx="200025" cy="209550"/>
                                  <wp:effectExtent l="0" t="0" r="0" b="0"/>
                                  <wp:docPr id="78"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56" descr=""/>
                                          <pic:cNvPicPr>
                                            <a:picLocks noChangeAspect="1" noChangeArrowheads="1"/>
                                          </pic:cNvPicPr>
                                        </pic:nvPicPr>
                                        <pic:blipFill>
                                          <a:blip r:embed="rId57"/>
                                          <a:srcRect l="-4810" t="-4810" r="-4810" b="-4810"/>
                                          <a:stretch>
                                            <a:fillRect/>
                                          </a:stretch>
                                        </pic:blipFill>
                                        <pic:spPr bwMode="auto">
                                          <a:xfrm>
                                            <a:off x="0" y="0"/>
                                            <a:ext cx="200025" cy="209550"/>
                                          </a:xfrm>
                                          <a:prstGeom prst="rect">
                                            <a:avLst/>
                                          </a:prstGeom>
                                          <a:ln w="635">
                                            <a:solidFill>
                                              <a:srgbClr val="000000"/>
                                            </a:solidFill>
                                          </a:ln>
                                        </pic:spPr>
                                      </pic:pic>
                                    </a:graphicData>
                                  </a:graphic>
                                </wp:inline>
                              </w:drawing>
                            </w:r>
                          </w:p>
                        </w:tc>
                        <w:tc>
                          <w:tcPr>
                            <w:tcW w:w="3440" w:type="dxa"/>
                            <w:tcBorders/>
                            <w:shd w:fill="auto" w:val="clear"/>
                            <w:vAlign w:val="center"/>
                          </w:tcPr>
                          <w:p>
                            <w:pPr>
                              <w:pStyle w:val="TableContents"/>
                              <w:spacing w:before="0" w:after="283"/>
                              <w:jc w:val="left"/>
                              <w:rPr>
                                <w:rFonts w:ascii="Arial" w:hAnsi="Arial"/>
                                <w:sz w:val="20"/>
                              </w:rPr>
                            </w:pPr>
                            <w:r>
                              <w:rPr>
                                <w:rFonts w:ascii="Arial" w:hAnsi="Arial"/>
                                <w:sz w:val="20"/>
                              </w:rPr>
                              <w:t>Risk Management Oversight</w:t>
                            </w:r>
                          </w:p>
                        </w:tc>
                      </w:tr>
                    </w:tbl>
                    <w:p>
                      <w:pPr>
                        <w:pStyle w:val="TextBody"/>
                        <w:spacing w:before="0" w:after="283"/>
                        <w:rPr/>
                      </w:pPr>
                      <w:r>
                        <w:rPr/>
                      </w:r>
                    </w:p>
                  </w:txbxContent>
                </v:textbox>
                <w10:wrap type="square" side="left"/>
              </v:rect>
            </w:pict>
          </mc:Fallback>
        </mc:AlternateContent>
      </w:r>
    </w:p>
    <w:tbl>
      <w:tblPr>
        <w:tblW w:w="2095" w:type="dxa"/>
        <w:jc w:val="left"/>
        <w:tblInd w:w="0" w:type="dxa"/>
        <w:tblCellMar>
          <w:top w:w="0" w:type="dxa"/>
          <w:left w:w="0" w:type="dxa"/>
          <w:bottom w:w="0" w:type="dxa"/>
          <w:right w:w="0" w:type="dxa"/>
        </w:tblCellMar>
      </w:tblPr>
      <w:tblGrid>
        <w:gridCol w:w="1895"/>
        <w:gridCol w:w="200"/>
      </w:tblGrid>
      <w:tr>
        <w:trPr/>
        <w:tc>
          <w:tcPr>
            <w:tcW w:w="1895" w:type="dxa"/>
            <w:tcBorders/>
            <w:shd w:fill="auto" w:val="clear"/>
            <w:vAlign w:val="center"/>
          </w:tcPr>
          <w:p>
            <w:pPr>
              <w:pStyle w:val="TableContents"/>
              <w:spacing w:before="0" w:after="283"/>
              <w:jc w:val="right"/>
              <w:rPr>
                <w:rFonts w:ascii="Arial" w:hAnsi="Arial"/>
                <w:sz w:val="15"/>
              </w:rPr>
            </w:pPr>
            <w:r>
              <w:rPr>
                <w:rFonts w:ascii="Arial" w:hAnsi="Arial"/>
                <w:sz w:val="15"/>
              </w:rPr>
              <w:t>2023 Proxy Statement       </w:t>
            </w:r>
          </w:p>
        </w:tc>
        <w:tc>
          <w:tcPr>
            <w:tcW w:w="200" w:type="dxa"/>
            <w:tcBorders/>
            <w:shd w:fill="auto" w:val="clear"/>
            <w:vAlign w:val="center"/>
          </w:tcPr>
          <w:p>
            <w:pPr>
              <w:pStyle w:val="TableContents"/>
              <w:spacing w:before="0" w:after="283"/>
              <w:jc w:val="right"/>
              <w:rPr/>
            </w:pPr>
            <w:r>
              <w:rPr>
                <w:rStyle w:val="StrongEmphasis"/>
                <w:rFonts w:ascii="Arial" w:hAnsi="Arial"/>
                <w:sz w:val="15"/>
              </w:rPr>
              <w:t>15</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8600" w:type="dxa"/>
        <w:jc w:val="left"/>
        <w:tblInd w:w="0" w:type="dxa"/>
        <w:tblCellMar>
          <w:top w:w="0" w:type="dxa"/>
          <w:left w:w="0" w:type="dxa"/>
          <w:bottom w:w="160" w:type="dxa"/>
          <w:right w:w="0" w:type="dxa"/>
        </w:tblCellMar>
      </w:tblPr>
      <w:tblGrid>
        <w:gridCol w:w="7040"/>
        <w:gridCol w:w="1560"/>
      </w:tblGrid>
      <w:tr>
        <w:trPr/>
        <w:tc>
          <w:tcPr>
            <w:tcW w:w="7040" w:type="dxa"/>
            <w:tcBorders>
              <w:bottom w:val="single" w:sz="8" w:space="0" w:color="000000"/>
            </w:tcBorders>
            <w:shd w:fill="auto" w:val="clear"/>
            <w:vAlign w:val="center"/>
          </w:tcPr>
          <w:p>
            <w:pPr>
              <w:pStyle w:val="TableContents"/>
              <w:spacing w:before="0" w:after="0"/>
              <w:jc w:val="left"/>
              <w:rPr/>
            </w:pPr>
            <w:r>
              <w:rPr>
                <w:rStyle w:val="StrongEmphasis"/>
                <w:rFonts w:ascii="Arial" w:hAnsi="Arial"/>
                <w:sz w:val="24"/>
              </w:rPr>
              <w:t>Madeline S. Bell</w:t>
            </w:r>
          </w:p>
          <w:p>
            <w:pPr>
              <w:pStyle w:val="TableContents"/>
              <w:spacing w:before="0" w:after="0"/>
              <w:jc w:val="left"/>
              <w:rPr/>
            </w:pPr>
            <w:r>
              <w:rPr>
                <w:rStyle w:val="StrongEmphasis"/>
                <w:rFonts w:ascii="Arial" w:hAnsi="Arial"/>
                <w:color w:val="00A1E0"/>
                <w:sz w:val="15"/>
              </w:rPr>
              <w:t>INDEPENDENT</w:t>
            </w:r>
          </w:p>
          <w:p>
            <w:pPr>
              <w:pStyle w:val="TableContents"/>
              <w:spacing w:before="0" w:after="0"/>
              <w:jc w:val="left"/>
              <w:rPr>
                <w:rFonts w:ascii="Arial" w:hAnsi="Arial"/>
                <w:sz w:val="20"/>
              </w:rPr>
            </w:pPr>
            <w:r>
              <w:rPr>
                <w:rFonts w:ascii="Arial" w:hAnsi="Arial"/>
                <w:sz w:val="20"/>
              </w:rPr>
              <w:t>President and Chief Executive Officer of The Childrens Hospital of Philadelphia</w:t>
            </w:r>
          </w:p>
        </w:tc>
        <w:tc>
          <w:tcPr>
            <w:tcW w:w="1560" w:type="dxa"/>
            <w:vMerge w:val="restart"/>
            <w:tcBorders/>
            <w:shd w:fill="auto" w:val="clear"/>
            <w:tcMar>
              <w:bottom w:w="0" w:type="dxa"/>
            </w:tcMar>
            <w:vAlign w:val="center"/>
          </w:tcPr>
          <w:p>
            <w:pPr>
              <w:pStyle w:val="TableContents"/>
              <w:spacing w:before="0" w:after="283"/>
              <w:jc w:val="left"/>
              <w:rPr/>
            </w:pPr>
            <w:r>
              <w:rPr/>
              <w:drawing>
                <wp:inline distT="0" distB="0" distL="0" distR="0">
                  <wp:extent cx="990600" cy="3048000"/>
                  <wp:effectExtent l="0" t="0" r="0" b="0"/>
                  <wp:docPr id="79"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57" descr=""/>
                          <pic:cNvPicPr>
                            <a:picLocks noChangeAspect="1" noChangeArrowheads="1"/>
                          </pic:cNvPicPr>
                        </pic:nvPicPr>
                        <pic:blipFill>
                          <a:blip r:embed="rId58"/>
                          <a:srcRect l="-332" t="-330" r="-332" b="-330"/>
                          <a:stretch>
                            <a:fillRect/>
                          </a:stretch>
                        </pic:blipFill>
                        <pic:spPr bwMode="auto">
                          <a:xfrm>
                            <a:off x="0" y="0"/>
                            <a:ext cx="990600" cy="3048000"/>
                          </a:xfrm>
                          <a:prstGeom prst="rect">
                            <a:avLst/>
                          </a:prstGeom>
                          <a:ln w="635">
                            <a:solidFill>
                              <a:srgbClr val="000000"/>
                            </a:solidFill>
                          </a:ln>
                        </pic:spPr>
                      </pic:pic>
                    </a:graphicData>
                  </a:graphic>
                </wp:inline>
              </w:drawing>
            </w:r>
          </w:p>
        </w:tc>
      </w:tr>
      <w:tr>
        <w:trPr/>
        <w:tc>
          <w:tcPr>
            <w:tcW w:w="7040" w:type="dxa"/>
            <w:tcBorders/>
            <w:shd w:fill="auto" w:val="clear"/>
            <w:tcMar>
              <w:bottom w:w="0" w:type="dxa"/>
            </w:tcMar>
            <w:vAlign w:val="center"/>
          </w:tcPr>
          <w:p>
            <w:pPr>
              <w:pStyle w:val="TableContents"/>
              <w:spacing w:before="0" w:after="283"/>
              <w:jc w:val="left"/>
              <w:rPr/>
            </w:pPr>
            <w:r>
              <w:rPr/>
              <w:t> </w:t>
            </w:r>
            <w:r>
              <w:rPr/>
              <w:br/>
              <w:t> </w:t>
            </w:r>
          </w:p>
        </w:tc>
        <w:tc>
          <w:tcPr>
            <w:tcW w:w="1560" w:type="dxa"/>
            <w:vMerge w:val="continue"/>
            <w:tcBorders/>
            <w:shd w:fill="auto" w:val="clear"/>
            <w:tcMar>
              <w:bottom w:w="0" w:type="dxa"/>
            </w:tcMar>
            <w:vAlign w:val="center"/>
          </w:tcPr>
          <w:p>
            <w:pPr>
              <w:pStyle w:val="Normal"/>
              <w:rPr/>
            </w:pPr>
            <w:r>
              <w:rPr/>
            </w:r>
          </w:p>
        </w:tc>
      </w:tr>
    </w:tbl>
    <w:p>
      <w:pPr>
        <w:pStyle w:val="TextBody"/>
        <w:spacing w:before="0" w:after="283"/>
        <w:jc w:val="left"/>
        <w:rPr/>
      </w:pPr>
      <w:r>
        <w:rPr>
          <w:rFonts w:ascii="Arial" w:hAnsi="Arial"/>
          <w:sz w:val="20"/>
          <w:highlight w:val="cyan"/>
        </w:rPr>
        <w:t xml:space="preserve">Age: </w:t>
      </w:r>
      <w:r>
        <w:rPr>
          <w:rStyle w:val="StrongEmphasis"/>
          <w:rFonts w:ascii="Arial" w:hAnsi="Arial"/>
          <w:sz w:val="20"/>
          <w:highlight w:val="cyan"/>
        </w:rPr>
        <w:t>61</w:t>
        <w:br/>
      </w:r>
      <w:r>
        <w:rPr>
          <w:rFonts w:ascii="Arial" w:hAnsi="Arial"/>
          <w:sz w:val="20"/>
          <w:highlight w:val="cyan"/>
        </w:rPr>
        <w:t xml:space="preserve">Director since: </w:t>
      </w:r>
      <w:r>
        <w:rPr>
          <w:rStyle w:val="StrongEmphasis"/>
          <w:rFonts w:ascii="Arial" w:hAnsi="Arial"/>
          <w:sz w:val="20"/>
          <w:highlight w:val="cyan"/>
        </w:rPr>
        <w:t>February 2016</w:t>
        <w:br/>
      </w:r>
      <w:r>
        <w:rPr>
          <w:rFonts w:ascii="Arial" w:hAnsi="Arial"/>
          <w:sz w:val="20"/>
          <w:highlight w:val="cyan"/>
        </w:rPr>
        <w:t xml:space="preserve">Committees: </w:t>
      </w:r>
      <w:r>
        <w:rPr>
          <w:rStyle w:val="StrongEmphasis"/>
          <w:rFonts w:ascii="Arial" w:hAnsi="Arial"/>
          <w:sz w:val="20"/>
          <w:highlight w:val="cyan"/>
        </w:rPr>
        <w:t>Governance and Corporate Responsibility</w:t>
      </w:r>
    </w:p>
    <w:p>
      <w:pPr>
        <w:pStyle w:val="TextBody"/>
        <w:spacing w:before="0" w:after="0"/>
        <w:rPr/>
      </w:pPr>
      <w:r>
        <w:rPr/>
      </w:r>
      <w:r>
        <mc:AlternateContent>
          <mc:Choice Requires="wps">
            <w:drawing>
              <wp:anchor behindDoc="0" distT="0" distB="0" distL="0" distR="0" simplePos="0" locked="0" layoutInCell="1" allowOverlap="1" relativeHeight="29">
                <wp:simplePos x="0" y="0"/>
                <wp:positionH relativeFrom="column">
                  <wp:align>left</wp:align>
                </wp:positionH>
                <wp:positionV relativeFrom="line">
                  <wp:posOffset>635</wp:posOffset>
                </wp:positionV>
                <wp:extent cx="3110230" cy="3006090"/>
                <wp:effectExtent l="0" t="0" r="0" b="0"/>
                <wp:wrapSquare wrapText="largest"/>
                <wp:docPr id="80" name="Frame7"/>
                <a:graphic xmlns:a="http://schemas.openxmlformats.org/drawingml/2006/main">
                  <a:graphicData uri="http://schemas.microsoft.com/office/word/2010/wordprocessingShape">
                    <wps:wsp>
                      <wps:cNvSpPr txBox="1"/>
                      <wps:spPr>
                        <a:xfrm>
                          <a:off x="0" y="0"/>
                          <a:ext cx="3110230" cy="3006090"/>
                        </a:xfrm>
                        <a:prstGeom prst="rect"/>
                      </wps:spPr>
                      <wps:txbx>
                        <w:txbxContent>
                          <w:p>
                            <w:pPr>
                              <w:pStyle w:val="TextBody"/>
                              <w:spacing w:before="0" w:after="0"/>
                              <w:jc w:val="left"/>
                              <w:rPr>
                                <w:rFonts w:ascii="Arial" w:hAnsi="Arial"/>
                                <w:color w:val="00A1E0"/>
                                <w:sz w:val="15"/>
                              </w:rPr>
                            </w:pPr>
                            <w:r>
                              <w:rPr>
                                <w:rFonts w:ascii="Arial" w:hAnsi="Arial"/>
                                <w:color w:val="00A1E0"/>
                                <w:sz w:val="15"/>
                              </w:rPr>
                              <w:t>CAREER HIGHLIGHTS:</w:t>
                            </w:r>
                          </w:p>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sz w:val="20"/>
                                    </w:rPr>
                                  </w:pPr>
                                  <w:r>
                                    <w:rPr>
                                      <w:sz w:val="20"/>
                                    </w:rPr>
                                    <w:t>President and Chief Executive Officer, The Childrens Hospital of Philadelphia (CHOP), a top-ranked childrens health system and research institute with 23,000 employees and over $3.2 billion of annual revenue, 2015  Present</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sz w:val="20"/>
                                    </w:rPr>
                                  </w:pPr>
                                  <w:r>
                                    <w:rPr>
                                      <w:sz w:val="20"/>
                                    </w:rPr>
                                    <w:t>Multiple Leadership Roles, including Chief Operating Officer, CHOP, 1995  2015</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sz w:val="20"/>
                                    </w:rPr>
                                  </w:pPr>
                                  <w:r>
                                    <w:rPr>
                                      <w:sz w:val="20"/>
                                    </w:rPr>
                                    <w:t>Began career as a pediatric nurse in 1983, moved from a variety of different nursing roles into hospital administration in 1989 and holds a Master of Science in Organizational Dynamics from the University of Pennsylvania</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sz w:val="20"/>
                                    </w:rPr>
                                  </w:pPr>
                                  <w:r>
                                    <w:rPr>
                                      <w:sz w:val="20"/>
                                    </w:rPr>
                                    <w:t>Board Member, Leonard Davis Institute of Health Economics</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sz w:val="20"/>
                                    </w:rPr>
                                  </w:pPr>
                                  <w:r>
                                    <w:rPr>
                                      <w:sz w:val="20"/>
                                    </w:rPr>
                                    <w:t>Board Member, Solutions for Patient Safety</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sz w:val="20"/>
                                    </w:rPr>
                                  </w:pPr>
                                  <w:r>
                                    <w:rPr>
                                      <w:sz w:val="20"/>
                                    </w:rPr>
                                    <w:t>Executive Committee Member, Greater Philadelphia Chamber of Commerce and Member, CEO Council for Growth</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sz w:val="20"/>
                                    </w:rPr>
                                  </w:pPr>
                                  <w:r>
                                    <w:rPr>
                                      <w:sz w:val="20"/>
                                    </w:rPr>
                                    <w:t>Former Board Chair, Federal Reserve Bank of Philadelphia</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36.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left"/>
                        <w:rPr>
                          <w:rFonts w:ascii="Arial" w:hAnsi="Arial"/>
                          <w:color w:val="00A1E0"/>
                          <w:sz w:val="15"/>
                        </w:rPr>
                      </w:pPr>
                      <w:r>
                        <w:rPr>
                          <w:rFonts w:ascii="Arial" w:hAnsi="Arial"/>
                          <w:color w:val="00A1E0"/>
                          <w:sz w:val="15"/>
                        </w:rPr>
                        <w:t>CAREER HIGHLIGHTS:</w:t>
                      </w:r>
                    </w:p>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sz w:val="20"/>
                              </w:rPr>
                            </w:pPr>
                            <w:r>
                              <w:rPr>
                                <w:sz w:val="20"/>
                              </w:rPr>
                              <w:t>President and Chief Executive Officer, The Childrens Hospital of Philadelphia (CHOP), a top-ranked childrens health system and research institute with 23,000 employees and over $3.2 billion of annual revenue, 2015  Present</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sz w:val="20"/>
                              </w:rPr>
                            </w:pPr>
                            <w:r>
                              <w:rPr>
                                <w:sz w:val="20"/>
                              </w:rPr>
                              <w:t>Multiple Leadership Roles, including Chief Operating Officer, CHOP, 1995  2015</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sz w:val="20"/>
                              </w:rPr>
                            </w:pPr>
                            <w:r>
                              <w:rPr>
                                <w:sz w:val="20"/>
                              </w:rPr>
                              <w:t>Began career as a pediatric nurse in 1983, moved from a variety of different nursing roles into hospital administration in 1989 and holds a Master of Science in Organizational Dynamics from the University of Pennsylvania</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sz w:val="20"/>
                              </w:rPr>
                            </w:pPr>
                            <w:r>
                              <w:rPr>
                                <w:sz w:val="20"/>
                              </w:rPr>
                              <w:t>Board Member, Leonard Davis Institute of Health Economics</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sz w:val="20"/>
                              </w:rPr>
                            </w:pPr>
                            <w:r>
                              <w:rPr>
                                <w:sz w:val="20"/>
                              </w:rPr>
                              <w:t>Board Member, Solutions for Patient Safety</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sz w:val="20"/>
                              </w:rPr>
                            </w:pPr>
                            <w:r>
                              <w:rPr>
                                <w:sz w:val="20"/>
                              </w:rPr>
                              <w:t>Executive Committee Member, Greater Philadelphia Chamber of Commerce and Member, CEO Council for Growth</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sz w:val="20"/>
                              </w:rPr>
                            </w:pPr>
                            <w:r>
                              <w:rPr>
                                <w:sz w:val="20"/>
                              </w:rPr>
                              <w:t>Former Board Chair, Federal Reserve Bank of Philadelphia</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0">
                <wp:simplePos x="0" y="0"/>
                <wp:positionH relativeFrom="column">
                  <wp:align>right</wp:align>
                </wp:positionH>
                <wp:positionV relativeFrom="line">
                  <wp:posOffset>635</wp:posOffset>
                </wp:positionV>
                <wp:extent cx="3110230" cy="2442210"/>
                <wp:effectExtent l="0" t="0" r="0" b="0"/>
                <wp:wrapSquare wrapText="largest"/>
                <wp:docPr id="81" name="Frame8"/>
                <a:graphic xmlns:a="http://schemas.openxmlformats.org/drawingml/2006/main">
                  <a:graphicData uri="http://schemas.microsoft.com/office/word/2010/wordprocessingShape">
                    <wps:wsp>
                      <wps:cNvSpPr txBox="1"/>
                      <wps:spPr>
                        <a:xfrm>
                          <a:off x="0" y="0"/>
                          <a:ext cx="3110230" cy="2442210"/>
                        </a:xfrm>
                        <a:prstGeom prst="rect"/>
                      </wps:spPr>
                      <wps:txbx>
                        <w:txbxContent>
                          <w:p>
                            <w:pPr>
                              <w:pStyle w:val="TextBody"/>
                              <w:spacing w:before="0" w:after="0"/>
                              <w:jc w:val="left"/>
                              <w:rPr>
                                <w:rFonts w:ascii="Arial" w:hAnsi="Arial"/>
                                <w:color w:val="00A1E0"/>
                                <w:sz w:val="15"/>
                              </w:rPr>
                            </w:pPr>
                            <w:r>
                              <w:rPr>
                                <w:rFonts w:ascii="Arial" w:hAnsi="Arial"/>
                                <w:color w:val="00A1E0"/>
                                <w:sz w:val="15"/>
                              </w:rPr>
                              <w:t>SKILLS AND QUALIFICATIONS:</w:t>
                            </w:r>
                          </w:p>
                          <w:p>
                            <w:pPr>
                              <w:pStyle w:val="TextBody"/>
                              <w:spacing w:before="0" w:after="0"/>
                              <w:jc w:val="left"/>
                              <w:rPr>
                                <w:rFonts w:ascii="Arial" w:hAnsi="Arial"/>
                                <w:sz w:val="20"/>
                              </w:rPr>
                            </w:pPr>
                            <w:r>
                              <w:rPr>
                                <w:rFonts w:ascii="Arial" w:hAnsi="Arial"/>
                                <w:sz w:val="20"/>
                              </w:rPr>
                              <w:t>We believe that Ms. Bells experience and leadership of CHOP, including her oversight of risk management efforts, and her experience in the non-profit community render her qualified to serve as one of our directors.</w:t>
                            </w:r>
                          </w:p>
                          <w:tbl>
                            <w:tblPr>
                              <w:tblW w:w="3755" w:type="dxa"/>
                              <w:jc w:val="left"/>
                              <w:tblInd w:w="0" w:type="dxa"/>
                              <w:tblCellMar>
                                <w:top w:w="0" w:type="dxa"/>
                                <w:left w:w="0" w:type="dxa"/>
                                <w:bottom w:w="0" w:type="dxa"/>
                                <w:right w:w="0" w:type="dxa"/>
                              </w:tblCellMar>
                            </w:tblPr>
                            <w:tblGrid>
                              <w:gridCol w:w="315"/>
                              <w:gridCol w:w="3440"/>
                            </w:tblGrid>
                            <w:tr>
                              <w:trPr/>
                              <w:tc>
                                <w:tcPr>
                                  <w:tcW w:w="315" w:type="dxa"/>
                                  <w:tcBorders/>
                                  <w:shd w:fill="auto" w:val="clear"/>
                                  <w:vAlign w:val="center"/>
                                </w:tcPr>
                                <w:p>
                                  <w:pPr>
                                    <w:pStyle w:val="TableContents"/>
                                    <w:spacing w:before="0" w:after="283"/>
                                    <w:jc w:val="center"/>
                                    <w:rPr/>
                                  </w:pPr>
                                  <w:r>
                                    <w:rPr/>
                                    <w:drawing>
                                      <wp:inline distT="0" distB="0" distL="0" distR="0">
                                        <wp:extent cx="171450" cy="200025"/>
                                        <wp:effectExtent l="0" t="0" r="0" b="0"/>
                                        <wp:docPr id="82"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58" descr=""/>
                                                <pic:cNvPicPr>
                                                  <a:picLocks noChangeAspect="1" noChangeArrowheads="1"/>
                                                </pic:cNvPicPr>
                                              </pic:nvPicPr>
                                              <pic:blipFill>
                                                <a:blip r:embed="rId59"/>
                                                <a:srcRect l="-5566" t="-4810" r="-5566" b="-4810"/>
                                                <a:stretch>
                                                  <a:fillRect/>
                                                </a:stretch>
                                              </pic:blipFill>
                                              <pic:spPr bwMode="auto">
                                                <a:xfrm>
                                                  <a:off x="0" y="0"/>
                                                  <a:ext cx="171450" cy="200025"/>
                                                </a:xfrm>
                                                <a:prstGeom prst="rect">
                                                  <a:avLst/>
                                                </a:prstGeom>
                                                <a:ln w="635">
                                                  <a:solidFill>
                                                    <a:srgbClr val="000000"/>
                                                  </a:solidFill>
                                                </a:ln>
                                              </pic:spPr>
                                            </pic:pic>
                                          </a:graphicData>
                                        </a:graphic>
                                      </wp:inline>
                                    </w:drawing>
                                  </w:r>
                                </w:p>
                              </w:tc>
                              <w:tc>
                                <w:tcPr>
                                  <w:tcW w:w="3440" w:type="dxa"/>
                                  <w:tcBorders/>
                                  <w:shd w:fill="auto" w:val="clear"/>
                                  <w:vAlign w:val="center"/>
                                </w:tcPr>
                                <w:p>
                                  <w:pPr>
                                    <w:pStyle w:val="TableContents"/>
                                    <w:spacing w:before="0" w:after="0"/>
                                    <w:jc w:val="left"/>
                                    <w:rPr>
                                      <w:rFonts w:ascii="Arial" w:hAnsi="Arial"/>
                                      <w:sz w:val="20"/>
                                    </w:rPr>
                                  </w:pPr>
                                  <w:r>
                                    <w:rPr>
                                      <w:rFonts w:ascii="Arial" w:hAnsi="Arial"/>
                                      <w:sz w:val="20"/>
                                    </w:rPr>
                                    <w:t>Executive Leadership</w:t>
                                  </w:r>
                                </w:p>
                              </w:tc>
                            </w:tr>
                            <w:tr>
                              <w:trPr/>
                              <w:tc>
                                <w:tcPr>
                                  <w:tcW w:w="315" w:type="dxa"/>
                                  <w:tcBorders/>
                                  <w:shd w:fill="auto" w:val="clear"/>
                                  <w:vAlign w:val="center"/>
                                </w:tcPr>
                                <w:p>
                                  <w:pPr>
                                    <w:pStyle w:val="TableContents"/>
                                    <w:spacing w:before="0" w:after="283"/>
                                    <w:jc w:val="center"/>
                                    <w:rPr/>
                                  </w:pPr>
                                  <w:r>
                                    <w:rPr/>
                                    <w:drawing>
                                      <wp:inline distT="0" distB="0" distL="0" distR="0">
                                        <wp:extent cx="190500" cy="200025"/>
                                        <wp:effectExtent l="0" t="0" r="0" b="0"/>
                                        <wp:docPr id="83"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59" descr=""/>
                                                <pic:cNvPicPr>
                                                  <a:picLocks noChangeAspect="1" noChangeArrowheads="1"/>
                                                </pic:cNvPicPr>
                                              </pic:nvPicPr>
                                              <pic:blipFill>
                                                <a:blip r:embed="rId60"/>
                                                <a:srcRect l="-3650" t="-3921" r="-3650" b="-3921"/>
                                                <a:stretch>
                                                  <a:fillRect/>
                                                </a:stretch>
                                              </pic:blipFill>
                                              <pic:spPr bwMode="auto">
                                                <a:xfrm>
                                                  <a:off x="0" y="0"/>
                                                  <a:ext cx="190500" cy="200025"/>
                                                </a:xfrm>
                                                <a:prstGeom prst="rect">
                                                  <a:avLst/>
                                                </a:prstGeom>
                                                <a:ln w="635">
                                                  <a:solidFill>
                                                    <a:srgbClr val="000000"/>
                                                  </a:solidFill>
                                                </a:ln>
                                              </pic:spPr>
                                            </pic:pic>
                                          </a:graphicData>
                                        </a:graphic>
                                      </wp:inline>
                                    </w:drawing>
                                  </w:r>
                                </w:p>
                              </w:tc>
                              <w:tc>
                                <w:tcPr>
                                  <w:tcW w:w="3440" w:type="dxa"/>
                                  <w:tcBorders/>
                                  <w:shd w:fill="auto" w:val="clear"/>
                                  <w:vAlign w:val="center"/>
                                </w:tcPr>
                                <w:p>
                                  <w:pPr>
                                    <w:pStyle w:val="TableContents"/>
                                    <w:spacing w:before="0" w:after="283"/>
                                    <w:jc w:val="left"/>
                                    <w:rPr>
                                      <w:rFonts w:ascii="Arial" w:hAnsi="Arial"/>
                                      <w:sz w:val="20"/>
                                    </w:rPr>
                                  </w:pPr>
                                  <w:r>
                                    <w:rPr>
                                      <w:rFonts w:ascii="Arial" w:hAnsi="Arial"/>
                                      <w:sz w:val="20"/>
                                    </w:rPr>
                                    <w:t>Consumer Products/Customer-Oriented</w:t>
                                  </w:r>
                                </w:p>
                              </w:tc>
                            </w:tr>
                            <w:tr>
                              <w:trPr/>
                              <w:tc>
                                <w:tcPr>
                                  <w:tcW w:w="315" w:type="dxa"/>
                                  <w:tcBorders/>
                                  <w:shd w:fill="auto" w:val="clear"/>
                                  <w:vAlign w:val="center"/>
                                </w:tcPr>
                                <w:p>
                                  <w:pPr>
                                    <w:pStyle w:val="TableContents"/>
                                    <w:spacing w:before="0" w:after="283"/>
                                    <w:jc w:val="center"/>
                                    <w:rPr/>
                                  </w:pPr>
                                  <w:r>
                                    <w:rPr/>
                                    <w:drawing>
                                      <wp:inline distT="0" distB="0" distL="0" distR="0">
                                        <wp:extent cx="200025" cy="209550"/>
                                        <wp:effectExtent l="0" t="0" r="0" b="0"/>
                                        <wp:docPr id="84"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60" descr=""/>
                                                <pic:cNvPicPr>
                                                  <a:picLocks noChangeAspect="1" noChangeArrowheads="1"/>
                                                </pic:cNvPicPr>
                                              </pic:nvPicPr>
                                              <pic:blipFill>
                                                <a:blip r:embed="rId61"/>
                                                <a:srcRect l="-4810" t="-4810" r="-4810" b="-4810"/>
                                                <a:stretch>
                                                  <a:fillRect/>
                                                </a:stretch>
                                              </pic:blipFill>
                                              <pic:spPr bwMode="auto">
                                                <a:xfrm>
                                                  <a:off x="0" y="0"/>
                                                  <a:ext cx="200025" cy="209550"/>
                                                </a:xfrm>
                                                <a:prstGeom prst="rect">
                                                  <a:avLst/>
                                                </a:prstGeom>
                                                <a:ln w="635">
                                                  <a:solidFill>
                                                    <a:srgbClr val="000000"/>
                                                  </a:solidFill>
                                                </a:ln>
                                              </pic:spPr>
                                            </pic:pic>
                                          </a:graphicData>
                                        </a:graphic>
                                      </wp:inline>
                                    </w:drawing>
                                  </w:r>
                                </w:p>
                              </w:tc>
                              <w:tc>
                                <w:tcPr>
                                  <w:tcW w:w="3440" w:type="dxa"/>
                                  <w:tcBorders/>
                                  <w:shd w:fill="auto" w:val="clear"/>
                                  <w:vAlign w:val="center"/>
                                </w:tcPr>
                                <w:p>
                                  <w:pPr>
                                    <w:pStyle w:val="TableContents"/>
                                    <w:spacing w:before="0" w:after="283"/>
                                    <w:jc w:val="left"/>
                                    <w:rPr>
                                      <w:rFonts w:ascii="Arial" w:hAnsi="Arial"/>
                                      <w:sz w:val="20"/>
                                    </w:rPr>
                                  </w:pPr>
                                  <w:r>
                                    <w:rPr>
                                      <w:rFonts w:ascii="Arial" w:hAnsi="Arial"/>
                                      <w:sz w:val="20"/>
                                    </w:rPr>
                                    <w:t>Risk Management Oversight</w:t>
                                  </w:r>
                                </w:p>
                              </w:tc>
                            </w:tr>
                            <w:tr>
                              <w:trPr/>
                              <w:tc>
                                <w:tcPr>
                                  <w:tcW w:w="315" w:type="dxa"/>
                                  <w:tcBorders/>
                                  <w:shd w:fill="auto" w:val="clear"/>
                                  <w:vAlign w:val="center"/>
                                </w:tcPr>
                                <w:p>
                                  <w:pPr>
                                    <w:pStyle w:val="TableContents"/>
                                    <w:spacing w:before="0" w:after="283"/>
                                    <w:jc w:val="center"/>
                                    <w:rPr/>
                                  </w:pPr>
                                  <w:r>
                                    <w:rPr/>
                                    <w:drawing>
                                      <wp:inline distT="0" distB="0" distL="0" distR="0">
                                        <wp:extent cx="200025" cy="152400"/>
                                        <wp:effectExtent l="0" t="0" r="0" b="0"/>
                                        <wp:docPr id="85"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61" descr=""/>
                                                <pic:cNvPicPr>
                                                  <a:picLocks noChangeAspect="1" noChangeArrowheads="1"/>
                                                </pic:cNvPicPr>
                                              </pic:nvPicPr>
                                              <pic:blipFill>
                                                <a:blip r:embed="rId62"/>
                                                <a:srcRect l="-4597" t="-6222" r="-4597" b="-6222"/>
                                                <a:stretch>
                                                  <a:fillRect/>
                                                </a:stretch>
                                              </pic:blipFill>
                                              <pic:spPr bwMode="auto">
                                                <a:xfrm>
                                                  <a:off x="0" y="0"/>
                                                  <a:ext cx="200025" cy="152400"/>
                                                </a:xfrm>
                                                <a:prstGeom prst="rect">
                                                  <a:avLst/>
                                                </a:prstGeom>
                                                <a:ln w="635">
                                                  <a:solidFill>
                                                    <a:srgbClr val="000000"/>
                                                  </a:solidFill>
                                                </a:ln>
                                              </pic:spPr>
                                            </pic:pic>
                                          </a:graphicData>
                                        </a:graphic>
                                      </wp:inline>
                                    </w:drawing>
                                  </w:r>
                                </w:p>
                              </w:tc>
                              <w:tc>
                                <w:tcPr>
                                  <w:tcW w:w="3440" w:type="dxa"/>
                                  <w:tcBorders/>
                                  <w:shd w:fill="auto" w:val="clear"/>
                                  <w:vAlign w:val="center"/>
                                </w:tcPr>
                                <w:p>
                                  <w:pPr>
                                    <w:pStyle w:val="TableContents"/>
                                    <w:spacing w:before="0" w:after="283"/>
                                    <w:jc w:val="left"/>
                                    <w:rPr>
                                      <w:rFonts w:ascii="Arial" w:hAnsi="Arial"/>
                                      <w:sz w:val="20"/>
                                    </w:rPr>
                                  </w:pPr>
                                  <w:r>
                                    <w:rPr>
                                      <w:rFonts w:ascii="Arial" w:hAnsi="Arial"/>
                                      <w:sz w:val="20"/>
                                    </w:rPr>
                                    <w:t>Non-Profit/Educational/Philanthropic</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92.3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spacing w:before="0" w:after="0"/>
                        <w:jc w:val="left"/>
                        <w:rPr>
                          <w:rFonts w:ascii="Arial" w:hAnsi="Arial"/>
                          <w:color w:val="00A1E0"/>
                          <w:sz w:val="15"/>
                        </w:rPr>
                      </w:pPr>
                      <w:r>
                        <w:rPr>
                          <w:rFonts w:ascii="Arial" w:hAnsi="Arial"/>
                          <w:color w:val="00A1E0"/>
                          <w:sz w:val="15"/>
                        </w:rPr>
                        <w:t>SKILLS AND QUALIFICATIONS:</w:t>
                      </w:r>
                    </w:p>
                    <w:p>
                      <w:pPr>
                        <w:pStyle w:val="TextBody"/>
                        <w:spacing w:before="0" w:after="0"/>
                        <w:jc w:val="left"/>
                        <w:rPr>
                          <w:rFonts w:ascii="Arial" w:hAnsi="Arial"/>
                          <w:sz w:val="20"/>
                        </w:rPr>
                      </w:pPr>
                      <w:r>
                        <w:rPr>
                          <w:rFonts w:ascii="Arial" w:hAnsi="Arial"/>
                          <w:sz w:val="20"/>
                        </w:rPr>
                        <w:t>We believe that Ms. Bells experience and leadership of CHOP, including her oversight of risk management efforts, and her experience in the non-profit community render her qualified to serve as one of our directors.</w:t>
                      </w:r>
                    </w:p>
                    <w:tbl>
                      <w:tblPr>
                        <w:tblW w:w="3755" w:type="dxa"/>
                        <w:jc w:val="left"/>
                        <w:tblInd w:w="0" w:type="dxa"/>
                        <w:tblCellMar>
                          <w:top w:w="0" w:type="dxa"/>
                          <w:left w:w="0" w:type="dxa"/>
                          <w:bottom w:w="0" w:type="dxa"/>
                          <w:right w:w="0" w:type="dxa"/>
                        </w:tblCellMar>
                      </w:tblPr>
                      <w:tblGrid>
                        <w:gridCol w:w="315"/>
                        <w:gridCol w:w="3440"/>
                      </w:tblGrid>
                      <w:tr>
                        <w:trPr/>
                        <w:tc>
                          <w:tcPr>
                            <w:tcW w:w="315" w:type="dxa"/>
                            <w:tcBorders/>
                            <w:shd w:fill="auto" w:val="clear"/>
                            <w:vAlign w:val="center"/>
                          </w:tcPr>
                          <w:p>
                            <w:pPr>
                              <w:pStyle w:val="TableContents"/>
                              <w:spacing w:before="0" w:after="283"/>
                              <w:jc w:val="center"/>
                              <w:rPr/>
                            </w:pPr>
                            <w:r>
                              <w:rPr/>
                              <w:drawing>
                                <wp:inline distT="0" distB="0" distL="0" distR="0">
                                  <wp:extent cx="171450" cy="200025"/>
                                  <wp:effectExtent l="0" t="0" r="0" b="0"/>
                                  <wp:docPr id="86"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58" descr=""/>
                                          <pic:cNvPicPr>
                                            <a:picLocks noChangeAspect="1" noChangeArrowheads="1"/>
                                          </pic:cNvPicPr>
                                        </pic:nvPicPr>
                                        <pic:blipFill>
                                          <a:blip r:embed="rId59"/>
                                          <a:srcRect l="-5566" t="-4810" r="-5566" b="-4810"/>
                                          <a:stretch>
                                            <a:fillRect/>
                                          </a:stretch>
                                        </pic:blipFill>
                                        <pic:spPr bwMode="auto">
                                          <a:xfrm>
                                            <a:off x="0" y="0"/>
                                            <a:ext cx="171450" cy="200025"/>
                                          </a:xfrm>
                                          <a:prstGeom prst="rect">
                                            <a:avLst/>
                                          </a:prstGeom>
                                          <a:ln w="635">
                                            <a:solidFill>
                                              <a:srgbClr val="000000"/>
                                            </a:solidFill>
                                          </a:ln>
                                        </pic:spPr>
                                      </pic:pic>
                                    </a:graphicData>
                                  </a:graphic>
                                </wp:inline>
                              </w:drawing>
                            </w:r>
                          </w:p>
                        </w:tc>
                        <w:tc>
                          <w:tcPr>
                            <w:tcW w:w="3440" w:type="dxa"/>
                            <w:tcBorders/>
                            <w:shd w:fill="auto" w:val="clear"/>
                            <w:vAlign w:val="center"/>
                          </w:tcPr>
                          <w:p>
                            <w:pPr>
                              <w:pStyle w:val="TableContents"/>
                              <w:spacing w:before="0" w:after="0"/>
                              <w:jc w:val="left"/>
                              <w:rPr>
                                <w:rFonts w:ascii="Arial" w:hAnsi="Arial"/>
                                <w:sz w:val="20"/>
                              </w:rPr>
                            </w:pPr>
                            <w:r>
                              <w:rPr>
                                <w:rFonts w:ascii="Arial" w:hAnsi="Arial"/>
                                <w:sz w:val="20"/>
                              </w:rPr>
                              <w:t>Executive Leadership</w:t>
                            </w:r>
                          </w:p>
                        </w:tc>
                      </w:tr>
                      <w:tr>
                        <w:trPr/>
                        <w:tc>
                          <w:tcPr>
                            <w:tcW w:w="315" w:type="dxa"/>
                            <w:tcBorders/>
                            <w:shd w:fill="auto" w:val="clear"/>
                            <w:vAlign w:val="center"/>
                          </w:tcPr>
                          <w:p>
                            <w:pPr>
                              <w:pStyle w:val="TableContents"/>
                              <w:spacing w:before="0" w:after="283"/>
                              <w:jc w:val="center"/>
                              <w:rPr/>
                            </w:pPr>
                            <w:r>
                              <w:rPr/>
                              <w:drawing>
                                <wp:inline distT="0" distB="0" distL="0" distR="0">
                                  <wp:extent cx="190500" cy="200025"/>
                                  <wp:effectExtent l="0" t="0" r="0" b="0"/>
                                  <wp:docPr id="87"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59" descr=""/>
                                          <pic:cNvPicPr>
                                            <a:picLocks noChangeAspect="1" noChangeArrowheads="1"/>
                                          </pic:cNvPicPr>
                                        </pic:nvPicPr>
                                        <pic:blipFill>
                                          <a:blip r:embed="rId60"/>
                                          <a:srcRect l="-3650" t="-3921" r="-3650" b="-3921"/>
                                          <a:stretch>
                                            <a:fillRect/>
                                          </a:stretch>
                                        </pic:blipFill>
                                        <pic:spPr bwMode="auto">
                                          <a:xfrm>
                                            <a:off x="0" y="0"/>
                                            <a:ext cx="190500" cy="200025"/>
                                          </a:xfrm>
                                          <a:prstGeom prst="rect">
                                            <a:avLst/>
                                          </a:prstGeom>
                                          <a:ln w="635">
                                            <a:solidFill>
                                              <a:srgbClr val="000000"/>
                                            </a:solidFill>
                                          </a:ln>
                                        </pic:spPr>
                                      </pic:pic>
                                    </a:graphicData>
                                  </a:graphic>
                                </wp:inline>
                              </w:drawing>
                            </w:r>
                          </w:p>
                        </w:tc>
                        <w:tc>
                          <w:tcPr>
                            <w:tcW w:w="3440" w:type="dxa"/>
                            <w:tcBorders/>
                            <w:shd w:fill="auto" w:val="clear"/>
                            <w:vAlign w:val="center"/>
                          </w:tcPr>
                          <w:p>
                            <w:pPr>
                              <w:pStyle w:val="TableContents"/>
                              <w:spacing w:before="0" w:after="283"/>
                              <w:jc w:val="left"/>
                              <w:rPr>
                                <w:rFonts w:ascii="Arial" w:hAnsi="Arial"/>
                                <w:sz w:val="20"/>
                              </w:rPr>
                            </w:pPr>
                            <w:r>
                              <w:rPr>
                                <w:rFonts w:ascii="Arial" w:hAnsi="Arial"/>
                                <w:sz w:val="20"/>
                              </w:rPr>
                              <w:t>Consumer Products/Customer-Oriented</w:t>
                            </w:r>
                          </w:p>
                        </w:tc>
                      </w:tr>
                      <w:tr>
                        <w:trPr/>
                        <w:tc>
                          <w:tcPr>
                            <w:tcW w:w="315" w:type="dxa"/>
                            <w:tcBorders/>
                            <w:shd w:fill="auto" w:val="clear"/>
                            <w:vAlign w:val="center"/>
                          </w:tcPr>
                          <w:p>
                            <w:pPr>
                              <w:pStyle w:val="TableContents"/>
                              <w:spacing w:before="0" w:after="283"/>
                              <w:jc w:val="center"/>
                              <w:rPr/>
                            </w:pPr>
                            <w:r>
                              <w:rPr/>
                              <w:drawing>
                                <wp:inline distT="0" distB="0" distL="0" distR="0">
                                  <wp:extent cx="200025" cy="209550"/>
                                  <wp:effectExtent l="0" t="0" r="0" b="0"/>
                                  <wp:docPr id="88"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60" descr=""/>
                                          <pic:cNvPicPr>
                                            <a:picLocks noChangeAspect="1" noChangeArrowheads="1"/>
                                          </pic:cNvPicPr>
                                        </pic:nvPicPr>
                                        <pic:blipFill>
                                          <a:blip r:embed="rId61"/>
                                          <a:srcRect l="-4810" t="-4810" r="-4810" b="-4810"/>
                                          <a:stretch>
                                            <a:fillRect/>
                                          </a:stretch>
                                        </pic:blipFill>
                                        <pic:spPr bwMode="auto">
                                          <a:xfrm>
                                            <a:off x="0" y="0"/>
                                            <a:ext cx="200025" cy="209550"/>
                                          </a:xfrm>
                                          <a:prstGeom prst="rect">
                                            <a:avLst/>
                                          </a:prstGeom>
                                          <a:ln w="635">
                                            <a:solidFill>
                                              <a:srgbClr val="000000"/>
                                            </a:solidFill>
                                          </a:ln>
                                        </pic:spPr>
                                      </pic:pic>
                                    </a:graphicData>
                                  </a:graphic>
                                </wp:inline>
                              </w:drawing>
                            </w:r>
                          </w:p>
                        </w:tc>
                        <w:tc>
                          <w:tcPr>
                            <w:tcW w:w="3440" w:type="dxa"/>
                            <w:tcBorders/>
                            <w:shd w:fill="auto" w:val="clear"/>
                            <w:vAlign w:val="center"/>
                          </w:tcPr>
                          <w:p>
                            <w:pPr>
                              <w:pStyle w:val="TableContents"/>
                              <w:spacing w:before="0" w:after="283"/>
                              <w:jc w:val="left"/>
                              <w:rPr>
                                <w:rFonts w:ascii="Arial" w:hAnsi="Arial"/>
                                <w:sz w:val="20"/>
                              </w:rPr>
                            </w:pPr>
                            <w:r>
                              <w:rPr>
                                <w:rFonts w:ascii="Arial" w:hAnsi="Arial"/>
                                <w:sz w:val="20"/>
                              </w:rPr>
                              <w:t>Risk Management Oversight</w:t>
                            </w:r>
                          </w:p>
                        </w:tc>
                      </w:tr>
                      <w:tr>
                        <w:trPr/>
                        <w:tc>
                          <w:tcPr>
                            <w:tcW w:w="315" w:type="dxa"/>
                            <w:tcBorders/>
                            <w:shd w:fill="auto" w:val="clear"/>
                            <w:vAlign w:val="center"/>
                          </w:tcPr>
                          <w:p>
                            <w:pPr>
                              <w:pStyle w:val="TableContents"/>
                              <w:spacing w:before="0" w:after="283"/>
                              <w:jc w:val="center"/>
                              <w:rPr/>
                            </w:pPr>
                            <w:r>
                              <w:rPr/>
                              <w:drawing>
                                <wp:inline distT="0" distB="0" distL="0" distR="0">
                                  <wp:extent cx="200025" cy="152400"/>
                                  <wp:effectExtent l="0" t="0" r="0" b="0"/>
                                  <wp:docPr id="89"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61" descr=""/>
                                          <pic:cNvPicPr>
                                            <a:picLocks noChangeAspect="1" noChangeArrowheads="1"/>
                                          </pic:cNvPicPr>
                                        </pic:nvPicPr>
                                        <pic:blipFill>
                                          <a:blip r:embed="rId62"/>
                                          <a:srcRect l="-4597" t="-6222" r="-4597" b="-6222"/>
                                          <a:stretch>
                                            <a:fillRect/>
                                          </a:stretch>
                                        </pic:blipFill>
                                        <pic:spPr bwMode="auto">
                                          <a:xfrm>
                                            <a:off x="0" y="0"/>
                                            <a:ext cx="200025" cy="152400"/>
                                          </a:xfrm>
                                          <a:prstGeom prst="rect">
                                            <a:avLst/>
                                          </a:prstGeom>
                                          <a:ln w="635">
                                            <a:solidFill>
                                              <a:srgbClr val="000000"/>
                                            </a:solidFill>
                                          </a:ln>
                                        </pic:spPr>
                                      </pic:pic>
                                    </a:graphicData>
                                  </a:graphic>
                                </wp:inline>
                              </w:drawing>
                            </w:r>
                          </w:p>
                        </w:tc>
                        <w:tc>
                          <w:tcPr>
                            <w:tcW w:w="3440" w:type="dxa"/>
                            <w:tcBorders/>
                            <w:shd w:fill="auto" w:val="clear"/>
                            <w:vAlign w:val="center"/>
                          </w:tcPr>
                          <w:p>
                            <w:pPr>
                              <w:pStyle w:val="TableContents"/>
                              <w:spacing w:before="0" w:after="283"/>
                              <w:jc w:val="left"/>
                              <w:rPr>
                                <w:rFonts w:ascii="Arial" w:hAnsi="Arial"/>
                                <w:sz w:val="20"/>
                              </w:rPr>
                            </w:pPr>
                            <w:r>
                              <w:rPr>
                                <w:rFonts w:ascii="Arial" w:hAnsi="Arial"/>
                                <w:sz w:val="20"/>
                              </w:rPr>
                              <w:t>Non-Profit/Educational/Philanthropic</w:t>
                            </w:r>
                          </w:p>
                        </w:tc>
                      </w:tr>
                    </w:tbl>
                    <w:p>
                      <w:pPr>
                        <w:pStyle w:val="TextBody"/>
                        <w:spacing w:before="0" w:after="283"/>
                        <w:rPr/>
                      </w:pPr>
                      <w:r>
                        <w:rPr/>
                      </w:r>
                    </w:p>
                  </w:txbxContent>
                </v:textbox>
                <w10:wrap type="square" side="left"/>
              </v:rect>
            </w:pict>
          </mc:Fallback>
        </mc:AlternateContent>
      </w:r>
    </w:p>
    <w:tbl>
      <w:tblPr>
        <w:tblW w:w="8285" w:type="dxa"/>
        <w:jc w:val="left"/>
        <w:tblInd w:w="0" w:type="dxa"/>
        <w:tblCellMar>
          <w:top w:w="0" w:type="dxa"/>
          <w:left w:w="0" w:type="dxa"/>
          <w:bottom w:w="160" w:type="dxa"/>
          <w:right w:w="0" w:type="dxa"/>
        </w:tblCellMar>
      </w:tblPr>
      <w:tblGrid>
        <w:gridCol w:w="6725"/>
        <w:gridCol w:w="1560"/>
      </w:tblGrid>
      <w:tr>
        <w:trPr/>
        <w:tc>
          <w:tcPr>
            <w:tcW w:w="6725" w:type="dxa"/>
            <w:tcBorders>
              <w:bottom w:val="single" w:sz="8" w:space="0" w:color="000000"/>
            </w:tcBorders>
            <w:shd w:fill="auto" w:val="clear"/>
            <w:vAlign w:val="center"/>
          </w:tcPr>
          <w:p>
            <w:pPr>
              <w:pStyle w:val="TableContents"/>
              <w:spacing w:before="0" w:after="0"/>
              <w:jc w:val="left"/>
              <w:rPr/>
            </w:pPr>
            <w:r>
              <w:rPr>
                <w:rStyle w:val="StrongEmphasis"/>
                <w:rFonts w:ascii="Arial" w:hAnsi="Arial"/>
                <w:sz w:val="24"/>
              </w:rPr>
              <w:t>Edward D. Breen</w:t>
            </w:r>
          </w:p>
          <w:p>
            <w:pPr>
              <w:pStyle w:val="TableContents"/>
              <w:spacing w:before="0" w:after="0"/>
              <w:jc w:val="left"/>
              <w:rPr/>
            </w:pPr>
            <w:r>
              <w:rPr>
                <w:rStyle w:val="StrongEmphasis"/>
                <w:rFonts w:ascii="Arial" w:hAnsi="Arial"/>
                <w:color w:val="00A1E0"/>
                <w:sz w:val="15"/>
              </w:rPr>
              <w:t>LEAD INDEPENDENT DIRECTOR</w:t>
            </w:r>
          </w:p>
          <w:p>
            <w:pPr>
              <w:pStyle w:val="TableContents"/>
              <w:spacing w:before="0" w:after="0"/>
              <w:jc w:val="left"/>
              <w:rPr>
                <w:rFonts w:ascii="Arial" w:hAnsi="Arial"/>
                <w:sz w:val="20"/>
              </w:rPr>
            </w:pPr>
            <w:r>
              <w:rPr>
                <w:rFonts w:ascii="Arial" w:hAnsi="Arial"/>
                <w:sz w:val="20"/>
              </w:rPr>
              <w:t>Chief Executive Officer and Executive Chairman of DuPont de Nemours, Inc.</w:t>
            </w:r>
          </w:p>
        </w:tc>
        <w:tc>
          <w:tcPr>
            <w:tcW w:w="1560" w:type="dxa"/>
            <w:vMerge w:val="restart"/>
            <w:tcBorders/>
            <w:shd w:fill="auto" w:val="clear"/>
            <w:tcMar>
              <w:bottom w:w="0" w:type="dxa"/>
            </w:tcMar>
            <w:vAlign w:val="center"/>
          </w:tcPr>
          <w:p>
            <w:pPr>
              <w:pStyle w:val="TableContents"/>
              <w:spacing w:before="0" w:after="283"/>
              <w:jc w:val="left"/>
              <w:rPr/>
            </w:pPr>
            <w:r>
              <w:rPr/>
              <w:drawing>
                <wp:inline distT="0" distB="0" distL="0" distR="0">
                  <wp:extent cx="990600" cy="3076575"/>
                  <wp:effectExtent l="0" t="0" r="0" b="0"/>
                  <wp:docPr id="90"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62" descr=""/>
                          <pic:cNvPicPr>
                            <a:picLocks noChangeAspect="1" noChangeArrowheads="1"/>
                          </pic:cNvPicPr>
                        </pic:nvPicPr>
                        <pic:blipFill>
                          <a:blip r:embed="rId63"/>
                          <a:srcRect l="-329" t="-327" r="-329" b="-327"/>
                          <a:stretch>
                            <a:fillRect/>
                          </a:stretch>
                        </pic:blipFill>
                        <pic:spPr bwMode="auto">
                          <a:xfrm>
                            <a:off x="0" y="0"/>
                            <a:ext cx="990600" cy="3076575"/>
                          </a:xfrm>
                          <a:prstGeom prst="rect">
                            <a:avLst/>
                          </a:prstGeom>
                          <a:ln w="635">
                            <a:solidFill>
                              <a:srgbClr val="000000"/>
                            </a:solidFill>
                          </a:ln>
                        </pic:spPr>
                      </pic:pic>
                    </a:graphicData>
                  </a:graphic>
                </wp:inline>
              </w:drawing>
            </w:r>
          </w:p>
        </w:tc>
      </w:tr>
      <w:tr>
        <w:trPr/>
        <w:tc>
          <w:tcPr>
            <w:tcW w:w="6725" w:type="dxa"/>
            <w:tcBorders/>
            <w:shd w:fill="auto" w:val="clear"/>
            <w:tcMar>
              <w:bottom w:w="0" w:type="dxa"/>
            </w:tcMar>
            <w:vAlign w:val="center"/>
          </w:tcPr>
          <w:p>
            <w:pPr>
              <w:pStyle w:val="TableContents"/>
              <w:spacing w:before="0" w:after="283"/>
              <w:jc w:val="left"/>
              <w:rPr/>
            </w:pPr>
            <w:r>
              <w:rPr/>
              <w:t> </w:t>
            </w:r>
            <w:r>
              <w:rPr/>
              <w:br/>
              <w:t> </w:t>
            </w:r>
          </w:p>
        </w:tc>
        <w:tc>
          <w:tcPr>
            <w:tcW w:w="1560" w:type="dxa"/>
            <w:vMerge w:val="continue"/>
            <w:tcBorders/>
            <w:shd w:fill="auto" w:val="clear"/>
            <w:tcMar>
              <w:bottom w:w="0" w:type="dxa"/>
            </w:tcMar>
            <w:vAlign w:val="center"/>
          </w:tcPr>
          <w:p>
            <w:pPr>
              <w:pStyle w:val="Normal"/>
              <w:rPr/>
            </w:pPr>
            <w:r>
              <w:rPr/>
            </w:r>
          </w:p>
        </w:tc>
      </w:tr>
    </w:tbl>
    <w:p>
      <w:pPr>
        <w:pStyle w:val="TextBody"/>
        <w:spacing w:before="0" w:after="283"/>
        <w:jc w:val="left"/>
        <w:rPr/>
      </w:pPr>
      <w:r>
        <w:rPr>
          <w:rFonts w:ascii="Arial" w:hAnsi="Arial"/>
          <w:sz w:val="20"/>
          <w:highlight w:val="cyan"/>
        </w:rPr>
        <w:t xml:space="preserve">Age: </w:t>
      </w:r>
      <w:r>
        <w:rPr>
          <w:rStyle w:val="StrongEmphasis"/>
          <w:rFonts w:ascii="Arial" w:hAnsi="Arial"/>
          <w:sz w:val="20"/>
          <w:highlight w:val="cyan"/>
        </w:rPr>
        <w:t>67</w:t>
        <w:br/>
      </w:r>
      <w:r>
        <w:rPr>
          <w:rFonts w:ascii="Arial" w:hAnsi="Arial"/>
          <w:sz w:val="20"/>
          <w:highlight w:val="cyan"/>
        </w:rPr>
        <w:t xml:space="preserve">Director since: </w:t>
      </w:r>
      <w:r>
        <w:rPr>
          <w:rStyle w:val="StrongEmphasis"/>
          <w:rFonts w:ascii="Arial" w:hAnsi="Arial"/>
          <w:sz w:val="20"/>
          <w:highlight w:val="cyan"/>
        </w:rPr>
        <w:t>February 2014</w:t>
        <w:br/>
      </w:r>
      <w:r>
        <w:rPr>
          <w:rFonts w:ascii="Arial" w:hAnsi="Arial"/>
          <w:sz w:val="20"/>
          <w:highlight w:val="cyan"/>
        </w:rPr>
        <w:t xml:space="preserve">Committees: </w:t>
      </w:r>
      <w:r>
        <w:rPr>
          <w:rStyle w:val="StrongEmphasis"/>
          <w:rFonts w:ascii="Arial" w:hAnsi="Arial"/>
          <w:sz w:val="20"/>
          <w:highlight w:val="cyan"/>
        </w:rPr>
        <w:t>Compensation and Human Capital</w:t>
      </w:r>
    </w:p>
    <w:tbl>
      <w:tblPr>
        <w:tblW w:w="10205" w:type="dxa"/>
        <w:jc w:val="left"/>
        <w:tblInd w:w="0" w:type="dxa"/>
        <w:tblCellMar>
          <w:top w:w="0" w:type="dxa"/>
          <w:left w:w="0" w:type="dxa"/>
          <w:bottom w:w="0" w:type="dxa"/>
          <w:right w:w="0" w:type="dxa"/>
        </w:tblCellMar>
      </w:tblPr>
      <w:tblGrid>
        <w:gridCol w:w="2967"/>
        <w:gridCol w:w="23"/>
        <w:gridCol w:w="7215"/>
      </w:tblGrid>
      <w:tr>
        <w:trPr/>
        <w:tc>
          <w:tcPr>
            <w:tcW w:w="2967" w:type="dxa"/>
            <w:tcBorders/>
            <w:shd w:fill="auto" w:val="clear"/>
            <w:vAlign w:val="center"/>
          </w:tcPr>
          <w:p>
            <w:pPr>
              <w:pStyle w:val="TableContents"/>
              <w:spacing w:before="0" w:after="0"/>
              <w:jc w:val="left"/>
              <w:rPr/>
            </w:pPr>
            <w:r>
              <w:rPr>
                <w:rFonts w:ascii="Arial" w:hAnsi="Arial"/>
                <w:color w:val="00A1E0"/>
                <w:sz w:val="15"/>
              </w:rPr>
              <w:t>OTHER CURRENT PUBLIC COMPANY DIRECTORSHIPS:</w:t>
              <w:br/>
            </w:r>
            <w:r>
              <w:rPr>
                <w:rFonts w:ascii="Arial" w:hAnsi="Arial"/>
                <w:sz w:val="20"/>
              </w:rPr>
              <w:t>DuPont de Nemours, Inc.</w:t>
            </w:r>
          </w:p>
        </w:tc>
        <w:tc>
          <w:tcPr>
            <w:tcW w:w="23" w:type="dxa"/>
            <w:tcBorders/>
            <w:shd w:fill="auto" w:val="clear"/>
            <w:vAlign w:val="center"/>
          </w:tcPr>
          <w:p>
            <w:pPr>
              <w:pStyle w:val="TableContents"/>
              <w:spacing w:before="0" w:after="283"/>
              <w:rPr>
                <w:sz w:val="4"/>
                <w:szCs w:val="4"/>
              </w:rPr>
            </w:pPr>
            <w:r>
              <w:rPr>
                <w:sz w:val="4"/>
                <w:szCs w:val="4"/>
              </w:rPr>
            </w:r>
          </w:p>
        </w:tc>
        <w:tc>
          <w:tcPr>
            <w:tcW w:w="7215" w:type="dxa"/>
            <w:tcBorders/>
            <w:shd w:fill="auto" w:val="clear"/>
            <w:vAlign w:val="center"/>
          </w:tcPr>
          <w:p>
            <w:pPr>
              <w:pStyle w:val="TableContents"/>
              <w:spacing w:before="0" w:after="0"/>
              <w:jc w:val="left"/>
              <w:rPr/>
            </w:pPr>
            <w:r>
              <w:rPr>
                <w:rFonts w:ascii="Arial" w:hAnsi="Arial"/>
                <w:color w:val="00A1E0"/>
                <w:sz w:val="15"/>
              </w:rPr>
              <w:t>FORMER PUBLIC COMPANY DIRECTORSHIPS:</w:t>
              <w:br/>
            </w:r>
            <w:r>
              <w:rPr>
                <w:rFonts w:ascii="Arial" w:hAnsi="Arial"/>
                <w:sz w:val="20"/>
              </w:rPr>
              <w:t>International Flavors &amp; Fragrances, Inc. (not standing for re-election at its 2023 annual meeting), Corteva, Inc., DowDuPont Inc.</w:t>
            </w:r>
          </w:p>
        </w:tc>
      </w:tr>
    </w:tbl>
    <w:p>
      <w:pPr>
        <w:pStyle w:val="TextBody"/>
        <w:spacing w:before="0" w:after="0"/>
        <w:rPr/>
      </w:pPr>
      <w:r>
        <w:rPr/>
      </w:r>
      <w:r>
        <mc:AlternateContent>
          <mc:Choice Requires="wps">
            <w:drawing>
              <wp:anchor behindDoc="0" distT="0" distB="0" distL="0" distR="0" simplePos="0" locked="0" layoutInCell="1" allowOverlap="1" relativeHeight="31">
                <wp:simplePos x="0" y="0"/>
                <wp:positionH relativeFrom="column">
                  <wp:align>left</wp:align>
                </wp:positionH>
                <wp:positionV relativeFrom="line">
                  <wp:posOffset>635</wp:posOffset>
                </wp:positionV>
                <wp:extent cx="3110230" cy="3716020"/>
                <wp:effectExtent l="0" t="0" r="0" b="0"/>
                <wp:wrapSquare wrapText="largest"/>
                <wp:docPr id="91" name="Frame9"/>
                <a:graphic xmlns:a="http://schemas.openxmlformats.org/drawingml/2006/main">
                  <a:graphicData uri="http://schemas.microsoft.com/office/word/2010/wordprocessingShape">
                    <wps:wsp>
                      <wps:cNvSpPr txBox="1"/>
                      <wps:spPr>
                        <a:xfrm>
                          <a:off x="0" y="0"/>
                          <a:ext cx="3110230" cy="3716020"/>
                        </a:xfrm>
                        <a:prstGeom prst="rect"/>
                      </wps:spPr>
                      <wps:txbx>
                        <w:txbxContent>
                          <w:p>
                            <w:pPr>
                              <w:pStyle w:val="TextBody"/>
                              <w:spacing w:before="0" w:after="0"/>
                              <w:jc w:val="left"/>
                              <w:rPr>
                                <w:rFonts w:ascii="Arial" w:hAnsi="Arial"/>
                                <w:color w:val="00A1E0"/>
                                <w:sz w:val="15"/>
                              </w:rPr>
                            </w:pPr>
                            <w:r>
                              <w:rPr>
                                <w:rFonts w:ascii="Arial" w:hAnsi="Arial"/>
                                <w:color w:val="00A1E0"/>
                                <w:sz w:val="15"/>
                              </w:rPr>
                              <w:t>CAREER HIGHLIGHTS:</w:t>
                            </w:r>
                          </w:p>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sz w:val="20"/>
                                    </w:rPr>
                                  </w:pPr>
                                  <w:r>
                                    <w:rPr>
                                      <w:sz w:val="20"/>
                                    </w:rPr>
                                    <w:t>Chief Executive Officer (since 2020) and Executive Chairman (since 2019), DuPont de Nemours, Inc., a provider of technology-based materials, ingredients and solutions</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sz w:val="20"/>
                                    </w:rPr>
                                  </w:pPr>
                                  <w:r>
                                    <w:rPr>
                                      <w:sz w:val="20"/>
                                    </w:rPr>
                                    <w:t>Chief Executive Officer and Chairman, DowDuPont and predecessors, 2015  2019</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sz w:val="20"/>
                                    </w:rPr>
                                  </w:pPr>
                                  <w:r>
                                    <w:rPr>
                                      <w:sz w:val="20"/>
                                    </w:rPr>
                                    <w:t>Chief Executive Officer, Tyco International Ltd., 2002  2012; Chairman until 2016</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sz w:val="20"/>
                                    </w:rPr>
                                  </w:pPr>
                                  <w:r>
                                    <w:rPr>
                                      <w:sz w:val="20"/>
                                    </w:rPr>
                                    <w:t>Previous President and Chief Operating Officer, Motorola, and multiple leadership roles, Motorolas Networks Sector and Motorolas Broadband Communications Sector</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sz w:val="20"/>
                                    </w:rPr>
                                  </w:pPr>
                                  <w:r>
                                    <w:rPr>
                                      <w:sz w:val="20"/>
                                    </w:rPr>
                                    <w:t>Chairman, President and CEO, General Instrument Corporation, 1997  2000</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sz w:val="20"/>
                                    </w:rPr>
                                  </w:pPr>
                                  <w:r>
                                    <w:rPr>
                                      <w:sz w:val="20"/>
                                    </w:rPr>
                                    <w:t>Previously a director of Comcast from 2005  2011</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sz w:val="20"/>
                                    </w:rPr>
                                  </w:pPr>
                                  <w:r>
                                    <w:rPr>
                                      <w:sz w:val="20"/>
                                    </w:rPr>
                                    <w:t>Chair of the Board of Trustees, Grove City College</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sz w:val="20"/>
                                    </w:rPr>
                                  </w:pPr>
                                  <w:r>
                                    <w:rPr>
                                      <w:sz w:val="20"/>
                                    </w:rPr>
                                    <w:t>Member of the Board of Trustees, Lebanon Valley College</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sz w:val="20"/>
                                    </w:rPr>
                                  </w:pPr>
                                  <w:r>
                                    <w:rPr>
                                      <w:sz w:val="20"/>
                                    </w:rPr>
                                    <w:t>Member of the Board of Trustees, The Hun School of Princeton</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9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left"/>
                        <w:rPr>
                          <w:rFonts w:ascii="Arial" w:hAnsi="Arial"/>
                          <w:color w:val="00A1E0"/>
                          <w:sz w:val="15"/>
                        </w:rPr>
                      </w:pPr>
                      <w:r>
                        <w:rPr>
                          <w:rFonts w:ascii="Arial" w:hAnsi="Arial"/>
                          <w:color w:val="00A1E0"/>
                          <w:sz w:val="15"/>
                        </w:rPr>
                        <w:t>CAREER HIGHLIGHTS:</w:t>
                      </w:r>
                    </w:p>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sz w:val="20"/>
                              </w:rPr>
                            </w:pPr>
                            <w:r>
                              <w:rPr>
                                <w:sz w:val="20"/>
                              </w:rPr>
                              <w:t>Chief Executive Officer (since 2020) and Executive Chairman (since 2019), DuPont de Nemours, Inc., a provider of technology-based materials, ingredients and solutions</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sz w:val="20"/>
                              </w:rPr>
                            </w:pPr>
                            <w:r>
                              <w:rPr>
                                <w:sz w:val="20"/>
                              </w:rPr>
                              <w:t>Chief Executive Officer and Chairman, DowDuPont and predecessors, 2015  2019</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sz w:val="20"/>
                              </w:rPr>
                            </w:pPr>
                            <w:r>
                              <w:rPr>
                                <w:sz w:val="20"/>
                              </w:rPr>
                              <w:t>Chief Executive Officer, Tyco International Ltd., 2002  2012; Chairman until 2016</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sz w:val="20"/>
                              </w:rPr>
                            </w:pPr>
                            <w:r>
                              <w:rPr>
                                <w:sz w:val="20"/>
                              </w:rPr>
                              <w:t>Previous President and Chief Operating Officer, Motorola, and multiple leadership roles, Motorolas Networks Sector and Motorolas Broadband Communications Sector</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sz w:val="20"/>
                              </w:rPr>
                            </w:pPr>
                            <w:r>
                              <w:rPr>
                                <w:sz w:val="20"/>
                              </w:rPr>
                              <w:t>Chairman, President and CEO, General Instrument Corporation, 1997  2000</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sz w:val="20"/>
                              </w:rPr>
                            </w:pPr>
                            <w:r>
                              <w:rPr>
                                <w:sz w:val="20"/>
                              </w:rPr>
                              <w:t>Previously a director of Comcast from 2005  2011</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sz w:val="20"/>
                              </w:rPr>
                            </w:pPr>
                            <w:r>
                              <w:rPr>
                                <w:sz w:val="20"/>
                              </w:rPr>
                              <w:t>Chair of the Board of Trustees, Grove City College</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sz w:val="20"/>
                              </w:rPr>
                            </w:pPr>
                            <w:r>
                              <w:rPr>
                                <w:sz w:val="20"/>
                              </w:rPr>
                              <w:t>Member of the Board of Trustees, Lebanon Valley College</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sz w:val="20"/>
                              </w:rPr>
                            </w:pPr>
                            <w:r>
                              <w:rPr>
                                <w:sz w:val="20"/>
                              </w:rPr>
                              <w:t>Member of the Board of Trustees, The Hun School of Princeton</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3">
                <wp:simplePos x="0" y="0"/>
                <wp:positionH relativeFrom="column">
                  <wp:align>right</wp:align>
                </wp:positionH>
                <wp:positionV relativeFrom="line">
                  <wp:posOffset>635</wp:posOffset>
                </wp:positionV>
                <wp:extent cx="3110230" cy="3487420"/>
                <wp:effectExtent l="0" t="0" r="0" b="0"/>
                <wp:wrapSquare wrapText="largest"/>
                <wp:docPr id="92" name="Frame10"/>
                <a:graphic xmlns:a="http://schemas.openxmlformats.org/drawingml/2006/main">
                  <a:graphicData uri="http://schemas.microsoft.com/office/word/2010/wordprocessingShape">
                    <wps:wsp>
                      <wps:cNvSpPr txBox="1"/>
                      <wps:spPr>
                        <a:xfrm>
                          <a:off x="0" y="0"/>
                          <a:ext cx="3110230" cy="3487420"/>
                        </a:xfrm>
                        <a:prstGeom prst="rect"/>
                      </wps:spPr>
                      <wps:txbx>
                        <w:txbxContent>
                          <w:p>
                            <w:pPr>
                              <w:pStyle w:val="TextBody"/>
                              <w:spacing w:before="0" w:after="0"/>
                              <w:jc w:val="left"/>
                              <w:rPr>
                                <w:rFonts w:ascii="Arial" w:hAnsi="Arial"/>
                                <w:color w:val="00A1E0"/>
                                <w:sz w:val="15"/>
                              </w:rPr>
                            </w:pPr>
                            <w:r>
                              <w:rPr>
                                <w:rFonts w:ascii="Arial" w:hAnsi="Arial"/>
                                <w:color w:val="00A1E0"/>
                                <w:sz w:val="15"/>
                              </w:rPr>
                              <w:t>SKILLS AND QUALIFICATIONS:</w:t>
                            </w:r>
                          </w:p>
                          <w:p>
                            <w:pPr>
                              <w:pStyle w:val="TextBody"/>
                              <w:spacing w:before="0" w:after="0"/>
                              <w:jc w:val="left"/>
                              <w:rPr>
                                <w:rFonts w:ascii="Arial" w:hAnsi="Arial"/>
                                <w:sz w:val="20"/>
                              </w:rPr>
                            </w:pPr>
                            <w:r>
                              <w:rPr>
                                <w:rFonts w:ascii="Arial" w:hAnsi="Arial"/>
                                <w:sz w:val="20"/>
                              </w:rPr>
                              <w:t>We believe that Mr. Breens extensive experience in the technology, equipment supplier and consumer products sectors, notably as those sectors relate to the internet, video and wireless industries, and his various experiences as a president and chief executive officer, render him qualified to serve as one of our directors.</w:t>
                            </w:r>
                          </w:p>
                          <w:tbl>
                            <w:tblPr>
                              <w:tblW w:w="3755" w:type="dxa"/>
                              <w:jc w:val="left"/>
                              <w:tblInd w:w="0" w:type="dxa"/>
                              <w:tblCellMar>
                                <w:top w:w="0" w:type="dxa"/>
                                <w:left w:w="0" w:type="dxa"/>
                                <w:bottom w:w="0" w:type="dxa"/>
                                <w:right w:w="0" w:type="dxa"/>
                              </w:tblCellMar>
                            </w:tblPr>
                            <w:tblGrid>
                              <w:gridCol w:w="315"/>
                              <w:gridCol w:w="3440"/>
                            </w:tblGrid>
                            <w:tr>
                              <w:trPr/>
                              <w:tc>
                                <w:tcPr>
                                  <w:tcW w:w="315" w:type="dxa"/>
                                  <w:tcBorders/>
                                  <w:shd w:fill="auto" w:val="clear"/>
                                  <w:vAlign w:val="center"/>
                                </w:tcPr>
                                <w:p>
                                  <w:pPr>
                                    <w:pStyle w:val="TableContents"/>
                                    <w:spacing w:before="0" w:after="283"/>
                                    <w:jc w:val="center"/>
                                    <w:rPr/>
                                  </w:pPr>
                                  <w:r>
                                    <w:rPr/>
                                    <w:drawing>
                                      <wp:inline distT="0" distB="0" distL="0" distR="0">
                                        <wp:extent cx="171450" cy="200025"/>
                                        <wp:effectExtent l="0" t="0" r="0" b="0"/>
                                        <wp:docPr id="9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63" descr=""/>
                                                <pic:cNvPicPr>
                                                  <a:picLocks noChangeAspect="1" noChangeArrowheads="1"/>
                                                </pic:cNvPicPr>
                                              </pic:nvPicPr>
                                              <pic:blipFill>
                                                <a:blip r:embed="rId64"/>
                                                <a:srcRect l="-5566" t="-4810" r="-5566" b="-4810"/>
                                                <a:stretch>
                                                  <a:fillRect/>
                                                </a:stretch>
                                              </pic:blipFill>
                                              <pic:spPr bwMode="auto">
                                                <a:xfrm>
                                                  <a:off x="0" y="0"/>
                                                  <a:ext cx="171450" cy="200025"/>
                                                </a:xfrm>
                                                <a:prstGeom prst="rect">
                                                  <a:avLst/>
                                                </a:prstGeom>
                                                <a:ln w="635">
                                                  <a:solidFill>
                                                    <a:srgbClr val="000000"/>
                                                  </a:solidFill>
                                                </a:ln>
                                              </pic:spPr>
                                            </pic:pic>
                                          </a:graphicData>
                                        </a:graphic>
                                      </wp:inline>
                                    </w:drawing>
                                  </w:r>
                                </w:p>
                              </w:tc>
                              <w:tc>
                                <w:tcPr>
                                  <w:tcW w:w="3440" w:type="dxa"/>
                                  <w:tcBorders/>
                                  <w:shd w:fill="auto" w:val="clear"/>
                                  <w:vAlign w:val="center"/>
                                </w:tcPr>
                                <w:p>
                                  <w:pPr>
                                    <w:pStyle w:val="TableContents"/>
                                    <w:spacing w:before="0" w:after="0"/>
                                    <w:jc w:val="left"/>
                                    <w:rPr>
                                      <w:rFonts w:ascii="Arial" w:hAnsi="Arial"/>
                                      <w:sz w:val="20"/>
                                    </w:rPr>
                                  </w:pPr>
                                  <w:r>
                                    <w:rPr>
                                      <w:rFonts w:ascii="Arial" w:hAnsi="Arial"/>
                                      <w:sz w:val="20"/>
                                    </w:rPr>
                                    <w:t>Executive Leadership</w:t>
                                  </w:r>
                                </w:p>
                              </w:tc>
                            </w:tr>
                            <w:tr>
                              <w:trPr/>
                              <w:tc>
                                <w:tcPr>
                                  <w:tcW w:w="315" w:type="dxa"/>
                                  <w:tcBorders/>
                                  <w:shd w:fill="auto" w:val="clear"/>
                                  <w:vAlign w:val="center"/>
                                </w:tcPr>
                                <w:p>
                                  <w:pPr>
                                    <w:pStyle w:val="TableContents"/>
                                    <w:spacing w:before="0" w:after="283"/>
                                    <w:jc w:val="center"/>
                                    <w:rPr/>
                                  </w:pPr>
                                  <w:r>
                                    <w:rPr/>
                                    <w:drawing>
                                      <wp:inline distT="0" distB="0" distL="0" distR="0">
                                        <wp:extent cx="190500" cy="133350"/>
                                        <wp:effectExtent l="0" t="0" r="0" b="0"/>
                                        <wp:docPr id="9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64" descr=""/>
                                                <pic:cNvPicPr>
                                                  <a:picLocks noChangeAspect="1" noChangeArrowheads="1"/>
                                                </pic:cNvPicPr>
                                              </pic:nvPicPr>
                                              <pic:blipFill>
                                                <a:blip r:embed="rId65"/>
                                                <a:srcRect l="-3650" t="-5293" r="-3650" b="-5293"/>
                                                <a:stretch>
                                                  <a:fillRect/>
                                                </a:stretch>
                                              </pic:blipFill>
                                              <pic:spPr bwMode="auto">
                                                <a:xfrm>
                                                  <a:off x="0" y="0"/>
                                                  <a:ext cx="190500" cy="133350"/>
                                                </a:xfrm>
                                                <a:prstGeom prst="rect">
                                                  <a:avLst/>
                                                </a:prstGeom>
                                                <a:ln w="635">
                                                  <a:solidFill>
                                                    <a:srgbClr val="000000"/>
                                                  </a:solidFill>
                                                </a:ln>
                                              </pic:spPr>
                                            </pic:pic>
                                          </a:graphicData>
                                        </a:graphic>
                                      </wp:inline>
                                    </w:drawing>
                                  </w:r>
                                </w:p>
                              </w:tc>
                              <w:tc>
                                <w:tcPr>
                                  <w:tcW w:w="3440" w:type="dxa"/>
                                  <w:tcBorders/>
                                  <w:shd w:fill="auto" w:val="clear"/>
                                  <w:vAlign w:val="center"/>
                                </w:tcPr>
                                <w:p>
                                  <w:pPr>
                                    <w:pStyle w:val="TableContents"/>
                                    <w:spacing w:before="0" w:after="283"/>
                                    <w:jc w:val="left"/>
                                    <w:rPr>
                                      <w:rFonts w:ascii="Arial" w:hAnsi="Arial"/>
                                      <w:sz w:val="20"/>
                                    </w:rPr>
                                  </w:pPr>
                                  <w:r>
                                    <w:rPr>
                                      <w:rFonts w:ascii="Arial" w:hAnsi="Arial"/>
                                      <w:sz w:val="20"/>
                                    </w:rPr>
                                    <w:t>Relevant Industry Experience</w:t>
                                  </w:r>
                                </w:p>
                              </w:tc>
                            </w:tr>
                            <w:tr>
                              <w:trPr/>
                              <w:tc>
                                <w:tcPr>
                                  <w:tcW w:w="315" w:type="dxa"/>
                                  <w:tcBorders/>
                                  <w:shd w:fill="auto" w:val="clear"/>
                                  <w:vAlign w:val="center"/>
                                </w:tcPr>
                                <w:p>
                                  <w:pPr>
                                    <w:pStyle w:val="TableContents"/>
                                    <w:spacing w:before="0" w:after="283"/>
                                    <w:jc w:val="center"/>
                                    <w:rPr/>
                                  </w:pPr>
                                  <w:r>
                                    <w:rPr/>
                                    <w:drawing>
                                      <wp:inline distT="0" distB="0" distL="0" distR="0">
                                        <wp:extent cx="190500" cy="200025"/>
                                        <wp:effectExtent l="0" t="0" r="0" b="0"/>
                                        <wp:docPr id="9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65" descr=""/>
                                                <pic:cNvPicPr>
                                                  <a:picLocks noChangeAspect="1" noChangeArrowheads="1"/>
                                                </pic:cNvPicPr>
                                              </pic:nvPicPr>
                                              <pic:blipFill>
                                                <a:blip r:embed="rId66"/>
                                                <a:srcRect l="-3650" t="-3921" r="-3650" b="-3921"/>
                                                <a:stretch>
                                                  <a:fillRect/>
                                                </a:stretch>
                                              </pic:blipFill>
                                              <pic:spPr bwMode="auto">
                                                <a:xfrm>
                                                  <a:off x="0" y="0"/>
                                                  <a:ext cx="190500" cy="200025"/>
                                                </a:xfrm>
                                                <a:prstGeom prst="rect">
                                                  <a:avLst/>
                                                </a:prstGeom>
                                                <a:ln w="635">
                                                  <a:solidFill>
                                                    <a:srgbClr val="000000"/>
                                                  </a:solidFill>
                                                </a:ln>
                                              </pic:spPr>
                                            </pic:pic>
                                          </a:graphicData>
                                        </a:graphic>
                                      </wp:inline>
                                    </w:drawing>
                                  </w:r>
                                </w:p>
                              </w:tc>
                              <w:tc>
                                <w:tcPr>
                                  <w:tcW w:w="3440" w:type="dxa"/>
                                  <w:tcBorders/>
                                  <w:shd w:fill="auto" w:val="clear"/>
                                  <w:vAlign w:val="center"/>
                                </w:tcPr>
                                <w:p>
                                  <w:pPr>
                                    <w:pStyle w:val="TableContents"/>
                                    <w:spacing w:before="0" w:after="283"/>
                                    <w:jc w:val="left"/>
                                    <w:rPr>
                                      <w:rFonts w:ascii="Arial" w:hAnsi="Arial"/>
                                      <w:sz w:val="20"/>
                                    </w:rPr>
                                  </w:pPr>
                                  <w:r>
                                    <w:rPr>
                                      <w:rFonts w:ascii="Arial" w:hAnsi="Arial"/>
                                      <w:sz w:val="20"/>
                                    </w:rPr>
                                    <w:t>Consumer Products/Customer-Oriented</w:t>
                                  </w:r>
                                </w:p>
                              </w:tc>
                            </w:tr>
                            <w:tr>
                              <w:trPr/>
                              <w:tc>
                                <w:tcPr>
                                  <w:tcW w:w="315" w:type="dxa"/>
                                  <w:tcBorders/>
                                  <w:shd w:fill="auto" w:val="clear"/>
                                  <w:vAlign w:val="center"/>
                                </w:tcPr>
                                <w:p>
                                  <w:pPr>
                                    <w:pStyle w:val="TableContents"/>
                                    <w:spacing w:before="0" w:after="283"/>
                                    <w:jc w:val="center"/>
                                    <w:rPr/>
                                  </w:pPr>
                                  <w:r>
                                    <w:rPr/>
                                    <w:drawing>
                                      <wp:inline distT="0" distB="0" distL="0" distR="0">
                                        <wp:extent cx="200025" cy="200025"/>
                                        <wp:effectExtent l="0" t="0" r="0" b="0"/>
                                        <wp:docPr id="9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66" descr=""/>
                                                <pic:cNvPicPr>
                                                  <a:picLocks noChangeAspect="1" noChangeArrowheads="1"/>
                                                </pic:cNvPicPr>
                                              </pic:nvPicPr>
                                              <pic:blipFill>
                                                <a:blip r:embed="rId67"/>
                                                <a:srcRect l="-5035" t="-5035" r="-5035" b="-5035"/>
                                                <a:stretch>
                                                  <a:fillRect/>
                                                </a:stretch>
                                              </pic:blipFill>
                                              <pic:spPr bwMode="auto">
                                                <a:xfrm>
                                                  <a:off x="0" y="0"/>
                                                  <a:ext cx="200025" cy="200025"/>
                                                </a:xfrm>
                                                <a:prstGeom prst="rect">
                                                  <a:avLst/>
                                                </a:prstGeom>
                                                <a:ln w="635">
                                                  <a:solidFill>
                                                    <a:srgbClr val="000000"/>
                                                  </a:solidFill>
                                                </a:ln>
                                              </pic:spPr>
                                            </pic:pic>
                                          </a:graphicData>
                                        </a:graphic>
                                      </wp:inline>
                                    </w:drawing>
                                  </w:r>
                                </w:p>
                              </w:tc>
                              <w:tc>
                                <w:tcPr>
                                  <w:tcW w:w="3440" w:type="dxa"/>
                                  <w:tcBorders/>
                                  <w:shd w:fill="auto" w:val="clear"/>
                                  <w:vAlign w:val="center"/>
                                </w:tcPr>
                                <w:p>
                                  <w:pPr>
                                    <w:pStyle w:val="TableContents"/>
                                    <w:spacing w:before="0" w:after="283"/>
                                    <w:jc w:val="left"/>
                                    <w:rPr>
                                      <w:rFonts w:ascii="Arial" w:hAnsi="Arial"/>
                                      <w:sz w:val="20"/>
                                    </w:rPr>
                                  </w:pPr>
                                  <w:r>
                                    <w:rPr>
                                      <w:rFonts w:ascii="Arial" w:hAnsi="Arial"/>
                                      <w:sz w:val="20"/>
                                    </w:rPr>
                                    <w:t>Technology</w:t>
                                  </w:r>
                                </w:p>
                              </w:tc>
                            </w:tr>
                            <w:tr>
                              <w:trPr/>
                              <w:tc>
                                <w:tcPr>
                                  <w:tcW w:w="315" w:type="dxa"/>
                                  <w:tcBorders/>
                                  <w:shd w:fill="auto" w:val="clear"/>
                                  <w:vAlign w:val="center"/>
                                </w:tcPr>
                                <w:p>
                                  <w:pPr>
                                    <w:pStyle w:val="TableContents"/>
                                    <w:spacing w:before="0" w:after="283"/>
                                    <w:jc w:val="center"/>
                                    <w:rPr/>
                                  </w:pPr>
                                  <w:r>
                                    <w:rPr/>
                                    <w:drawing>
                                      <wp:inline distT="0" distB="0" distL="0" distR="0">
                                        <wp:extent cx="200025" cy="209550"/>
                                        <wp:effectExtent l="0" t="0" r="0" b="0"/>
                                        <wp:docPr id="9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67" descr=""/>
                                                <pic:cNvPicPr>
                                                  <a:picLocks noChangeAspect="1" noChangeArrowheads="1"/>
                                                </pic:cNvPicPr>
                                              </pic:nvPicPr>
                                              <pic:blipFill>
                                                <a:blip r:embed="rId68"/>
                                                <a:srcRect l="-4810" t="-4810" r="-4810" b="-4810"/>
                                                <a:stretch>
                                                  <a:fillRect/>
                                                </a:stretch>
                                              </pic:blipFill>
                                              <pic:spPr bwMode="auto">
                                                <a:xfrm>
                                                  <a:off x="0" y="0"/>
                                                  <a:ext cx="200025" cy="209550"/>
                                                </a:xfrm>
                                                <a:prstGeom prst="rect">
                                                  <a:avLst/>
                                                </a:prstGeom>
                                                <a:ln w="635">
                                                  <a:solidFill>
                                                    <a:srgbClr val="000000"/>
                                                  </a:solidFill>
                                                </a:ln>
                                              </pic:spPr>
                                            </pic:pic>
                                          </a:graphicData>
                                        </a:graphic>
                                      </wp:inline>
                                    </w:drawing>
                                  </w:r>
                                </w:p>
                              </w:tc>
                              <w:tc>
                                <w:tcPr>
                                  <w:tcW w:w="3440" w:type="dxa"/>
                                  <w:tcBorders/>
                                  <w:shd w:fill="auto" w:val="clear"/>
                                  <w:vAlign w:val="center"/>
                                </w:tcPr>
                                <w:p>
                                  <w:pPr>
                                    <w:pStyle w:val="TableContents"/>
                                    <w:spacing w:before="0" w:after="283"/>
                                    <w:jc w:val="left"/>
                                    <w:rPr>
                                      <w:rFonts w:ascii="Arial" w:hAnsi="Arial"/>
                                      <w:sz w:val="20"/>
                                    </w:rPr>
                                  </w:pPr>
                                  <w:r>
                                    <w:rPr>
                                      <w:rFonts w:ascii="Arial" w:hAnsi="Arial"/>
                                      <w:sz w:val="20"/>
                                    </w:rPr>
                                    <w:t>Risk Management Oversight</w:t>
                                  </w:r>
                                </w:p>
                              </w:tc>
                            </w:tr>
                            <w:tr>
                              <w:trPr/>
                              <w:tc>
                                <w:tcPr>
                                  <w:tcW w:w="315" w:type="dxa"/>
                                  <w:tcBorders/>
                                  <w:shd w:fill="auto" w:val="clear"/>
                                  <w:vAlign w:val="center"/>
                                </w:tcPr>
                                <w:p>
                                  <w:pPr>
                                    <w:pStyle w:val="TableContents"/>
                                    <w:spacing w:before="0" w:after="283"/>
                                    <w:jc w:val="center"/>
                                    <w:rPr/>
                                  </w:pPr>
                                  <w:r>
                                    <w:rPr/>
                                    <w:drawing>
                                      <wp:inline distT="0" distB="0" distL="0" distR="0">
                                        <wp:extent cx="180975" cy="200025"/>
                                        <wp:effectExtent l="0" t="0" r="0" b="0"/>
                                        <wp:docPr id="9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68" descr=""/>
                                                <pic:cNvPicPr>
                                                  <a:picLocks noChangeAspect="1" noChangeArrowheads="1"/>
                                                </pic:cNvPicPr>
                                              </pic:nvPicPr>
                                              <pic:blipFill>
                                                <a:blip r:embed="rId69"/>
                                                <a:srcRect l="-5293" t="-5035" r="-5293" b="-5035"/>
                                                <a:stretch>
                                                  <a:fillRect/>
                                                </a:stretch>
                                              </pic:blipFill>
                                              <pic:spPr bwMode="auto">
                                                <a:xfrm>
                                                  <a:off x="0" y="0"/>
                                                  <a:ext cx="180975" cy="200025"/>
                                                </a:xfrm>
                                                <a:prstGeom prst="rect">
                                                  <a:avLst/>
                                                </a:prstGeom>
                                                <a:ln w="635">
                                                  <a:solidFill>
                                                    <a:srgbClr val="000000"/>
                                                  </a:solidFill>
                                                </a:ln>
                                              </pic:spPr>
                                            </pic:pic>
                                          </a:graphicData>
                                        </a:graphic>
                                      </wp:inline>
                                    </w:drawing>
                                  </w:r>
                                </w:p>
                              </w:tc>
                              <w:tc>
                                <w:tcPr>
                                  <w:tcW w:w="3440" w:type="dxa"/>
                                  <w:tcBorders/>
                                  <w:shd w:fill="auto" w:val="clear"/>
                                  <w:vAlign w:val="center"/>
                                </w:tcPr>
                                <w:p>
                                  <w:pPr>
                                    <w:pStyle w:val="TableContents"/>
                                    <w:spacing w:before="0" w:after="283"/>
                                    <w:jc w:val="left"/>
                                    <w:rPr>
                                      <w:rFonts w:ascii="Arial" w:hAnsi="Arial"/>
                                      <w:sz w:val="20"/>
                                    </w:rPr>
                                  </w:pPr>
                                  <w:r>
                                    <w:rPr>
                                      <w:rFonts w:ascii="Arial" w:hAnsi="Arial"/>
                                      <w:sz w:val="20"/>
                                    </w:rPr>
                                    <w:t>International</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74.6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spacing w:before="0" w:after="0"/>
                        <w:jc w:val="left"/>
                        <w:rPr>
                          <w:rFonts w:ascii="Arial" w:hAnsi="Arial"/>
                          <w:color w:val="00A1E0"/>
                          <w:sz w:val="15"/>
                        </w:rPr>
                      </w:pPr>
                      <w:r>
                        <w:rPr>
                          <w:rFonts w:ascii="Arial" w:hAnsi="Arial"/>
                          <w:color w:val="00A1E0"/>
                          <w:sz w:val="15"/>
                        </w:rPr>
                        <w:t>SKILLS AND QUALIFICATIONS:</w:t>
                      </w:r>
                    </w:p>
                    <w:p>
                      <w:pPr>
                        <w:pStyle w:val="TextBody"/>
                        <w:spacing w:before="0" w:after="0"/>
                        <w:jc w:val="left"/>
                        <w:rPr>
                          <w:rFonts w:ascii="Arial" w:hAnsi="Arial"/>
                          <w:sz w:val="20"/>
                        </w:rPr>
                      </w:pPr>
                      <w:r>
                        <w:rPr>
                          <w:rFonts w:ascii="Arial" w:hAnsi="Arial"/>
                          <w:sz w:val="20"/>
                        </w:rPr>
                        <w:t>We believe that Mr. Breens extensive experience in the technology, equipment supplier and consumer products sectors, notably as those sectors relate to the internet, video and wireless industries, and his various experiences as a president and chief executive officer, render him qualified to serve as one of our directors.</w:t>
                      </w:r>
                    </w:p>
                    <w:tbl>
                      <w:tblPr>
                        <w:tblW w:w="3755" w:type="dxa"/>
                        <w:jc w:val="left"/>
                        <w:tblInd w:w="0" w:type="dxa"/>
                        <w:tblCellMar>
                          <w:top w:w="0" w:type="dxa"/>
                          <w:left w:w="0" w:type="dxa"/>
                          <w:bottom w:w="0" w:type="dxa"/>
                          <w:right w:w="0" w:type="dxa"/>
                        </w:tblCellMar>
                      </w:tblPr>
                      <w:tblGrid>
                        <w:gridCol w:w="315"/>
                        <w:gridCol w:w="3440"/>
                      </w:tblGrid>
                      <w:tr>
                        <w:trPr/>
                        <w:tc>
                          <w:tcPr>
                            <w:tcW w:w="315" w:type="dxa"/>
                            <w:tcBorders/>
                            <w:shd w:fill="auto" w:val="clear"/>
                            <w:vAlign w:val="center"/>
                          </w:tcPr>
                          <w:p>
                            <w:pPr>
                              <w:pStyle w:val="TableContents"/>
                              <w:spacing w:before="0" w:after="283"/>
                              <w:jc w:val="center"/>
                              <w:rPr/>
                            </w:pPr>
                            <w:r>
                              <w:rPr/>
                              <w:drawing>
                                <wp:inline distT="0" distB="0" distL="0" distR="0">
                                  <wp:extent cx="171450" cy="200025"/>
                                  <wp:effectExtent l="0" t="0" r="0" b="0"/>
                                  <wp:docPr id="99"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63" descr=""/>
                                          <pic:cNvPicPr>
                                            <a:picLocks noChangeAspect="1" noChangeArrowheads="1"/>
                                          </pic:cNvPicPr>
                                        </pic:nvPicPr>
                                        <pic:blipFill>
                                          <a:blip r:embed="rId64"/>
                                          <a:srcRect l="-5566" t="-4810" r="-5566" b="-4810"/>
                                          <a:stretch>
                                            <a:fillRect/>
                                          </a:stretch>
                                        </pic:blipFill>
                                        <pic:spPr bwMode="auto">
                                          <a:xfrm>
                                            <a:off x="0" y="0"/>
                                            <a:ext cx="171450" cy="200025"/>
                                          </a:xfrm>
                                          <a:prstGeom prst="rect">
                                            <a:avLst/>
                                          </a:prstGeom>
                                          <a:ln w="635">
                                            <a:solidFill>
                                              <a:srgbClr val="000000"/>
                                            </a:solidFill>
                                          </a:ln>
                                        </pic:spPr>
                                      </pic:pic>
                                    </a:graphicData>
                                  </a:graphic>
                                </wp:inline>
                              </w:drawing>
                            </w:r>
                          </w:p>
                        </w:tc>
                        <w:tc>
                          <w:tcPr>
                            <w:tcW w:w="3440" w:type="dxa"/>
                            <w:tcBorders/>
                            <w:shd w:fill="auto" w:val="clear"/>
                            <w:vAlign w:val="center"/>
                          </w:tcPr>
                          <w:p>
                            <w:pPr>
                              <w:pStyle w:val="TableContents"/>
                              <w:spacing w:before="0" w:after="0"/>
                              <w:jc w:val="left"/>
                              <w:rPr>
                                <w:rFonts w:ascii="Arial" w:hAnsi="Arial"/>
                                <w:sz w:val="20"/>
                              </w:rPr>
                            </w:pPr>
                            <w:r>
                              <w:rPr>
                                <w:rFonts w:ascii="Arial" w:hAnsi="Arial"/>
                                <w:sz w:val="20"/>
                              </w:rPr>
                              <w:t>Executive Leadership</w:t>
                            </w:r>
                          </w:p>
                        </w:tc>
                      </w:tr>
                      <w:tr>
                        <w:trPr/>
                        <w:tc>
                          <w:tcPr>
                            <w:tcW w:w="315" w:type="dxa"/>
                            <w:tcBorders/>
                            <w:shd w:fill="auto" w:val="clear"/>
                            <w:vAlign w:val="center"/>
                          </w:tcPr>
                          <w:p>
                            <w:pPr>
                              <w:pStyle w:val="TableContents"/>
                              <w:spacing w:before="0" w:after="283"/>
                              <w:jc w:val="center"/>
                              <w:rPr/>
                            </w:pPr>
                            <w:r>
                              <w:rPr/>
                              <w:drawing>
                                <wp:inline distT="0" distB="0" distL="0" distR="0">
                                  <wp:extent cx="190500" cy="133350"/>
                                  <wp:effectExtent l="0" t="0" r="0" b="0"/>
                                  <wp:docPr id="100"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64" descr=""/>
                                          <pic:cNvPicPr>
                                            <a:picLocks noChangeAspect="1" noChangeArrowheads="1"/>
                                          </pic:cNvPicPr>
                                        </pic:nvPicPr>
                                        <pic:blipFill>
                                          <a:blip r:embed="rId65"/>
                                          <a:srcRect l="-3650" t="-5293" r="-3650" b="-5293"/>
                                          <a:stretch>
                                            <a:fillRect/>
                                          </a:stretch>
                                        </pic:blipFill>
                                        <pic:spPr bwMode="auto">
                                          <a:xfrm>
                                            <a:off x="0" y="0"/>
                                            <a:ext cx="190500" cy="133350"/>
                                          </a:xfrm>
                                          <a:prstGeom prst="rect">
                                            <a:avLst/>
                                          </a:prstGeom>
                                          <a:ln w="635">
                                            <a:solidFill>
                                              <a:srgbClr val="000000"/>
                                            </a:solidFill>
                                          </a:ln>
                                        </pic:spPr>
                                      </pic:pic>
                                    </a:graphicData>
                                  </a:graphic>
                                </wp:inline>
                              </w:drawing>
                            </w:r>
                          </w:p>
                        </w:tc>
                        <w:tc>
                          <w:tcPr>
                            <w:tcW w:w="3440" w:type="dxa"/>
                            <w:tcBorders/>
                            <w:shd w:fill="auto" w:val="clear"/>
                            <w:vAlign w:val="center"/>
                          </w:tcPr>
                          <w:p>
                            <w:pPr>
                              <w:pStyle w:val="TableContents"/>
                              <w:spacing w:before="0" w:after="283"/>
                              <w:jc w:val="left"/>
                              <w:rPr>
                                <w:rFonts w:ascii="Arial" w:hAnsi="Arial"/>
                                <w:sz w:val="20"/>
                              </w:rPr>
                            </w:pPr>
                            <w:r>
                              <w:rPr>
                                <w:rFonts w:ascii="Arial" w:hAnsi="Arial"/>
                                <w:sz w:val="20"/>
                              </w:rPr>
                              <w:t>Relevant Industry Experience</w:t>
                            </w:r>
                          </w:p>
                        </w:tc>
                      </w:tr>
                      <w:tr>
                        <w:trPr/>
                        <w:tc>
                          <w:tcPr>
                            <w:tcW w:w="315" w:type="dxa"/>
                            <w:tcBorders/>
                            <w:shd w:fill="auto" w:val="clear"/>
                            <w:vAlign w:val="center"/>
                          </w:tcPr>
                          <w:p>
                            <w:pPr>
                              <w:pStyle w:val="TableContents"/>
                              <w:spacing w:before="0" w:after="283"/>
                              <w:jc w:val="center"/>
                              <w:rPr/>
                            </w:pPr>
                            <w:r>
                              <w:rPr/>
                              <w:drawing>
                                <wp:inline distT="0" distB="0" distL="0" distR="0">
                                  <wp:extent cx="190500" cy="200025"/>
                                  <wp:effectExtent l="0" t="0" r="0" b="0"/>
                                  <wp:docPr id="101"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65" descr=""/>
                                          <pic:cNvPicPr>
                                            <a:picLocks noChangeAspect="1" noChangeArrowheads="1"/>
                                          </pic:cNvPicPr>
                                        </pic:nvPicPr>
                                        <pic:blipFill>
                                          <a:blip r:embed="rId66"/>
                                          <a:srcRect l="-3650" t="-3921" r="-3650" b="-3921"/>
                                          <a:stretch>
                                            <a:fillRect/>
                                          </a:stretch>
                                        </pic:blipFill>
                                        <pic:spPr bwMode="auto">
                                          <a:xfrm>
                                            <a:off x="0" y="0"/>
                                            <a:ext cx="190500" cy="200025"/>
                                          </a:xfrm>
                                          <a:prstGeom prst="rect">
                                            <a:avLst/>
                                          </a:prstGeom>
                                          <a:ln w="635">
                                            <a:solidFill>
                                              <a:srgbClr val="000000"/>
                                            </a:solidFill>
                                          </a:ln>
                                        </pic:spPr>
                                      </pic:pic>
                                    </a:graphicData>
                                  </a:graphic>
                                </wp:inline>
                              </w:drawing>
                            </w:r>
                          </w:p>
                        </w:tc>
                        <w:tc>
                          <w:tcPr>
                            <w:tcW w:w="3440" w:type="dxa"/>
                            <w:tcBorders/>
                            <w:shd w:fill="auto" w:val="clear"/>
                            <w:vAlign w:val="center"/>
                          </w:tcPr>
                          <w:p>
                            <w:pPr>
                              <w:pStyle w:val="TableContents"/>
                              <w:spacing w:before="0" w:after="283"/>
                              <w:jc w:val="left"/>
                              <w:rPr>
                                <w:rFonts w:ascii="Arial" w:hAnsi="Arial"/>
                                <w:sz w:val="20"/>
                              </w:rPr>
                            </w:pPr>
                            <w:r>
                              <w:rPr>
                                <w:rFonts w:ascii="Arial" w:hAnsi="Arial"/>
                                <w:sz w:val="20"/>
                              </w:rPr>
                              <w:t>Consumer Products/Customer-Oriented</w:t>
                            </w:r>
                          </w:p>
                        </w:tc>
                      </w:tr>
                      <w:tr>
                        <w:trPr/>
                        <w:tc>
                          <w:tcPr>
                            <w:tcW w:w="315" w:type="dxa"/>
                            <w:tcBorders/>
                            <w:shd w:fill="auto" w:val="clear"/>
                            <w:vAlign w:val="center"/>
                          </w:tcPr>
                          <w:p>
                            <w:pPr>
                              <w:pStyle w:val="TableContents"/>
                              <w:spacing w:before="0" w:after="283"/>
                              <w:jc w:val="center"/>
                              <w:rPr/>
                            </w:pPr>
                            <w:r>
                              <w:rPr/>
                              <w:drawing>
                                <wp:inline distT="0" distB="0" distL="0" distR="0">
                                  <wp:extent cx="200025" cy="200025"/>
                                  <wp:effectExtent l="0" t="0" r="0" b="0"/>
                                  <wp:docPr id="102"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66" descr=""/>
                                          <pic:cNvPicPr>
                                            <a:picLocks noChangeAspect="1" noChangeArrowheads="1"/>
                                          </pic:cNvPicPr>
                                        </pic:nvPicPr>
                                        <pic:blipFill>
                                          <a:blip r:embed="rId67"/>
                                          <a:srcRect l="-5035" t="-5035" r="-5035" b="-5035"/>
                                          <a:stretch>
                                            <a:fillRect/>
                                          </a:stretch>
                                        </pic:blipFill>
                                        <pic:spPr bwMode="auto">
                                          <a:xfrm>
                                            <a:off x="0" y="0"/>
                                            <a:ext cx="200025" cy="200025"/>
                                          </a:xfrm>
                                          <a:prstGeom prst="rect">
                                            <a:avLst/>
                                          </a:prstGeom>
                                          <a:ln w="635">
                                            <a:solidFill>
                                              <a:srgbClr val="000000"/>
                                            </a:solidFill>
                                          </a:ln>
                                        </pic:spPr>
                                      </pic:pic>
                                    </a:graphicData>
                                  </a:graphic>
                                </wp:inline>
                              </w:drawing>
                            </w:r>
                          </w:p>
                        </w:tc>
                        <w:tc>
                          <w:tcPr>
                            <w:tcW w:w="3440" w:type="dxa"/>
                            <w:tcBorders/>
                            <w:shd w:fill="auto" w:val="clear"/>
                            <w:vAlign w:val="center"/>
                          </w:tcPr>
                          <w:p>
                            <w:pPr>
                              <w:pStyle w:val="TableContents"/>
                              <w:spacing w:before="0" w:after="283"/>
                              <w:jc w:val="left"/>
                              <w:rPr>
                                <w:rFonts w:ascii="Arial" w:hAnsi="Arial"/>
                                <w:sz w:val="20"/>
                              </w:rPr>
                            </w:pPr>
                            <w:r>
                              <w:rPr>
                                <w:rFonts w:ascii="Arial" w:hAnsi="Arial"/>
                                <w:sz w:val="20"/>
                              </w:rPr>
                              <w:t>Technology</w:t>
                            </w:r>
                          </w:p>
                        </w:tc>
                      </w:tr>
                      <w:tr>
                        <w:trPr/>
                        <w:tc>
                          <w:tcPr>
                            <w:tcW w:w="315" w:type="dxa"/>
                            <w:tcBorders/>
                            <w:shd w:fill="auto" w:val="clear"/>
                            <w:vAlign w:val="center"/>
                          </w:tcPr>
                          <w:p>
                            <w:pPr>
                              <w:pStyle w:val="TableContents"/>
                              <w:spacing w:before="0" w:after="283"/>
                              <w:jc w:val="center"/>
                              <w:rPr/>
                            </w:pPr>
                            <w:r>
                              <w:rPr/>
                              <w:drawing>
                                <wp:inline distT="0" distB="0" distL="0" distR="0">
                                  <wp:extent cx="200025" cy="209550"/>
                                  <wp:effectExtent l="0" t="0" r="0" b="0"/>
                                  <wp:docPr id="103"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67" descr=""/>
                                          <pic:cNvPicPr>
                                            <a:picLocks noChangeAspect="1" noChangeArrowheads="1"/>
                                          </pic:cNvPicPr>
                                        </pic:nvPicPr>
                                        <pic:blipFill>
                                          <a:blip r:embed="rId68"/>
                                          <a:srcRect l="-4810" t="-4810" r="-4810" b="-4810"/>
                                          <a:stretch>
                                            <a:fillRect/>
                                          </a:stretch>
                                        </pic:blipFill>
                                        <pic:spPr bwMode="auto">
                                          <a:xfrm>
                                            <a:off x="0" y="0"/>
                                            <a:ext cx="200025" cy="209550"/>
                                          </a:xfrm>
                                          <a:prstGeom prst="rect">
                                            <a:avLst/>
                                          </a:prstGeom>
                                          <a:ln w="635">
                                            <a:solidFill>
                                              <a:srgbClr val="000000"/>
                                            </a:solidFill>
                                          </a:ln>
                                        </pic:spPr>
                                      </pic:pic>
                                    </a:graphicData>
                                  </a:graphic>
                                </wp:inline>
                              </w:drawing>
                            </w:r>
                          </w:p>
                        </w:tc>
                        <w:tc>
                          <w:tcPr>
                            <w:tcW w:w="3440" w:type="dxa"/>
                            <w:tcBorders/>
                            <w:shd w:fill="auto" w:val="clear"/>
                            <w:vAlign w:val="center"/>
                          </w:tcPr>
                          <w:p>
                            <w:pPr>
                              <w:pStyle w:val="TableContents"/>
                              <w:spacing w:before="0" w:after="283"/>
                              <w:jc w:val="left"/>
                              <w:rPr>
                                <w:rFonts w:ascii="Arial" w:hAnsi="Arial"/>
                                <w:sz w:val="20"/>
                              </w:rPr>
                            </w:pPr>
                            <w:r>
                              <w:rPr>
                                <w:rFonts w:ascii="Arial" w:hAnsi="Arial"/>
                                <w:sz w:val="20"/>
                              </w:rPr>
                              <w:t>Risk Management Oversight</w:t>
                            </w:r>
                          </w:p>
                        </w:tc>
                      </w:tr>
                      <w:tr>
                        <w:trPr/>
                        <w:tc>
                          <w:tcPr>
                            <w:tcW w:w="315" w:type="dxa"/>
                            <w:tcBorders/>
                            <w:shd w:fill="auto" w:val="clear"/>
                            <w:vAlign w:val="center"/>
                          </w:tcPr>
                          <w:p>
                            <w:pPr>
                              <w:pStyle w:val="TableContents"/>
                              <w:spacing w:before="0" w:after="283"/>
                              <w:jc w:val="center"/>
                              <w:rPr/>
                            </w:pPr>
                            <w:r>
                              <w:rPr/>
                              <w:drawing>
                                <wp:inline distT="0" distB="0" distL="0" distR="0">
                                  <wp:extent cx="180975" cy="200025"/>
                                  <wp:effectExtent l="0" t="0" r="0" b="0"/>
                                  <wp:docPr id="104"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68" descr=""/>
                                          <pic:cNvPicPr>
                                            <a:picLocks noChangeAspect="1" noChangeArrowheads="1"/>
                                          </pic:cNvPicPr>
                                        </pic:nvPicPr>
                                        <pic:blipFill>
                                          <a:blip r:embed="rId69"/>
                                          <a:srcRect l="-5293" t="-5035" r="-5293" b="-5035"/>
                                          <a:stretch>
                                            <a:fillRect/>
                                          </a:stretch>
                                        </pic:blipFill>
                                        <pic:spPr bwMode="auto">
                                          <a:xfrm>
                                            <a:off x="0" y="0"/>
                                            <a:ext cx="180975" cy="200025"/>
                                          </a:xfrm>
                                          <a:prstGeom prst="rect">
                                            <a:avLst/>
                                          </a:prstGeom>
                                          <a:ln w="635">
                                            <a:solidFill>
                                              <a:srgbClr val="000000"/>
                                            </a:solidFill>
                                          </a:ln>
                                        </pic:spPr>
                                      </pic:pic>
                                    </a:graphicData>
                                  </a:graphic>
                                </wp:inline>
                              </w:drawing>
                            </w:r>
                          </w:p>
                        </w:tc>
                        <w:tc>
                          <w:tcPr>
                            <w:tcW w:w="3440" w:type="dxa"/>
                            <w:tcBorders/>
                            <w:shd w:fill="auto" w:val="clear"/>
                            <w:vAlign w:val="center"/>
                          </w:tcPr>
                          <w:p>
                            <w:pPr>
                              <w:pStyle w:val="TableContents"/>
                              <w:spacing w:before="0" w:after="283"/>
                              <w:jc w:val="left"/>
                              <w:rPr>
                                <w:rFonts w:ascii="Arial" w:hAnsi="Arial"/>
                                <w:sz w:val="20"/>
                              </w:rPr>
                            </w:pPr>
                            <w:r>
                              <w:rPr>
                                <w:rFonts w:ascii="Arial" w:hAnsi="Arial"/>
                                <w:sz w:val="20"/>
                              </w:rPr>
                              <w:t>International</w:t>
                            </w:r>
                          </w:p>
                        </w:tc>
                      </w:tr>
                    </w:tbl>
                    <w:p>
                      <w:pPr>
                        <w:pStyle w:val="TextBody"/>
                        <w:spacing w:before="0" w:after="283"/>
                        <w:rPr/>
                      </w:pPr>
                      <w:r>
                        <w:rPr/>
                      </w:r>
                    </w:p>
                  </w:txbxContent>
                </v:textbox>
                <w10:wrap type="square" side="left"/>
              </v:rect>
            </w:pict>
          </mc:Fallback>
        </mc:AlternateContent>
      </w:r>
    </w:p>
    <w:tbl>
      <w:tblPr>
        <w:tblW w:w="200" w:type="dxa"/>
        <w:jc w:val="left"/>
        <w:tblInd w:w="0" w:type="dxa"/>
        <w:tblCellMar>
          <w:top w:w="0" w:type="dxa"/>
          <w:left w:w="0" w:type="dxa"/>
          <w:bottom w:w="0" w:type="dxa"/>
          <w:right w:w="0" w:type="dxa"/>
        </w:tblCellMar>
      </w:tblPr>
      <w:tblGrid>
        <w:gridCol w:w="200"/>
      </w:tblGrid>
      <w:tr>
        <w:trPr/>
        <w:tc>
          <w:tcPr>
            <w:tcW w:w="200" w:type="dxa"/>
            <w:tcBorders/>
            <w:shd w:fill="auto" w:val="clear"/>
            <w:vAlign w:val="center"/>
          </w:tcPr>
          <w:p>
            <w:pPr>
              <w:pStyle w:val="TableContents"/>
              <w:spacing w:before="0" w:after="283"/>
              <w:jc w:val="left"/>
              <w:rPr/>
            </w:pPr>
            <w:r>
              <w:rPr>
                <w:rStyle w:val="StrongEmphasis"/>
                <w:rFonts w:ascii="Arial" w:hAnsi="Arial"/>
                <w:sz w:val="15"/>
              </w:rPr>
              <w:t>16</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7100" w:type="dxa"/>
        <w:jc w:val="left"/>
        <w:tblInd w:w="0" w:type="dxa"/>
        <w:tblCellMar>
          <w:top w:w="0" w:type="dxa"/>
          <w:left w:w="0" w:type="dxa"/>
          <w:bottom w:w="160" w:type="dxa"/>
          <w:right w:w="0" w:type="dxa"/>
        </w:tblCellMar>
      </w:tblPr>
      <w:tblGrid>
        <w:gridCol w:w="5600"/>
        <w:gridCol w:w="1500"/>
      </w:tblGrid>
      <w:tr>
        <w:trPr/>
        <w:tc>
          <w:tcPr>
            <w:tcW w:w="5600" w:type="dxa"/>
            <w:tcBorders>
              <w:bottom w:val="single" w:sz="8" w:space="0" w:color="000000"/>
            </w:tcBorders>
            <w:shd w:fill="auto" w:val="clear"/>
            <w:vAlign w:val="center"/>
          </w:tcPr>
          <w:p>
            <w:pPr>
              <w:pStyle w:val="TableContents"/>
              <w:spacing w:before="0" w:after="0"/>
              <w:jc w:val="left"/>
              <w:rPr/>
            </w:pPr>
            <w:r>
              <w:rPr>
                <w:rStyle w:val="StrongEmphasis"/>
                <w:rFonts w:ascii="Arial" w:hAnsi="Arial"/>
                <w:sz w:val="24"/>
              </w:rPr>
              <w:t>Gerald L. Hassell</w:t>
            </w:r>
          </w:p>
          <w:p>
            <w:pPr>
              <w:pStyle w:val="TableContents"/>
              <w:spacing w:before="0" w:after="0"/>
              <w:jc w:val="left"/>
              <w:rPr/>
            </w:pPr>
            <w:r>
              <w:rPr>
                <w:rStyle w:val="StrongEmphasis"/>
                <w:rFonts w:ascii="Arial" w:hAnsi="Arial"/>
                <w:color w:val="00A1E0"/>
                <w:sz w:val="15"/>
              </w:rPr>
              <w:t>INDEPENDENT</w:t>
            </w:r>
          </w:p>
          <w:p>
            <w:pPr>
              <w:pStyle w:val="TableContents"/>
              <w:spacing w:before="0" w:after="0"/>
              <w:jc w:val="left"/>
              <w:rPr>
                <w:rFonts w:ascii="Arial" w:hAnsi="Arial"/>
                <w:sz w:val="20"/>
              </w:rPr>
            </w:pPr>
            <w:r>
              <w:rPr>
                <w:rFonts w:ascii="Arial" w:hAnsi="Arial"/>
                <w:sz w:val="20"/>
              </w:rPr>
              <w:t>Former Chief Executive Officer of The Bank of New York Mellon</w:t>
            </w:r>
          </w:p>
        </w:tc>
        <w:tc>
          <w:tcPr>
            <w:tcW w:w="1500" w:type="dxa"/>
            <w:vMerge w:val="restart"/>
            <w:tcBorders/>
            <w:shd w:fill="auto" w:val="clear"/>
            <w:tcMar>
              <w:bottom w:w="0" w:type="dxa"/>
            </w:tcMar>
            <w:vAlign w:val="center"/>
          </w:tcPr>
          <w:p>
            <w:pPr>
              <w:pStyle w:val="TableContents"/>
              <w:spacing w:before="0" w:after="283"/>
              <w:jc w:val="left"/>
              <w:rPr/>
            </w:pPr>
            <w:r>
              <w:rPr/>
              <w:drawing>
                <wp:inline distT="0" distB="0" distL="0" distR="0">
                  <wp:extent cx="952500" cy="962025"/>
                  <wp:effectExtent l="0" t="0" r="0" b="0"/>
                  <wp:docPr id="105"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69" descr=""/>
                          <pic:cNvPicPr>
                            <a:picLocks noChangeAspect="1" noChangeArrowheads="1"/>
                          </pic:cNvPicPr>
                        </pic:nvPicPr>
                        <pic:blipFill>
                          <a:blip r:embed="rId70"/>
                          <a:srcRect l="-1058" t="-1047" r="-1058" b="-1047"/>
                          <a:stretch>
                            <a:fillRect/>
                          </a:stretch>
                        </pic:blipFill>
                        <pic:spPr bwMode="auto">
                          <a:xfrm>
                            <a:off x="0" y="0"/>
                            <a:ext cx="952500" cy="962025"/>
                          </a:xfrm>
                          <a:prstGeom prst="rect">
                            <a:avLst/>
                          </a:prstGeom>
                          <a:ln w="635">
                            <a:solidFill>
                              <a:srgbClr val="000000"/>
                            </a:solidFill>
                          </a:ln>
                        </pic:spPr>
                      </pic:pic>
                    </a:graphicData>
                  </a:graphic>
                </wp:inline>
              </w:drawing>
            </w:r>
          </w:p>
        </w:tc>
      </w:tr>
      <w:tr>
        <w:trPr/>
        <w:tc>
          <w:tcPr>
            <w:tcW w:w="5600" w:type="dxa"/>
            <w:tcBorders/>
            <w:shd w:fill="auto" w:val="clear"/>
            <w:tcMar>
              <w:bottom w:w="0" w:type="dxa"/>
            </w:tcMar>
            <w:vAlign w:val="center"/>
          </w:tcPr>
          <w:p>
            <w:pPr>
              <w:pStyle w:val="TableContents"/>
              <w:spacing w:before="0" w:after="283"/>
              <w:jc w:val="left"/>
              <w:rPr/>
            </w:pPr>
            <w:r>
              <w:rPr/>
              <w:t> </w:t>
            </w:r>
            <w:r>
              <w:rPr/>
              <w:br/>
              <w:t> </w:t>
            </w:r>
          </w:p>
        </w:tc>
        <w:tc>
          <w:tcPr>
            <w:tcW w:w="1500" w:type="dxa"/>
            <w:vMerge w:val="continue"/>
            <w:tcBorders/>
            <w:shd w:fill="auto" w:val="clear"/>
            <w:tcMar>
              <w:bottom w:w="0" w:type="dxa"/>
            </w:tcMar>
            <w:vAlign w:val="center"/>
          </w:tcPr>
          <w:p>
            <w:pPr>
              <w:pStyle w:val="Normal"/>
              <w:rPr/>
            </w:pPr>
            <w:r>
              <w:rPr/>
            </w:r>
          </w:p>
        </w:tc>
      </w:tr>
    </w:tbl>
    <w:p>
      <w:pPr>
        <w:pStyle w:val="TextBody"/>
        <w:spacing w:before="0" w:after="283"/>
        <w:jc w:val="left"/>
        <w:rPr/>
      </w:pPr>
      <w:r>
        <w:rPr>
          <w:rFonts w:ascii="Arial" w:hAnsi="Arial"/>
          <w:sz w:val="20"/>
          <w:highlight w:val="cyan"/>
        </w:rPr>
        <w:t xml:space="preserve">Age: </w:t>
      </w:r>
      <w:r>
        <w:rPr>
          <w:rStyle w:val="StrongEmphasis"/>
          <w:rFonts w:ascii="Arial" w:hAnsi="Arial"/>
          <w:sz w:val="20"/>
          <w:highlight w:val="cyan"/>
        </w:rPr>
        <w:t>71</w:t>
        <w:br/>
      </w:r>
      <w:r>
        <w:rPr>
          <w:rFonts w:ascii="Arial" w:hAnsi="Arial"/>
          <w:sz w:val="20"/>
          <w:highlight w:val="cyan"/>
        </w:rPr>
        <w:t xml:space="preserve">Director since: </w:t>
      </w:r>
      <w:r>
        <w:rPr>
          <w:rStyle w:val="StrongEmphasis"/>
          <w:rFonts w:ascii="Arial" w:hAnsi="Arial"/>
          <w:sz w:val="20"/>
          <w:highlight w:val="cyan"/>
        </w:rPr>
        <w:t>May 2008</w:t>
        <w:br/>
      </w:r>
      <w:r>
        <w:rPr>
          <w:rFonts w:ascii="Arial" w:hAnsi="Arial"/>
          <w:sz w:val="20"/>
          <w:highlight w:val="cyan"/>
        </w:rPr>
        <w:t xml:space="preserve">Committees: </w:t>
      </w:r>
      <w:r>
        <w:rPr>
          <w:rStyle w:val="StrongEmphasis"/>
          <w:rFonts w:ascii="Arial" w:hAnsi="Arial"/>
          <w:sz w:val="20"/>
          <w:highlight w:val="cyan"/>
        </w:rPr>
        <w:t>Compensation and Human Capital</w:t>
      </w:r>
    </w:p>
    <w:tbl>
      <w:tblPr>
        <w:tblW w:w="4101" w:type="dxa"/>
        <w:jc w:val="left"/>
        <w:tblInd w:w="0" w:type="dxa"/>
        <w:tblCellMar>
          <w:top w:w="0" w:type="dxa"/>
          <w:left w:w="0" w:type="dxa"/>
          <w:bottom w:w="0" w:type="dxa"/>
          <w:right w:w="0" w:type="dxa"/>
        </w:tblCellMar>
      </w:tblPr>
      <w:tblGrid>
        <w:gridCol w:w="4055"/>
        <w:gridCol w:w="23"/>
        <w:gridCol w:w="23"/>
      </w:tblGrid>
      <w:tr>
        <w:trPr/>
        <w:tc>
          <w:tcPr>
            <w:tcW w:w="4055" w:type="dxa"/>
            <w:tcBorders/>
            <w:shd w:fill="auto" w:val="clear"/>
            <w:vAlign w:val="center"/>
          </w:tcPr>
          <w:p>
            <w:pPr>
              <w:pStyle w:val="TableContents"/>
              <w:spacing w:before="0" w:after="0"/>
              <w:jc w:val="left"/>
              <w:rPr/>
            </w:pPr>
            <w:r>
              <w:rPr>
                <w:rFonts w:ascii="Arial" w:hAnsi="Arial"/>
                <w:color w:val="00A1E0"/>
                <w:sz w:val="15"/>
              </w:rPr>
              <w:t>OTHER CURRENT PUBLIC COMPANY DIRECTORSHIPS:</w:t>
              <w:br/>
            </w:r>
            <w:r>
              <w:rPr>
                <w:rFonts w:ascii="Arial" w:hAnsi="Arial"/>
                <w:sz w:val="20"/>
              </w:rPr>
              <w:t>MetLife, Inc.</w:t>
            </w:r>
          </w:p>
        </w:tc>
        <w:tc>
          <w:tcPr>
            <w:tcW w:w="23"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r>
        <mc:AlternateContent>
          <mc:Choice Requires="wps">
            <w:drawing>
              <wp:anchor behindDoc="0" distT="0" distB="0" distL="0" distR="0" simplePos="0" locked="0" layoutInCell="1" allowOverlap="1" relativeHeight="35">
                <wp:simplePos x="0" y="0"/>
                <wp:positionH relativeFrom="column">
                  <wp:align>left</wp:align>
                </wp:positionH>
                <wp:positionV relativeFrom="line">
                  <wp:posOffset>635</wp:posOffset>
                </wp:positionV>
                <wp:extent cx="3110230" cy="1880235"/>
                <wp:effectExtent l="0" t="0" r="0" b="0"/>
                <wp:wrapSquare wrapText="largest"/>
                <wp:docPr id="106" name="Frame11"/>
                <a:graphic xmlns:a="http://schemas.openxmlformats.org/drawingml/2006/main">
                  <a:graphicData uri="http://schemas.microsoft.com/office/word/2010/wordprocessingShape">
                    <wps:wsp>
                      <wps:cNvSpPr txBox="1"/>
                      <wps:spPr>
                        <a:xfrm>
                          <a:off x="0" y="0"/>
                          <a:ext cx="3110230" cy="1880235"/>
                        </a:xfrm>
                        <a:prstGeom prst="rect"/>
                      </wps:spPr>
                      <wps:txbx>
                        <w:txbxContent>
                          <w:p>
                            <w:pPr>
                              <w:pStyle w:val="TextBody"/>
                              <w:spacing w:before="0" w:after="0"/>
                              <w:jc w:val="left"/>
                              <w:rPr>
                                <w:rFonts w:ascii="Arial" w:hAnsi="Arial"/>
                                <w:color w:val="00A1E0"/>
                                <w:sz w:val="15"/>
                              </w:rPr>
                            </w:pPr>
                            <w:r>
                              <w:rPr>
                                <w:rFonts w:ascii="Arial" w:hAnsi="Arial"/>
                                <w:color w:val="00A1E0"/>
                                <w:sz w:val="15"/>
                              </w:rPr>
                              <w:t>CAREER HIGHLIGHTS:</w:t>
                            </w:r>
                          </w:p>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t>Chief Executive Officer and Chairman, The Bank of New York Mellon, a financial services corporation, 2011 – 2017</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t>President, The Bank of New York Company, Inc. and The Bank of New York, 1998 – 2011</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t>Member of the Board of Trustees, Duke University</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t>Member of the Board of Directors, Duke University Health System</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4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left"/>
                        <w:rPr>
                          <w:rFonts w:ascii="Arial" w:hAnsi="Arial"/>
                          <w:color w:val="00A1E0"/>
                          <w:sz w:val="15"/>
                        </w:rPr>
                      </w:pPr>
                      <w:r>
                        <w:rPr>
                          <w:rFonts w:ascii="Arial" w:hAnsi="Arial"/>
                          <w:color w:val="00A1E0"/>
                          <w:sz w:val="15"/>
                        </w:rPr>
                        <w:t>CAREER HIGHLIGHTS:</w:t>
                      </w:r>
                    </w:p>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t>Chief Executive Officer and Chairman, The Bank of New York Mellon, a financial services corporation, 2011 – 2017</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t>President, The Bank of New York Company, Inc. and The Bank of New York, 1998 – 2011</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t>Member of the Board of Trustees, Duke University</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t>Member of the Board of Directors, Duke University Health System</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6">
                <wp:simplePos x="0" y="0"/>
                <wp:positionH relativeFrom="column">
                  <wp:align>right</wp:align>
                </wp:positionH>
                <wp:positionV relativeFrom="line">
                  <wp:posOffset>635</wp:posOffset>
                </wp:positionV>
                <wp:extent cx="3110230" cy="2781935"/>
                <wp:effectExtent l="0" t="0" r="0" b="0"/>
                <wp:wrapSquare wrapText="largest"/>
                <wp:docPr id="107" name="Frame12"/>
                <a:graphic xmlns:a="http://schemas.openxmlformats.org/drawingml/2006/main">
                  <a:graphicData uri="http://schemas.microsoft.com/office/word/2010/wordprocessingShape">
                    <wps:wsp>
                      <wps:cNvSpPr txBox="1"/>
                      <wps:spPr>
                        <a:xfrm>
                          <a:off x="0" y="0"/>
                          <a:ext cx="3110230" cy="2781935"/>
                        </a:xfrm>
                        <a:prstGeom prst="rect"/>
                      </wps:spPr>
                      <wps:txbx>
                        <w:txbxContent>
                          <w:p>
                            <w:pPr>
                              <w:pStyle w:val="TextBody"/>
                              <w:spacing w:before="0" w:after="0"/>
                              <w:jc w:val="left"/>
                              <w:rPr>
                                <w:rFonts w:ascii="Arial" w:hAnsi="Arial"/>
                                <w:color w:val="00A1E0"/>
                                <w:sz w:val="15"/>
                              </w:rPr>
                            </w:pPr>
                            <w:r>
                              <w:rPr>
                                <w:rFonts w:ascii="Arial" w:hAnsi="Arial"/>
                                <w:color w:val="00A1E0"/>
                                <w:sz w:val="15"/>
                              </w:rPr>
                              <w:t>SKILLS AND QUALIFICATIONS:</w:t>
                            </w:r>
                          </w:p>
                          <w:p>
                            <w:pPr>
                              <w:pStyle w:val="TextBody"/>
                              <w:spacing w:before="0" w:after="0"/>
                              <w:jc w:val="left"/>
                              <w:rPr>
                                <w:rFonts w:ascii="Arial" w:hAnsi="Arial"/>
                                <w:sz w:val="20"/>
                              </w:rPr>
                            </w:pPr>
                            <w:r>
                              <w:rPr>
                                <w:rFonts w:ascii="Arial" w:hAnsi="Arial"/>
                                <w:sz w:val="20"/>
                              </w:rPr>
                              <w:t>We believe that Mr. Hassell’s significant experience and leadership in the financial industry, including with respect to consumer financial products, as well as his prior experience as a president and chief executive officer and in the oversight of risk management efforts, render him qualified to serve as one of our directors.</w:t>
                            </w:r>
                          </w:p>
                          <w:tbl>
                            <w:tblPr>
                              <w:tblW w:w="3815" w:type="dxa"/>
                              <w:jc w:val="left"/>
                              <w:tblInd w:w="0" w:type="dxa"/>
                              <w:tblCellMar>
                                <w:top w:w="0" w:type="dxa"/>
                                <w:left w:w="0" w:type="dxa"/>
                                <w:bottom w:w="0" w:type="dxa"/>
                                <w:right w:w="0" w:type="dxa"/>
                              </w:tblCellMar>
                            </w:tblPr>
                            <w:tblGrid>
                              <w:gridCol w:w="315"/>
                              <w:gridCol w:w="3500"/>
                            </w:tblGrid>
                            <w:tr>
                              <w:trPr/>
                              <w:tc>
                                <w:tcPr>
                                  <w:tcW w:w="315" w:type="dxa"/>
                                  <w:tcBorders/>
                                  <w:shd w:fill="auto" w:val="clear"/>
                                  <w:vAlign w:val="center"/>
                                </w:tcPr>
                                <w:p>
                                  <w:pPr>
                                    <w:pStyle w:val="TableContents"/>
                                    <w:spacing w:before="0" w:after="283"/>
                                    <w:jc w:val="center"/>
                                    <w:rPr/>
                                  </w:pPr>
                                  <w:r>
                                    <w:rPr/>
                                    <w:drawing>
                                      <wp:inline distT="0" distB="0" distL="0" distR="0">
                                        <wp:extent cx="171450" cy="200025"/>
                                        <wp:effectExtent l="0" t="0" r="0" b="0"/>
                                        <wp:docPr id="108"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70" descr=""/>
                                                <pic:cNvPicPr>
                                                  <a:picLocks noChangeAspect="1" noChangeArrowheads="1"/>
                                                </pic:cNvPicPr>
                                              </pic:nvPicPr>
                                              <pic:blipFill>
                                                <a:blip r:embed="rId71"/>
                                                <a:srcRect l="-5882" t="-5035" r="-5882" b="-5035"/>
                                                <a:stretch>
                                                  <a:fillRect/>
                                                </a:stretch>
                                              </pic:blipFill>
                                              <pic:spPr bwMode="auto">
                                                <a:xfrm>
                                                  <a:off x="0" y="0"/>
                                                  <a:ext cx="171450" cy="200025"/>
                                                </a:xfrm>
                                                <a:prstGeom prst="rect">
                                                  <a:avLst/>
                                                </a:prstGeom>
                                                <a:ln w="635">
                                                  <a:solidFill>
                                                    <a:srgbClr val="000000"/>
                                                  </a:solidFill>
                                                </a:ln>
                                              </pic:spPr>
                                            </pic:pic>
                                          </a:graphicData>
                                        </a:graphic>
                                      </wp:inline>
                                    </w:drawing>
                                  </w:r>
                                </w:p>
                              </w:tc>
                              <w:tc>
                                <w:tcPr>
                                  <w:tcW w:w="3500" w:type="dxa"/>
                                  <w:tcBorders/>
                                  <w:shd w:fill="auto" w:val="clear"/>
                                  <w:vAlign w:val="center"/>
                                </w:tcPr>
                                <w:p>
                                  <w:pPr>
                                    <w:pStyle w:val="TableContents"/>
                                    <w:spacing w:before="0" w:after="283"/>
                                    <w:jc w:val="left"/>
                                    <w:rPr>
                                      <w:rFonts w:ascii="Arial" w:hAnsi="Arial"/>
                                      <w:sz w:val="20"/>
                                    </w:rPr>
                                  </w:pPr>
                                  <w:r>
                                    <w:rPr>
                                      <w:rFonts w:ascii="Arial" w:hAnsi="Arial"/>
                                      <w:sz w:val="20"/>
                                    </w:rPr>
                                    <w:t>Executive Leadership</w:t>
                                  </w:r>
                                </w:p>
                              </w:tc>
                            </w:tr>
                            <w:tr>
                              <w:trPr/>
                              <w:tc>
                                <w:tcPr>
                                  <w:tcW w:w="315" w:type="dxa"/>
                                  <w:tcBorders/>
                                  <w:shd w:fill="auto" w:val="clear"/>
                                  <w:vAlign w:val="center"/>
                                </w:tcPr>
                                <w:p>
                                  <w:pPr>
                                    <w:pStyle w:val="TableContents"/>
                                    <w:spacing w:before="0" w:after="283"/>
                                    <w:jc w:val="center"/>
                                    <w:rPr/>
                                  </w:pPr>
                                  <w:r>
                                    <w:rPr/>
                                    <w:drawing>
                                      <wp:inline distT="0" distB="0" distL="0" distR="0">
                                        <wp:extent cx="190500" cy="200025"/>
                                        <wp:effectExtent l="0" t="0" r="0" b="0"/>
                                        <wp:docPr id="109"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71" descr=""/>
                                                <pic:cNvPicPr>
                                                  <a:picLocks noChangeAspect="1" noChangeArrowheads="1"/>
                                                </pic:cNvPicPr>
                                              </pic:nvPicPr>
                                              <pic:blipFill>
                                                <a:blip r:embed="rId72"/>
                                                <a:srcRect l="-5293" t="-5035" r="-5293" b="-5035"/>
                                                <a:stretch>
                                                  <a:fillRect/>
                                                </a:stretch>
                                              </pic:blipFill>
                                              <pic:spPr bwMode="auto">
                                                <a:xfrm>
                                                  <a:off x="0" y="0"/>
                                                  <a:ext cx="190500" cy="200025"/>
                                                </a:xfrm>
                                                <a:prstGeom prst="rect">
                                                  <a:avLst/>
                                                </a:prstGeom>
                                                <a:ln w="635">
                                                  <a:solidFill>
                                                    <a:srgbClr val="000000"/>
                                                  </a:solidFill>
                                                </a:ln>
                                              </pic:spPr>
                                            </pic:pic>
                                          </a:graphicData>
                                        </a:graphic>
                                      </wp:inline>
                                    </w:drawing>
                                  </w:r>
                                </w:p>
                              </w:tc>
                              <w:tc>
                                <w:tcPr>
                                  <w:tcW w:w="3500" w:type="dxa"/>
                                  <w:tcBorders/>
                                  <w:shd w:fill="auto" w:val="clear"/>
                                  <w:vAlign w:val="center"/>
                                </w:tcPr>
                                <w:p>
                                  <w:pPr>
                                    <w:pStyle w:val="TableContents"/>
                                    <w:spacing w:before="0" w:after="283"/>
                                    <w:jc w:val="left"/>
                                    <w:rPr>
                                      <w:rFonts w:ascii="Arial" w:hAnsi="Arial"/>
                                      <w:sz w:val="20"/>
                                    </w:rPr>
                                  </w:pPr>
                                  <w:r>
                                    <w:rPr>
                                      <w:rFonts w:ascii="Arial" w:hAnsi="Arial"/>
                                      <w:sz w:val="20"/>
                                    </w:rPr>
                                    <w:t xml:space="preserve">Consumer Products/Customer-Oriented </w:t>
                                  </w:r>
                                </w:p>
                              </w:tc>
                            </w:tr>
                            <w:tr>
                              <w:trPr/>
                              <w:tc>
                                <w:tcPr>
                                  <w:tcW w:w="315" w:type="dxa"/>
                                  <w:tcBorders/>
                                  <w:shd w:fill="auto" w:val="clear"/>
                                  <w:vAlign w:val="center"/>
                                </w:tcPr>
                                <w:p>
                                  <w:pPr>
                                    <w:pStyle w:val="TableContents"/>
                                    <w:spacing w:before="0" w:after="283"/>
                                    <w:jc w:val="center"/>
                                    <w:rPr/>
                                  </w:pPr>
                                  <w:r>
                                    <w:rPr/>
                                    <w:drawing>
                                      <wp:inline distT="0" distB="0" distL="0" distR="0">
                                        <wp:extent cx="200025" cy="200025"/>
                                        <wp:effectExtent l="0" t="0" r="0" b="0"/>
                                        <wp:docPr id="110"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72" descr=""/>
                                                <pic:cNvPicPr>
                                                  <a:picLocks noChangeAspect="1" noChangeArrowheads="1"/>
                                                </pic:cNvPicPr>
                                              </pic:nvPicPr>
                                              <pic:blipFill>
                                                <a:blip r:embed="rId73"/>
                                                <a:srcRect l="-5035" t="-5035" r="-5035" b="-5035"/>
                                                <a:stretch>
                                                  <a:fillRect/>
                                                </a:stretch>
                                              </pic:blipFill>
                                              <pic:spPr bwMode="auto">
                                                <a:xfrm>
                                                  <a:off x="0" y="0"/>
                                                  <a:ext cx="200025" cy="200025"/>
                                                </a:xfrm>
                                                <a:prstGeom prst="rect">
                                                  <a:avLst/>
                                                </a:prstGeom>
                                                <a:ln w="635">
                                                  <a:solidFill>
                                                    <a:srgbClr val="000000"/>
                                                  </a:solidFill>
                                                </a:ln>
                                              </pic:spPr>
                                            </pic:pic>
                                          </a:graphicData>
                                        </a:graphic>
                                      </wp:inline>
                                    </w:drawing>
                                  </w:r>
                                </w:p>
                              </w:tc>
                              <w:tc>
                                <w:tcPr>
                                  <w:tcW w:w="3500" w:type="dxa"/>
                                  <w:tcBorders/>
                                  <w:shd w:fill="auto" w:val="clear"/>
                                  <w:vAlign w:val="center"/>
                                </w:tcPr>
                                <w:p>
                                  <w:pPr>
                                    <w:pStyle w:val="TableContents"/>
                                    <w:spacing w:before="0" w:after="283"/>
                                    <w:jc w:val="left"/>
                                    <w:rPr>
                                      <w:rFonts w:ascii="Arial" w:hAnsi="Arial"/>
                                      <w:sz w:val="20"/>
                                    </w:rPr>
                                  </w:pPr>
                                  <w:r>
                                    <w:rPr>
                                      <w:rFonts w:ascii="Arial" w:hAnsi="Arial"/>
                                      <w:sz w:val="20"/>
                                    </w:rPr>
                                    <w:t xml:space="preserve">Financial/Accounting </w:t>
                                  </w:r>
                                </w:p>
                              </w:tc>
                            </w:tr>
                            <w:tr>
                              <w:trPr/>
                              <w:tc>
                                <w:tcPr>
                                  <w:tcW w:w="315" w:type="dxa"/>
                                  <w:tcBorders/>
                                  <w:shd w:fill="auto" w:val="clear"/>
                                  <w:vAlign w:val="center"/>
                                </w:tcPr>
                                <w:p>
                                  <w:pPr>
                                    <w:pStyle w:val="TableContents"/>
                                    <w:spacing w:before="0" w:after="283"/>
                                    <w:jc w:val="center"/>
                                    <w:rPr/>
                                  </w:pPr>
                                  <w:r>
                                    <w:rPr/>
                                    <w:drawing>
                                      <wp:inline distT="0" distB="0" distL="0" distR="0">
                                        <wp:extent cx="200025" cy="209550"/>
                                        <wp:effectExtent l="0" t="0" r="0" b="0"/>
                                        <wp:docPr id="111"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73" descr=""/>
                                                <pic:cNvPicPr>
                                                  <a:picLocks noChangeAspect="1" noChangeArrowheads="1"/>
                                                </pic:cNvPicPr>
                                              </pic:nvPicPr>
                                              <pic:blipFill>
                                                <a:blip r:embed="rId74"/>
                                                <a:srcRect l="-5035" t="-4810" r="-5035" b="-4810"/>
                                                <a:stretch>
                                                  <a:fillRect/>
                                                </a:stretch>
                                              </pic:blipFill>
                                              <pic:spPr bwMode="auto">
                                                <a:xfrm>
                                                  <a:off x="0" y="0"/>
                                                  <a:ext cx="200025" cy="209550"/>
                                                </a:xfrm>
                                                <a:prstGeom prst="rect">
                                                  <a:avLst/>
                                                </a:prstGeom>
                                                <a:ln w="635">
                                                  <a:solidFill>
                                                    <a:srgbClr val="000000"/>
                                                  </a:solidFill>
                                                </a:ln>
                                              </pic:spPr>
                                            </pic:pic>
                                          </a:graphicData>
                                        </a:graphic>
                                      </wp:inline>
                                    </w:drawing>
                                  </w:r>
                                </w:p>
                              </w:tc>
                              <w:tc>
                                <w:tcPr>
                                  <w:tcW w:w="3500" w:type="dxa"/>
                                  <w:tcBorders/>
                                  <w:shd w:fill="auto" w:val="clear"/>
                                  <w:vAlign w:val="center"/>
                                </w:tcPr>
                                <w:p>
                                  <w:pPr>
                                    <w:pStyle w:val="TableContents"/>
                                    <w:spacing w:before="0" w:after="283"/>
                                    <w:jc w:val="left"/>
                                    <w:rPr>
                                      <w:rFonts w:ascii="Arial" w:hAnsi="Arial"/>
                                      <w:sz w:val="20"/>
                                    </w:rPr>
                                  </w:pPr>
                                  <w:r>
                                    <w:rPr>
                                      <w:rFonts w:ascii="Arial" w:hAnsi="Arial"/>
                                      <w:sz w:val="20"/>
                                    </w:rPr>
                                    <w:t>Risk Management Oversight</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19.0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spacing w:before="0" w:after="0"/>
                        <w:jc w:val="left"/>
                        <w:rPr>
                          <w:rFonts w:ascii="Arial" w:hAnsi="Arial"/>
                          <w:color w:val="00A1E0"/>
                          <w:sz w:val="15"/>
                        </w:rPr>
                      </w:pPr>
                      <w:r>
                        <w:rPr>
                          <w:rFonts w:ascii="Arial" w:hAnsi="Arial"/>
                          <w:color w:val="00A1E0"/>
                          <w:sz w:val="15"/>
                        </w:rPr>
                        <w:t>SKILLS AND QUALIFICATIONS:</w:t>
                      </w:r>
                    </w:p>
                    <w:p>
                      <w:pPr>
                        <w:pStyle w:val="TextBody"/>
                        <w:spacing w:before="0" w:after="0"/>
                        <w:jc w:val="left"/>
                        <w:rPr>
                          <w:rFonts w:ascii="Arial" w:hAnsi="Arial"/>
                          <w:sz w:val="20"/>
                        </w:rPr>
                      </w:pPr>
                      <w:r>
                        <w:rPr>
                          <w:rFonts w:ascii="Arial" w:hAnsi="Arial"/>
                          <w:sz w:val="20"/>
                        </w:rPr>
                        <w:t>We believe that Mr. Hassell’s significant experience and leadership in the financial industry, including with respect to consumer financial products, as well as his prior experience as a president and chief executive officer and in the oversight of risk management efforts, render him qualified to serve as one of our directors.</w:t>
                      </w:r>
                    </w:p>
                    <w:tbl>
                      <w:tblPr>
                        <w:tblW w:w="3815" w:type="dxa"/>
                        <w:jc w:val="left"/>
                        <w:tblInd w:w="0" w:type="dxa"/>
                        <w:tblCellMar>
                          <w:top w:w="0" w:type="dxa"/>
                          <w:left w:w="0" w:type="dxa"/>
                          <w:bottom w:w="0" w:type="dxa"/>
                          <w:right w:w="0" w:type="dxa"/>
                        </w:tblCellMar>
                      </w:tblPr>
                      <w:tblGrid>
                        <w:gridCol w:w="315"/>
                        <w:gridCol w:w="3500"/>
                      </w:tblGrid>
                      <w:tr>
                        <w:trPr/>
                        <w:tc>
                          <w:tcPr>
                            <w:tcW w:w="315" w:type="dxa"/>
                            <w:tcBorders/>
                            <w:shd w:fill="auto" w:val="clear"/>
                            <w:vAlign w:val="center"/>
                          </w:tcPr>
                          <w:p>
                            <w:pPr>
                              <w:pStyle w:val="TableContents"/>
                              <w:spacing w:before="0" w:after="283"/>
                              <w:jc w:val="center"/>
                              <w:rPr/>
                            </w:pPr>
                            <w:r>
                              <w:rPr/>
                              <w:drawing>
                                <wp:inline distT="0" distB="0" distL="0" distR="0">
                                  <wp:extent cx="171450" cy="200025"/>
                                  <wp:effectExtent l="0" t="0" r="0" b="0"/>
                                  <wp:docPr id="112"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70" descr=""/>
                                          <pic:cNvPicPr>
                                            <a:picLocks noChangeAspect="1" noChangeArrowheads="1"/>
                                          </pic:cNvPicPr>
                                        </pic:nvPicPr>
                                        <pic:blipFill>
                                          <a:blip r:embed="rId71"/>
                                          <a:srcRect l="-5882" t="-5035" r="-5882" b="-5035"/>
                                          <a:stretch>
                                            <a:fillRect/>
                                          </a:stretch>
                                        </pic:blipFill>
                                        <pic:spPr bwMode="auto">
                                          <a:xfrm>
                                            <a:off x="0" y="0"/>
                                            <a:ext cx="171450" cy="200025"/>
                                          </a:xfrm>
                                          <a:prstGeom prst="rect">
                                            <a:avLst/>
                                          </a:prstGeom>
                                          <a:ln w="635">
                                            <a:solidFill>
                                              <a:srgbClr val="000000"/>
                                            </a:solidFill>
                                          </a:ln>
                                        </pic:spPr>
                                      </pic:pic>
                                    </a:graphicData>
                                  </a:graphic>
                                </wp:inline>
                              </w:drawing>
                            </w:r>
                          </w:p>
                        </w:tc>
                        <w:tc>
                          <w:tcPr>
                            <w:tcW w:w="3500" w:type="dxa"/>
                            <w:tcBorders/>
                            <w:shd w:fill="auto" w:val="clear"/>
                            <w:vAlign w:val="center"/>
                          </w:tcPr>
                          <w:p>
                            <w:pPr>
                              <w:pStyle w:val="TableContents"/>
                              <w:spacing w:before="0" w:after="283"/>
                              <w:jc w:val="left"/>
                              <w:rPr>
                                <w:rFonts w:ascii="Arial" w:hAnsi="Arial"/>
                                <w:sz w:val="20"/>
                              </w:rPr>
                            </w:pPr>
                            <w:r>
                              <w:rPr>
                                <w:rFonts w:ascii="Arial" w:hAnsi="Arial"/>
                                <w:sz w:val="20"/>
                              </w:rPr>
                              <w:t>Executive Leadership</w:t>
                            </w:r>
                          </w:p>
                        </w:tc>
                      </w:tr>
                      <w:tr>
                        <w:trPr/>
                        <w:tc>
                          <w:tcPr>
                            <w:tcW w:w="315" w:type="dxa"/>
                            <w:tcBorders/>
                            <w:shd w:fill="auto" w:val="clear"/>
                            <w:vAlign w:val="center"/>
                          </w:tcPr>
                          <w:p>
                            <w:pPr>
                              <w:pStyle w:val="TableContents"/>
                              <w:spacing w:before="0" w:after="283"/>
                              <w:jc w:val="center"/>
                              <w:rPr/>
                            </w:pPr>
                            <w:r>
                              <w:rPr/>
                              <w:drawing>
                                <wp:inline distT="0" distB="0" distL="0" distR="0">
                                  <wp:extent cx="190500" cy="200025"/>
                                  <wp:effectExtent l="0" t="0" r="0" b="0"/>
                                  <wp:docPr id="113"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71" descr=""/>
                                          <pic:cNvPicPr>
                                            <a:picLocks noChangeAspect="1" noChangeArrowheads="1"/>
                                          </pic:cNvPicPr>
                                        </pic:nvPicPr>
                                        <pic:blipFill>
                                          <a:blip r:embed="rId72"/>
                                          <a:srcRect l="-5293" t="-5035" r="-5293" b="-5035"/>
                                          <a:stretch>
                                            <a:fillRect/>
                                          </a:stretch>
                                        </pic:blipFill>
                                        <pic:spPr bwMode="auto">
                                          <a:xfrm>
                                            <a:off x="0" y="0"/>
                                            <a:ext cx="190500" cy="200025"/>
                                          </a:xfrm>
                                          <a:prstGeom prst="rect">
                                            <a:avLst/>
                                          </a:prstGeom>
                                          <a:ln w="635">
                                            <a:solidFill>
                                              <a:srgbClr val="000000"/>
                                            </a:solidFill>
                                          </a:ln>
                                        </pic:spPr>
                                      </pic:pic>
                                    </a:graphicData>
                                  </a:graphic>
                                </wp:inline>
                              </w:drawing>
                            </w:r>
                          </w:p>
                        </w:tc>
                        <w:tc>
                          <w:tcPr>
                            <w:tcW w:w="3500" w:type="dxa"/>
                            <w:tcBorders/>
                            <w:shd w:fill="auto" w:val="clear"/>
                            <w:vAlign w:val="center"/>
                          </w:tcPr>
                          <w:p>
                            <w:pPr>
                              <w:pStyle w:val="TableContents"/>
                              <w:spacing w:before="0" w:after="283"/>
                              <w:jc w:val="left"/>
                              <w:rPr>
                                <w:rFonts w:ascii="Arial" w:hAnsi="Arial"/>
                                <w:sz w:val="20"/>
                              </w:rPr>
                            </w:pPr>
                            <w:r>
                              <w:rPr>
                                <w:rFonts w:ascii="Arial" w:hAnsi="Arial"/>
                                <w:sz w:val="20"/>
                              </w:rPr>
                              <w:t xml:space="preserve">Consumer Products/Customer-Oriented </w:t>
                            </w:r>
                          </w:p>
                        </w:tc>
                      </w:tr>
                      <w:tr>
                        <w:trPr/>
                        <w:tc>
                          <w:tcPr>
                            <w:tcW w:w="315" w:type="dxa"/>
                            <w:tcBorders/>
                            <w:shd w:fill="auto" w:val="clear"/>
                            <w:vAlign w:val="center"/>
                          </w:tcPr>
                          <w:p>
                            <w:pPr>
                              <w:pStyle w:val="TableContents"/>
                              <w:spacing w:before="0" w:after="283"/>
                              <w:jc w:val="center"/>
                              <w:rPr/>
                            </w:pPr>
                            <w:r>
                              <w:rPr/>
                              <w:drawing>
                                <wp:inline distT="0" distB="0" distL="0" distR="0">
                                  <wp:extent cx="200025" cy="200025"/>
                                  <wp:effectExtent l="0" t="0" r="0" b="0"/>
                                  <wp:docPr id="114"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72" descr=""/>
                                          <pic:cNvPicPr>
                                            <a:picLocks noChangeAspect="1" noChangeArrowheads="1"/>
                                          </pic:cNvPicPr>
                                        </pic:nvPicPr>
                                        <pic:blipFill>
                                          <a:blip r:embed="rId73"/>
                                          <a:srcRect l="-5035" t="-5035" r="-5035" b="-5035"/>
                                          <a:stretch>
                                            <a:fillRect/>
                                          </a:stretch>
                                        </pic:blipFill>
                                        <pic:spPr bwMode="auto">
                                          <a:xfrm>
                                            <a:off x="0" y="0"/>
                                            <a:ext cx="200025" cy="200025"/>
                                          </a:xfrm>
                                          <a:prstGeom prst="rect">
                                            <a:avLst/>
                                          </a:prstGeom>
                                          <a:ln w="635">
                                            <a:solidFill>
                                              <a:srgbClr val="000000"/>
                                            </a:solidFill>
                                          </a:ln>
                                        </pic:spPr>
                                      </pic:pic>
                                    </a:graphicData>
                                  </a:graphic>
                                </wp:inline>
                              </w:drawing>
                            </w:r>
                          </w:p>
                        </w:tc>
                        <w:tc>
                          <w:tcPr>
                            <w:tcW w:w="3500" w:type="dxa"/>
                            <w:tcBorders/>
                            <w:shd w:fill="auto" w:val="clear"/>
                            <w:vAlign w:val="center"/>
                          </w:tcPr>
                          <w:p>
                            <w:pPr>
                              <w:pStyle w:val="TableContents"/>
                              <w:spacing w:before="0" w:after="283"/>
                              <w:jc w:val="left"/>
                              <w:rPr>
                                <w:rFonts w:ascii="Arial" w:hAnsi="Arial"/>
                                <w:sz w:val="20"/>
                              </w:rPr>
                            </w:pPr>
                            <w:r>
                              <w:rPr>
                                <w:rFonts w:ascii="Arial" w:hAnsi="Arial"/>
                                <w:sz w:val="20"/>
                              </w:rPr>
                              <w:t xml:space="preserve">Financial/Accounting </w:t>
                            </w:r>
                          </w:p>
                        </w:tc>
                      </w:tr>
                      <w:tr>
                        <w:trPr/>
                        <w:tc>
                          <w:tcPr>
                            <w:tcW w:w="315" w:type="dxa"/>
                            <w:tcBorders/>
                            <w:shd w:fill="auto" w:val="clear"/>
                            <w:vAlign w:val="center"/>
                          </w:tcPr>
                          <w:p>
                            <w:pPr>
                              <w:pStyle w:val="TableContents"/>
                              <w:spacing w:before="0" w:after="283"/>
                              <w:jc w:val="center"/>
                              <w:rPr/>
                            </w:pPr>
                            <w:r>
                              <w:rPr/>
                              <w:drawing>
                                <wp:inline distT="0" distB="0" distL="0" distR="0">
                                  <wp:extent cx="200025" cy="209550"/>
                                  <wp:effectExtent l="0" t="0" r="0" b="0"/>
                                  <wp:docPr id="115"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73" descr=""/>
                                          <pic:cNvPicPr>
                                            <a:picLocks noChangeAspect="1" noChangeArrowheads="1"/>
                                          </pic:cNvPicPr>
                                        </pic:nvPicPr>
                                        <pic:blipFill>
                                          <a:blip r:embed="rId74"/>
                                          <a:srcRect l="-5035" t="-4810" r="-5035" b="-4810"/>
                                          <a:stretch>
                                            <a:fillRect/>
                                          </a:stretch>
                                        </pic:blipFill>
                                        <pic:spPr bwMode="auto">
                                          <a:xfrm>
                                            <a:off x="0" y="0"/>
                                            <a:ext cx="200025" cy="209550"/>
                                          </a:xfrm>
                                          <a:prstGeom prst="rect">
                                            <a:avLst/>
                                          </a:prstGeom>
                                          <a:ln w="635">
                                            <a:solidFill>
                                              <a:srgbClr val="000000"/>
                                            </a:solidFill>
                                          </a:ln>
                                        </pic:spPr>
                                      </pic:pic>
                                    </a:graphicData>
                                  </a:graphic>
                                </wp:inline>
                              </w:drawing>
                            </w:r>
                          </w:p>
                        </w:tc>
                        <w:tc>
                          <w:tcPr>
                            <w:tcW w:w="3500" w:type="dxa"/>
                            <w:tcBorders/>
                            <w:shd w:fill="auto" w:val="clear"/>
                            <w:vAlign w:val="center"/>
                          </w:tcPr>
                          <w:p>
                            <w:pPr>
                              <w:pStyle w:val="TableContents"/>
                              <w:spacing w:before="0" w:after="283"/>
                              <w:jc w:val="left"/>
                              <w:rPr>
                                <w:rFonts w:ascii="Arial" w:hAnsi="Arial"/>
                                <w:sz w:val="20"/>
                              </w:rPr>
                            </w:pPr>
                            <w:r>
                              <w:rPr>
                                <w:rFonts w:ascii="Arial" w:hAnsi="Arial"/>
                                <w:sz w:val="20"/>
                              </w:rPr>
                              <w:t>Risk Management Oversight</w:t>
                            </w:r>
                          </w:p>
                        </w:tc>
                      </w:tr>
                    </w:tbl>
                    <w:p>
                      <w:pPr>
                        <w:pStyle w:val="TextBody"/>
                        <w:spacing w:before="0" w:after="283"/>
                        <w:rPr/>
                      </w:pPr>
                      <w:r>
                        <w:rPr/>
                      </w:r>
                    </w:p>
                  </w:txbxContent>
                </v:textbox>
                <w10:wrap type="square" side="left"/>
              </v:rect>
            </w:pict>
          </mc:Fallback>
        </mc:AlternateContent>
      </w:r>
    </w:p>
    <w:tbl>
      <w:tblPr>
        <w:tblW w:w="7760" w:type="dxa"/>
        <w:jc w:val="left"/>
        <w:tblInd w:w="0" w:type="dxa"/>
        <w:tblCellMar>
          <w:top w:w="0" w:type="dxa"/>
          <w:left w:w="0" w:type="dxa"/>
          <w:bottom w:w="160" w:type="dxa"/>
          <w:right w:w="0" w:type="dxa"/>
        </w:tblCellMar>
      </w:tblPr>
      <w:tblGrid>
        <w:gridCol w:w="6245"/>
        <w:gridCol w:w="1515"/>
      </w:tblGrid>
      <w:tr>
        <w:trPr/>
        <w:tc>
          <w:tcPr>
            <w:tcW w:w="6245" w:type="dxa"/>
            <w:tcBorders>
              <w:bottom w:val="single" w:sz="8" w:space="0" w:color="000000"/>
            </w:tcBorders>
            <w:shd w:fill="auto" w:val="clear"/>
            <w:vAlign w:val="center"/>
          </w:tcPr>
          <w:p>
            <w:pPr>
              <w:pStyle w:val="TableContents"/>
              <w:spacing w:before="0" w:after="0"/>
              <w:jc w:val="left"/>
              <w:rPr/>
            </w:pPr>
            <w:r>
              <w:rPr>
                <w:rStyle w:val="StrongEmphasis"/>
                <w:rFonts w:ascii="Arial" w:hAnsi="Arial"/>
                <w:sz w:val="24"/>
              </w:rPr>
              <w:t>Jeffrey A. Honickman</w:t>
            </w:r>
          </w:p>
          <w:p>
            <w:pPr>
              <w:pStyle w:val="TableContents"/>
              <w:spacing w:before="0" w:after="0"/>
              <w:jc w:val="left"/>
              <w:rPr/>
            </w:pPr>
            <w:r>
              <w:rPr>
                <w:rStyle w:val="StrongEmphasis"/>
                <w:rFonts w:ascii="Arial" w:hAnsi="Arial"/>
                <w:color w:val="00A1E0"/>
                <w:sz w:val="15"/>
              </w:rPr>
              <w:t>INDEPENDENT</w:t>
            </w:r>
          </w:p>
          <w:p>
            <w:pPr>
              <w:pStyle w:val="TableContents"/>
              <w:spacing w:before="0" w:after="0"/>
              <w:jc w:val="left"/>
              <w:rPr>
                <w:rFonts w:ascii="Arial" w:hAnsi="Arial"/>
                <w:sz w:val="20"/>
              </w:rPr>
            </w:pPr>
            <w:r>
              <w:rPr>
                <w:rFonts w:ascii="Arial" w:hAnsi="Arial"/>
                <w:sz w:val="20"/>
              </w:rPr>
              <w:t>Chief Executive Officer of Pepsi-Cola &amp; National Brand Beverages, Ltd.</w:t>
            </w:r>
          </w:p>
        </w:tc>
        <w:tc>
          <w:tcPr>
            <w:tcW w:w="1515" w:type="dxa"/>
            <w:vMerge w:val="restart"/>
            <w:tcBorders/>
            <w:shd w:fill="auto" w:val="clear"/>
            <w:tcMar>
              <w:bottom w:w="0" w:type="dxa"/>
            </w:tcMar>
            <w:vAlign w:val="center"/>
          </w:tcPr>
          <w:p>
            <w:pPr>
              <w:pStyle w:val="TableContents"/>
              <w:spacing w:before="0" w:after="283"/>
              <w:jc w:val="left"/>
              <w:rPr/>
            </w:pPr>
            <w:r>
              <w:rPr/>
              <w:drawing>
                <wp:inline distT="0" distB="0" distL="0" distR="0">
                  <wp:extent cx="962025" cy="952500"/>
                  <wp:effectExtent l="0" t="0" r="0" b="0"/>
                  <wp:docPr id="116"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74" descr=""/>
                          <pic:cNvPicPr>
                            <a:picLocks noChangeAspect="1" noChangeArrowheads="1"/>
                          </pic:cNvPicPr>
                        </pic:nvPicPr>
                        <pic:blipFill>
                          <a:blip r:embed="rId75"/>
                          <a:srcRect l="-1047" t="-1058" r="-1047" b="-1058"/>
                          <a:stretch>
                            <a:fillRect/>
                          </a:stretch>
                        </pic:blipFill>
                        <pic:spPr bwMode="auto">
                          <a:xfrm>
                            <a:off x="0" y="0"/>
                            <a:ext cx="962025" cy="952500"/>
                          </a:xfrm>
                          <a:prstGeom prst="rect">
                            <a:avLst/>
                          </a:prstGeom>
                          <a:ln w="635">
                            <a:solidFill>
                              <a:srgbClr val="000000"/>
                            </a:solidFill>
                          </a:ln>
                        </pic:spPr>
                      </pic:pic>
                    </a:graphicData>
                  </a:graphic>
                </wp:inline>
              </w:drawing>
            </w:r>
          </w:p>
        </w:tc>
      </w:tr>
      <w:tr>
        <w:trPr/>
        <w:tc>
          <w:tcPr>
            <w:tcW w:w="6245" w:type="dxa"/>
            <w:tcBorders/>
            <w:shd w:fill="auto" w:val="clear"/>
            <w:tcMar>
              <w:bottom w:w="0" w:type="dxa"/>
            </w:tcMar>
            <w:vAlign w:val="center"/>
          </w:tcPr>
          <w:p>
            <w:pPr>
              <w:pStyle w:val="TableContents"/>
              <w:spacing w:before="0" w:after="283"/>
              <w:jc w:val="left"/>
              <w:rPr/>
            </w:pPr>
            <w:r>
              <w:rPr/>
              <w:t> </w:t>
            </w:r>
            <w:r>
              <w:rPr/>
              <w:br/>
              <w:t> </w:t>
            </w:r>
          </w:p>
        </w:tc>
        <w:tc>
          <w:tcPr>
            <w:tcW w:w="1515" w:type="dxa"/>
            <w:vMerge w:val="continue"/>
            <w:tcBorders/>
            <w:shd w:fill="auto" w:val="clear"/>
            <w:tcMar>
              <w:bottom w:w="0" w:type="dxa"/>
            </w:tcMar>
            <w:vAlign w:val="center"/>
          </w:tcPr>
          <w:p>
            <w:pPr>
              <w:pStyle w:val="Normal"/>
              <w:rPr/>
            </w:pPr>
            <w:r>
              <w:rPr/>
            </w:r>
          </w:p>
        </w:tc>
      </w:tr>
    </w:tbl>
    <w:p>
      <w:pPr>
        <w:pStyle w:val="TextBody"/>
        <w:spacing w:before="0" w:after="283"/>
        <w:jc w:val="left"/>
        <w:rPr/>
      </w:pPr>
      <w:r>
        <w:rPr>
          <w:rFonts w:ascii="Arial" w:hAnsi="Arial"/>
          <w:sz w:val="20"/>
          <w:highlight w:val="cyan"/>
        </w:rPr>
        <w:t xml:space="preserve">Age: </w:t>
      </w:r>
      <w:r>
        <w:rPr>
          <w:rStyle w:val="StrongEmphasis"/>
          <w:rFonts w:ascii="Arial" w:hAnsi="Arial"/>
          <w:sz w:val="20"/>
          <w:highlight w:val="cyan"/>
        </w:rPr>
        <w:t>66</w:t>
        <w:br/>
      </w:r>
      <w:r>
        <w:rPr>
          <w:rFonts w:ascii="Arial" w:hAnsi="Arial"/>
          <w:sz w:val="20"/>
          <w:highlight w:val="cyan"/>
        </w:rPr>
        <w:t xml:space="preserve">Director since: </w:t>
      </w:r>
      <w:r>
        <w:rPr>
          <w:rStyle w:val="StrongEmphasis"/>
          <w:rFonts w:ascii="Arial" w:hAnsi="Arial"/>
          <w:sz w:val="20"/>
          <w:highlight w:val="cyan"/>
        </w:rPr>
        <w:t>December 2005</w:t>
        <w:br/>
      </w:r>
      <w:r>
        <w:rPr>
          <w:rFonts w:ascii="Arial" w:hAnsi="Arial"/>
          <w:sz w:val="20"/>
          <w:highlight w:val="cyan"/>
        </w:rPr>
        <w:t xml:space="preserve">Committees: </w:t>
      </w:r>
      <w:r>
        <w:rPr>
          <w:rStyle w:val="StrongEmphasis"/>
          <w:rFonts w:ascii="Arial" w:hAnsi="Arial"/>
          <w:sz w:val="20"/>
          <w:highlight w:val="cyan"/>
        </w:rPr>
        <w:t>Audit and Governance and Corporate Responsibility</w:t>
      </w:r>
    </w:p>
    <w:p>
      <w:pPr>
        <w:pStyle w:val="TextBody"/>
        <w:spacing w:before="0" w:after="0"/>
        <w:rPr/>
      </w:pPr>
      <w:r>
        <w:rPr/>
      </w:r>
      <w:r>
        <mc:AlternateContent>
          <mc:Choice Requires="wps">
            <w:drawing>
              <wp:anchor behindDoc="0" distT="0" distB="0" distL="0" distR="0" simplePos="0" locked="0" layoutInCell="1" allowOverlap="1" relativeHeight="37">
                <wp:simplePos x="0" y="0"/>
                <wp:positionH relativeFrom="column">
                  <wp:align>left</wp:align>
                </wp:positionH>
                <wp:positionV relativeFrom="line">
                  <wp:posOffset>635</wp:posOffset>
                </wp:positionV>
                <wp:extent cx="3110230" cy="2585720"/>
                <wp:effectExtent l="0" t="0" r="0" b="0"/>
                <wp:wrapSquare wrapText="largest"/>
                <wp:docPr id="117" name="Frame13"/>
                <a:graphic xmlns:a="http://schemas.openxmlformats.org/drawingml/2006/main">
                  <a:graphicData uri="http://schemas.microsoft.com/office/word/2010/wordprocessingShape">
                    <wps:wsp>
                      <wps:cNvSpPr txBox="1"/>
                      <wps:spPr>
                        <a:xfrm>
                          <a:off x="0" y="0"/>
                          <a:ext cx="3110230" cy="2585720"/>
                        </a:xfrm>
                        <a:prstGeom prst="rect"/>
                      </wps:spPr>
                      <wps:txbx>
                        <w:txbxContent>
                          <w:p>
                            <w:pPr>
                              <w:pStyle w:val="TextBody"/>
                              <w:spacing w:before="0" w:after="0"/>
                              <w:jc w:val="left"/>
                              <w:rPr>
                                <w:rFonts w:ascii="Arial" w:hAnsi="Arial"/>
                                <w:color w:val="00A1E0"/>
                                <w:sz w:val="15"/>
                              </w:rPr>
                            </w:pPr>
                            <w:r>
                              <w:rPr>
                                <w:rFonts w:ascii="Arial" w:hAnsi="Arial"/>
                                <w:color w:val="00A1E0"/>
                                <w:sz w:val="15"/>
                              </w:rPr>
                              <w:t>CAREER HIGHLIGHTS:</w:t>
                            </w:r>
                          </w:p>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t>Chief Executive Officer, Pepsi-Cola &amp; National Brand Beverages, Ltd., a bottling and distribution company, which includes among its affiliates Pepsi-Cola Bottling Company of New York, Inc. and Canada Dry bottling companies from New Jersey to Virginia, 1990 – Present</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t>Vice President and Secretary of Antonio Origlio Inc., a beverage distributor based in Philadelphia, Pennsylvania, which does business as Origlio Beverages, 1987 – Present</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t>Member of the Board of Directors, American Beverage Association</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t>Member of Board of Trustees, Barnes Foundation</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t>Member of President’s Advisory Council, Sidney Kimmel Cancer Center, Jefferson Health</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03.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left"/>
                        <w:rPr>
                          <w:rFonts w:ascii="Arial" w:hAnsi="Arial"/>
                          <w:color w:val="00A1E0"/>
                          <w:sz w:val="15"/>
                        </w:rPr>
                      </w:pPr>
                      <w:r>
                        <w:rPr>
                          <w:rFonts w:ascii="Arial" w:hAnsi="Arial"/>
                          <w:color w:val="00A1E0"/>
                          <w:sz w:val="15"/>
                        </w:rPr>
                        <w:t>CAREER HIGHLIGHTS:</w:t>
                      </w:r>
                    </w:p>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t>Chief Executive Officer, Pepsi-Cola &amp; National Brand Beverages, Ltd., a bottling and distribution company, which includes among its affiliates Pepsi-Cola Bottling Company of New York, Inc. and Canada Dry bottling companies from New Jersey to Virginia, 1990 – Present</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t>Vice President and Secretary of Antonio Origlio Inc., a beverage distributor based in Philadelphia, Pennsylvania, which does business as Origlio Beverages, 1987 – Present</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t>Member of the Board of Directors, American Beverage Association</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t>Member of Board of Trustees, Barnes Foundation</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t>Member of President’s Advisory Council, Sidney Kimmel Cancer Center, Jefferson Health</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8">
                <wp:simplePos x="0" y="0"/>
                <wp:positionH relativeFrom="column">
                  <wp:align>right</wp:align>
                </wp:positionH>
                <wp:positionV relativeFrom="line">
                  <wp:posOffset>635</wp:posOffset>
                </wp:positionV>
                <wp:extent cx="3110230" cy="2246630"/>
                <wp:effectExtent l="0" t="0" r="0" b="0"/>
                <wp:wrapSquare wrapText="largest"/>
                <wp:docPr id="118" name="Frame14"/>
                <a:graphic xmlns:a="http://schemas.openxmlformats.org/drawingml/2006/main">
                  <a:graphicData uri="http://schemas.microsoft.com/office/word/2010/wordprocessingShape">
                    <wps:wsp>
                      <wps:cNvSpPr txBox="1"/>
                      <wps:spPr>
                        <a:xfrm>
                          <a:off x="0" y="0"/>
                          <a:ext cx="3110230" cy="2246630"/>
                        </a:xfrm>
                        <a:prstGeom prst="rect"/>
                      </wps:spPr>
                      <wps:txbx>
                        <w:txbxContent>
                          <w:p>
                            <w:pPr>
                              <w:pStyle w:val="TextBody"/>
                              <w:spacing w:before="0" w:after="0"/>
                              <w:jc w:val="left"/>
                              <w:rPr>
                                <w:rFonts w:ascii="Arial" w:hAnsi="Arial"/>
                                <w:color w:val="00A1E0"/>
                                <w:sz w:val="15"/>
                              </w:rPr>
                            </w:pPr>
                            <w:r>
                              <w:rPr>
                                <w:rFonts w:ascii="Arial" w:hAnsi="Arial"/>
                                <w:color w:val="00A1E0"/>
                                <w:sz w:val="15"/>
                              </w:rPr>
                              <w:t>SKILLS AND QUALIFICATIONS:</w:t>
                            </w:r>
                          </w:p>
                          <w:p>
                            <w:pPr>
                              <w:pStyle w:val="TextBody"/>
                              <w:spacing w:before="0" w:after="0"/>
                              <w:jc w:val="left"/>
                              <w:rPr>
                                <w:rFonts w:ascii="Arial" w:hAnsi="Arial"/>
                                <w:sz w:val="20"/>
                              </w:rPr>
                            </w:pPr>
                            <w:r>
                              <w:rPr>
                                <w:rFonts w:ascii="Arial" w:hAnsi="Arial"/>
                                <w:sz w:val="20"/>
                              </w:rPr>
                              <w:t>We believe that Mr. Honickman’s significant experience in the wholesale and consumer products industries, including his experience as a chief executive officer, and extensive financial acumen renders him qualified to serve as one of our directors.</w:t>
                            </w:r>
                          </w:p>
                          <w:tbl>
                            <w:tblPr>
                              <w:tblW w:w="3755" w:type="dxa"/>
                              <w:jc w:val="left"/>
                              <w:tblInd w:w="0" w:type="dxa"/>
                              <w:tblCellMar>
                                <w:top w:w="0" w:type="dxa"/>
                                <w:left w:w="0" w:type="dxa"/>
                                <w:bottom w:w="0" w:type="dxa"/>
                                <w:right w:w="0" w:type="dxa"/>
                              </w:tblCellMar>
                            </w:tblPr>
                            <w:tblGrid>
                              <w:gridCol w:w="315"/>
                              <w:gridCol w:w="3440"/>
                            </w:tblGrid>
                            <w:tr>
                              <w:trPr/>
                              <w:tc>
                                <w:tcPr>
                                  <w:tcW w:w="315" w:type="dxa"/>
                                  <w:tcBorders/>
                                  <w:shd w:fill="auto" w:val="clear"/>
                                  <w:vAlign w:val="center"/>
                                </w:tcPr>
                                <w:p>
                                  <w:pPr>
                                    <w:pStyle w:val="TableContents"/>
                                    <w:spacing w:before="0" w:after="283"/>
                                    <w:jc w:val="center"/>
                                    <w:rPr/>
                                  </w:pPr>
                                  <w:r>
                                    <w:rPr/>
                                    <w:drawing>
                                      <wp:inline distT="0" distB="0" distL="0" distR="0">
                                        <wp:extent cx="171450" cy="200025"/>
                                        <wp:effectExtent l="0" t="0" r="0" b="0"/>
                                        <wp:docPr id="119"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75" descr=""/>
                                                <pic:cNvPicPr>
                                                  <a:picLocks noChangeAspect="1" noChangeArrowheads="1"/>
                                                </pic:cNvPicPr>
                                              </pic:nvPicPr>
                                              <pic:blipFill>
                                                <a:blip r:embed="rId76"/>
                                                <a:srcRect l="-5882" t="-5035" r="-5882" b="-5035"/>
                                                <a:stretch>
                                                  <a:fillRect/>
                                                </a:stretch>
                                              </pic:blipFill>
                                              <pic:spPr bwMode="auto">
                                                <a:xfrm>
                                                  <a:off x="0" y="0"/>
                                                  <a:ext cx="171450" cy="200025"/>
                                                </a:xfrm>
                                                <a:prstGeom prst="rect">
                                                  <a:avLst/>
                                                </a:prstGeom>
                                                <a:ln w="635">
                                                  <a:solidFill>
                                                    <a:srgbClr val="000000"/>
                                                  </a:solidFill>
                                                </a:ln>
                                              </pic:spPr>
                                            </pic:pic>
                                          </a:graphicData>
                                        </a:graphic>
                                      </wp:inline>
                                    </w:drawing>
                                  </w:r>
                                </w:p>
                              </w:tc>
                              <w:tc>
                                <w:tcPr>
                                  <w:tcW w:w="3440" w:type="dxa"/>
                                  <w:tcBorders/>
                                  <w:shd w:fill="auto" w:val="clear"/>
                                  <w:vAlign w:val="center"/>
                                </w:tcPr>
                                <w:p>
                                  <w:pPr>
                                    <w:pStyle w:val="TableContents"/>
                                    <w:spacing w:before="0" w:after="283"/>
                                    <w:jc w:val="left"/>
                                    <w:rPr>
                                      <w:rFonts w:ascii="Arial" w:hAnsi="Arial"/>
                                      <w:sz w:val="20"/>
                                    </w:rPr>
                                  </w:pPr>
                                  <w:r>
                                    <w:rPr>
                                      <w:rFonts w:ascii="Arial" w:hAnsi="Arial"/>
                                      <w:sz w:val="20"/>
                                    </w:rPr>
                                    <w:t xml:space="preserve">Executive Leadership </w:t>
                                  </w:r>
                                </w:p>
                              </w:tc>
                            </w:tr>
                            <w:tr>
                              <w:trPr/>
                              <w:tc>
                                <w:tcPr>
                                  <w:tcW w:w="315" w:type="dxa"/>
                                  <w:tcBorders/>
                                  <w:shd w:fill="auto" w:val="clear"/>
                                  <w:vAlign w:val="center"/>
                                </w:tcPr>
                                <w:p>
                                  <w:pPr>
                                    <w:pStyle w:val="TableContents"/>
                                    <w:spacing w:before="0" w:after="283"/>
                                    <w:jc w:val="center"/>
                                    <w:rPr/>
                                  </w:pPr>
                                  <w:r>
                                    <w:rPr/>
                                    <w:drawing>
                                      <wp:inline distT="0" distB="0" distL="0" distR="0">
                                        <wp:extent cx="190500" cy="200025"/>
                                        <wp:effectExtent l="0" t="0" r="0" b="0"/>
                                        <wp:docPr id="120"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76" descr=""/>
                                                <pic:cNvPicPr>
                                                  <a:picLocks noChangeAspect="1" noChangeArrowheads="1"/>
                                                </pic:cNvPicPr>
                                              </pic:nvPicPr>
                                              <pic:blipFill>
                                                <a:blip r:embed="rId77"/>
                                                <a:srcRect l="-5293" t="-5035" r="-5293" b="-5035"/>
                                                <a:stretch>
                                                  <a:fillRect/>
                                                </a:stretch>
                                              </pic:blipFill>
                                              <pic:spPr bwMode="auto">
                                                <a:xfrm>
                                                  <a:off x="0" y="0"/>
                                                  <a:ext cx="190500" cy="200025"/>
                                                </a:xfrm>
                                                <a:prstGeom prst="rect">
                                                  <a:avLst/>
                                                </a:prstGeom>
                                                <a:ln w="635">
                                                  <a:solidFill>
                                                    <a:srgbClr val="000000"/>
                                                  </a:solidFill>
                                                </a:ln>
                                              </pic:spPr>
                                            </pic:pic>
                                          </a:graphicData>
                                        </a:graphic>
                                      </wp:inline>
                                    </w:drawing>
                                  </w:r>
                                </w:p>
                              </w:tc>
                              <w:tc>
                                <w:tcPr>
                                  <w:tcW w:w="3440" w:type="dxa"/>
                                  <w:tcBorders/>
                                  <w:shd w:fill="auto" w:val="clear"/>
                                  <w:vAlign w:val="center"/>
                                </w:tcPr>
                                <w:p>
                                  <w:pPr>
                                    <w:pStyle w:val="TableContents"/>
                                    <w:spacing w:before="0" w:after="283"/>
                                    <w:jc w:val="left"/>
                                    <w:rPr>
                                      <w:rFonts w:ascii="Arial" w:hAnsi="Arial"/>
                                      <w:sz w:val="20"/>
                                    </w:rPr>
                                  </w:pPr>
                                  <w:r>
                                    <w:rPr>
                                      <w:rFonts w:ascii="Arial" w:hAnsi="Arial"/>
                                      <w:sz w:val="20"/>
                                    </w:rPr>
                                    <w:t>Consumer Products/Customer-Oriented</w:t>
                                  </w:r>
                                </w:p>
                              </w:tc>
                            </w:tr>
                            <w:tr>
                              <w:trPr/>
                              <w:tc>
                                <w:tcPr>
                                  <w:tcW w:w="315" w:type="dxa"/>
                                  <w:tcBorders/>
                                  <w:shd w:fill="auto" w:val="clear"/>
                                  <w:vAlign w:val="center"/>
                                </w:tcPr>
                                <w:p>
                                  <w:pPr>
                                    <w:pStyle w:val="TableContents"/>
                                    <w:spacing w:before="0" w:after="283"/>
                                    <w:jc w:val="center"/>
                                    <w:rPr/>
                                  </w:pPr>
                                  <w:r>
                                    <w:rPr/>
                                    <w:drawing>
                                      <wp:inline distT="0" distB="0" distL="0" distR="0">
                                        <wp:extent cx="200025" cy="200025"/>
                                        <wp:effectExtent l="0" t="0" r="0" b="0"/>
                                        <wp:docPr id="121"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77" descr=""/>
                                                <pic:cNvPicPr>
                                                  <a:picLocks noChangeAspect="1" noChangeArrowheads="1"/>
                                                </pic:cNvPicPr>
                                              </pic:nvPicPr>
                                              <pic:blipFill>
                                                <a:blip r:embed="rId78"/>
                                                <a:srcRect l="-5035" t="-5035" r="-5035" b="-5035"/>
                                                <a:stretch>
                                                  <a:fillRect/>
                                                </a:stretch>
                                              </pic:blipFill>
                                              <pic:spPr bwMode="auto">
                                                <a:xfrm>
                                                  <a:off x="0" y="0"/>
                                                  <a:ext cx="200025" cy="200025"/>
                                                </a:xfrm>
                                                <a:prstGeom prst="rect">
                                                  <a:avLst/>
                                                </a:prstGeom>
                                                <a:ln w="635">
                                                  <a:solidFill>
                                                    <a:srgbClr val="000000"/>
                                                  </a:solidFill>
                                                </a:ln>
                                              </pic:spPr>
                                            </pic:pic>
                                          </a:graphicData>
                                        </a:graphic>
                                      </wp:inline>
                                    </w:drawing>
                                  </w:r>
                                </w:p>
                              </w:tc>
                              <w:tc>
                                <w:tcPr>
                                  <w:tcW w:w="3440" w:type="dxa"/>
                                  <w:tcBorders/>
                                  <w:shd w:fill="auto" w:val="clear"/>
                                  <w:vAlign w:val="center"/>
                                </w:tcPr>
                                <w:p>
                                  <w:pPr>
                                    <w:pStyle w:val="TableContents"/>
                                    <w:spacing w:before="0" w:after="283"/>
                                    <w:jc w:val="left"/>
                                    <w:rPr>
                                      <w:rFonts w:ascii="Arial" w:hAnsi="Arial"/>
                                      <w:sz w:val="20"/>
                                    </w:rPr>
                                  </w:pPr>
                                  <w:r>
                                    <w:rPr>
                                      <w:rFonts w:ascii="Arial" w:hAnsi="Arial"/>
                                      <w:sz w:val="20"/>
                                    </w:rPr>
                                    <w:t>Financial/Accounting</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76.9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spacing w:before="0" w:after="0"/>
                        <w:jc w:val="left"/>
                        <w:rPr>
                          <w:rFonts w:ascii="Arial" w:hAnsi="Arial"/>
                          <w:color w:val="00A1E0"/>
                          <w:sz w:val="15"/>
                        </w:rPr>
                      </w:pPr>
                      <w:r>
                        <w:rPr>
                          <w:rFonts w:ascii="Arial" w:hAnsi="Arial"/>
                          <w:color w:val="00A1E0"/>
                          <w:sz w:val="15"/>
                        </w:rPr>
                        <w:t>SKILLS AND QUALIFICATIONS:</w:t>
                      </w:r>
                    </w:p>
                    <w:p>
                      <w:pPr>
                        <w:pStyle w:val="TextBody"/>
                        <w:spacing w:before="0" w:after="0"/>
                        <w:jc w:val="left"/>
                        <w:rPr>
                          <w:rFonts w:ascii="Arial" w:hAnsi="Arial"/>
                          <w:sz w:val="20"/>
                        </w:rPr>
                      </w:pPr>
                      <w:r>
                        <w:rPr>
                          <w:rFonts w:ascii="Arial" w:hAnsi="Arial"/>
                          <w:sz w:val="20"/>
                        </w:rPr>
                        <w:t>We believe that Mr. Honickman’s significant experience in the wholesale and consumer products industries, including his experience as a chief executive officer, and extensive financial acumen renders him qualified to serve as one of our directors.</w:t>
                      </w:r>
                    </w:p>
                    <w:tbl>
                      <w:tblPr>
                        <w:tblW w:w="3755" w:type="dxa"/>
                        <w:jc w:val="left"/>
                        <w:tblInd w:w="0" w:type="dxa"/>
                        <w:tblCellMar>
                          <w:top w:w="0" w:type="dxa"/>
                          <w:left w:w="0" w:type="dxa"/>
                          <w:bottom w:w="0" w:type="dxa"/>
                          <w:right w:w="0" w:type="dxa"/>
                        </w:tblCellMar>
                      </w:tblPr>
                      <w:tblGrid>
                        <w:gridCol w:w="315"/>
                        <w:gridCol w:w="3440"/>
                      </w:tblGrid>
                      <w:tr>
                        <w:trPr/>
                        <w:tc>
                          <w:tcPr>
                            <w:tcW w:w="315" w:type="dxa"/>
                            <w:tcBorders/>
                            <w:shd w:fill="auto" w:val="clear"/>
                            <w:vAlign w:val="center"/>
                          </w:tcPr>
                          <w:p>
                            <w:pPr>
                              <w:pStyle w:val="TableContents"/>
                              <w:spacing w:before="0" w:after="283"/>
                              <w:jc w:val="center"/>
                              <w:rPr/>
                            </w:pPr>
                            <w:r>
                              <w:rPr/>
                              <w:drawing>
                                <wp:inline distT="0" distB="0" distL="0" distR="0">
                                  <wp:extent cx="171450" cy="200025"/>
                                  <wp:effectExtent l="0" t="0" r="0" b="0"/>
                                  <wp:docPr id="122"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75" descr=""/>
                                          <pic:cNvPicPr>
                                            <a:picLocks noChangeAspect="1" noChangeArrowheads="1"/>
                                          </pic:cNvPicPr>
                                        </pic:nvPicPr>
                                        <pic:blipFill>
                                          <a:blip r:embed="rId76"/>
                                          <a:srcRect l="-5882" t="-5035" r="-5882" b="-5035"/>
                                          <a:stretch>
                                            <a:fillRect/>
                                          </a:stretch>
                                        </pic:blipFill>
                                        <pic:spPr bwMode="auto">
                                          <a:xfrm>
                                            <a:off x="0" y="0"/>
                                            <a:ext cx="171450" cy="200025"/>
                                          </a:xfrm>
                                          <a:prstGeom prst="rect">
                                            <a:avLst/>
                                          </a:prstGeom>
                                          <a:ln w="635">
                                            <a:solidFill>
                                              <a:srgbClr val="000000"/>
                                            </a:solidFill>
                                          </a:ln>
                                        </pic:spPr>
                                      </pic:pic>
                                    </a:graphicData>
                                  </a:graphic>
                                </wp:inline>
                              </w:drawing>
                            </w:r>
                          </w:p>
                        </w:tc>
                        <w:tc>
                          <w:tcPr>
                            <w:tcW w:w="3440" w:type="dxa"/>
                            <w:tcBorders/>
                            <w:shd w:fill="auto" w:val="clear"/>
                            <w:vAlign w:val="center"/>
                          </w:tcPr>
                          <w:p>
                            <w:pPr>
                              <w:pStyle w:val="TableContents"/>
                              <w:spacing w:before="0" w:after="283"/>
                              <w:jc w:val="left"/>
                              <w:rPr>
                                <w:rFonts w:ascii="Arial" w:hAnsi="Arial"/>
                                <w:sz w:val="20"/>
                              </w:rPr>
                            </w:pPr>
                            <w:r>
                              <w:rPr>
                                <w:rFonts w:ascii="Arial" w:hAnsi="Arial"/>
                                <w:sz w:val="20"/>
                              </w:rPr>
                              <w:t xml:space="preserve">Executive Leadership </w:t>
                            </w:r>
                          </w:p>
                        </w:tc>
                      </w:tr>
                      <w:tr>
                        <w:trPr/>
                        <w:tc>
                          <w:tcPr>
                            <w:tcW w:w="315" w:type="dxa"/>
                            <w:tcBorders/>
                            <w:shd w:fill="auto" w:val="clear"/>
                            <w:vAlign w:val="center"/>
                          </w:tcPr>
                          <w:p>
                            <w:pPr>
                              <w:pStyle w:val="TableContents"/>
                              <w:spacing w:before="0" w:after="283"/>
                              <w:jc w:val="center"/>
                              <w:rPr/>
                            </w:pPr>
                            <w:r>
                              <w:rPr/>
                              <w:drawing>
                                <wp:inline distT="0" distB="0" distL="0" distR="0">
                                  <wp:extent cx="190500" cy="200025"/>
                                  <wp:effectExtent l="0" t="0" r="0" b="0"/>
                                  <wp:docPr id="123"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76" descr=""/>
                                          <pic:cNvPicPr>
                                            <a:picLocks noChangeAspect="1" noChangeArrowheads="1"/>
                                          </pic:cNvPicPr>
                                        </pic:nvPicPr>
                                        <pic:blipFill>
                                          <a:blip r:embed="rId77"/>
                                          <a:srcRect l="-5293" t="-5035" r="-5293" b="-5035"/>
                                          <a:stretch>
                                            <a:fillRect/>
                                          </a:stretch>
                                        </pic:blipFill>
                                        <pic:spPr bwMode="auto">
                                          <a:xfrm>
                                            <a:off x="0" y="0"/>
                                            <a:ext cx="190500" cy="200025"/>
                                          </a:xfrm>
                                          <a:prstGeom prst="rect">
                                            <a:avLst/>
                                          </a:prstGeom>
                                          <a:ln w="635">
                                            <a:solidFill>
                                              <a:srgbClr val="000000"/>
                                            </a:solidFill>
                                          </a:ln>
                                        </pic:spPr>
                                      </pic:pic>
                                    </a:graphicData>
                                  </a:graphic>
                                </wp:inline>
                              </w:drawing>
                            </w:r>
                          </w:p>
                        </w:tc>
                        <w:tc>
                          <w:tcPr>
                            <w:tcW w:w="3440" w:type="dxa"/>
                            <w:tcBorders/>
                            <w:shd w:fill="auto" w:val="clear"/>
                            <w:vAlign w:val="center"/>
                          </w:tcPr>
                          <w:p>
                            <w:pPr>
                              <w:pStyle w:val="TableContents"/>
                              <w:spacing w:before="0" w:after="283"/>
                              <w:jc w:val="left"/>
                              <w:rPr>
                                <w:rFonts w:ascii="Arial" w:hAnsi="Arial"/>
                                <w:sz w:val="20"/>
                              </w:rPr>
                            </w:pPr>
                            <w:r>
                              <w:rPr>
                                <w:rFonts w:ascii="Arial" w:hAnsi="Arial"/>
                                <w:sz w:val="20"/>
                              </w:rPr>
                              <w:t>Consumer Products/Customer-Oriented</w:t>
                            </w:r>
                          </w:p>
                        </w:tc>
                      </w:tr>
                      <w:tr>
                        <w:trPr/>
                        <w:tc>
                          <w:tcPr>
                            <w:tcW w:w="315" w:type="dxa"/>
                            <w:tcBorders/>
                            <w:shd w:fill="auto" w:val="clear"/>
                            <w:vAlign w:val="center"/>
                          </w:tcPr>
                          <w:p>
                            <w:pPr>
                              <w:pStyle w:val="TableContents"/>
                              <w:spacing w:before="0" w:after="283"/>
                              <w:jc w:val="center"/>
                              <w:rPr/>
                            </w:pPr>
                            <w:r>
                              <w:rPr/>
                              <w:drawing>
                                <wp:inline distT="0" distB="0" distL="0" distR="0">
                                  <wp:extent cx="200025" cy="200025"/>
                                  <wp:effectExtent l="0" t="0" r="0" b="0"/>
                                  <wp:docPr id="124"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77" descr=""/>
                                          <pic:cNvPicPr>
                                            <a:picLocks noChangeAspect="1" noChangeArrowheads="1"/>
                                          </pic:cNvPicPr>
                                        </pic:nvPicPr>
                                        <pic:blipFill>
                                          <a:blip r:embed="rId78"/>
                                          <a:srcRect l="-5035" t="-5035" r="-5035" b="-5035"/>
                                          <a:stretch>
                                            <a:fillRect/>
                                          </a:stretch>
                                        </pic:blipFill>
                                        <pic:spPr bwMode="auto">
                                          <a:xfrm>
                                            <a:off x="0" y="0"/>
                                            <a:ext cx="200025" cy="200025"/>
                                          </a:xfrm>
                                          <a:prstGeom prst="rect">
                                            <a:avLst/>
                                          </a:prstGeom>
                                          <a:ln w="635">
                                            <a:solidFill>
                                              <a:srgbClr val="000000"/>
                                            </a:solidFill>
                                          </a:ln>
                                        </pic:spPr>
                                      </pic:pic>
                                    </a:graphicData>
                                  </a:graphic>
                                </wp:inline>
                              </w:drawing>
                            </w:r>
                          </w:p>
                        </w:tc>
                        <w:tc>
                          <w:tcPr>
                            <w:tcW w:w="3440" w:type="dxa"/>
                            <w:tcBorders/>
                            <w:shd w:fill="auto" w:val="clear"/>
                            <w:vAlign w:val="center"/>
                          </w:tcPr>
                          <w:p>
                            <w:pPr>
                              <w:pStyle w:val="TableContents"/>
                              <w:spacing w:before="0" w:after="283"/>
                              <w:jc w:val="left"/>
                              <w:rPr>
                                <w:rFonts w:ascii="Arial" w:hAnsi="Arial"/>
                                <w:sz w:val="20"/>
                              </w:rPr>
                            </w:pPr>
                            <w:r>
                              <w:rPr>
                                <w:rFonts w:ascii="Arial" w:hAnsi="Arial"/>
                                <w:sz w:val="20"/>
                              </w:rPr>
                              <w:t>Financial/Accounting</w:t>
                            </w:r>
                          </w:p>
                        </w:tc>
                      </w:tr>
                    </w:tbl>
                    <w:p>
                      <w:pPr>
                        <w:pStyle w:val="TextBody"/>
                        <w:spacing w:before="0" w:after="283"/>
                        <w:rPr/>
                      </w:pPr>
                      <w:r>
                        <w:rPr/>
                      </w:r>
                    </w:p>
                  </w:txbxContent>
                </v:textbox>
                <w10:wrap type="square" side="left"/>
              </v:rect>
            </w:pict>
          </mc:Fallback>
        </mc:AlternateContent>
      </w:r>
    </w:p>
    <w:tbl>
      <w:tblPr>
        <w:tblW w:w="2095" w:type="dxa"/>
        <w:jc w:val="left"/>
        <w:tblInd w:w="0" w:type="dxa"/>
        <w:tblCellMar>
          <w:top w:w="0" w:type="dxa"/>
          <w:left w:w="0" w:type="dxa"/>
          <w:bottom w:w="0" w:type="dxa"/>
          <w:right w:w="0" w:type="dxa"/>
        </w:tblCellMar>
      </w:tblPr>
      <w:tblGrid>
        <w:gridCol w:w="1895"/>
        <w:gridCol w:w="200"/>
      </w:tblGrid>
      <w:tr>
        <w:trPr/>
        <w:tc>
          <w:tcPr>
            <w:tcW w:w="1895" w:type="dxa"/>
            <w:tcBorders/>
            <w:shd w:fill="auto" w:val="clear"/>
            <w:vAlign w:val="center"/>
          </w:tcPr>
          <w:p>
            <w:pPr>
              <w:pStyle w:val="TableContents"/>
              <w:spacing w:before="0" w:after="283"/>
              <w:jc w:val="right"/>
              <w:rPr>
                <w:rFonts w:ascii="Arial" w:hAnsi="Arial"/>
                <w:sz w:val="15"/>
              </w:rPr>
            </w:pPr>
            <w:r>
              <w:rPr>
                <w:rFonts w:ascii="Arial" w:hAnsi="Arial"/>
                <w:sz w:val="15"/>
              </w:rPr>
              <w:t>2023 Proxy Statement       </w:t>
            </w:r>
          </w:p>
        </w:tc>
        <w:tc>
          <w:tcPr>
            <w:tcW w:w="200" w:type="dxa"/>
            <w:tcBorders/>
            <w:shd w:fill="auto" w:val="clear"/>
            <w:vAlign w:val="center"/>
          </w:tcPr>
          <w:p>
            <w:pPr>
              <w:pStyle w:val="TableContents"/>
              <w:spacing w:before="0" w:after="283"/>
              <w:jc w:val="right"/>
              <w:rPr/>
            </w:pPr>
            <w:r>
              <w:rPr>
                <w:rStyle w:val="StrongEmphasis"/>
                <w:rFonts w:ascii="Arial" w:hAnsi="Arial"/>
                <w:sz w:val="15"/>
              </w:rPr>
              <w:t>17</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7970" w:type="dxa"/>
        <w:jc w:val="left"/>
        <w:tblInd w:w="0" w:type="dxa"/>
        <w:tblCellMar>
          <w:top w:w="0" w:type="dxa"/>
          <w:left w:w="0" w:type="dxa"/>
          <w:bottom w:w="160" w:type="dxa"/>
          <w:right w:w="0" w:type="dxa"/>
        </w:tblCellMar>
      </w:tblPr>
      <w:tblGrid>
        <w:gridCol w:w="6455"/>
        <w:gridCol w:w="1515"/>
      </w:tblGrid>
      <w:tr>
        <w:trPr/>
        <w:tc>
          <w:tcPr>
            <w:tcW w:w="6455" w:type="dxa"/>
            <w:tcBorders>
              <w:bottom w:val="single" w:sz="8" w:space="0" w:color="000000"/>
            </w:tcBorders>
            <w:shd w:fill="auto" w:val="clear"/>
            <w:vAlign w:val="center"/>
          </w:tcPr>
          <w:p>
            <w:pPr>
              <w:pStyle w:val="TableContents"/>
              <w:spacing w:before="0" w:after="0"/>
              <w:jc w:val="left"/>
              <w:rPr/>
            </w:pPr>
            <w:r>
              <w:rPr>
                <w:rStyle w:val="StrongEmphasis"/>
                <w:rFonts w:ascii="Arial" w:hAnsi="Arial"/>
                <w:sz w:val="24"/>
              </w:rPr>
              <w:t>Maritza G. Montiel</w:t>
            </w:r>
          </w:p>
          <w:p>
            <w:pPr>
              <w:pStyle w:val="TableContents"/>
              <w:spacing w:before="0" w:after="0"/>
              <w:jc w:val="left"/>
              <w:rPr/>
            </w:pPr>
            <w:r>
              <w:rPr>
                <w:rStyle w:val="StrongEmphasis"/>
                <w:rFonts w:ascii="Arial" w:hAnsi="Arial"/>
                <w:color w:val="00A1E0"/>
                <w:sz w:val="15"/>
              </w:rPr>
              <w:t>INDEPENDENT</w:t>
            </w:r>
          </w:p>
          <w:p>
            <w:pPr>
              <w:pStyle w:val="TableContents"/>
              <w:spacing w:before="0" w:after="0"/>
              <w:jc w:val="left"/>
              <w:rPr>
                <w:rFonts w:ascii="Arial" w:hAnsi="Arial"/>
                <w:sz w:val="20"/>
              </w:rPr>
            </w:pPr>
            <w:r>
              <w:rPr>
                <w:rFonts w:ascii="Arial" w:hAnsi="Arial"/>
                <w:sz w:val="20"/>
              </w:rPr>
              <w:t>Former Deputy Chief Executive Officer and Vice Chairman of Deloitte LLP</w:t>
            </w:r>
          </w:p>
        </w:tc>
        <w:tc>
          <w:tcPr>
            <w:tcW w:w="1515" w:type="dxa"/>
            <w:vMerge w:val="restart"/>
            <w:tcBorders/>
            <w:shd w:fill="auto" w:val="clear"/>
            <w:tcMar>
              <w:bottom w:w="0" w:type="dxa"/>
            </w:tcMar>
            <w:vAlign w:val="center"/>
          </w:tcPr>
          <w:p>
            <w:pPr>
              <w:pStyle w:val="TableContents"/>
              <w:spacing w:before="0" w:after="283"/>
              <w:jc w:val="left"/>
              <w:rPr/>
            </w:pPr>
            <w:r>
              <w:rPr/>
              <w:drawing>
                <wp:inline distT="0" distB="0" distL="0" distR="0">
                  <wp:extent cx="962025" cy="962025"/>
                  <wp:effectExtent l="0" t="0" r="0" b="0"/>
                  <wp:docPr id="125"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78" descr=""/>
                          <pic:cNvPicPr>
                            <a:picLocks noChangeAspect="1" noChangeArrowheads="1"/>
                          </pic:cNvPicPr>
                        </pic:nvPicPr>
                        <pic:blipFill>
                          <a:blip r:embed="rId79"/>
                          <a:srcRect l="-1047" t="-1047" r="-1047" b="-1047"/>
                          <a:stretch>
                            <a:fillRect/>
                          </a:stretch>
                        </pic:blipFill>
                        <pic:spPr bwMode="auto">
                          <a:xfrm>
                            <a:off x="0" y="0"/>
                            <a:ext cx="962025" cy="962025"/>
                          </a:xfrm>
                          <a:prstGeom prst="rect">
                            <a:avLst/>
                          </a:prstGeom>
                          <a:ln w="635">
                            <a:solidFill>
                              <a:srgbClr val="000000"/>
                            </a:solidFill>
                          </a:ln>
                        </pic:spPr>
                      </pic:pic>
                    </a:graphicData>
                  </a:graphic>
                </wp:inline>
              </w:drawing>
            </w:r>
          </w:p>
        </w:tc>
      </w:tr>
      <w:tr>
        <w:trPr/>
        <w:tc>
          <w:tcPr>
            <w:tcW w:w="6455" w:type="dxa"/>
            <w:tcBorders/>
            <w:shd w:fill="auto" w:val="clear"/>
            <w:tcMar>
              <w:bottom w:w="0" w:type="dxa"/>
            </w:tcMar>
            <w:vAlign w:val="center"/>
          </w:tcPr>
          <w:p>
            <w:pPr>
              <w:pStyle w:val="TableContents"/>
              <w:spacing w:before="0" w:after="283"/>
              <w:jc w:val="left"/>
              <w:rPr/>
            </w:pPr>
            <w:r>
              <w:rPr/>
              <w:t> </w:t>
            </w:r>
            <w:r>
              <w:rPr/>
              <w:br/>
              <w:t> </w:t>
            </w:r>
          </w:p>
        </w:tc>
        <w:tc>
          <w:tcPr>
            <w:tcW w:w="1515" w:type="dxa"/>
            <w:vMerge w:val="continue"/>
            <w:tcBorders/>
            <w:shd w:fill="auto" w:val="clear"/>
            <w:tcMar>
              <w:bottom w:w="0" w:type="dxa"/>
            </w:tcMar>
            <w:vAlign w:val="center"/>
          </w:tcPr>
          <w:p>
            <w:pPr>
              <w:pStyle w:val="Normal"/>
              <w:rPr/>
            </w:pPr>
            <w:r>
              <w:rPr/>
            </w:r>
          </w:p>
        </w:tc>
      </w:tr>
    </w:tbl>
    <w:p>
      <w:pPr>
        <w:pStyle w:val="TextBody"/>
        <w:spacing w:before="0" w:after="283"/>
        <w:jc w:val="left"/>
        <w:rPr/>
      </w:pPr>
      <w:r>
        <w:rPr>
          <w:rFonts w:ascii="Arial" w:hAnsi="Arial"/>
          <w:sz w:val="20"/>
          <w:highlight w:val="cyan"/>
        </w:rPr>
        <w:t xml:space="preserve">Age: </w:t>
      </w:r>
      <w:r>
        <w:rPr>
          <w:rStyle w:val="StrongEmphasis"/>
          <w:rFonts w:ascii="Arial" w:hAnsi="Arial"/>
          <w:sz w:val="20"/>
          <w:highlight w:val="cyan"/>
        </w:rPr>
        <w:t>71</w:t>
        <w:br/>
      </w:r>
      <w:r>
        <w:rPr>
          <w:rFonts w:ascii="Arial" w:hAnsi="Arial"/>
          <w:sz w:val="20"/>
          <w:highlight w:val="cyan"/>
        </w:rPr>
        <w:t xml:space="preserve">Director since: </w:t>
      </w:r>
      <w:r>
        <w:rPr>
          <w:rStyle w:val="StrongEmphasis"/>
          <w:rFonts w:ascii="Arial" w:hAnsi="Arial"/>
          <w:sz w:val="20"/>
          <w:highlight w:val="cyan"/>
        </w:rPr>
        <w:t>June 2018</w:t>
        <w:br/>
      </w:r>
      <w:r>
        <w:rPr>
          <w:rFonts w:ascii="Arial" w:hAnsi="Arial"/>
          <w:sz w:val="20"/>
          <w:highlight w:val="cyan"/>
        </w:rPr>
        <w:t xml:space="preserve">Committees: </w:t>
      </w:r>
      <w:r>
        <w:rPr>
          <w:rStyle w:val="StrongEmphasis"/>
          <w:rFonts w:ascii="Arial" w:hAnsi="Arial"/>
          <w:sz w:val="20"/>
          <w:highlight w:val="cyan"/>
        </w:rPr>
        <w:t>Audit</w:t>
      </w:r>
    </w:p>
    <w:tbl>
      <w:tblPr>
        <w:tblW w:w="6980" w:type="dxa"/>
        <w:jc w:val="left"/>
        <w:tblInd w:w="0" w:type="dxa"/>
        <w:tblCellMar>
          <w:top w:w="0" w:type="dxa"/>
          <w:left w:w="0" w:type="dxa"/>
          <w:bottom w:w="0" w:type="dxa"/>
          <w:right w:w="0" w:type="dxa"/>
        </w:tblCellMar>
      </w:tblPr>
      <w:tblGrid>
        <w:gridCol w:w="6980"/>
      </w:tblGrid>
      <w:tr>
        <w:trPr/>
        <w:tc>
          <w:tcPr>
            <w:tcW w:w="6980" w:type="dxa"/>
            <w:tcBorders/>
            <w:shd w:fill="auto" w:val="clear"/>
            <w:vAlign w:val="center"/>
          </w:tcPr>
          <w:p>
            <w:pPr>
              <w:pStyle w:val="TableContents"/>
              <w:spacing w:before="0" w:after="0"/>
              <w:jc w:val="left"/>
              <w:rPr/>
            </w:pPr>
            <w:r>
              <w:rPr>
                <w:rFonts w:ascii="Arial" w:hAnsi="Arial"/>
                <w:color w:val="00A1E0"/>
                <w:sz w:val="15"/>
              </w:rPr>
              <w:t>OTHER CURRENT PUBLIC COMPANY DIRECTORSHIPS:</w:t>
              <w:br/>
            </w:r>
            <w:r>
              <w:rPr>
                <w:rFonts w:ascii="Arial" w:hAnsi="Arial"/>
                <w:sz w:val="20"/>
              </w:rPr>
              <w:t>AptarGroup, Inc., McCormick &amp; Company, Incorporated, Royal Caribbean Group</w:t>
            </w:r>
          </w:p>
        </w:tc>
      </w:tr>
    </w:tbl>
    <w:p>
      <w:pPr>
        <w:pStyle w:val="TextBody"/>
        <w:spacing w:before="0" w:after="0"/>
        <w:rPr/>
      </w:pPr>
      <w:r>
        <w:rPr/>
      </w:r>
      <w:r>
        <mc:AlternateContent>
          <mc:Choice Requires="wps">
            <w:drawing>
              <wp:anchor behindDoc="0" distT="0" distB="0" distL="0" distR="0" simplePos="0" locked="0" layoutInCell="1" allowOverlap="1" relativeHeight="39">
                <wp:simplePos x="0" y="0"/>
                <wp:positionH relativeFrom="column">
                  <wp:align>left</wp:align>
                </wp:positionH>
                <wp:positionV relativeFrom="line">
                  <wp:posOffset>635</wp:posOffset>
                </wp:positionV>
                <wp:extent cx="3110230" cy="3295650"/>
                <wp:effectExtent l="0" t="0" r="0" b="0"/>
                <wp:wrapSquare wrapText="largest"/>
                <wp:docPr id="126" name="Frame15"/>
                <a:graphic xmlns:a="http://schemas.openxmlformats.org/drawingml/2006/main">
                  <a:graphicData uri="http://schemas.microsoft.com/office/word/2010/wordprocessingShape">
                    <wps:wsp>
                      <wps:cNvSpPr txBox="1"/>
                      <wps:spPr>
                        <a:xfrm>
                          <a:off x="0" y="0"/>
                          <a:ext cx="3110230" cy="3295650"/>
                        </a:xfrm>
                        <a:prstGeom prst="rect"/>
                      </wps:spPr>
                      <wps:txbx>
                        <w:txbxContent>
                          <w:p>
                            <w:pPr>
                              <w:pStyle w:val="TextBody"/>
                              <w:spacing w:before="0" w:after="0"/>
                              <w:jc w:val="left"/>
                              <w:rPr>
                                <w:rFonts w:ascii="Arial" w:hAnsi="Arial"/>
                                <w:color w:val="00A1E0"/>
                                <w:sz w:val="15"/>
                              </w:rPr>
                            </w:pPr>
                            <w:r>
                              <w:rPr>
                                <w:rFonts w:ascii="Arial" w:hAnsi="Arial"/>
                                <w:color w:val="00A1E0"/>
                                <w:sz w:val="15"/>
                              </w:rPr>
                              <w:t>CAREER HIGHLIGHTS:</w:t>
                            </w:r>
                          </w:p>
                          <w:tbl>
                            <w:tblPr>
                              <w:tblW w:w="7810" w:type="dxa"/>
                              <w:jc w:val="left"/>
                              <w:tblInd w:w="0" w:type="dxa"/>
                              <w:tblCellMar>
                                <w:top w:w="0" w:type="dxa"/>
                                <w:left w:w="0" w:type="dxa"/>
                                <w:bottom w:w="0" w:type="dxa"/>
                                <w:right w:w="0" w:type="dxa"/>
                              </w:tblCellMar>
                            </w:tblPr>
                            <w:tblGrid>
                              <w:gridCol w:w="170"/>
                              <w:gridCol w:w="7640"/>
                            </w:tblGrid>
                            <w:tr>
                              <w:trPr/>
                              <w:tc>
                                <w:tcPr>
                                  <w:tcW w:w="170" w:type="dxa"/>
                                  <w:tcBorders/>
                                  <w:shd w:fill="auto" w:val="clear"/>
                                  <w:vAlign w:val="center"/>
                                </w:tcPr>
                                <w:p>
                                  <w:pPr>
                                    <w:pStyle w:val="TableContents"/>
                                    <w:spacing w:before="0" w:after="283"/>
                                    <w:rPr>
                                      <w:color w:val="00A1E0"/>
                                    </w:rPr>
                                  </w:pPr>
                                  <w:r>
                                    <w:rPr>
                                      <w:color w:val="00A1E0"/>
                                    </w:rPr>
                                    <w:t>●</w:t>
                                  </w:r>
                                </w:p>
                              </w:tc>
                              <w:tc>
                                <w:tcPr>
                                  <w:tcW w:w="7640" w:type="dxa"/>
                                  <w:tcBorders/>
                                  <w:shd w:fill="auto" w:val="clear"/>
                                  <w:vAlign w:val="center"/>
                                </w:tcPr>
                                <w:p>
                                  <w:pPr>
                                    <w:pStyle w:val="TableContents"/>
                                    <w:spacing w:before="0" w:after="283"/>
                                    <w:rPr/>
                                  </w:pPr>
                                  <w:r>
                                    <w:rPr/>
                                    <w:t>Deputy Chief Executive Officer and Vice Chairman, Deloitte LLP, 2011 – 2014</w:t>
                                  </w:r>
                                </w:p>
                              </w:tc>
                            </w:tr>
                            <w:tr>
                              <w:trPr/>
                              <w:tc>
                                <w:tcPr>
                                  <w:tcW w:w="170" w:type="dxa"/>
                                  <w:tcBorders/>
                                  <w:shd w:fill="auto" w:val="clear"/>
                                  <w:vAlign w:val="center"/>
                                </w:tcPr>
                                <w:p>
                                  <w:pPr>
                                    <w:pStyle w:val="TableContents"/>
                                    <w:spacing w:before="0" w:after="283"/>
                                    <w:rPr>
                                      <w:color w:val="00A1E0"/>
                                    </w:rPr>
                                  </w:pPr>
                                  <w:r>
                                    <w:rPr>
                                      <w:color w:val="00A1E0"/>
                                    </w:rPr>
                                    <w:t>●</w:t>
                                  </w:r>
                                </w:p>
                              </w:tc>
                              <w:tc>
                                <w:tcPr>
                                  <w:tcW w:w="7640" w:type="dxa"/>
                                  <w:tcBorders/>
                                  <w:shd w:fill="auto" w:val="clear"/>
                                  <w:vAlign w:val="center"/>
                                </w:tcPr>
                                <w:p>
                                  <w:pPr>
                                    <w:pStyle w:val="TableContents"/>
                                    <w:spacing w:before="0" w:after="283"/>
                                    <w:rPr/>
                                  </w:pPr>
                                  <w:r>
                                    <w:rPr/>
                                    <w:t>Numerous senior management roles at Deloitte, including:</w:t>
                                  </w:r>
                                </w:p>
                              </w:tc>
                            </w:tr>
                          </w:tbl>
                          <w:tbl>
                            <w:tblPr>
                              <w:tblW w:w="9235" w:type="dxa"/>
                              <w:jc w:val="left"/>
                              <w:tblInd w:w="0" w:type="dxa"/>
                              <w:tblCellMar>
                                <w:top w:w="0" w:type="dxa"/>
                                <w:left w:w="0" w:type="dxa"/>
                                <w:bottom w:w="0" w:type="dxa"/>
                                <w:right w:w="0" w:type="dxa"/>
                              </w:tblCellMar>
                            </w:tblPr>
                            <w:tblGrid>
                              <w:gridCol w:w="170"/>
                              <w:gridCol w:w="9065"/>
                            </w:tblGrid>
                            <w:tr>
                              <w:trPr/>
                              <w:tc>
                                <w:tcPr>
                                  <w:tcW w:w="170" w:type="dxa"/>
                                  <w:tcBorders/>
                                  <w:shd w:fill="auto" w:val="clear"/>
                                  <w:vAlign w:val="center"/>
                                </w:tcPr>
                                <w:p>
                                  <w:pPr>
                                    <w:pStyle w:val="TableContents"/>
                                    <w:spacing w:before="0" w:after="283"/>
                                    <w:rPr>
                                      <w:color w:val="00A1E0"/>
                                    </w:rPr>
                                  </w:pPr>
                                  <w:r>
                                    <w:rPr>
                                      <w:color w:val="00A1E0"/>
                                    </w:rPr>
                                    <w:t>●</w:t>
                                  </w:r>
                                </w:p>
                              </w:tc>
                              <w:tc>
                                <w:tcPr>
                                  <w:tcW w:w="9065" w:type="dxa"/>
                                  <w:tcBorders/>
                                  <w:shd w:fill="auto" w:val="clear"/>
                                  <w:vAlign w:val="center"/>
                                </w:tcPr>
                                <w:p>
                                  <w:pPr>
                                    <w:pStyle w:val="TableContents"/>
                                    <w:spacing w:before="0" w:after="283"/>
                                    <w:rPr/>
                                  </w:pPr>
                                  <w:r>
                                    <w:rPr/>
                                    <w:t>Managing Partner (Leadership Development and Succession, Deloitte University), 2009 – 2011</w:t>
                                  </w:r>
                                </w:p>
                              </w:tc>
                            </w:tr>
                            <w:tr>
                              <w:trPr/>
                              <w:tc>
                                <w:tcPr>
                                  <w:tcW w:w="170" w:type="dxa"/>
                                  <w:tcBorders/>
                                  <w:shd w:fill="auto" w:val="clear"/>
                                  <w:vAlign w:val="center"/>
                                </w:tcPr>
                                <w:p>
                                  <w:pPr>
                                    <w:pStyle w:val="TableContents"/>
                                    <w:spacing w:before="0" w:after="283"/>
                                    <w:rPr>
                                      <w:color w:val="00A1E0"/>
                                    </w:rPr>
                                  </w:pPr>
                                  <w:r>
                                    <w:rPr>
                                      <w:color w:val="00A1E0"/>
                                    </w:rPr>
                                    <w:t>●</w:t>
                                  </w:r>
                                </w:p>
                              </w:tc>
                              <w:tc>
                                <w:tcPr>
                                  <w:tcW w:w="9065" w:type="dxa"/>
                                  <w:tcBorders/>
                                  <w:shd w:fill="auto" w:val="clear"/>
                                  <w:vAlign w:val="center"/>
                                </w:tcPr>
                                <w:p>
                                  <w:pPr>
                                    <w:pStyle w:val="TableContents"/>
                                    <w:spacing w:before="0" w:after="283"/>
                                    <w:rPr/>
                                  </w:pPr>
                                  <w:r>
                                    <w:rPr/>
                                    <w:t>Regional Managing Partner, 2001 – 2009</w:t>
                                  </w:r>
                                </w:p>
                              </w:tc>
                            </w:tr>
                          </w:tbl>
                          <w:tbl>
                            <w:tblPr>
                              <w:tblW w:w="8800" w:type="dxa"/>
                              <w:jc w:val="left"/>
                              <w:tblInd w:w="0" w:type="dxa"/>
                              <w:tblCellMar>
                                <w:top w:w="0" w:type="dxa"/>
                                <w:left w:w="0" w:type="dxa"/>
                                <w:bottom w:w="0" w:type="dxa"/>
                                <w:right w:w="0" w:type="dxa"/>
                              </w:tblCellMar>
                            </w:tblPr>
                            <w:tblGrid>
                              <w:gridCol w:w="170"/>
                              <w:gridCol w:w="8630"/>
                            </w:tblGrid>
                            <w:tr>
                              <w:trPr/>
                              <w:tc>
                                <w:tcPr>
                                  <w:tcW w:w="170" w:type="dxa"/>
                                  <w:tcBorders/>
                                  <w:shd w:fill="auto" w:val="clear"/>
                                  <w:vAlign w:val="center"/>
                                </w:tcPr>
                                <w:p>
                                  <w:pPr>
                                    <w:pStyle w:val="TableContents"/>
                                    <w:spacing w:before="0" w:after="283"/>
                                    <w:rPr>
                                      <w:color w:val="00A1E0"/>
                                    </w:rPr>
                                  </w:pPr>
                                  <w:r>
                                    <w:rPr>
                                      <w:color w:val="00A1E0"/>
                                    </w:rPr>
                                    <w:t>●</w:t>
                                  </w:r>
                                </w:p>
                              </w:tc>
                              <w:tc>
                                <w:tcPr>
                                  <w:tcW w:w="8630" w:type="dxa"/>
                                  <w:tcBorders/>
                                  <w:shd w:fill="auto" w:val="clear"/>
                                  <w:vAlign w:val="center"/>
                                </w:tcPr>
                                <w:p>
                                  <w:pPr>
                                    <w:pStyle w:val="TableContents"/>
                                    <w:spacing w:before="0" w:after="283"/>
                                    <w:rPr/>
                                  </w:pPr>
                                  <w:r>
                                    <w:rPr/>
                                    <w:t>Advisory Partner for many public company clients where Deloitte was the principal auditor</w:t>
                                  </w:r>
                                </w:p>
                              </w:tc>
                            </w:tr>
                            <w:tr>
                              <w:trPr/>
                              <w:tc>
                                <w:tcPr>
                                  <w:tcW w:w="170" w:type="dxa"/>
                                  <w:tcBorders/>
                                  <w:shd w:fill="auto" w:val="clear"/>
                                  <w:vAlign w:val="center"/>
                                </w:tcPr>
                                <w:p>
                                  <w:pPr>
                                    <w:pStyle w:val="TableContents"/>
                                    <w:spacing w:before="0" w:after="283"/>
                                    <w:rPr>
                                      <w:color w:val="00A1E0"/>
                                    </w:rPr>
                                  </w:pPr>
                                  <w:r>
                                    <w:rPr>
                                      <w:color w:val="00A1E0"/>
                                    </w:rPr>
                                    <w:t>●</w:t>
                                  </w:r>
                                </w:p>
                              </w:tc>
                              <w:tc>
                                <w:tcPr>
                                  <w:tcW w:w="8630" w:type="dxa"/>
                                  <w:tcBorders/>
                                  <w:shd w:fill="auto" w:val="clear"/>
                                  <w:vAlign w:val="center"/>
                                </w:tcPr>
                                <w:p>
                                  <w:pPr>
                                    <w:pStyle w:val="TableContents"/>
                                    <w:spacing w:before="0" w:after="283"/>
                                    <w:rPr/>
                                  </w:pPr>
                                  <w:r>
                                    <w:rPr/>
                                    <w:t>Member of Deloitte’s U.S. and Global Board of Directors</w:t>
                                  </w:r>
                                </w:p>
                              </w:tc>
                            </w:tr>
                            <w:tr>
                              <w:trPr/>
                              <w:tc>
                                <w:tcPr>
                                  <w:tcW w:w="170" w:type="dxa"/>
                                  <w:tcBorders/>
                                  <w:shd w:fill="auto" w:val="clear"/>
                                  <w:vAlign w:val="center"/>
                                </w:tcPr>
                                <w:p>
                                  <w:pPr>
                                    <w:pStyle w:val="TableContents"/>
                                    <w:spacing w:before="0" w:after="283"/>
                                    <w:rPr>
                                      <w:color w:val="00A1E0"/>
                                    </w:rPr>
                                  </w:pPr>
                                  <w:r>
                                    <w:rPr>
                                      <w:color w:val="00A1E0"/>
                                    </w:rPr>
                                    <w:t>●</w:t>
                                  </w:r>
                                </w:p>
                              </w:tc>
                              <w:tc>
                                <w:tcPr>
                                  <w:tcW w:w="8630" w:type="dxa"/>
                                  <w:tcBorders/>
                                  <w:shd w:fill="auto" w:val="clear"/>
                                  <w:vAlign w:val="center"/>
                                </w:tcPr>
                                <w:p>
                                  <w:pPr>
                                    <w:pStyle w:val="TableContents"/>
                                    <w:spacing w:before="0" w:after="283"/>
                                    <w:rPr/>
                                  </w:pPr>
                                  <w:r>
                                    <w:rPr/>
                                    <w:t>Member of the Board of Trustees, Baptist Health South Florida</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5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left"/>
                        <w:rPr>
                          <w:rFonts w:ascii="Arial" w:hAnsi="Arial"/>
                          <w:color w:val="00A1E0"/>
                          <w:sz w:val="15"/>
                        </w:rPr>
                      </w:pPr>
                      <w:r>
                        <w:rPr>
                          <w:rFonts w:ascii="Arial" w:hAnsi="Arial"/>
                          <w:color w:val="00A1E0"/>
                          <w:sz w:val="15"/>
                        </w:rPr>
                        <w:t>CAREER HIGHLIGHTS:</w:t>
                      </w:r>
                    </w:p>
                    <w:tbl>
                      <w:tblPr>
                        <w:tblW w:w="7810" w:type="dxa"/>
                        <w:jc w:val="left"/>
                        <w:tblInd w:w="0" w:type="dxa"/>
                        <w:tblCellMar>
                          <w:top w:w="0" w:type="dxa"/>
                          <w:left w:w="0" w:type="dxa"/>
                          <w:bottom w:w="0" w:type="dxa"/>
                          <w:right w:w="0" w:type="dxa"/>
                        </w:tblCellMar>
                      </w:tblPr>
                      <w:tblGrid>
                        <w:gridCol w:w="170"/>
                        <w:gridCol w:w="7640"/>
                      </w:tblGrid>
                      <w:tr>
                        <w:trPr/>
                        <w:tc>
                          <w:tcPr>
                            <w:tcW w:w="170" w:type="dxa"/>
                            <w:tcBorders/>
                            <w:shd w:fill="auto" w:val="clear"/>
                            <w:vAlign w:val="center"/>
                          </w:tcPr>
                          <w:p>
                            <w:pPr>
                              <w:pStyle w:val="TableContents"/>
                              <w:spacing w:before="0" w:after="283"/>
                              <w:rPr>
                                <w:color w:val="00A1E0"/>
                              </w:rPr>
                            </w:pPr>
                            <w:r>
                              <w:rPr>
                                <w:color w:val="00A1E0"/>
                              </w:rPr>
                              <w:t>●</w:t>
                            </w:r>
                          </w:p>
                        </w:tc>
                        <w:tc>
                          <w:tcPr>
                            <w:tcW w:w="7640" w:type="dxa"/>
                            <w:tcBorders/>
                            <w:shd w:fill="auto" w:val="clear"/>
                            <w:vAlign w:val="center"/>
                          </w:tcPr>
                          <w:p>
                            <w:pPr>
                              <w:pStyle w:val="TableContents"/>
                              <w:spacing w:before="0" w:after="283"/>
                              <w:rPr/>
                            </w:pPr>
                            <w:r>
                              <w:rPr/>
                              <w:t>Deputy Chief Executive Officer and Vice Chairman, Deloitte LLP, 2011 – 2014</w:t>
                            </w:r>
                          </w:p>
                        </w:tc>
                      </w:tr>
                      <w:tr>
                        <w:trPr/>
                        <w:tc>
                          <w:tcPr>
                            <w:tcW w:w="170" w:type="dxa"/>
                            <w:tcBorders/>
                            <w:shd w:fill="auto" w:val="clear"/>
                            <w:vAlign w:val="center"/>
                          </w:tcPr>
                          <w:p>
                            <w:pPr>
                              <w:pStyle w:val="TableContents"/>
                              <w:spacing w:before="0" w:after="283"/>
                              <w:rPr>
                                <w:color w:val="00A1E0"/>
                              </w:rPr>
                            </w:pPr>
                            <w:r>
                              <w:rPr>
                                <w:color w:val="00A1E0"/>
                              </w:rPr>
                              <w:t>●</w:t>
                            </w:r>
                          </w:p>
                        </w:tc>
                        <w:tc>
                          <w:tcPr>
                            <w:tcW w:w="7640" w:type="dxa"/>
                            <w:tcBorders/>
                            <w:shd w:fill="auto" w:val="clear"/>
                            <w:vAlign w:val="center"/>
                          </w:tcPr>
                          <w:p>
                            <w:pPr>
                              <w:pStyle w:val="TableContents"/>
                              <w:spacing w:before="0" w:after="283"/>
                              <w:rPr/>
                            </w:pPr>
                            <w:r>
                              <w:rPr/>
                              <w:t>Numerous senior management roles at Deloitte, including:</w:t>
                            </w:r>
                          </w:p>
                        </w:tc>
                      </w:tr>
                    </w:tbl>
                    <w:tbl>
                      <w:tblPr>
                        <w:tblW w:w="9235" w:type="dxa"/>
                        <w:jc w:val="left"/>
                        <w:tblInd w:w="0" w:type="dxa"/>
                        <w:tblCellMar>
                          <w:top w:w="0" w:type="dxa"/>
                          <w:left w:w="0" w:type="dxa"/>
                          <w:bottom w:w="0" w:type="dxa"/>
                          <w:right w:w="0" w:type="dxa"/>
                        </w:tblCellMar>
                      </w:tblPr>
                      <w:tblGrid>
                        <w:gridCol w:w="170"/>
                        <w:gridCol w:w="9065"/>
                      </w:tblGrid>
                      <w:tr>
                        <w:trPr/>
                        <w:tc>
                          <w:tcPr>
                            <w:tcW w:w="170" w:type="dxa"/>
                            <w:tcBorders/>
                            <w:shd w:fill="auto" w:val="clear"/>
                            <w:vAlign w:val="center"/>
                          </w:tcPr>
                          <w:p>
                            <w:pPr>
                              <w:pStyle w:val="TableContents"/>
                              <w:spacing w:before="0" w:after="283"/>
                              <w:rPr>
                                <w:color w:val="00A1E0"/>
                              </w:rPr>
                            </w:pPr>
                            <w:r>
                              <w:rPr>
                                <w:color w:val="00A1E0"/>
                              </w:rPr>
                              <w:t>●</w:t>
                            </w:r>
                          </w:p>
                        </w:tc>
                        <w:tc>
                          <w:tcPr>
                            <w:tcW w:w="9065" w:type="dxa"/>
                            <w:tcBorders/>
                            <w:shd w:fill="auto" w:val="clear"/>
                            <w:vAlign w:val="center"/>
                          </w:tcPr>
                          <w:p>
                            <w:pPr>
                              <w:pStyle w:val="TableContents"/>
                              <w:spacing w:before="0" w:after="283"/>
                              <w:rPr/>
                            </w:pPr>
                            <w:r>
                              <w:rPr/>
                              <w:t>Managing Partner (Leadership Development and Succession, Deloitte University), 2009 – 2011</w:t>
                            </w:r>
                          </w:p>
                        </w:tc>
                      </w:tr>
                      <w:tr>
                        <w:trPr/>
                        <w:tc>
                          <w:tcPr>
                            <w:tcW w:w="170" w:type="dxa"/>
                            <w:tcBorders/>
                            <w:shd w:fill="auto" w:val="clear"/>
                            <w:vAlign w:val="center"/>
                          </w:tcPr>
                          <w:p>
                            <w:pPr>
                              <w:pStyle w:val="TableContents"/>
                              <w:spacing w:before="0" w:after="283"/>
                              <w:rPr>
                                <w:color w:val="00A1E0"/>
                              </w:rPr>
                            </w:pPr>
                            <w:r>
                              <w:rPr>
                                <w:color w:val="00A1E0"/>
                              </w:rPr>
                              <w:t>●</w:t>
                            </w:r>
                          </w:p>
                        </w:tc>
                        <w:tc>
                          <w:tcPr>
                            <w:tcW w:w="9065" w:type="dxa"/>
                            <w:tcBorders/>
                            <w:shd w:fill="auto" w:val="clear"/>
                            <w:vAlign w:val="center"/>
                          </w:tcPr>
                          <w:p>
                            <w:pPr>
                              <w:pStyle w:val="TableContents"/>
                              <w:spacing w:before="0" w:after="283"/>
                              <w:rPr/>
                            </w:pPr>
                            <w:r>
                              <w:rPr/>
                              <w:t>Regional Managing Partner, 2001 – 2009</w:t>
                            </w:r>
                          </w:p>
                        </w:tc>
                      </w:tr>
                    </w:tbl>
                    <w:tbl>
                      <w:tblPr>
                        <w:tblW w:w="8800" w:type="dxa"/>
                        <w:jc w:val="left"/>
                        <w:tblInd w:w="0" w:type="dxa"/>
                        <w:tblCellMar>
                          <w:top w:w="0" w:type="dxa"/>
                          <w:left w:w="0" w:type="dxa"/>
                          <w:bottom w:w="0" w:type="dxa"/>
                          <w:right w:w="0" w:type="dxa"/>
                        </w:tblCellMar>
                      </w:tblPr>
                      <w:tblGrid>
                        <w:gridCol w:w="170"/>
                        <w:gridCol w:w="8630"/>
                      </w:tblGrid>
                      <w:tr>
                        <w:trPr/>
                        <w:tc>
                          <w:tcPr>
                            <w:tcW w:w="170" w:type="dxa"/>
                            <w:tcBorders/>
                            <w:shd w:fill="auto" w:val="clear"/>
                            <w:vAlign w:val="center"/>
                          </w:tcPr>
                          <w:p>
                            <w:pPr>
                              <w:pStyle w:val="TableContents"/>
                              <w:spacing w:before="0" w:after="283"/>
                              <w:rPr>
                                <w:color w:val="00A1E0"/>
                              </w:rPr>
                            </w:pPr>
                            <w:r>
                              <w:rPr>
                                <w:color w:val="00A1E0"/>
                              </w:rPr>
                              <w:t>●</w:t>
                            </w:r>
                          </w:p>
                        </w:tc>
                        <w:tc>
                          <w:tcPr>
                            <w:tcW w:w="8630" w:type="dxa"/>
                            <w:tcBorders/>
                            <w:shd w:fill="auto" w:val="clear"/>
                            <w:vAlign w:val="center"/>
                          </w:tcPr>
                          <w:p>
                            <w:pPr>
                              <w:pStyle w:val="TableContents"/>
                              <w:spacing w:before="0" w:after="283"/>
                              <w:rPr/>
                            </w:pPr>
                            <w:r>
                              <w:rPr/>
                              <w:t>Advisory Partner for many public company clients where Deloitte was the principal auditor</w:t>
                            </w:r>
                          </w:p>
                        </w:tc>
                      </w:tr>
                      <w:tr>
                        <w:trPr/>
                        <w:tc>
                          <w:tcPr>
                            <w:tcW w:w="170" w:type="dxa"/>
                            <w:tcBorders/>
                            <w:shd w:fill="auto" w:val="clear"/>
                            <w:vAlign w:val="center"/>
                          </w:tcPr>
                          <w:p>
                            <w:pPr>
                              <w:pStyle w:val="TableContents"/>
                              <w:spacing w:before="0" w:after="283"/>
                              <w:rPr>
                                <w:color w:val="00A1E0"/>
                              </w:rPr>
                            </w:pPr>
                            <w:r>
                              <w:rPr>
                                <w:color w:val="00A1E0"/>
                              </w:rPr>
                              <w:t>●</w:t>
                            </w:r>
                          </w:p>
                        </w:tc>
                        <w:tc>
                          <w:tcPr>
                            <w:tcW w:w="8630" w:type="dxa"/>
                            <w:tcBorders/>
                            <w:shd w:fill="auto" w:val="clear"/>
                            <w:vAlign w:val="center"/>
                          </w:tcPr>
                          <w:p>
                            <w:pPr>
                              <w:pStyle w:val="TableContents"/>
                              <w:spacing w:before="0" w:after="283"/>
                              <w:rPr/>
                            </w:pPr>
                            <w:r>
                              <w:rPr/>
                              <w:t>Member of Deloitte’s U.S. and Global Board of Directors</w:t>
                            </w:r>
                          </w:p>
                        </w:tc>
                      </w:tr>
                      <w:tr>
                        <w:trPr/>
                        <w:tc>
                          <w:tcPr>
                            <w:tcW w:w="170" w:type="dxa"/>
                            <w:tcBorders/>
                            <w:shd w:fill="auto" w:val="clear"/>
                            <w:vAlign w:val="center"/>
                          </w:tcPr>
                          <w:p>
                            <w:pPr>
                              <w:pStyle w:val="TableContents"/>
                              <w:spacing w:before="0" w:after="283"/>
                              <w:rPr>
                                <w:color w:val="00A1E0"/>
                              </w:rPr>
                            </w:pPr>
                            <w:r>
                              <w:rPr>
                                <w:color w:val="00A1E0"/>
                              </w:rPr>
                              <w:t>●</w:t>
                            </w:r>
                          </w:p>
                        </w:tc>
                        <w:tc>
                          <w:tcPr>
                            <w:tcW w:w="8630" w:type="dxa"/>
                            <w:tcBorders/>
                            <w:shd w:fill="auto" w:val="clear"/>
                            <w:vAlign w:val="center"/>
                          </w:tcPr>
                          <w:p>
                            <w:pPr>
                              <w:pStyle w:val="TableContents"/>
                              <w:spacing w:before="0" w:after="283"/>
                              <w:rPr/>
                            </w:pPr>
                            <w:r>
                              <w:rPr/>
                              <w:t>Member of the Board of Trustees, Baptist Health South Florida</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0">
                <wp:simplePos x="0" y="0"/>
                <wp:positionH relativeFrom="column">
                  <wp:align>right</wp:align>
                </wp:positionH>
                <wp:positionV relativeFrom="line">
                  <wp:posOffset>635</wp:posOffset>
                </wp:positionV>
                <wp:extent cx="3110230" cy="3430270"/>
                <wp:effectExtent l="0" t="0" r="0" b="0"/>
                <wp:wrapSquare wrapText="largest"/>
                <wp:docPr id="127" name="Frame16"/>
                <a:graphic xmlns:a="http://schemas.openxmlformats.org/drawingml/2006/main">
                  <a:graphicData uri="http://schemas.microsoft.com/office/word/2010/wordprocessingShape">
                    <wps:wsp>
                      <wps:cNvSpPr txBox="1"/>
                      <wps:spPr>
                        <a:xfrm>
                          <a:off x="0" y="0"/>
                          <a:ext cx="3110230" cy="3430270"/>
                        </a:xfrm>
                        <a:prstGeom prst="rect"/>
                      </wps:spPr>
                      <wps:txbx>
                        <w:txbxContent>
                          <w:p>
                            <w:pPr>
                              <w:pStyle w:val="TextBody"/>
                              <w:spacing w:before="0" w:after="0"/>
                              <w:jc w:val="left"/>
                              <w:rPr>
                                <w:rFonts w:ascii="Arial" w:hAnsi="Arial"/>
                                <w:color w:val="00A1E0"/>
                                <w:sz w:val="15"/>
                              </w:rPr>
                            </w:pPr>
                            <w:r>
                              <w:rPr>
                                <w:rFonts w:ascii="Arial" w:hAnsi="Arial"/>
                                <w:color w:val="00A1E0"/>
                                <w:sz w:val="15"/>
                              </w:rPr>
                              <w:t>SKILLS AND QUALIFICATIONS:</w:t>
                            </w:r>
                          </w:p>
                          <w:p>
                            <w:pPr>
                              <w:pStyle w:val="TextBody"/>
                              <w:spacing w:before="0" w:after="0"/>
                              <w:jc w:val="left"/>
                              <w:rPr>
                                <w:rFonts w:ascii="Arial" w:hAnsi="Arial"/>
                                <w:sz w:val="20"/>
                              </w:rPr>
                            </w:pPr>
                            <w:r>
                              <w:rPr>
                                <w:rFonts w:ascii="Arial" w:hAnsi="Arial"/>
                                <w:sz w:val="20"/>
                              </w:rPr>
                              <w:t>We believe that Ms. Montiel’s extensive experience and leadership in the accounting profession, including her experience as the former Deputy Chief Executive Officer and Vice Chairman of Deloitte and in the oversight of risk and compliance efforts, render her qualified to serve as one of our directors.</w:t>
                            </w:r>
                          </w:p>
                          <w:tbl>
                            <w:tblPr>
                              <w:tblW w:w="2870" w:type="dxa"/>
                              <w:jc w:val="left"/>
                              <w:tblInd w:w="0" w:type="dxa"/>
                              <w:tblCellMar>
                                <w:top w:w="0" w:type="dxa"/>
                                <w:left w:w="0" w:type="dxa"/>
                                <w:bottom w:w="0" w:type="dxa"/>
                                <w:right w:w="0" w:type="dxa"/>
                              </w:tblCellMar>
                            </w:tblPr>
                            <w:tblGrid>
                              <w:gridCol w:w="315"/>
                              <w:gridCol w:w="2555"/>
                            </w:tblGrid>
                            <w:tr>
                              <w:trPr/>
                              <w:tc>
                                <w:tcPr>
                                  <w:tcW w:w="315" w:type="dxa"/>
                                  <w:tcBorders/>
                                  <w:shd w:fill="auto" w:val="clear"/>
                                  <w:vAlign w:val="center"/>
                                </w:tcPr>
                                <w:p>
                                  <w:pPr>
                                    <w:pStyle w:val="TableContents"/>
                                    <w:spacing w:before="0" w:after="283"/>
                                    <w:jc w:val="center"/>
                                    <w:rPr/>
                                  </w:pPr>
                                  <w:r>
                                    <w:rPr/>
                                    <w:drawing>
                                      <wp:inline distT="0" distB="0" distL="0" distR="0">
                                        <wp:extent cx="171450" cy="200025"/>
                                        <wp:effectExtent l="0" t="0" r="0" b="0"/>
                                        <wp:docPr id="128"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79" descr=""/>
                                                <pic:cNvPicPr>
                                                  <a:picLocks noChangeAspect="1" noChangeArrowheads="1"/>
                                                </pic:cNvPicPr>
                                              </pic:nvPicPr>
                                              <pic:blipFill>
                                                <a:blip r:embed="rId80"/>
                                                <a:srcRect l="-5882" t="-5035" r="-5882" b="-5035"/>
                                                <a:stretch>
                                                  <a:fillRect/>
                                                </a:stretch>
                                              </pic:blipFill>
                                              <pic:spPr bwMode="auto">
                                                <a:xfrm>
                                                  <a:off x="0" y="0"/>
                                                  <a:ext cx="171450" cy="200025"/>
                                                </a:xfrm>
                                                <a:prstGeom prst="rect">
                                                  <a:avLst/>
                                                </a:prstGeom>
                                                <a:ln w="635">
                                                  <a:solidFill>
                                                    <a:srgbClr val="000000"/>
                                                  </a:solidFill>
                                                </a:ln>
                                              </pic:spPr>
                                            </pic:pic>
                                          </a:graphicData>
                                        </a:graphic>
                                      </wp:inline>
                                    </w:drawing>
                                  </w:r>
                                </w:p>
                              </w:tc>
                              <w:tc>
                                <w:tcPr>
                                  <w:tcW w:w="2555" w:type="dxa"/>
                                  <w:tcBorders/>
                                  <w:shd w:fill="auto" w:val="clear"/>
                                  <w:vAlign w:val="center"/>
                                </w:tcPr>
                                <w:p>
                                  <w:pPr>
                                    <w:pStyle w:val="TableContents"/>
                                    <w:spacing w:before="0" w:after="283"/>
                                    <w:jc w:val="left"/>
                                    <w:rPr>
                                      <w:rFonts w:ascii="Arial" w:hAnsi="Arial"/>
                                      <w:sz w:val="20"/>
                                    </w:rPr>
                                  </w:pPr>
                                  <w:r>
                                    <w:rPr>
                                      <w:rFonts w:ascii="Arial" w:hAnsi="Arial"/>
                                      <w:sz w:val="20"/>
                                    </w:rPr>
                                    <w:t xml:space="preserve">Executive Leadership </w:t>
                                  </w:r>
                                </w:p>
                              </w:tc>
                            </w:tr>
                            <w:tr>
                              <w:trPr/>
                              <w:tc>
                                <w:tcPr>
                                  <w:tcW w:w="315" w:type="dxa"/>
                                  <w:tcBorders/>
                                  <w:shd w:fill="auto" w:val="clear"/>
                                  <w:vAlign w:val="center"/>
                                </w:tcPr>
                                <w:p>
                                  <w:pPr>
                                    <w:pStyle w:val="TableContents"/>
                                    <w:spacing w:before="0" w:after="283"/>
                                    <w:jc w:val="center"/>
                                    <w:rPr/>
                                  </w:pPr>
                                  <w:r>
                                    <w:rPr/>
                                    <w:drawing>
                                      <wp:inline distT="0" distB="0" distL="0" distR="0">
                                        <wp:extent cx="200025" cy="200025"/>
                                        <wp:effectExtent l="0" t="0" r="0" b="0"/>
                                        <wp:docPr id="129"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80" descr=""/>
                                                <pic:cNvPicPr>
                                                  <a:picLocks noChangeAspect="1" noChangeArrowheads="1"/>
                                                </pic:cNvPicPr>
                                              </pic:nvPicPr>
                                              <pic:blipFill>
                                                <a:blip r:embed="rId81"/>
                                                <a:srcRect l="-5035" t="-5035" r="-5035" b="-5035"/>
                                                <a:stretch>
                                                  <a:fillRect/>
                                                </a:stretch>
                                              </pic:blipFill>
                                              <pic:spPr bwMode="auto">
                                                <a:xfrm>
                                                  <a:off x="0" y="0"/>
                                                  <a:ext cx="200025" cy="200025"/>
                                                </a:xfrm>
                                                <a:prstGeom prst="rect">
                                                  <a:avLst/>
                                                </a:prstGeom>
                                                <a:ln w="635">
                                                  <a:solidFill>
                                                    <a:srgbClr val="000000"/>
                                                  </a:solidFill>
                                                </a:ln>
                                              </pic:spPr>
                                            </pic:pic>
                                          </a:graphicData>
                                        </a:graphic>
                                      </wp:inline>
                                    </w:drawing>
                                  </w:r>
                                </w:p>
                              </w:tc>
                              <w:tc>
                                <w:tcPr>
                                  <w:tcW w:w="2555" w:type="dxa"/>
                                  <w:tcBorders/>
                                  <w:shd w:fill="auto" w:val="clear"/>
                                  <w:vAlign w:val="center"/>
                                </w:tcPr>
                                <w:p>
                                  <w:pPr>
                                    <w:pStyle w:val="TableContents"/>
                                    <w:spacing w:before="0" w:after="283"/>
                                    <w:jc w:val="left"/>
                                    <w:rPr>
                                      <w:rFonts w:ascii="Arial" w:hAnsi="Arial"/>
                                      <w:sz w:val="20"/>
                                    </w:rPr>
                                  </w:pPr>
                                  <w:r>
                                    <w:rPr>
                                      <w:rFonts w:ascii="Arial" w:hAnsi="Arial"/>
                                      <w:sz w:val="20"/>
                                    </w:rPr>
                                    <w:t xml:space="preserve">Financial/Accounting </w:t>
                                  </w:r>
                                </w:p>
                              </w:tc>
                            </w:tr>
                            <w:tr>
                              <w:trPr/>
                              <w:tc>
                                <w:tcPr>
                                  <w:tcW w:w="315" w:type="dxa"/>
                                  <w:tcBorders/>
                                  <w:shd w:fill="auto" w:val="clear"/>
                                  <w:vAlign w:val="center"/>
                                </w:tcPr>
                                <w:p>
                                  <w:pPr>
                                    <w:pStyle w:val="TableContents"/>
                                    <w:spacing w:before="0" w:after="283"/>
                                    <w:jc w:val="center"/>
                                    <w:rPr/>
                                  </w:pPr>
                                  <w:r>
                                    <w:rPr/>
                                    <w:drawing>
                                      <wp:inline distT="0" distB="0" distL="0" distR="0">
                                        <wp:extent cx="200025" cy="209550"/>
                                        <wp:effectExtent l="0" t="0" r="0" b="0"/>
                                        <wp:docPr id="130"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81" descr=""/>
                                                <pic:cNvPicPr>
                                                  <a:picLocks noChangeAspect="1" noChangeArrowheads="1"/>
                                                </pic:cNvPicPr>
                                              </pic:nvPicPr>
                                              <pic:blipFill>
                                                <a:blip r:embed="rId82"/>
                                                <a:srcRect l="-5035" t="-4810" r="-5035" b="-4810"/>
                                                <a:stretch>
                                                  <a:fillRect/>
                                                </a:stretch>
                                              </pic:blipFill>
                                              <pic:spPr bwMode="auto">
                                                <a:xfrm>
                                                  <a:off x="0" y="0"/>
                                                  <a:ext cx="200025" cy="209550"/>
                                                </a:xfrm>
                                                <a:prstGeom prst="rect">
                                                  <a:avLst/>
                                                </a:prstGeom>
                                                <a:ln w="635">
                                                  <a:solidFill>
                                                    <a:srgbClr val="000000"/>
                                                  </a:solidFill>
                                                </a:ln>
                                              </pic:spPr>
                                            </pic:pic>
                                          </a:graphicData>
                                        </a:graphic>
                                      </wp:inline>
                                    </w:drawing>
                                  </w:r>
                                </w:p>
                              </w:tc>
                              <w:tc>
                                <w:tcPr>
                                  <w:tcW w:w="2555" w:type="dxa"/>
                                  <w:tcBorders/>
                                  <w:shd w:fill="auto" w:val="clear"/>
                                  <w:vAlign w:val="center"/>
                                </w:tcPr>
                                <w:p>
                                  <w:pPr>
                                    <w:pStyle w:val="TableContents"/>
                                    <w:spacing w:before="0" w:after="283"/>
                                    <w:jc w:val="left"/>
                                    <w:rPr>
                                      <w:rFonts w:ascii="Arial" w:hAnsi="Arial"/>
                                      <w:sz w:val="20"/>
                                    </w:rPr>
                                  </w:pPr>
                                  <w:r>
                                    <w:rPr>
                                      <w:rFonts w:ascii="Arial" w:hAnsi="Arial"/>
                                      <w:sz w:val="20"/>
                                    </w:rPr>
                                    <w:t xml:space="preserve">Risk Management Oversight </w:t>
                                  </w:r>
                                </w:p>
                              </w:tc>
                            </w:tr>
                            <w:tr>
                              <w:trPr/>
                              <w:tc>
                                <w:tcPr>
                                  <w:tcW w:w="315" w:type="dxa"/>
                                  <w:tcBorders/>
                                  <w:shd w:fill="auto" w:val="clear"/>
                                  <w:vAlign w:val="center"/>
                                </w:tcPr>
                                <w:p>
                                  <w:pPr>
                                    <w:pStyle w:val="TableContents"/>
                                    <w:spacing w:before="0" w:after="283"/>
                                    <w:jc w:val="center"/>
                                    <w:rPr/>
                                  </w:pPr>
                                  <w:r>
                                    <w:rPr/>
                                    <w:drawing>
                                      <wp:inline distT="0" distB="0" distL="0" distR="0">
                                        <wp:extent cx="180975" cy="200025"/>
                                        <wp:effectExtent l="0" t="0" r="0" b="0"/>
                                        <wp:docPr id="131"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82" descr=""/>
                                                <pic:cNvPicPr>
                                                  <a:picLocks noChangeAspect="1" noChangeArrowheads="1"/>
                                                </pic:cNvPicPr>
                                              </pic:nvPicPr>
                                              <pic:blipFill>
                                                <a:blip r:embed="rId83"/>
                                                <a:srcRect l="-5566" t="-5035" r="-5566" b="-5035"/>
                                                <a:stretch>
                                                  <a:fillRect/>
                                                </a:stretch>
                                              </pic:blipFill>
                                              <pic:spPr bwMode="auto">
                                                <a:xfrm>
                                                  <a:off x="0" y="0"/>
                                                  <a:ext cx="180975" cy="200025"/>
                                                </a:xfrm>
                                                <a:prstGeom prst="rect">
                                                  <a:avLst/>
                                                </a:prstGeom>
                                                <a:ln w="635">
                                                  <a:solidFill>
                                                    <a:srgbClr val="000000"/>
                                                  </a:solidFill>
                                                </a:ln>
                                              </pic:spPr>
                                            </pic:pic>
                                          </a:graphicData>
                                        </a:graphic>
                                      </wp:inline>
                                    </w:drawing>
                                  </w:r>
                                </w:p>
                              </w:tc>
                              <w:tc>
                                <w:tcPr>
                                  <w:tcW w:w="2555" w:type="dxa"/>
                                  <w:tcBorders/>
                                  <w:shd w:fill="auto" w:val="clear"/>
                                  <w:vAlign w:val="center"/>
                                </w:tcPr>
                                <w:p>
                                  <w:pPr>
                                    <w:pStyle w:val="TableContents"/>
                                    <w:spacing w:before="0" w:after="283"/>
                                    <w:jc w:val="left"/>
                                    <w:rPr>
                                      <w:rFonts w:ascii="Arial" w:hAnsi="Arial"/>
                                      <w:sz w:val="20"/>
                                    </w:rPr>
                                  </w:pPr>
                                  <w:r>
                                    <w:rPr>
                                      <w:rFonts w:ascii="Arial" w:hAnsi="Arial"/>
                                      <w:sz w:val="20"/>
                                    </w:rPr>
                                    <w:t>International</w:t>
                                  </w:r>
                                </w:p>
                              </w:tc>
                            </w:tr>
                            <w:tr>
                              <w:trPr/>
                              <w:tc>
                                <w:tcPr>
                                  <w:tcW w:w="315" w:type="dxa"/>
                                  <w:tcBorders/>
                                  <w:shd w:fill="auto" w:val="clear"/>
                                  <w:vAlign w:val="center"/>
                                </w:tcPr>
                                <w:p>
                                  <w:pPr>
                                    <w:pStyle w:val="TableContents"/>
                                    <w:spacing w:before="0" w:after="283"/>
                                    <w:jc w:val="center"/>
                                    <w:rPr/>
                                  </w:pPr>
                                  <w:r>
                                    <w:rPr/>
                                    <w:drawing>
                                      <wp:inline distT="0" distB="0" distL="0" distR="0">
                                        <wp:extent cx="200025" cy="190500"/>
                                        <wp:effectExtent l="0" t="0" r="0" b="0"/>
                                        <wp:docPr id="132"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83" descr=""/>
                                                <pic:cNvPicPr>
                                                  <a:picLocks noChangeAspect="1" noChangeArrowheads="1"/>
                                                </pic:cNvPicPr>
                                              </pic:nvPicPr>
                                              <pic:blipFill>
                                                <a:blip r:embed="rId84"/>
                                                <a:srcRect l="-5035" t="-5293" r="-5035" b="-5293"/>
                                                <a:stretch>
                                                  <a:fillRect/>
                                                </a:stretch>
                                              </pic:blipFill>
                                              <pic:spPr bwMode="auto">
                                                <a:xfrm>
                                                  <a:off x="0" y="0"/>
                                                  <a:ext cx="200025" cy="190500"/>
                                                </a:xfrm>
                                                <a:prstGeom prst="rect">
                                                  <a:avLst/>
                                                </a:prstGeom>
                                                <a:ln w="635">
                                                  <a:solidFill>
                                                    <a:srgbClr val="000000"/>
                                                  </a:solidFill>
                                                </a:ln>
                                              </pic:spPr>
                                            </pic:pic>
                                          </a:graphicData>
                                        </a:graphic>
                                      </wp:inline>
                                    </w:drawing>
                                  </w:r>
                                </w:p>
                              </w:tc>
                              <w:tc>
                                <w:tcPr>
                                  <w:tcW w:w="2555" w:type="dxa"/>
                                  <w:tcBorders/>
                                  <w:shd w:fill="auto" w:val="clear"/>
                                  <w:vAlign w:val="center"/>
                                </w:tcPr>
                                <w:p>
                                  <w:pPr>
                                    <w:pStyle w:val="TableContents"/>
                                    <w:spacing w:before="0" w:after="283"/>
                                    <w:jc w:val="left"/>
                                    <w:rPr>
                                      <w:rFonts w:ascii="Arial" w:hAnsi="Arial"/>
                                      <w:sz w:val="20"/>
                                    </w:rPr>
                                  </w:pPr>
                                  <w:r>
                                    <w:rPr>
                                      <w:rFonts w:ascii="Arial" w:hAnsi="Arial"/>
                                      <w:sz w:val="20"/>
                                    </w:rPr>
                                    <w:t>Government Affairs</w:t>
                                  </w:r>
                                </w:p>
                              </w:tc>
                            </w:tr>
                            <w:tr>
                              <w:trPr/>
                              <w:tc>
                                <w:tcPr>
                                  <w:tcW w:w="315" w:type="dxa"/>
                                  <w:tcBorders/>
                                  <w:shd w:fill="auto" w:val="clear"/>
                                  <w:vAlign w:val="center"/>
                                </w:tcPr>
                                <w:p>
                                  <w:pPr>
                                    <w:pStyle w:val="TableContents"/>
                                    <w:spacing w:before="0" w:after="283"/>
                                    <w:jc w:val="center"/>
                                    <w:rPr/>
                                  </w:pPr>
                                  <w:r>
                                    <w:rPr/>
                                    <w:drawing>
                                      <wp:inline distT="0" distB="0" distL="0" distR="0">
                                        <wp:extent cx="200025" cy="190500"/>
                                        <wp:effectExtent l="0" t="0" r="0" b="0"/>
                                        <wp:docPr id="133"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84" descr=""/>
                                                <pic:cNvPicPr>
                                                  <a:picLocks noChangeAspect="1" noChangeArrowheads="1"/>
                                                </pic:cNvPicPr>
                                              </pic:nvPicPr>
                                              <pic:blipFill>
                                                <a:blip r:embed="rId85"/>
                                                <a:srcRect l="-5035" t="-5293" r="-5035" b="-5293"/>
                                                <a:stretch>
                                                  <a:fillRect/>
                                                </a:stretch>
                                              </pic:blipFill>
                                              <pic:spPr bwMode="auto">
                                                <a:xfrm>
                                                  <a:off x="0" y="0"/>
                                                  <a:ext cx="200025" cy="190500"/>
                                                </a:xfrm>
                                                <a:prstGeom prst="rect">
                                                  <a:avLst/>
                                                </a:prstGeom>
                                                <a:ln w="635">
                                                  <a:solidFill>
                                                    <a:srgbClr val="000000"/>
                                                  </a:solidFill>
                                                </a:ln>
                                              </pic:spPr>
                                            </pic:pic>
                                          </a:graphicData>
                                        </a:graphic>
                                      </wp:inline>
                                    </w:drawing>
                                  </w:r>
                                </w:p>
                              </w:tc>
                              <w:tc>
                                <w:tcPr>
                                  <w:tcW w:w="2555" w:type="dxa"/>
                                  <w:tcBorders/>
                                  <w:shd w:fill="auto" w:val="clear"/>
                                  <w:vAlign w:val="center"/>
                                </w:tcPr>
                                <w:p>
                                  <w:pPr>
                                    <w:pStyle w:val="TableContents"/>
                                    <w:spacing w:before="0" w:after="283"/>
                                    <w:jc w:val="left"/>
                                    <w:rPr>
                                      <w:rFonts w:ascii="Arial" w:hAnsi="Arial"/>
                                      <w:sz w:val="20"/>
                                    </w:rPr>
                                  </w:pPr>
                                  <w:r>
                                    <w:rPr>
                                      <w:rFonts w:ascii="Arial" w:hAnsi="Arial"/>
                                      <w:sz w:val="20"/>
                                    </w:rPr>
                                    <w:t>Human Capital Management</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70.1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spacing w:before="0" w:after="0"/>
                        <w:jc w:val="left"/>
                        <w:rPr>
                          <w:rFonts w:ascii="Arial" w:hAnsi="Arial"/>
                          <w:color w:val="00A1E0"/>
                          <w:sz w:val="15"/>
                        </w:rPr>
                      </w:pPr>
                      <w:r>
                        <w:rPr>
                          <w:rFonts w:ascii="Arial" w:hAnsi="Arial"/>
                          <w:color w:val="00A1E0"/>
                          <w:sz w:val="15"/>
                        </w:rPr>
                        <w:t>SKILLS AND QUALIFICATIONS:</w:t>
                      </w:r>
                    </w:p>
                    <w:p>
                      <w:pPr>
                        <w:pStyle w:val="TextBody"/>
                        <w:spacing w:before="0" w:after="0"/>
                        <w:jc w:val="left"/>
                        <w:rPr>
                          <w:rFonts w:ascii="Arial" w:hAnsi="Arial"/>
                          <w:sz w:val="20"/>
                        </w:rPr>
                      </w:pPr>
                      <w:r>
                        <w:rPr>
                          <w:rFonts w:ascii="Arial" w:hAnsi="Arial"/>
                          <w:sz w:val="20"/>
                        </w:rPr>
                        <w:t>We believe that Ms. Montiel’s extensive experience and leadership in the accounting profession, including her experience as the former Deputy Chief Executive Officer and Vice Chairman of Deloitte and in the oversight of risk and compliance efforts, render her qualified to serve as one of our directors.</w:t>
                      </w:r>
                    </w:p>
                    <w:tbl>
                      <w:tblPr>
                        <w:tblW w:w="2870" w:type="dxa"/>
                        <w:jc w:val="left"/>
                        <w:tblInd w:w="0" w:type="dxa"/>
                        <w:tblCellMar>
                          <w:top w:w="0" w:type="dxa"/>
                          <w:left w:w="0" w:type="dxa"/>
                          <w:bottom w:w="0" w:type="dxa"/>
                          <w:right w:w="0" w:type="dxa"/>
                        </w:tblCellMar>
                      </w:tblPr>
                      <w:tblGrid>
                        <w:gridCol w:w="315"/>
                        <w:gridCol w:w="2555"/>
                      </w:tblGrid>
                      <w:tr>
                        <w:trPr/>
                        <w:tc>
                          <w:tcPr>
                            <w:tcW w:w="315" w:type="dxa"/>
                            <w:tcBorders/>
                            <w:shd w:fill="auto" w:val="clear"/>
                            <w:vAlign w:val="center"/>
                          </w:tcPr>
                          <w:p>
                            <w:pPr>
                              <w:pStyle w:val="TableContents"/>
                              <w:spacing w:before="0" w:after="283"/>
                              <w:jc w:val="center"/>
                              <w:rPr/>
                            </w:pPr>
                            <w:r>
                              <w:rPr/>
                              <w:drawing>
                                <wp:inline distT="0" distB="0" distL="0" distR="0">
                                  <wp:extent cx="171450" cy="200025"/>
                                  <wp:effectExtent l="0" t="0" r="0" b="0"/>
                                  <wp:docPr id="134"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79" descr=""/>
                                          <pic:cNvPicPr>
                                            <a:picLocks noChangeAspect="1" noChangeArrowheads="1"/>
                                          </pic:cNvPicPr>
                                        </pic:nvPicPr>
                                        <pic:blipFill>
                                          <a:blip r:embed="rId80"/>
                                          <a:srcRect l="-5882" t="-5035" r="-5882" b="-5035"/>
                                          <a:stretch>
                                            <a:fillRect/>
                                          </a:stretch>
                                        </pic:blipFill>
                                        <pic:spPr bwMode="auto">
                                          <a:xfrm>
                                            <a:off x="0" y="0"/>
                                            <a:ext cx="171450" cy="200025"/>
                                          </a:xfrm>
                                          <a:prstGeom prst="rect">
                                            <a:avLst/>
                                          </a:prstGeom>
                                          <a:ln w="635">
                                            <a:solidFill>
                                              <a:srgbClr val="000000"/>
                                            </a:solidFill>
                                          </a:ln>
                                        </pic:spPr>
                                      </pic:pic>
                                    </a:graphicData>
                                  </a:graphic>
                                </wp:inline>
                              </w:drawing>
                            </w:r>
                          </w:p>
                        </w:tc>
                        <w:tc>
                          <w:tcPr>
                            <w:tcW w:w="2555" w:type="dxa"/>
                            <w:tcBorders/>
                            <w:shd w:fill="auto" w:val="clear"/>
                            <w:vAlign w:val="center"/>
                          </w:tcPr>
                          <w:p>
                            <w:pPr>
                              <w:pStyle w:val="TableContents"/>
                              <w:spacing w:before="0" w:after="283"/>
                              <w:jc w:val="left"/>
                              <w:rPr>
                                <w:rFonts w:ascii="Arial" w:hAnsi="Arial"/>
                                <w:sz w:val="20"/>
                              </w:rPr>
                            </w:pPr>
                            <w:r>
                              <w:rPr>
                                <w:rFonts w:ascii="Arial" w:hAnsi="Arial"/>
                                <w:sz w:val="20"/>
                              </w:rPr>
                              <w:t xml:space="preserve">Executive Leadership </w:t>
                            </w:r>
                          </w:p>
                        </w:tc>
                      </w:tr>
                      <w:tr>
                        <w:trPr/>
                        <w:tc>
                          <w:tcPr>
                            <w:tcW w:w="315" w:type="dxa"/>
                            <w:tcBorders/>
                            <w:shd w:fill="auto" w:val="clear"/>
                            <w:vAlign w:val="center"/>
                          </w:tcPr>
                          <w:p>
                            <w:pPr>
                              <w:pStyle w:val="TableContents"/>
                              <w:spacing w:before="0" w:after="283"/>
                              <w:jc w:val="center"/>
                              <w:rPr/>
                            </w:pPr>
                            <w:r>
                              <w:rPr/>
                              <w:drawing>
                                <wp:inline distT="0" distB="0" distL="0" distR="0">
                                  <wp:extent cx="200025" cy="200025"/>
                                  <wp:effectExtent l="0" t="0" r="0" b="0"/>
                                  <wp:docPr id="135"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80" descr=""/>
                                          <pic:cNvPicPr>
                                            <a:picLocks noChangeAspect="1" noChangeArrowheads="1"/>
                                          </pic:cNvPicPr>
                                        </pic:nvPicPr>
                                        <pic:blipFill>
                                          <a:blip r:embed="rId81"/>
                                          <a:srcRect l="-5035" t="-5035" r="-5035" b="-5035"/>
                                          <a:stretch>
                                            <a:fillRect/>
                                          </a:stretch>
                                        </pic:blipFill>
                                        <pic:spPr bwMode="auto">
                                          <a:xfrm>
                                            <a:off x="0" y="0"/>
                                            <a:ext cx="200025" cy="200025"/>
                                          </a:xfrm>
                                          <a:prstGeom prst="rect">
                                            <a:avLst/>
                                          </a:prstGeom>
                                          <a:ln w="635">
                                            <a:solidFill>
                                              <a:srgbClr val="000000"/>
                                            </a:solidFill>
                                          </a:ln>
                                        </pic:spPr>
                                      </pic:pic>
                                    </a:graphicData>
                                  </a:graphic>
                                </wp:inline>
                              </w:drawing>
                            </w:r>
                          </w:p>
                        </w:tc>
                        <w:tc>
                          <w:tcPr>
                            <w:tcW w:w="2555" w:type="dxa"/>
                            <w:tcBorders/>
                            <w:shd w:fill="auto" w:val="clear"/>
                            <w:vAlign w:val="center"/>
                          </w:tcPr>
                          <w:p>
                            <w:pPr>
                              <w:pStyle w:val="TableContents"/>
                              <w:spacing w:before="0" w:after="283"/>
                              <w:jc w:val="left"/>
                              <w:rPr>
                                <w:rFonts w:ascii="Arial" w:hAnsi="Arial"/>
                                <w:sz w:val="20"/>
                              </w:rPr>
                            </w:pPr>
                            <w:r>
                              <w:rPr>
                                <w:rFonts w:ascii="Arial" w:hAnsi="Arial"/>
                                <w:sz w:val="20"/>
                              </w:rPr>
                              <w:t xml:space="preserve">Financial/Accounting </w:t>
                            </w:r>
                          </w:p>
                        </w:tc>
                      </w:tr>
                      <w:tr>
                        <w:trPr/>
                        <w:tc>
                          <w:tcPr>
                            <w:tcW w:w="315" w:type="dxa"/>
                            <w:tcBorders/>
                            <w:shd w:fill="auto" w:val="clear"/>
                            <w:vAlign w:val="center"/>
                          </w:tcPr>
                          <w:p>
                            <w:pPr>
                              <w:pStyle w:val="TableContents"/>
                              <w:spacing w:before="0" w:after="283"/>
                              <w:jc w:val="center"/>
                              <w:rPr/>
                            </w:pPr>
                            <w:r>
                              <w:rPr/>
                              <w:drawing>
                                <wp:inline distT="0" distB="0" distL="0" distR="0">
                                  <wp:extent cx="200025" cy="209550"/>
                                  <wp:effectExtent l="0" t="0" r="0" b="0"/>
                                  <wp:docPr id="136"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81" descr=""/>
                                          <pic:cNvPicPr>
                                            <a:picLocks noChangeAspect="1" noChangeArrowheads="1"/>
                                          </pic:cNvPicPr>
                                        </pic:nvPicPr>
                                        <pic:blipFill>
                                          <a:blip r:embed="rId82"/>
                                          <a:srcRect l="-5035" t="-4810" r="-5035" b="-4810"/>
                                          <a:stretch>
                                            <a:fillRect/>
                                          </a:stretch>
                                        </pic:blipFill>
                                        <pic:spPr bwMode="auto">
                                          <a:xfrm>
                                            <a:off x="0" y="0"/>
                                            <a:ext cx="200025" cy="209550"/>
                                          </a:xfrm>
                                          <a:prstGeom prst="rect">
                                            <a:avLst/>
                                          </a:prstGeom>
                                          <a:ln w="635">
                                            <a:solidFill>
                                              <a:srgbClr val="000000"/>
                                            </a:solidFill>
                                          </a:ln>
                                        </pic:spPr>
                                      </pic:pic>
                                    </a:graphicData>
                                  </a:graphic>
                                </wp:inline>
                              </w:drawing>
                            </w:r>
                          </w:p>
                        </w:tc>
                        <w:tc>
                          <w:tcPr>
                            <w:tcW w:w="2555" w:type="dxa"/>
                            <w:tcBorders/>
                            <w:shd w:fill="auto" w:val="clear"/>
                            <w:vAlign w:val="center"/>
                          </w:tcPr>
                          <w:p>
                            <w:pPr>
                              <w:pStyle w:val="TableContents"/>
                              <w:spacing w:before="0" w:after="283"/>
                              <w:jc w:val="left"/>
                              <w:rPr>
                                <w:rFonts w:ascii="Arial" w:hAnsi="Arial"/>
                                <w:sz w:val="20"/>
                              </w:rPr>
                            </w:pPr>
                            <w:r>
                              <w:rPr>
                                <w:rFonts w:ascii="Arial" w:hAnsi="Arial"/>
                                <w:sz w:val="20"/>
                              </w:rPr>
                              <w:t xml:space="preserve">Risk Management Oversight </w:t>
                            </w:r>
                          </w:p>
                        </w:tc>
                      </w:tr>
                      <w:tr>
                        <w:trPr/>
                        <w:tc>
                          <w:tcPr>
                            <w:tcW w:w="315" w:type="dxa"/>
                            <w:tcBorders/>
                            <w:shd w:fill="auto" w:val="clear"/>
                            <w:vAlign w:val="center"/>
                          </w:tcPr>
                          <w:p>
                            <w:pPr>
                              <w:pStyle w:val="TableContents"/>
                              <w:spacing w:before="0" w:after="283"/>
                              <w:jc w:val="center"/>
                              <w:rPr/>
                            </w:pPr>
                            <w:r>
                              <w:rPr/>
                              <w:drawing>
                                <wp:inline distT="0" distB="0" distL="0" distR="0">
                                  <wp:extent cx="180975" cy="200025"/>
                                  <wp:effectExtent l="0" t="0" r="0" b="0"/>
                                  <wp:docPr id="137"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82" descr=""/>
                                          <pic:cNvPicPr>
                                            <a:picLocks noChangeAspect="1" noChangeArrowheads="1"/>
                                          </pic:cNvPicPr>
                                        </pic:nvPicPr>
                                        <pic:blipFill>
                                          <a:blip r:embed="rId83"/>
                                          <a:srcRect l="-5566" t="-5035" r="-5566" b="-5035"/>
                                          <a:stretch>
                                            <a:fillRect/>
                                          </a:stretch>
                                        </pic:blipFill>
                                        <pic:spPr bwMode="auto">
                                          <a:xfrm>
                                            <a:off x="0" y="0"/>
                                            <a:ext cx="180975" cy="200025"/>
                                          </a:xfrm>
                                          <a:prstGeom prst="rect">
                                            <a:avLst/>
                                          </a:prstGeom>
                                          <a:ln w="635">
                                            <a:solidFill>
                                              <a:srgbClr val="000000"/>
                                            </a:solidFill>
                                          </a:ln>
                                        </pic:spPr>
                                      </pic:pic>
                                    </a:graphicData>
                                  </a:graphic>
                                </wp:inline>
                              </w:drawing>
                            </w:r>
                          </w:p>
                        </w:tc>
                        <w:tc>
                          <w:tcPr>
                            <w:tcW w:w="2555" w:type="dxa"/>
                            <w:tcBorders/>
                            <w:shd w:fill="auto" w:val="clear"/>
                            <w:vAlign w:val="center"/>
                          </w:tcPr>
                          <w:p>
                            <w:pPr>
                              <w:pStyle w:val="TableContents"/>
                              <w:spacing w:before="0" w:after="283"/>
                              <w:jc w:val="left"/>
                              <w:rPr>
                                <w:rFonts w:ascii="Arial" w:hAnsi="Arial"/>
                                <w:sz w:val="20"/>
                              </w:rPr>
                            </w:pPr>
                            <w:r>
                              <w:rPr>
                                <w:rFonts w:ascii="Arial" w:hAnsi="Arial"/>
                                <w:sz w:val="20"/>
                              </w:rPr>
                              <w:t>International</w:t>
                            </w:r>
                          </w:p>
                        </w:tc>
                      </w:tr>
                      <w:tr>
                        <w:trPr/>
                        <w:tc>
                          <w:tcPr>
                            <w:tcW w:w="315" w:type="dxa"/>
                            <w:tcBorders/>
                            <w:shd w:fill="auto" w:val="clear"/>
                            <w:vAlign w:val="center"/>
                          </w:tcPr>
                          <w:p>
                            <w:pPr>
                              <w:pStyle w:val="TableContents"/>
                              <w:spacing w:before="0" w:after="283"/>
                              <w:jc w:val="center"/>
                              <w:rPr/>
                            </w:pPr>
                            <w:r>
                              <w:rPr/>
                              <w:drawing>
                                <wp:inline distT="0" distB="0" distL="0" distR="0">
                                  <wp:extent cx="200025" cy="190500"/>
                                  <wp:effectExtent l="0" t="0" r="0" b="0"/>
                                  <wp:docPr id="138"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83" descr=""/>
                                          <pic:cNvPicPr>
                                            <a:picLocks noChangeAspect="1" noChangeArrowheads="1"/>
                                          </pic:cNvPicPr>
                                        </pic:nvPicPr>
                                        <pic:blipFill>
                                          <a:blip r:embed="rId84"/>
                                          <a:srcRect l="-5035" t="-5293" r="-5035" b="-5293"/>
                                          <a:stretch>
                                            <a:fillRect/>
                                          </a:stretch>
                                        </pic:blipFill>
                                        <pic:spPr bwMode="auto">
                                          <a:xfrm>
                                            <a:off x="0" y="0"/>
                                            <a:ext cx="200025" cy="190500"/>
                                          </a:xfrm>
                                          <a:prstGeom prst="rect">
                                            <a:avLst/>
                                          </a:prstGeom>
                                          <a:ln w="635">
                                            <a:solidFill>
                                              <a:srgbClr val="000000"/>
                                            </a:solidFill>
                                          </a:ln>
                                        </pic:spPr>
                                      </pic:pic>
                                    </a:graphicData>
                                  </a:graphic>
                                </wp:inline>
                              </w:drawing>
                            </w:r>
                          </w:p>
                        </w:tc>
                        <w:tc>
                          <w:tcPr>
                            <w:tcW w:w="2555" w:type="dxa"/>
                            <w:tcBorders/>
                            <w:shd w:fill="auto" w:val="clear"/>
                            <w:vAlign w:val="center"/>
                          </w:tcPr>
                          <w:p>
                            <w:pPr>
                              <w:pStyle w:val="TableContents"/>
                              <w:spacing w:before="0" w:after="283"/>
                              <w:jc w:val="left"/>
                              <w:rPr>
                                <w:rFonts w:ascii="Arial" w:hAnsi="Arial"/>
                                <w:sz w:val="20"/>
                              </w:rPr>
                            </w:pPr>
                            <w:r>
                              <w:rPr>
                                <w:rFonts w:ascii="Arial" w:hAnsi="Arial"/>
                                <w:sz w:val="20"/>
                              </w:rPr>
                              <w:t>Government Affairs</w:t>
                            </w:r>
                          </w:p>
                        </w:tc>
                      </w:tr>
                      <w:tr>
                        <w:trPr/>
                        <w:tc>
                          <w:tcPr>
                            <w:tcW w:w="315" w:type="dxa"/>
                            <w:tcBorders/>
                            <w:shd w:fill="auto" w:val="clear"/>
                            <w:vAlign w:val="center"/>
                          </w:tcPr>
                          <w:p>
                            <w:pPr>
                              <w:pStyle w:val="TableContents"/>
                              <w:spacing w:before="0" w:after="283"/>
                              <w:jc w:val="center"/>
                              <w:rPr/>
                            </w:pPr>
                            <w:r>
                              <w:rPr/>
                              <w:drawing>
                                <wp:inline distT="0" distB="0" distL="0" distR="0">
                                  <wp:extent cx="200025" cy="190500"/>
                                  <wp:effectExtent l="0" t="0" r="0" b="0"/>
                                  <wp:docPr id="139"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84" descr=""/>
                                          <pic:cNvPicPr>
                                            <a:picLocks noChangeAspect="1" noChangeArrowheads="1"/>
                                          </pic:cNvPicPr>
                                        </pic:nvPicPr>
                                        <pic:blipFill>
                                          <a:blip r:embed="rId85"/>
                                          <a:srcRect l="-5035" t="-5293" r="-5035" b="-5293"/>
                                          <a:stretch>
                                            <a:fillRect/>
                                          </a:stretch>
                                        </pic:blipFill>
                                        <pic:spPr bwMode="auto">
                                          <a:xfrm>
                                            <a:off x="0" y="0"/>
                                            <a:ext cx="200025" cy="190500"/>
                                          </a:xfrm>
                                          <a:prstGeom prst="rect">
                                            <a:avLst/>
                                          </a:prstGeom>
                                          <a:ln w="635">
                                            <a:solidFill>
                                              <a:srgbClr val="000000"/>
                                            </a:solidFill>
                                          </a:ln>
                                        </pic:spPr>
                                      </pic:pic>
                                    </a:graphicData>
                                  </a:graphic>
                                </wp:inline>
                              </w:drawing>
                            </w:r>
                          </w:p>
                        </w:tc>
                        <w:tc>
                          <w:tcPr>
                            <w:tcW w:w="2555" w:type="dxa"/>
                            <w:tcBorders/>
                            <w:shd w:fill="auto" w:val="clear"/>
                            <w:vAlign w:val="center"/>
                          </w:tcPr>
                          <w:p>
                            <w:pPr>
                              <w:pStyle w:val="TableContents"/>
                              <w:spacing w:before="0" w:after="283"/>
                              <w:jc w:val="left"/>
                              <w:rPr>
                                <w:rFonts w:ascii="Arial" w:hAnsi="Arial"/>
                                <w:sz w:val="20"/>
                              </w:rPr>
                            </w:pPr>
                            <w:r>
                              <w:rPr>
                                <w:rFonts w:ascii="Arial" w:hAnsi="Arial"/>
                                <w:sz w:val="20"/>
                              </w:rPr>
                              <w:t>Human Capital Management</w:t>
                            </w:r>
                          </w:p>
                        </w:tc>
                      </w:tr>
                    </w:tbl>
                    <w:p>
                      <w:pPr>
                        <w:pStyle w:val="TextBody"/>
                        <w:spacing w:before="0" w:after="283"/>
                        <w:rPr/>
                      </w:pPr>
                      <w:r>
                        <w:rPr/>
                      </w:r>
                    </w:p>
                  </w:txbxContent>
                </v:textbox>
                <w10:wrap type="square" side="left"/>
              </v:rect>
            </w:pict>
          </mc:Fallback>
        </mc:AlternateContent>
      </w:r>
    </w:p>
    <w:tbl>
      <w:tblPr>
        <w:tblW w:w="4460" w:type="dxa"/>
        <w:jc w:val="left"/>
        <w:tblInd w:w="0" w:type="dxa"/>
        <w:tblCellMar>
          <w:top w:w="0" w:type="dxa"/>
          <w:left w:w="0" w:type="dxa"/>
          <w:bottom w:w="160" w:type="dxa"/>
          <w:right w:w="0" w:type="dxa"/>
        </w:tblCellMar>
      </w:tblPr>
      <w:tblGrid>
        <w:gridCol w:w="2945"/>
        <w:gridCol w:w="1515"/>
      </w:tblGrid>
      <w:tr>
        <w:trPr/>
        <w:tc>
          <w:tcPr>
            <w:tcW w:w="2945" w:type="dxa"/>
            <w:tcBorders>
              <w:bottom w:val="single" w:sz="8" w:space="0" w:color="000000"/>
            </w:tcBorders>
            <w:shd w:fill="auto" w:val="clear"/>
            <w:vAlign w:val="center"/>
          </w:tcPr>
          <w:p>
            <w:pPr>
              <w:pStyle w:val="TableContents"/>
              <w:spacing w:before="0" w:after="0"/>
              <w:jc w:val="left"/>
              <w:rPr/>
            </w:pPr>
            <w:r>
              <w:rPr>
                <w:rStyle w:val="StrongEmphasis"/>
                <w:rFonts w:ascii="Arial" w:hAnsi="Arial"/>
                <w:sz w:val="24"/>
              </w:rPr>
              <w:t>Asuka Nakahara</w:t>
            </w:r>
          </w:p>
          <w:p>
            <w:pPr>
              <w:pStyle w:val="TableContents"/>
              <w:spacing w:before="0" w:after="0"/>
              <w:jc w:val="left"/>
              <w:rPr/>
            </w:pPr>
            <w:r>
              <w:rPr>
                <w:rStyle w:val="StrongEmphasis"/>
                <w:rFonts w:ascii="Arial" w:hAnsi="Arial"/>
                <w:color w:val="00A1E0"/>
                <w:sz w:val="15"/>
              </w:rPr>
              <w:t>INDEPENDENT</w:t>
            </w:r>
          </w:p>
          <w:p>
            <w:pPr>
              <w:pStyle w:val="TableContents"/>
              <w:spacing w:before="0" w:after="0"/>
              <w:jc w:val="left"/>
              <w:rPr>
                <w:rFonts w:ascii="Arial" w:hAnsi="Arial"/>
                <w:sz w:val="20"/>
              </w:rPr>
            </w:pPr>
            <w:r>
              <w:rPr>
                <w:rFonts w:ascii="Arial" w:hAnsi="Arial"/>
                <w:sz w:val="20"/>
              </w:rPr>
              <w:t>Partner at Triton Atlantic Partners</w:t>
            </w:r>
          </w:p>
        </w:tc>
        <w:tc>
          <w:tcPr>
            <w:tcW w:w="1515" w:type="dxa"/>
            <w:vMerge w:val="restart"/>
            <w:tcBorders/>
            <w:shd w:fill="auto" w:val="clear"/>
            <w:tcMar>
              <w:bottom w:w="0" w:type="dxa"/>
            </w:tcMar>
            <w:vAlign w:val="center"/>
          </w:tcPr>
          <w:p>
            <w:pPr>
              <w:pStyle w:val="TableContents"/>
              <w:spacing w:before="0" w:after="283"/>
              <w:jc w:val="left"/>
              <w:rPr/>
            </w:pPr>
            <w:r>
              <w:rPr/>
              <w:drawing>
                <wp:inline distT="0" distB="0" distL="0" distR="0">
                  <wp:extent cx="962025" cy="962025"/>
                  <wp:effectExtent l="0" t="0" r="0" b="0"/>
                  <wp:docPr id="140"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85" descr=""/>
                          <pic:cNvPicPr>
                            <a:picLocks noChangeAspect="1" noChangeArrowheads="1"/>
                          </pic:cNvPicPr>
                        </pic:nvPicPr>
                        <pic:blipFill>
                          <a:blip r:embed="rId86"/>
                          <a:srcRect l="-1047" t="-1047" r="-1047" b="-1047"/>
                          <a:stretch>
                            <a:fillRect/>
                          </a:stretch>
                        </pic:blipFill>
                        <pic:spPr bwMode="auto">
                          <a:xfrm>
                            <a:off x="0" y="0"/>
                            <a:ext cx="962025" cy="962025"/>
                          </a:xfrm>
                          <a:prstGeom prst="rect">
                            <a:avLst/>
                          </a:prstGeom>
                          <a:ln w="635">
                            <a:solidFill>
                              <a:srgbClr val="000000"/>
                            </a:solidFill>
                          </a:ln>
                        </pic:spPr>
                      </pic:pic>
                    </a:graphicData>
                  </a:graphic>
                </wp:inline>
              </w:drawing>
            </w:r>
          </w:p>
        </w:tc>
      </w:tr>
      <w:tr>
        <w:trPr/>
        <w:tc>
          <w:tcPr>
            <w:tcW w:w="2945" w:type="dxa"/>
            <w:tcBorders/>
            <w:shd w:fill="auto" w:val="clear"/>
            <w:tcMar>
              <w:bottom w:w="0" w:type="dxa"/>
            </w:tcMar>
            <w:vAlign w:val="center"/>
          </w:tcPr>
          <w:p>
            <w:pPr>
              <w:pStyle w:val="TableContents"/>
              <w:spacing w:before="0" w:after="283"/>
              <w:jc w:val="left"/>
              <w:rPr/>
            </w:pPr>
            <w:r>
              <w:rPr/>
              <w:t> </w:t>
            </w:r>
            <w:r>
              <w:rPr/>
              <w:br/>
              <w:t> </w:t>
            </w:r>
          </w:p>
        </w:tc>
        <w:tc>
          <w:tcPr>
            <w:tcW w:w="1515" w:type="dxa"/>
            <w:vMerge w:val="continue"/>
            <w:tcBorders/>
            <w:shd w:fill="auto" w:val="clear"/>
            <w:tcMar>
              <w:bottom w:w="0" w:type="dxa"/>
            </w:tcMar>
            <w:vAlign w:val="center"/>
          </w:tcPr>
          <w:p>
            <w:pPr>
              <w:pStyle w:val="Normal"/>
              <w:rPr/>
            </w:pPr>
            <w:r>
              <w:rPr/>
            </w:r>
          </w:p>
        </w:tc>
      </w:tr>
    </w:tbl>
    <w:p>
      <w:pPr>
        <w:pStyle w:val="TextBody"/>
        <w:spacing w:before="0" w:after="283"/>
        <w:jc w:val="left"/>
        <w:rPr/>
      </w:pPr>
      <w:r>
        <w:rPr>
          <w:rFonts w:ascii="Arial" w:hAnsi="Arial"/>
          <w:sz w:val="20"/>
          <w:highlight w:val="cyan"/>
        </w:rPr>
        <w:t xml:space="preserve">Age: </w:t>
      </w:r>
      <w:r>
        <w:rPr>
          <w:rStyle w:val="StrongEmphasis"/>
          <w:rFonts w:ascii="Arial" w:hAnsi="Arial"/>
          <w:sz w:val="20"/>
          <w:highlight w:val="cyan"/>
        </w:rPr>
        <w:t>67</w:t>
        <w:br/>
      </w:r>
      <w:r>
        <w:rPr>
          <w:rFonts w:ascii="Arial" w:hAnsi="Arial"/>
          <w:sz w:val="20"/>
          <w:highlight w:val="cyan"/>
        </w:rPr>
        <w:t xml:space="preserve">Director since: </w:t>
      </w:r>
      <w:r>
        <w:rPr>
          <w:rStyle w:val="StrongEmphasis"/>
          <w:rFonts w:ascii="Arial" w:hAnsi="Arial"/>
          <w:sz w:val="20"/>
          <w:highlight w:val="cyan"/>
        </w:rPr>
        <w:t>February 2017</w:t>
        <w:br/>
      </w:r>
      <w:r>
        <w:rPr>
          <w:rFonts w:ascii="Arial" w:hAnsi="Arial"/>
          <w:sz w:val="20"/>
          <w:highlight w:val="cyan"/>
        </w:rPr>
        <w:t xml:space="preserve">Committees: </w:t>
      </w:r>
      <w:r>
        <w:rPr>
          <w:rStyle w:val="StrongEmphasis"/>
          <w:rFonts w:ascii="Arial" w:hAnsi="Arial"/>
          <w:sz w:val="20"/>
          <w:highlight w:val="cyan"/>
        </w:rPr>
        <w:t>Audit</w:t>
      </w:r>
    </w:p>
    <w:tbl>
      <w:tblPr>
        <w:tblW w:w="4101" w:type="dxa"/>
        <w:jc w:val="left"/>
        <w:tblInd w:w="0" w:type="dxa"/>
        <w:tblCellMar>
          <w:top w:w="0" w:type="dxa"/>
          <w:left w:w="0" w:type="dxa"/>
          <w:bottom w:w="0" w:type="dxa"/>
          <w:right w:w="0" w:type="dxa"/>
        </w:tblCellMar>
      </w:tblPr>
      <w:tblGrid>
        <w:gridCol w:w="4055"/>
        <w:gridCol w:w="23"/>
        <w:gridCol w:w="23"/>
      </w:tblGrid>
      <w:tr>
        <w:trPr/>
        <w:tc>
          <w:tcPr>
            <w:tcW w:w="4055" w:type="dxa"/>
            <w:tcBorders/>
            <w:shd w:fill="auto" w:val="clear"/>
            <w:vAlign w:val="center"/>
          </w:tcPr>
          <w:p>
            <w:pPr>
              <w:pStyle w:val="TableContents"/>
              <w:spacing w:before="0" w:after="0"/>
              <w:jc w:val="left"/>
              <w:rPr/>
            </w:pPr>
            <w:r>
              <w:rPr>
                <w:rFonts w:ascii="Arial" w:hAnsi="Arial"/>
                <w:color w:val="00A1E0"/>
                <w:sz w:val="15"/>
              </w:rPr>
              <w:t>OTHER CURRENT PUBLIC COMPANY DIRECTORSHIPS:</w:t>
              <w:br/>
            </w:r>
            <w:r>
              <w:rPr>
                <w:rFonts w:ascii="Arial" w:hAnsi="Arial"/>
                <w:sz w:val="20"/>
              </w:rPr>
              <w:t>CBRE Global Real Estate Income Fund</w:t>
            </w:r>
          </w:p>
        </w:tc>
        <w:tc>
          <w:tcPr>
            <w:tcW w:w="23"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r>
        <mc:AlternateContent>
          <mc:Choice Requires="wps">
            <w:drawing>
              <wp:anchor behindDoc="0" distT="0" distB="0" distL="0" distR="0" simplePos="0" locked="0" layoutInCell="1" allowOverlap="1" relativeHeight="41">
                <wp:simplePos x="0" y="0"/>
                <wp:positionH relativeFrom="column">
                  <wp:align>left</wp:align>
                </wp:positionH>
                <wp:positionV relativeFrom="line">
                  <wp:posOffset>635</wp:posOffset>
                </wp:positionV>
                <wp:extent cx="3110230" cy="2760980"/>
                <wp:effectExtent l="0" t="0" r="0" b="0"/>
                <wp:wrapSquare wrapText="largest"/>
                <wp:docPr id="141" name="Frame17"/>
                <a:graphic xmlns:a="http://schemas.openxmlformats.org/drawingml/2006/main">
                  <a:graphicData uri="http://schemas.microsoft.com/office/word/2010/wordprocessingShape">
                    <wps:wsp>
                      <wps:cNvSpPr txBox="1"/>
                      <wps:spPr>
                        <a:xfrm>
                          <a:off x="0" y="0"/>
                          <a:ext cx="3110230" cy="2760980"/>
                        </a:xfrm>
                        <a:prstGeom prst="rect"/>
                      </wps:spPr>
                      <wps:txbx>
                        <w:txbxContent>
                          <w:p>
                            <w:pPr>
                              <w:pStyle w:val="TextBody"/>
                              <w:spacing w:before="0" w:after="0"/>
                              <w:jc w:val="left"/>
                              <w:rPr>
                                <w:rFonts w:ascii="Arial" w:hAnsi="Arial"/>
                                <w:color w:val="00A1E0"/>
                                <w:sz w:val="15"/>
                              </w:rPr>
                            </w:pPr>
                            <w:r>
                              <w:rPr>
                                <w:rFonts w:ascii="Arial" w:hAnsi="Arial"/>
                                <w:color w:val="00A1E0"/>
                                <w:sz w:val="15"/>
                              </w:rPr>
                              <w:t>CAREER HIGHLIGHTS:</w:t>
                            </w:r>
                          </w:p>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t>Co-Founder, Incompass Labs, Inc., a peer assessment software company, 2022 – Present</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t>Partner, Triton Atlantic Partners, a real estate advisory firm and investment vehicle that he co-founded, 2009 – Present</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t>Associate Director, Zell-Lurie Real Estate Center, and Practice Professor, Real Estate Department, Wharton School of the University of Pennsylvania, 1999 – Present</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t>Trammell Crow Company, various leadership roles including Chief Financial Officer (overseeing finance, capital markets, mergers and acquisitions, marketing, Trammell Crow University, human resources and other new business initiatives), 1980 – 1999</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t>Member of the Board of Trustees, Rice University</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17.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left"/>
                        <w:rPr>
                          <w:rFonts w:ascii="Arial" w:hAnsi="Arial"/>
                          <w:color w:val="00A1E0"/>
                          <w:sz w:val="15"/>
                        </w:rPr>
                      </w:pPr>
                      <w:r>
                        <w:rPr>
                          <w:rFonts w:ascii="Arial" w:hAnsi="Arial"/>
                          <w:color w:val="00A1E0"/>
                          <w:sz w:val="15"/>
                        </w:rPr>
                        <w:t>CAREER HIGHLIGHTS:</w:t>
                      </w:r>
                    </w:p>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t>Co-Founder, Incompass Labs, Inc., a peer assessment software company, 2022 – Present</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t>Partner, Triton Atlantic Partners, a real estate advisory firm and investment vehicle that he co-founded, 2009 – Present</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t>Associate Director, Zell-Lurie Real Estate Center, and Practice Professor, Real Estate Department, Wharton School of the University of Pennsylvania, 1999 – Present</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t>Trammell Crow Company, various leadership roles including Chief Financial Officer (overseeing finance, capital markets, mergers and acquisitions, marketing, Trammell Crow University, human resources and other new business initiatives), 1980 – 1999</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t>Member of the Board of Trustees, Rice University</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3">
                <wp:simplePos x="0" y="0"/>
                <wp:positionH relativeFrom="column">
                  <wp:align>right</wp:align>
                </wp:positionH>
                <wp:positionV relativeFrom="line">
                  <wp:posOffset>635</wp:posOffset>
                </wp:positionV>
                <wp:extent cx="3110230" cy="2246630"/>
                <wp:effectExtent l="0" t="0" r="0" b="0"/>
                <wp:wrapSquare wrapText="largest"/>
                <wp:docPr id="142" name="Frame18"/>
                <a:graphic xmlns:a="http://schemas.openxmlformats.org/drawingml/2006/main">
                  <a:graphicData uri="http://schemas.microsoft.com/office/word/2010/wordprocessingShape">
                    <wps:wsp>
                      <wps:cNvSpPr txBox="1"/>
                      <wps:spPr>
                        <a:xfrm>
                          <a:off x="0" y="0"/>
                          <a:ext cx="3110230" cy="2246630"/>
                        </a:xfrm>
                        <a:prstGeom prst="rect"/>
                      </wps:spPr>
                      <wps:txbx>
                        <w:txbxContent>
                          <w:p>
                            <w:pPr>
                              <w:pStyle w:val="TextBody"/>
                              <w:spacing w:before="0" w:after="0"/>
                              <w:jc w:val="left"/>
                              <w:rPr>
                                <w:rFonts w:ascii="Arial" w:hAnsi="Arial"/>
                                <w:color w:val="00A1E0"/>
                                <w:sz w:val="15"/>
                              </w:rPr>
                            </w:pPr>
                            <w:r>
                              <w:rPr>
                                <w:rFonts w:ascii="Arial" w:hAnsi="Arial"/>
                                <w:color w:val="00A1E0"/>
                                <w:sz w:val="15"/>
                              </w:rPr>
                              <w:t>SKILLS AND QUALIFICATIONS:</w:t>
                            </w:r>
                          </w:p>
                          <w:p>
                            <w:pPr>
                              <w:pStyle w:val="TextBody"/>
                              <w:spacing w:before="0" w:after="0"/>
                              <w:jc w:val="left"/>
                              <w:rPr>
                                <w:rFonts w:ascii="Arial" w:hAnsi="Arial"/>
                                <w:sz w:val="20"/>
                              </w:rPr>
                            </w:pPr>
                            <w:r>
                              <w:rPr>
                                <w:rFonts w:ascii="Arial" w:hAnsi="Arial"/>
                                <w:sz w:val="20"/>
                              </w:rPr>
                              <w:t>We believe that Mr. Nakahara’s extensive knowledge of real estate and general advisory matters, including his leadership and academic experiences, as well as his prior experience as a chief financial officer, render him qualified to serve as one of our directors.</w:t>
                            </w:r>
                          </w:p>
                          <w:tbl>
                            <w:tblPr>
                              <w:tblW w:w="3470" w:type="dxa"/>
                              <w:jc w:val="left"/>
                              <w:tblInd w:w="0" w:type="dxa"/>
                              <w:tblCellMar>
                                <w:top w:w="0" w:type="dxa"/>
                                <w:left w:w="0" w:type="dxa"/>
                                <w:bottom w:w="0" w:type="dxa"/>
                                <w:right w:w="0" w:type="dxa"/>
                              </w:tblCellMar>
                            </w:tblPr>
                            <w:tblGrid>
                              <w:gridCol w:w="315"/>
                              <w:gridCol w:w="3155"/>
                            </w:tblGrid>
                            <w:tr>
                              <w:trPr/>
                              <w:tc>
                                <w:tcPr>
                                  <w:tcW w:w="315" w:type="dxa"/>
                                  <w:tcBorders/>
                                  <w:shd w:fill="auto" w:val="clear"/>
                                  <w:vAlign w:val="center"/>
                                </w:tcPr>
                                <w:p>
                                  <w:pPr>
                                    <w:pStyle w:val="TableContents"/>
                                    <w:spacing w:before="0" w:after="283"/>
                                    <w:jc w:val="center"/>
                                    <w:rPr/>
                                  </w:pPr>
                                  <w:r>
                                    <w:rPr/>
                                    <w:drawing>
                                      <wp:inline distT="0" distB="0" distL="0" distR="0">
                                        <wp:extent cx="171450" cy="200025"/>
                                        <wp:effectExtent l="0" t="0" r="0" b="0"/>
                                        <wp:docPr id="143"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86" descr=""/>
                                                <pic:cNvPicPr>
                                                  <a:picLocks noChangeAspect="1" noChangeArrowheads="1"/>
                                                </pic:cNvPicPr>
                                              </pic:nvPicPr>
                                              <pic:blipFill>
                                                <a:blip r:embed="rId87"/>
                                                <a:srcRect l="-5882" t="-5035" r="-5882" b="-5035"/>
                                                <a:stretch>
                                                  <a:fillRect/>
                                                </a:stretch>
                                              </pic:blipFill>
                                              <pic:spPr bwMode="auto">
                                                <a:xfrm>
                                                  <a:off x="0" y="0"/>
                                                  <a:ext cx="171450" cy="200025"/>
                                                </a:xfrm>
                                                <a:prstGeom prst="rect">
                                                  <a:avLst/>
                                                </a:prstGeom>
                                                <a:ln w="635">
                                                  <a:solidFill>
                                                    <a:srgbClr val="000000"/>
                                                  </a:solidFill>
                                                </a:ln>
                                              </pic:spPr>
                                            </pic:pic>
                                          </a:graphicData>
                                        </a:graphic>
                                      </wp:inline>
                                    </w:drawing>
                                  </w:r>
                                </w:p>
                              </w:tc>
                              <w:tc>
                                <w:tcPr>
                                  <w:tcW w:w="3155" w:type="dxa"/>
                                  <w:tcBorders/>
                                  <w:shd w:fill="auto" w:val="clear"/>
                                  <w:vAlign w:val="center"/>
                                </w:tcPr>
                                <w:p>
                                  <w:pPr>
                                    <w:pStyle w:val="TableContents"/>
                                    <w:spacing w:before="0" w:after="283"/>
                                    <w:jc w:val="left"/>
                                    <w:rPr>
                                      <w:rFonts w:ascii="Arial" w:hAnsi="Arial"/>
                                      <w:sz w:val="20"/>
                                    </w:rPr>
                                  </w:pPr>
                                  <w:r>
                                    <w:rPr>
                                      <w:rFonts w:ascii="Arial" w:hAnsi="Arial"/>
                                      <w:sz w:val="20"/>
                                    </w:rPr>
                                    <w:t>Executive Leadership</w:t>
                                  </w:r>
                                </w:p>
                              </w:tc>
                            </w:tr>
                            <w:tr>
                              <w:trPr/>
                              <w:tc>
                                <w:tcPr>
                                  <w:tcW w:w="315" w:type="dxa"/>
                                  <w:tcBorders/>
                                  <w:shd w:fill="auto" w:val="clear"/>
                                  <w:vAlign w:val="center"/>
                                </w:tcPr>
                                <w:p>
                                  <w:pPr>
                                    <w:pStyle w:val="TableContents"/>
                                    <w:spacing w:before="0" w:after="283"/>
                                    <w:jc w:val="center"/>
                                    <w:rPr/>
                                  </w:pPr>
                                  <w:r>
                                    <w:rPr/>
                                    <w:drawing>
                                      <wp:inline distT="0" distB="0" distL="0" distR="0">
                                        <wp:extent cx="200025" cy="200025"/>
                                        <wp:effectExtent l="0" t="0" r="0" b="0"/>
                                        <wp:docPr id="144"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87" descr=""/>
                                                <pic:cNvPicPr>
                                                  <a:picLocks noChangeAspect="1" noChangeArrowheads="1"/>
                                                </pic:cNvPicPr>
                                              </pic:nvPicPr>
                                              <pic:blipFill>
                                                <a:blip r:embed="rId88"/>
                                                <a:srcRect l="-5035" t="-5035" r="-5035" b="-5035"/>
                                                <a:stretch>
                                                  <a:fillRect/>
                                                </a:stretch>
                                              </pic:blipFill>
                                              <pic:spPr bwMode="auto">
                                                <a:xfrm>
                                                  <a:off x="0" y="0"/>
                                                  <a:ext cx="200025" cy="200025"/>
                                                </a:xfrm>
                                                <a:prstGeom prst="rect">
                                                  <a:avLst/>
                                                </a:prstGeom>
                                                <a:ln w="635">
                                                  <a:solidFill>
                                                    <a:srgbClr val="000000"/>
                                                  </a:solidFill>
                                                </a:ln>
                                              </pic:spPr>
                                            </pic:pic>
                                          </a:graphicData>
                                        </a:graphic>
                                      </wp:inline>
                                    </w:drawing>
                                  </w:r>
                                </w:p>
                              </w:tc>
                              <w:tc>
                                <w:tcPr>
                                  <w:tcW w:w="3155" w:type="dxa"/>
                                  <w:tcBorders/>
                                  <w:shd w:fill="auto" w:val="clear"/>
                                  <w:vAlign w:val="center"/>
                                </w:tcPr>
                                <w:p>
                                  <w:pPr>
                                    <w:pStyle w:val="TableContents"/>
                                    <w:spacing w:before="0" w:after="283"/>
                                    <w:jc w:val="left"/>
                                    <w:rPr>
                                      <w:rFonts w:ascii="Arial" w:hAnsi="Arial"/>
                                      <w:sz w:val="20"/>
                                    </w:rPr>
                                  </w:pPr>
                                  <w:r>
                                    <w:rPr>
                                      <w:rFonts w:ascii="Arial" w:hAnsi="Arial"/>
                                      <w:sz w:val="20"/>
                                    </w:rPr>
                                    <w:t xml:space="preserve">Financial/Accounting </w:t>
                                  </w:r>
                                </w:p>
                              </w:tc>
                            </w:tr>
                            <w:tr>
                              <w:trPr/>
                              <w:tc>
                                <w:tcPr>
                                  <w:tcW w:w="315" w:type="dxa"/>
                                  <w:tcBorders/>
                                  <w:shd w:fill="auto" w:val="clear"/>
                                  <w:vAlign w:val="center"/>
                                </w:tcPr>
                                <w:p>
                                  <w:pPr>
                                    <w:pStyle w:val="TableContents"/>
                                    <w:spacing w:before="0" w:after="283"/>
                                    <w:jc w:val="center"/>
                                    <w:rPr/>
                                  </w:pPr>
                                  <w:r>
                                    <w:rPr/>
                                    <w:drawing>
                                      <wp:inline distT="0" distB="0" distL="0" distR="0">
                                        <wp:extent cx="200025" cy="152400"/>
                                        <wp:effectExtent l="0" t="0" r="0" b="0"/>
                                        <wp:docPr id="145"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88" descr=""/>
                                                <pic:cNvPicPr>
                                                  <a:picLocks noChangeAspect="1" noChangeArrowheads="1"/>
                                                </pic:cNvPicPr>
                                              </pic:nvPicPr>
                                              <pic:blipFill>
                                                <a:blip r:embed="rId89"/>
                                                <a:srcRect l="-5035" t="-6619" r="-5035" b="-6619"/>
                                                <a:stretch>
                                                  <a:fillRect/>
                                                </a:stretch>
                                              </pic:blipFill>
                                              <pic:spPr bwMode="auto">
                                                <a:xfrm>
                                                  <a:off x="0" y="0"/>
                                                  <a:ext cx="200025" cy="152400"/>
                                                </a:xfrm>
                                                <a:prstGeom prst="rect">
                                                  <a:avLst/>
                                                </a:prstGeom>
                                                <a:ln w="635">
                                                  <a:solidFill>
                                                    <a:srgbClr val="000000"/>
                                                  </a:solidFill>
                                                </a:ln>
                                              </pic:spPr>
                                            </pic:pic>
                                          </a:graphicData>
                                        </a:graphic>
                                      </wp:inline>
                                    </w:drawing>
                                  </w:r>
                                </w:p>
                              </w:tc>
                              <w:tc>
                                <w:tcPr>
                                  <w:tcW w:w="3155" w:type="dxa"/>
                                  <w:tcBorders/>
                                  <w:shd w:fill="auto" w:val="clear"/>
                                  <w:vAlign w:val="center"/>
                                </w:tcPr>
                                <w:p>
                                  <w:pPr>
                                    <w:pStyle w:val="TableContents"/>
                                    <w:spacing w:before="0" w:after="283"/>
                                    <w:jc w:val="left"/>
                                    <w:rPr>
                                      <w:rFonts w:ascii="Arial" w:hAnsi="Arial"/>
                                      <w:sz w:val="20"/>
                                    </w:rPr>
                                  </w:pPr>
                                  <w:r>
                                    <w:rPr>
                                      <w:rFonts w:ascii="Arial" w:hAnsi="Arial"/>
                                      <w:sz w:val="20"/>
                                    </w:rPr>
                                    <w:t>Non-Profit/Educational/Philanthropic</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76.9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spacing w:before="0" w:after="0"/>
                        <w:jc w:val="left"/>
                        <w:rPr>
                          <w:rFonts w:ascii="Arial" w:hAnsi="Arial"/>
                          <w:color w:val="00A1E0"/>
                          <w:sz w:val="15"/>
                        </w:rPr>
                      </w:pPr>
                      <w:r>
                        <w:rPr>
                          <w:rFonts w:ascii="Arial" w:hAnsi="Arial"/>
                          <w:color w:val="00A1E0"/>
                          <w:sz w:val="15"/>
                        </w:rPr>
                        <w:t>SKILLS AND QUALIFICATIONS:</w:t>
                      </w:r>
                    </w:p>
                    <w:p>
                      <w:pPr>
                        <w:pStyle w:val="TextBody"/>
                        <w:spacing w:before="0" w:after="0"/>
                        <w:jc w:val="left"/>
                        <w:rPr>
                          <w:rFonts w:ascii="Arial" w:hAnsi="Arial"/>
                          <w:sz w:val="20"/>
                        </w:rPr>
                      </w:pPr>
                      <w:r>
                        <w:rPr>
                          <w:rFonts w:ascii="Arial" w:hAnsi="Arial"/>
                          <w:sz w:val="20"/>
                        </w:rPr>
                        <w:t>We believe that Mr. Nakahara’s extensive knowledge of real estate and general advisory matters, including his leadership and academic experiences, as well as his prior experience as a chief financial officer, render him qualified to serve as one of our directors.</w:t>
                      </w:r>
                    </w:p>
                    <w:tbl>
                      <w:tblPr>
                        <w:tblW w:w="3470" w:type="dxa"/>
                        <w:jc w:val="left"/>
                        <w:tblInd w:w="0" w:type="dxa"/>
                        <w:tblCellMar>
                          <w:top w:w="0" w:type="dxa"/>
                          <w:left w:w="0" w:type="dxa"/>
                          <w:bottom w:w="0" w:type="dxa"/>
                          <w:right w:w="0" w:type="dxa"/>
                        </w:tblCellMar>
                      </w:tblPr>
                      <w:tblGrid>
                        <w:gridCol w:w="315"/>
                        <w:gridCol w:w="3155"/>
                      </w:tblGrid>
                      <w:tr>
                        <w:trPr/>
                        <w:tc>
                          <w:tcPr>
                            <w:tcW w:w="315" w:type="dxa"/>
                            <w:tcBorders/>
                            <w:shd w:fill="auto" w:val="clear"/>
                            <w:vAlign w:val="center"/>
                          </w:tcPr>
                          <w:p>
                            <w:pPr>
                              <w:pStyle w:val="TableContents"/>
                              <w:spacing w:before="0" w:after="283"/>
                              <w:jc w:val="center"/>
                              <w:rPr/>
                            </w:pPr>
                            <w:r>
                              <w:rPr/>
                              <w:drawing>
                                <wp:inline distT="0" distB="0" distL="0" distR="0">
                                  <wp:extent cx="171450" cy="200025"/>
                                  <wp:effectExtent l="0" t="0" r="0" b="0"/>
                                  <wp:docPr id="14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86" descr=""/>
                                          <pic:cNvPicPr>
                                            <a:picLocks noChangeAspect="1" noChangeArrowheads="1"/>
                                          </pic:cNvPicPr>
                                        </pic:nvPicPr>
                                        <pic:blipFill>
                                          <a:blip r:embed="rId87"/>
                                          <a:srcRect l="-5882" t="-5035" r="-5882" b="-5035"/>
                                          <a:stretch>
                                            <a:fillRect/>
                                          </a:stretch>
                                        </pic:blipFill>
                                        <pic:spPr bwMode="auto">
                                          <a:xfrm>
                                            <a:off x="0" y="0"/>
                                            <a:ext cx="171450" cy="200025"/>
                                          </a:xfrm>
                                          <a:prstGeom prst="rect">
                                            <a:avLst/>
                                          </a:prstGeom>
                                          <a:ln w="635">
                                            <a:solidFill>
                                              <a:srgbClr val="000000"/>
                                            </a:solidFill>
                                          </a:ln>
                                        </pic:spPr>
                                      </pic:pic>
                                    </a:graphicData>
                                  </a:graphic>
                                </wp:inline>
                              </w:drawing>
                            </w:r>
                          </w:p>
                        </w:tc>
                        <w:tc>
                          <w:tcPr>
                            <w:tcW w:w="3155" w:type="dxa"/>
                            <w:tcBorders/>
                            <w:shd w:fill="auto" w:val="clear"/>
                            <w:vAlign w:val="center"/>
                          </w:tcPr>
                          <w:p>
                            <w:pPr>
                              <w:pStyle w:val="TableContents"/>
                              <w:spacing w:before="0" w:after="283"/>
                              <w:jc w:val="left"/>
                              <w:rPr>
                                <w:rFonts w:ascii="Arial" w:hAnsi="Arial"/>
                                <w:sz w:val="20"/>
                              </w:rPr>
                            </w:pPr>
                            <w:r>
                              <w:rPr>
                                <w:rFonts w:ascii="Arial" w:hAnsi="Arial"/>
                                <w:sz w:val="20"/>
                              </w:rPr>
                              <w:t>Executive Leadership</w:t>
                            </w:r>
                          </w:p>
                        </w:tc>
                      </w:tr>
                      <w:tr>
                        <w:trPr/>
                        <w:tc>
                          <w:tcPr>
                            <w:tcW w:w="315" w:type="dxa"/>
                            <w:tcBorders/>
                            <w:shd w:fill="auto" w:val="clear"/>
                            <w:vAlign w:val="center"/>
                          </w:tcPr>
                          <w:p>
                            <w:pPr>
                              <w:pStyle w:val="TableContents"/>
                              <w:spacing w:before="0" w:after="283"/>
                              <w:jc w:val="center"/>
                              <w:rPr/>
                            </w:pPr>
                            <w:r>
                              <w:rPr/>
                              <w:drawing>
                                <wp:inline distT="0" distB="0" distL="0" distR="0">
                                  <wp:extent cx="200025" cy="200025"/>
                                  <wp:effectExtent l="0" t="0" r="0" b="0"/>
                                  <wp:docPr id="14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87" descr=""/>
                                          <pic:cNvPicPr>
                                            <a:picLocks noChangeAspect="1" noChangeArrowheads="1"/>
                                          </pic:cNvPicPr>
                                        </pic:nvPicPr>
                                        <pic:blipFill>
                                          <a:blip r:embed="rId88"/>
                                          <a:srcRect l="-5035" t="-5035" r="-5035" b="-5035"/>
                                          <a:stretch>
                                            <a:fillRect/>
                                          </a:stretch>
                                        </pic:blipFill>
                                        <pic:spPr bwMode="auto">
                                          <a:xfrm>
                                            <a:off x="0" y="0"/>
                                            <a:ext cx="200025" cy="200025"/>
                                          </a:xfrm>
                                          <a:prstGeom prst="rect">
                                            <a:avLst/>
                                          </a:prstGeom>
                                          <a:ln w="635">
                                            <a:solidFill>
                                              <a:srgbClr val="000000"/>
                                            </a:solidFill>
                                          </a:ln>
                                        </pic:spPr>
                                      </pic:pic>
                                    </a:graphicData>
                                  </a:graphic>
                                </wp:inline>
                              </w:drawing>
                            </w:r>
                          </w:p>
                        </w:tc>
                        <w:tc>
                          <w:tcPr>
                            <w:tcW w:w="3155" w:type="dxa"/>
                            <w:tcBorders/>
                            <w:shd w:fill="auto" w:val="clear"/>
                            <w:vAlign w:val="center"/>
                          </w:tcPr>
                          <w:p>
                            <w:pPr>
                              <w:pStyle w:val="TableContents"/>
                              <w:spacing w:before="0" w:after="283"/>
                              <w:jc w:val="left"/>
                              <w:rPr>
                                <w:rFonts w:ascii="Arial" w:hAnsi="Arial"/>
                                <w:sz w:val="20"/>
                              </w:rPr>
                            </w:pPr>
                            <w:r>
                              <w:rPr>
                                <w:rFonts w:ascii="Arial" w:hAnsi="Arial"/>
                                <w:sz w:val="20"/>
                              </w:rPr>
                              <w:t xml:space="preserve">Financial/Accounting </w:t>
                            </w:r>
                          </w:p>
                        </w:tc>
                      </w:tr>
                      <w:tr>
                        <w:trPr/>
                        <w:tc>
                          <w:tcPr>
                            <w:tcW w:w="315" w:type="dxa"/>
                            <w:tcBorders/>
                            <w:shd w:fill="auto" w:val="clear"/>
                            <w:vAlign w:val="center"/>
                          </w:tcPr>
                          <w:p>
                            <w:pPr>
                              <w:pStyle w:val="TableContents"/>
                              <w:spacing w:before="0" w:after="283"/>
                              <w:jc w:val="center"/>
                              <w:rPr/>
                            </w:pPr>
                            <w:r>
                              <w:rPr/>
                              <w:drawing>
                                <wp:inline distT="0" distB="0" distL="0" distR="0">
                                  <wp:extent cx="200025" cy="152400"/>
                                  <wp:effectExtent l="0" t="0" r="0" b="0"/>
                                  <wp:docPr id="14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88" descr=""/>
                                          <pic:cNvPicPr>
                                            <a:picLocks noChangeAspect="1" noChangeArrowheads="1"/>
                                          </pic:cNvPicPr>
                                        </pic:nvPicPr>
                                        <pic:blipFill>
                                          <a:blip r:embed="rId89"/>
                                          <a:srcRect l="-5035" t="-6619" r="-5035" b="-6619"/>
                                          <a:stretch>
                                            <a:fillRect/>
                                          </a:stretch>
                                        </pic:blipFill>
                                        <pic:spPr bwMode="auto">
                                          <a:xfrm>
                                            <a:off x="0" y="0"/>
                                            <a:ext cx="200025" cy="152400"/>
                                          </a:xfrm>
                                          <a:prstGeom prst="rect">
                                            <a:avLst/>
                                          </a:prstGeom>
                                          <a:ln w="635">
                                            <a:solidFill>
                                              <a:srgbClr val="000000"/>
                                            </a:solidFill>
                                          </a:ln>
                                        </pic:spPr>
                                      </pic:pic>
                                    </a:graphicData>
                                  </a:graphic>
                                </wp:inline>
                              </w:drawing>
                            </w:r>
                          </w:p>
                        </w:tc>
                        <w:tc>
                          <w:tcPr>
                            <w:tcW w:w="3155" w:type="dxa"/>
                            <w:tcBorders/>
                            <w:shd w:fill="auto" w:val="clear"/>
                            <w:vAlign w:val="center"/>
                          </w:tcPr>
                          <w:p>
                            <w:pPr>
                              <w:pStyle w:val="TableContents"/>
                              <w:spacing w:before="0" w:after="283"/>
                              <w:jc w:val="left"/>
                              <w:rPr>
                                <w:rFonts w:ascii="Arial" w:hAnsi="Arial"/>
                                <w:sz w:val="20"/>
                              </w:rPr>
                            </w:pPr>
                            <w:r>
                              <w:rPr>
                                <w:rFonts w:ascii="Arial" w:hAnsi="Arial"/>
                                <w:sz w:val="20"/>
                              </w:rPr>
                              <w:t>Non-Profit/Educational/Philanthropic</w:t>
                            </w:r>
                          </w:p>
                        </w:tc>
                      </w:tr>
                    </w:tbl>
                    <w:p>
                      <w:pPr>
                        <w:pStyle w:val="TextBody"/>
                        <w:spacing w:before="0" w:after="283"/>
                        <w:rPr/>
                      </w:pPr>
                      <w:r>
                        <w:rPr/>
                      </w:r>
                    </w:p>
                  </w:txbxContent>
                </v:textbox>
                <w10:wrap type="square" side="left"/>
              </v:rect>
            </w:pict>
          </mc:Fallback>
        </mc:AlternateContent>
      </w:r>
    </w:p>
    <w:tbl>
      <w:tblPr>
        <w:tblW w:w="200" w:type="dxa"/>
        <w:jc w:val="left"/>
        <w:tblInd w:w="0" w:type="dxa"/>
        <w:tblCellMar>
          <w:top w:w="0" w:type="dxa"/>
          <w:left w:w="0" w:type="dxa"/>
          <w:bottom w:w="0" w:type="dxa"/>
          <w:right w:w="0" w:type="dxa"/>
        </w:tblCellMar>
      </w:tblPr>
      <w:tblGrid>
        <w:gridCol w:w="200"/>
      </w:tblGrid>
      <w:tr>
        <w:trPr/>
        <w:tc>
          <w:tcPr>
            <w:tcW w:w="200" w:type="dxa"/>
            <w:tcBorders/>
            <w:shd w:fill="auto" w:val="clear"/>
            <w:vAlign w:val="center"/>
          </w:tcPr>
          <w:p>
            <w:pPr>
              <w:pStyle w:val="TableContents"/>
              <w:spacing w:before="0" w:after="283"/>
              <w:jc w:val="left"/>
              <w:rPr/>
            </w:pPr>
            <w:r>
              <w:rPr>
                <w:rStyle w:val="StrongEmphasis"/>
                <w:rFonts w:ascii="Arial" w:hAnsi="Arial"/>
                <w:sz w:val="15"/>
              </w:rPr>
              <w:t>18</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5090" w:type="dxa"/>
        <w:jc w:val="left"/>
        <w:tblInd w:w="0" w:type="dxa"/>
        <w:tblCellMar>
          <w:top w:w="0" w:type="dxa"/>
          <w:left w:w="0" w:type="dxa"/>
          <w:bottom w:w="160" w:type="dxa"/>
          <w:right w:w="0" w:type="dxa"/>
        </w:tblCellMar>
      </w:tblPr>
      <w:tblGrid>
        <w:gridCol w:w="3575"/>
        <w:gridCol w:w="1515"/>
      </w:tblGrid>
      <w:tr>
        <w:trPr/>
        <w:tc>
          <w:tcPr>
            <w:tcW w:w="3575" w:type="dxa"/>
            <w:tcBorders>
              <w:bottom w:val="single" w:sz="8" w:space="0" w:color="000000"/>
            </w:tcBorders>
            <w:shd w:fill="auto" w:val="clear"/>
            <w:vAlign w:val="center"/>
          </w:tcPr>
          <w:p>
            <w:pPr>
              <w:pStyle w:val="TableContents"/>
              <w:spacing w:before="0" w:after="0"/>
              <w:jc w:val="left"/>
              <w:rPr/>
            </w:pPr>
            <w:r>
              <w:rPr>
                <w:rStyle w:val="StrongEmphasis"/>
                <w:rFonts w:ascii="Arial" w:hAnsi="Arial"/>
                <w:sz w:val="24"/>
              </w:rPr>
              <w:t>David C. Novak</w:t>
            </w:r>
          </w:p>
          <w:p>
            <w:pPr>
              <w:pStyle w:val="TableContents"/>
              <w:spacing w:before="0" w:after="0"/>
              <w:jc w:val="left"/>
              <w:rPr/>
            </w:pPr>
            <w:r>
              <w:rPr>
                <w:rStyle w:val="StrongEmphasis"/>
                <w:rFonts w:ascii="Arial" w:hAnsi="Arial"/>
                <w:color w:val="00A1E0"/>
                <w:sz w:val="15"/>
              </w:rPr>
              <w:t>INDEPENDENT</w:t>
            </w:r>
          </w:p>
          <w:p>
            <w:pPr>
              <w:pStyle w:val="TableContents"/>
              <w:spacing w:before="0" w:after="0"/>
              <w:jc w:val="left"/>
              <w:rPr>
                <w:rFonts w:ascii="Arial" w:hAnsi="Arial"/>
                <w:sz w:val="20"/>
              </w:rPr>
            </w:pPr>
            <w:r>
              <w:rPr>
                <w:rFonts w:ascii="Arial" w:hAnsi="Arial"/>
                <w:sz w:val="20"/>
              </w:rPr>
              <w:t>Founder of David Novak Leadership, Inc.</w:t>
            </w:r>
          </w:p>
        </w:tc>
        <w:tc>
          <w:tcPr>
            <w:tcW w:w="1515" w:type="dxa"/>
            <w:vMerge w:val="restart"/>
            <w:tcBorders/>
            <w:shd w:fill="auto" w:val="clear"/>
            <w:tcMar>
              <w:bottom w:w="0" w:type="dxa"/>
            </w:tcMar>
            <w:vAlign w:val="center"/>
          </w:tcPr>
          <w:p>
            <w:pPr>
              <w:pStyle w:val="TableContents"/>
              <w:spacing w:before="0" w:after="283"/>
              <w:jc w:val="left"/>
              <w:rPr/>
            </w:pPr>
            <w:r>
              <w:rPr/>
              <w:drawing>
                <wp:inline distT="0" distB="0" distL="0" distR="0">
                  <wp:extent cx="962025" cy="962025"/>
                  <wp:effectExtent l="0" t="0" r="0" b="0"/>
                  <wp:docPr id="14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89" descr=""/>
                          <pic:cNvPicPr>
                            <a:picLocks noChangeAspect="1" noChangeArrowheads="1"/>
                          </pic:cNvPicPr>
                        </pic:nvPicPr>
                        <pic:blipFill>
                          <a:blip r:embed="rId90"/>
                          <a:srcRect l="-1047" t="-1047" r="-1047" b="-1047"/>
                          <a:stretch>
                            <a:fillRect/>
                          </a:stretch>
                        </pic:blipFill>
                        <pic:spPr bwMode="auto">
                          <a:xfrm>
                            <a:off x="0" y="0"/>
                            <a:ext cx="962025" cy="962025"/>
                          </a:xfrm>
                          <a:prstGeom prst="rect">
                            <a:avLst/>
                          </a:prstGeom>
                          <a:ln w="635">
                            <a:solidFill>
                              <a:srgbClr val="000000"/>
                            </a:solidFill>
                          </a:ln>
                        </pic:spPr>
                      </pic:pic>
                    </a:graphicData>
                  </a:graphic>
                </wp:inline>
              </w:drawing>
            </w:r>
          </w:p>
        </w:tc>
      </w:tr>
      <w:tr>
        <w:trPr/>
        <w:tc>
          <w:tcPr>
            <w:tcW w:w="3575" w:type="dxa"/>
            <w:tcBorders/>
            <w:shd w:fill="auto" w:val="clear"/>
            <w:tcMar>
              <w:bottom w:w="0" w:type="dxa"/>
            </w:tcMar>
            <w:vAlign w:val="center"/>
          </w:tcPr>
          <w:p>
            <w:pPr>
              <w:pStyle w:val="TableContents"/>
              <w:spacing w:before="0" w:after="283"/>
              <w:jc w:val="left"/>
              <w:rPr/>
            </w:pPr>
            <w:r>
              <w:rPr/>
              <w:t> </w:t>
            </w:r>
            <w:r>
              <w:rPr/>
              <w:br/>
              <w:t> </w:t>
            </w:r>
          </w:p>
        </w:tc>
        <w:tc>
          <w:tcPr>
            <w:tcW w:w="1515" w:type="dxa"/>
            <w:vMerge w:val="continue"/>
            <w:tcBorders/>
            <w:shd w:fill="auto" w:val="clear"/>
            <w:tcMar>
              <w:bottom w:w="0" w:type="dxa"/>
            </w:tcMar>
            <w:vAlign w:val="center"/>
          </w:tcPr>
          <w:p>
            <w:pPr>
              <w:pStyle w:val="Normal"/>
              <w:rPr/>
            </w:pPr>
            <w:r>
              <w:rPr/>
            </w:r>
          </w:p>
        </w:tc>
      </w:tr>
    </w:tbl>
    <w:p>
      <w:pPr>
        <w:pStyle w:val="TextBody"/>
        <w:spacing w:before="0" w:after="283"/>
        <w:jc w:val="left"/>
        <w:rPr/>
      </w:pPr>
      <w:r>
        <w:rPr>
          <w:rFonts w:ascii="Arial" w:hAnsi="Arial"/>
          <w:sz w:val="20"/>
          <w:highlight w:val="cyan"/>
        </w:rPr>
        <w:t xml:space="preserve">Age: </w:t>
      </w:r>
      <w:r>
        <w:rPr>
          <w:rStyle w:val="StrongEmphasis"/>
          <w:rFonts w:ascii="Arial" w:hAnsi="Arial"/>
          <w:sz w:val="20"/>
          <w:highlight w:val="cyan"/>
        </w:rPr>
        <w:t>70</w:t>
        <w:br/>
      </w:r>
      <w:r>
        <w:rPr>
          <w:rFonts w:ascii="Arial" w:hAnsi="Arial"/>
          <w:sz w:val="20"/>
          <w:highlight w:val="cyan"/>
        </w:rPr>
        <w:t xml:space="preserve">Director since: </w:t>
      </w:r>
      <w:r>
        <w:rPr>
          <w:rStyle w:val="StrongEmphasis"/>
          <w:rFonts w:ascii="Arial" w:hAnsi="Arial"/>
          <w:sz w:val="20"/>
          <w:highlight w:val="cyan"/>
        </w:rPr>
        <w:t>December 2016</w:t>
        <w:br/>
      </w:r>
      <w:r>
        <w:rPr>
          <w:rFonts w:ascii="Arial" w:hAnsi="Arial"/>
          <w:sz w:val="20"/>
          <w:highlight w:val="cyan"/>
        </w:rPr>
        <w:t xml:space="preserve">Committees: </w:t>
      </w:r>
      <w:r>
        <w:rPr>
          <w:rStyle w:val="StrongEmphasis"/>
          <w:rFonts w:ascii="Arial" w:hAnsi="Arial"/>
          <w:sz w:val="20"/>
          <w:highlight w:val="cyan"/>
        </w:rPr>
        <w:t>Compensation and Human Capital</w:t>
      </w:r>
    </w:p>
    <w:p>
      <w:pPr>
        <w:pStyle w:val="TextBody"/>
        <w:spacing w:before="0" w:after="0"/>
        <w:rPr/>
      </w:pPr>
      <w:r>
        <w:rPr/>
      </w:r>
      <w:r>
        <mc:AlternateContent>
          <mc:Choice Requires="wps">
            <w:drawing>
              <wp:anchor behindDoc="0" distT="0" distB="0" distL="0" distR="0" simplePos="0" locked="0" layoutInCell="1" allowOverlap="1" relativeHeight="5">
                <wp:simplePos x="0" y="0"/>
                <wp:positionH relativeFrom="column">
                  <wp:align>right</wp:align>
                </wp:positionH>
                <wp:positionV relativeFrom="line">
                  <wp:posOffset>635</wp:posOffset>
                </wp:positionV>
                <wp:extent cx="3110230" cy="3142615"/>
                <wp:effectExtent l="0" t="0" r="0" b="0"/>
                <wp:wrapSquare wrapText="largest"/>
                <wp:docPr id="150" name="Frame20"/>
                <a:graphic xmlns:a="http://schemas.openxmlformats.org/drawingml/2006/main">
                  <a:graphicData uri="http://schemas.microsoft.com/office/word/2010/wordprocessingShape">
                    <wps:wsp>
                      <wps:cNvSpPr txBox="1"/>
                      <wps:spPr>
                        <a:xfrm>
                          <a:off x="0" y="0"/>
                          <a:ext cx="3110230" cy="3142615"/>
                        </a:xfrm>
                        <a:prstGeom prst="rect"/>
                      </wps:spPr>
                      <wps:txbx>
                        <w:txbxContent>
                          <w:p>
                            <w:pPr>
                              <w:pStyle w:val="TextBody"/>
                              <w:spacing w:before="0" w:after="0"/>
                              <w:jc w:val="left"/>
                              <w:rPr>
                                <w:rFonts w:ascii="Arial" w:hAnsi="Arial"/>
                                <w:color w:val="00A1E0"/>
                                <w:sz w:val="15"/>
                              </w:rPr>
                            </w:pPr>
                            <w:r>
                              <w:rPr>
                                <w:rFonts w:ascii="Arial" w:hAnsi="Arial"/>
                                <w:color w:val="00A1E0"/>
                                <w:sz w:val="15"/>
                              </w:rPr>
                              <w:t>SKILLS AND QUALIFICATIONS:</w:t>
                            </w:r>
                          </w:p>
                          <w:p>
                            <w:pPr>
                              <w:pStyle w:val="TextBody"/>
                              <w:spacing w:before="0" w:after="0"/>
                              <w:jc w:val="left"/>
                              <w:rPr>
                                <w:rFonts w:ascii="Arial" w:hAnsi="Arial"/>
                                <w:sz w:val="20"/>
                              </w:rPr>
                            </w:pPr>
                            <w:r>
                              <w:rPr>
                                <w:rFonts w:ascii="Arial" w:hAnsi="Arial"/>
                                <w:sz w:val="20"/>
                              </w:rPr>
                              <w:t>We believe that Mr. Novak’s extensive knowledge of customer service-oriented business practices, including marketing and talent management, as well as his prior experience as a chief executive officer and chairman, render him qualified to serve as one of our directors.</w:t>
                            </w:r>
                          </w:p>
                          <w:tbl>
                            <w:tblPr>
                              <w:tblW w:w="3470" w:type="dxa"/>
                              <w:jc w:val="left"/>
                              <w:tblInd w:w="0" w:type="dxa"/>
                              <w:tblCellMar>
                                <w:top w:w="0" w:type="dxa"/>
                                <w:left w:w="0" w:type="dxa"/>
                                <w:bottom w:w="0" w:type="dxa"/>
                                <w:right w:w="0" w:type="dxa"/>
                              </w:tblCellMar>
                            </w:tblPr>
                            <w:tblGrid>
                              <w:gridCol w:w="315"/>
                              <w:gridCol w:w="3155"/>
                            </w:tblGrid>
                            <w:tr>
                              <w:trPr/>
                              <w:tc>
                                <w:tcPr>
                                  <w:tcW w:w="315" w:type="dxa"/>
                                  <w:tcBorders/>
                                  <w:shd w:fill="auto" w:val="clear"/>
                                  <w:vAlign w:val="center"/>
                                </w:tcPr>
                                <w:p>
                                  <w:pPr>
                                    <w:pStyle w:val="TableContents"/>
                                    <w:spacing w:before="0" w:after="283"/>
                                    <w:jc w:val="center"/>
                                    <w:rPr/>
                                  </w:pPr>
                                  <w:r>
                                    <w:rPr/>
                                    <w:drawing>
                                      <wp:inline distT="0" distB="0" distL="0" distR="0">
                                        <wp:extent cx="171450" cy="200025"/>
                                        <wp:effectExtent l="0" t="0" r="0" b="0"/>
                                        <wp:docPr id="151"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90" descr=""/>
                                                <pic:cNvPicPr>
                                                  <a:picLocks noChangeAspect="1" noChangeArrowheads="1"/>
                                                </pic:cNvPicPr>
                                              </pic:nvPicPr>
                                              <pic:blipFill>
                                                <a:blip r:embed="rId91"/>
                                                <a:srcRect l="-5882" t="-5035" r="-5882" b="-5035"/>
                                                <a:stretch>
                                                  <a:fillRect/>
                                                </a:stretch>
                                              </pic:blipFill>
                                              <pic:spPr bwMode="auto">
                                                <a:xfrm>
                                                  <a:off x="0" y="0"/>
                                                  <a:ext cx="171450" cy="200025"/>
                                                </a:xfrm>
                                                <a:prstGeom prst="rect">
                                                  <a:avLst/>
                                                </a:prstGeom>
                                                <a:ln w="635">
                                                  <a:solidFill>
                                                    <a:srgbClr val="000000"/>
                                                  </a:solidFill>
                                                </a:ln>
                                              </pic:spPr>
                                            </pic:pic>
                                          </a:graphicData>
                                        </a:graphic>
                                      </wp:inline>
                                    </w:drawing>
                                  </w:r>
                                </w:p>
                              </w:tc>
                              <w:tc>
                                <w:tcPr>
                                  <w:tcW w:w="3155" w:type="dxa"/>
                                  <w:tcBorders/>
                                  <w:shd w:fill="auto" w:val="clear"/>
                                  <w:vAlign w:val="center"/>
                                </w:tcPr>
                                <w:p>
                                  <w:pPr>
                                    <w:pStyle w:val="TableContents"/>
                                    <w:spacing w:before="0" w:after="283"/>
                                    <w:jc w:val="left"/>
                                    <w:rPr>
                                      <w:rFonts w:ascii="Arial" w:hAnsi="Arial"/>
                                      <w:sz w:val="20"/>
                                    </w:rPr>
                                  </w:pPr>
                                  <w:r>
                                    <w:rPr>
                                      <w:rFonts w:ascii="Arial" w:hAnsi="Arial"/>
                                      <w:sz w:val="20"/>
                                    </w:rPr>
                                    <w:t>Executive Leadership</w:t>
                                  </w:r>
                                </w:p>
                              </w:tc>
                            </w:tr>
                            <w:tr>
                              <w:trPr/>
                              <w:tc>
                                <w:tcPr>
                                  <w:tcW w:w="315" w:type="dxa"/>
                                  <w:tcBorders/>
                                  <w:shd w:fill="auto" w:val="clear"/>
                                  <w:vAlign w:val="center"/>
                                </w:tcPr>
                                <w:p>
                                  <w:pPr>
                                    <w:pStyle w:val="TableContents"/>
                                    <w:spacing w:before="0" w:after="283"/>
                                    <w:jc w:val="center"/>
                                    <w:rPr/>
                                  </w:pPr>
                                  <w:r>
                                    <w:rPr/>
                                    <w:drawing>
                                      <wp:inline distT="0" distB="0" distL="0" distR="0">
                                        <wp:extent cx="190500" cy="200025"/>
                                        <wp:effectExtent l="0" t="0" r="0" b="0"/>
                                        <wp:docPr id="152"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91" descr=""/>
                                                <pic:cNvPicPr>
                                                  <a:picLocks noChangeAspect="1" noChangeArrowheads="1"/>
                                                </pic:cNvPicPr>
                                              </pic:nvPicPr>
                                              <pic:blipFill>
                                                <a:blip r:embed="rId92"/>
                                                <a:srcRect l="-5293" t="-5035" r="-5293" b="-5035"/>
                                                <a:stretch>
                                                  <a:fillRect/>
                                                </a:stretch>
                                              </pic:blipFill>
                                              <pic:spPr bwMode="auto">
                                                <a:xfrm>
                                                  <a:off x="0" y="0"/>
                                                  <a:ext cx="190500" cy="200025"/>
                                                </a:xfrm>
                                                <a:prstGeom prst="rect">
                                                  <a:avLst/>
                                                </a:prstGeom>
                                                <a:ln w="635">
                                                  <a:solidFill>
                                                    <a:srgbClr val="000000"/>
                                                  </a:solidFill>
                                                </a:ln>
                                              </pic:spPr>
                                            </pic:pic>
                                          </a:graphicData>
                                        </a:graphic>
                                      </wp:inline>
                                    </w:drawing>
                                  </w:r>
                                </w:p>
                              </w:tc>
                              <w:tc>
                                <w:tcPr>
                                  <w:tcW w:w="3155" w:type="dxa"/>
                                  <w:tcBorders/>
                                  <w:shd w:fill="auto" w:val="clear"/>
                                  <w:vAlign w:val="center"/>
                                </w:tcPr>
                                <w:p>
                                  <w:pPr>
                                    <w:pStyle w:val="TableContents"/>
                                    <w:spacing w:before="0" w:after="283"/>
                                    <w:jc w:val="left"/>
                                    <w:rPr>
                                      <w:rFonts w:ascii="Arial" w:hAnsi="Arial"/>
                                      <w:sz w:val="20"/>
                                    </w:rPr>
                                  </w:pPr>
                                  <w:r>
                                    <w:rPr>
                                      <w:rFonts w:ascii="Arial" w:hAnsi="Arial"/>
                                      <w:sz w:val="20"/>
                                    </w:rPr>
                                    <w:t>Customer-Oriented/Marketing</w:t>
                                  </w:r>
                                </w:p>
                              </w:tc>
                            </w:tr>
                            <w:tr>
                              <w:trPr/>
                              <w:tc>
                                <w:tcPr>
                                  <w:tcW w:w="315" w:type="dxa"/>
                                  <w:tcBorders/>
                                  <w:shd w:fill="auto" w:val="clear"/>
                                  <w:vAlign w:val="center"/>
                                </w:tcPr>
                                <w:p>
                                  <w:pPr>
                                    <w:pStyle w:val="TableContents"/>
                                    <w:spacing w:before="0" w:after="283"/>
                                    <w:jc w:val="center"/>
                                    <w:rPr/>
                                  </w:pPr>
                                  <w:r>
                                    <w:rPr/>
                                    <w:drawing>
                                      <wp:inline distT="0" distB="0" distL="0" distR="0">
                                        <wp:extent cx="180975" cy="200025"/>
                                        <wp:effectExtent l="0" t="0" r="0" b="0"/>
                                        <wp:docPr id="153"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92" descr=""/>
                                                <pic:cNvPicPr>
                                                  <a:picLocks noChangeAspect="1" noChangeArrowheads="1"/>
                                                </pic:cNvPicPr>
                                              </pic:nvPicPr>
                                              <pic:blipFill>
                                                <a:blip r:embed="rId93"/>
                                                <a:srcRect l="-5566" t="-5035" r="-5566" b="-5035"/>
                                                <a:stretch>
                                                  <a:fillRect/>
                                                </a:stretch>
                                              </pic:blipFill>
                                              <pic:spPr bwMode="auto">
                                                <a:xfrm>
                                                  <a:off x="0" y="0"/>
                                                  <a:ext cx="180975" cy="200025"/>
                                                </a:xfrm>
                                                <a:prstGeom prst="rect">
                                                  <a:avLst/>
                                                </a:prstGeom>
                                                <a:ln w="635">
                                                  <a:solidFill>
                                                    <a:srgbClr val="000000"/>
                                                  </a:solidFill>
                                                </a:ln>
                                              </pic:spPr>
                                            </pic:pic>
                                          </a:graphicData>
                                        </a:graphic>
                                      </wp:inline>
                                    </w:drawing>
                                  </w:r>
                                </w:p>
                              </w:tc>
                              <w:tc>
                                <w:tcPr>
                                  <w:tcW w:w="3155" w:type="dxa"/>
                                  <w:tcBorders/>
                                  <w:shd w:fill="auto" w:val="clear"/>
                                  <w:vAlign w:val="center"/>
                                </w:tcPr>
                                <w:p>
                                  <w:pPr>
                                    <w:pStyle w:val="TableContents"/>
                                    <w:spacing w:before="0" w:after="283"/>
                                    <w:jc w:val="left"/>
                                    <w:rPr>
                                      <w:rFonts w:ascii="Arial" w:hAnsi="Arial"/>
                                      <w:sz w:val="20"/>
                                    </w:rPr>
                                  </w:pPr>
                                  <w:r>
                                    <w:rPr>
                                      <w:rFonts w:ascii="Arial" w:hAnsi="Arial"/>
                                      <w:sz w:val="20"/>
                                    </w:rPr>
                                    <w:t>International</w:t>
                                  </w:r>
                                </w:p>
                              </w:tc>
                            </w:tr>
                            <w:tr>
                              <w:trPr/>
                              <w:tc>
                                <w:tcPr>
                                  <w:tcW w:w="315" w:type="dxa"/>
                                  <w:tcBorders/>
                                  <w:shd w:fill="auto" w:val="clear"/>
                                  <w:vAlign w:val="center"/>
                                </w:tcPr>
                                <w:p>
                                  <w:pPr>
                                    <w:pStyle w:val="TableContents"/>
                                    <w:spacing w:before="0" w:after="283"/>
                                    <w:jc w:val="center"/>
                                    <w:rPr/>
                                  </w:pPr>
                                  <w:r>
                                    <w:rPr/>
                                    <w:drawing>
                                      <wp:inline distT="0" distB="0" distL="0" distR="0">
                                        <wp:extent cx="200025" cy="190500"/>
                                        <wp:effectExtent l="0" t="0" r="0" b="0"/>
                                        <wp:docPr id="154"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93" descr=""/>
                                                <pic:cNvPicPr>
                                                  <a:picLocks noChangeAspect="1" noChangeArrowheads="1"/>
                                                </pic:cNvPicPr>
                                              </pic:nvPicPr>
                                              <pic:blipFill>
                                                <a:blip r:embed="rId94"/>
                                                <a:srcRect l="-5035" t="-5293" r="-5035" b="-5293"/>
                                                <a:stretch>
                                                  <a:fillRect/>
                                                </a:stretch>
                                              </pic:blipFill>
                                              <pic:spPr bwMode="auto">
                                                <a:xfrm>
                                                  <a:off x="0" y="0"/>
                                                  <a:ext cx="200025" cy="190500"/>
                                                </a:xfrm>
                                                <a:prstGeom prst="rect">
                                                  <a:avLst/>
                                                </a:prstGeom>
                                                <a:ln w="635">
                                                  <a:solidFill>
                                                    <a:srgbClr val="000000"/>
                                                  </a:solidFill>
                                                </a:ln>
                                              </pic:spPr>
                                            </pic:pic>
                                          </a:graphicData>
                                        </a:graphic>
                                      </wp:inline>
                                    </w:drawing>
                                  </w:r>
                                </w:p>
                              </w:tc>
                              <w:tc>
                                <w:tcPr>
                                  <w:tcW w:w="3155" w:type="dxa"/>
                                  <w:tcBorders/>
                                  <w:shd w:fill="auto" w:val="clear"/>
                                  <w:vAlign w:val="center"/>
                                </w:tcPr>
                                <w:p>
                                  <w:pPr>
                                    <w:pStyle w:val="TableContents"/>
                                    <w:spacing w:before="0" w:after="283"/>
                                    <w:jc w:val="left"/>
                                    <w:rPr>
                                      <w:rFonts w:ascii="Arial" w:hAnsi="Arial"/>
                                      <w:sz w:val="20"/>
                                    </w:rPr>
                                  </w:pPr>
                                  <w:r>
                                    <w:rPr>
                                      <w:rFonts w:ascii="Arial" w:hAnsi="Arial"/>
                                      <w:sz w:val="20"/>
                                    </w:rPr>
                                    <w:t xml:space="preserve">Human Capital Management </w:t>
                                  </w:r>
                                </w:p>
                              </w:tc>
                            </w:tr>
                            <w:tr>
                              <w:trPr/>
                              <w:tc>
                                <w:tcPr>
                                  <w:tcW w:w="315" w:type="dxa"/>
                                  <w:tcBorders/>
                                  <w:shd w:fill="auto" w:val="clear"/>
                                  <w:vAlign w:val="center"/>
                                </w:tcPr>
                                <w:p>
                                  <w:pPr>
                                    <w:pStyle w:val="TableContents"/>
                                    <w:spacing w:before="0" w:after="283"/>
                                    <w:jc w:val="center"/>
                                    <w:rPr/>
                                  </w:pPr>
                                  <w:r>
                                    <w:rPr/>
                                    <w:drawing>
                                      <wp:inline distT="0" distB="0" distL="0" distR="0">
                                        <wp:extent cx="200025" cy="152400"/>
                                        <wp:effectExtent l="0" t="0" r="0" b="0"/>
                                        <wp:docPr id="155"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94" descr=""/>
                                                <pic:cNvPicPr>
                                                  <a:picLocks noChangeAspect="1" noChangeArrowheads="1"/>
                                                </pic:cNvPicPr>
                                              </pic:nvPicPr>
                                              <pic:blipFill>
                                                <a:blip r:embed="rId95"/>
                                                <a:srcRect l="-5035" t="-6619" r="-5035" b="-6619"/>
                                                <a:stretch>
                                                  <a:fillRect/>
                                                </a:stretch>
                                              </pic:blipFill>
                                              <pic:spPr bwMode="auto">
                                                <a:xfrm>
                                                  <a:off x="0" y="0"/>
                                                  <a:ext cx="200025" cy="152400"/>
                                                </a:xfrm>
                                                <a:prstGeom prst="rect">
                                                  <a:avLst/>
                                                </a:prstGeom>
                                                <a:ln w="635">
                                                  <a:solidFill>
                                                    <a:srgbClr val="000000"/>
                                                  </a:solidFill>
                                                </a:ln>
                                              </pic:spPr>
                                            </pic:pic>
                                          </a:graphicData>
                                        </a:graphic>
                                      </wp:inline>
                                    </w:drawing>
                                  </w:r>
                                </w:p>
                              </w:tc>
                              <w:tc>
                                <w:tcPr>
                                  <w:tcW w:w="3155" w:type="dxa"/>
                                  <w:tcBorders/>
                                  <w:shd w:fill="auto" w:val="clear"/>
                                  <w:vAlign w:val="center"/>
                                </w:tcPr>
                                <w:p>
                                  <w:pPr>
                                    <w:pStyle w:val="TableContents"/>
                                    <w:spacing w:before="0" w:after="283"/>
                                    <w:jc w:val="left"/>
                                    <w:rPr>
                                      <w:rFonts w:ascii="Arial" w:hAnsi="Arial"/>
                                      <w:sz w:val="20"/>
                                    </w:rPr>
                                  </w:pPr>
                                  <w:r>
                                    <w:rPr>
                                      <w:rFonts w:ascii="Arial" w:hAnsi="Arial"/>
                                      <w:sz w:val="20"/>
                                    </w:rPr>
                                    <w:t>Non-Profit/Educational/Philanthropic</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47.4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spacing w:before="0" w:after="0"/>
                        <w:jc w:val="left"/>
                        <w:rPr>
                          <w:rFonts w:ascii="Arial" w:hAnsi="Arial"/>
                          <w:color w:val="00A1E0"/>
                          <w:sz w:val="15"/>
                        </w:rPr>
                      </w:pPr>
                      <w:r>
                        <w:rPr>
                          <w:rFonts w:ascii="Arial" w:hAnsi="Arial"/>
                          <w:color w:val="00A1E0"/>
                          <w:sz w:val="15"/>
                        </w:rPr>
                        <w:t>SKILLS AND QUALIFICATIONS:</w:t>
                      </w:r>
                    </w:p>
                    <w:p>
                      <w:pPr>
                        <w:pStyle w:val="TextBody"/>
                        <w:spacing w:before="0" w:after="0"/>
                        <w:jc w:val="left"/>
                        <w:rPr>
                          <w:rFonts w:ascii="Arial" w:hAnsi="Arial"/>
                          <w:sz w:val="20"/>
                        </w:rPr>
                      </w:pPr>
                      <w:r>
                        <w:rPr>
                          <w:rFonts w:ascii="Arial" w:hAnsi="Arial"/>
                          <w:sz w:val="20"/>
                        </w:rPr>
                        <w:t>We believe that Mr. Novak’s extensive knowledge of customer service-oriented business practices, including marketing and talent management, as well as his prior experience as a chief executive officer and chairman, render him qualified to serve as one of our directors.</w:t>
                      </w:r>
                    </w:p>
                    <w:tbl>
                      <w:tblPr>
                        <w:tblW w:w="3470" w:type="dxa"/>
                        <w:jc w:val="left"/>
                        <w:tblInd w:w="0" w:type="dxa"/>
                        <w:tblCellMar>
                          <w:top w:w="0" w:type="dxa"/>
                          <w:left w:w="0" w:type="dxa"/>
                          <w:bottom w:w="0" w:type="dxa"/>
                          <w:right w:w="0" w:type="dxa"/>
                        </w:tblCellMar>
                      </w:tblPr>
                      <w:tblGrid>
                        <w:gridCol w:w="315"/>
                        <w:gridCol w:w="3155"/>
                      </w:tblGrid>
                      <w:tr>
                        <w:trPr/>
                        <w:tc>
                          <w:tcPr>
                            <w:tcW w:w="315" w:type="dxa"/>
                            <w:tcBorders/>
                            <w:shd w:fill="auto" w:val="clear"/>
                            <w:vAlign w:val="center"/>
                          </w:tcPr>
                          <w:p>
                            <w:pPr>
                              <w:pStyle w:val="TableContents"/>
                              <w:spacing w:before="0" w:after="283"/>
                              <w:jc w:val="center"/>
                              <w:rPr/>
                            </w:pPr>
                            <w:r>
                              <w:rPr/>
                              <w:drawing>
                                <wp:inline distT="0" distB="0" distL="0" distR="0">
                                  <wp:extent cx="171450" cy="200025"/>
                                  <wp:effectExtent l="0" t="0" r="0" b="0"/>
                                  <wp:docPr id="156"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90" descr=""/>
                                          <pic:cNvPicPr>
                                            <a:picLocks noChangeAspect="1" noChangeArrowheads="1"/>
                                          </pic:cNvPicPr>
                                        </pic:nvPicPr>
                                        <pic:blipFill>
                                          <a:blip r:embed="rId91"/>
                                          <a:srcRect l="-5882" t="-5035" r="-5882" b="-5035"/>
                                          <a:stretch>
                                            <a:fillRect/>
                                          </a:stretch>
                                        </pic:blipFill>
                                        <pic:spPr bwMode="auto">
                                          <a:xfrm>
                                            <a:off x="0" y="0"/>
                                            <a:ext cx="171450" cy="200025"/>
                                          </a:xfrm>
                                          <a:prstGeom prst="rect">
                                            <a:avLst/>
                                          </a:prstGeom>
                                          <a:ln w="635">
                                            <a:solidFill>
                                              <a:srgbClr val="000000"/>
                                            </a:solidFill>
                                          </a:ln>
                                        </pic:spPr>
                                      </pic:pic>
                                    </a:graphicData>
                                  </a:graphic>
                                </wp:inline>
                              </w:drawing>
                            </w:r>
                          </w:p>
                        </w:tc>
                        <w:tc>
                          <w:tcPr>
                            <w:tcW w:w="3155" w:type="dxa"/>
                            <w:tcBorders/>
                            <w:shd w:fill="auto" w:val="clear"/>
                            <w:vAlign w:val="center"/>
                          </w:tcPr>
                          <w:p>
                            <w:pPr>
                              <w:pStyle w:val="TableContents"/>
                              <w:spacing w:before="0" w:after="283"/>
                              <w:jc w:val="left"/>
                              <w:rPr>
                                <w:rFonts w:ascii="Arial" w:hAnsi="Arial"/>
                                <w:sz w:val="20"/>
                              </w:rPr>
                            </w:pPr>
                            <w:r>
                              <w:rPr>
                                <w:rFonts w:ascii="Arial" w:hAnsi="Arial"/>
                                <w:sz w:val="20"/>
                              </w:rPr>
                              <w:t>Executive Leadership</w:t>
                            </w:r>
                          </w:p>
                        </w:tc>
                      </w:tr>
                      <w:tr>
                        <w:trPr/>
                        <w:tc>
                          <w:tcPr>
                            <w:tcW w:w="315" w:type="dxa"/>
                            <w:tcBorders/>
                            <w:shd w:fill="auto" w:val="clear"/>
                            <w:vAlign w:val="center"/>
                          </w:tcPr>
                          <w:p>
                            <w:pPr>
                              <w:pStyle w:val="TableContents"/>
                              <w:spacing w:before="0" w:after="283"/>
                              <w:jc w:val="center"/>
                              <w:rPr/>
                            </w:pPr>
                            <w:r>
                              <w:rPr/>
                              <w:drawing>
                                <wp:inline distT="0" distB="0" distL="0" distR="0">
                                  <wp:extent cx="190500" cy="200025"/>
                                  <wp:effectExtent l="0" t="0" r="0" b="0"/>
                                  <wp:docPr id="157"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91" descr=""/>
                                          <pic:cNvPicPr>
                                            <a:picLocks noChangeAspect="1" noChangeArrowheads="1"/>
                                          </pic:cNvPicPr>
                                        </pic:nvPicPr>
                                        <pic:blipFill>
                                          <a:blip r:embed="rId92"/>
                                          <a:srcRect l="-5293" t="-5035" r="-5293" b="-5035"/>
                                          <a:stretch>
                                            <a:fillRect/>
                                          </a:stretch>
                                        </pic:blipFill>
                                        <pic:spPr bwMode="auto">
                                          <a:xfrm>
                                            <a:off x="0" y="0"/>
                                            <a:ext cx="190500" cy="200025"/>
                                          </a:xfrm>
                                          <a:prstGeom prst="rect">
                                            <a:avLst/>
                                          </a:prstGeom>
                                          <a:ln w="635">
                                            <a:solidFill>
                                              <a:srgbClr val="000000"/>
                                            </a:solidFill>
                                          </a:ln>
                                        </pic:spPr>
                                      </pic:pic>
                                    </a:graphicData>
                                  </a:graphic>
                                </wp:inline>
                              </w:drawing>
                            </w:r>
                          </w:p>
                        </w:tc>
                        <w:tc>
                          <w:tcPr>
                            <w:tcW w:w="3155" w:type="dxa"/>
                            <w:tcBorders/>
                            <w:shd w:fill="auto" w:val="clear"/>
                            <w:vAlign w:val="center"/>
                          </w:tcPr>
                          <w:p>
                            <w:pPr>
                              <w:pStyle w:val="TableContents"/>
                              <w:spacing w:before="0" w:after="283"/>
                              <w:jc w:val="left"/>
                              <w:rPr>
                                <w:rFonts w:ascii="Arial" w:hAnsi="Arial"/>
                                <w:sz w:val="20"/>
                              </w:rPr>
                            </w:pPr>
                            <w:r>
                              <w:rPr>
                                <w:rFonts w:ascii="Arial" w:hAnsi="Arial"/>
                                <w:sz w:val="20"/>
                              </w:rPr>
                              <w:t>Customer-Oriented/Marketing</w:t>
                            </w:r>
                          </w:p>
                        </w:tc>
                      </w:tr>
                      <w:tr>
                        <w:trPr/>
                        <w:tc>
                          <w:tcPr>
                            <w:tcW w:w="315" w:type="dxa"/>
                            <w:tcBorders/>
                            <w:shd w:fill="auto" w:val="clear"/>
                            <w:vAlign w:val="center"/>
                          </w:tcPr>
                          <w:p>
                            <w:pPr>
                              <w:pStyle w:val="TableContents"/>
                              <w:spacing w:before="0" w:after="283"/>
                              <w:jc w:val="center"/>
                              <w:rPr/>
                            </w:pPr>
                            <w:r>
                              <w:rPr/>
                              <w:drawing>
                                <wp:inline distT="0" distB="0" distL="0" distR="0">
                                  <wp:extent cx="180975" cy="200025"/>
                                  <wp:effectExtent l="0" t="0" r="0" b="0"/>
                                  <wp:docPr id="158"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92" descr=""/>
                                          <pic:cNvPicPr>
                                            <a:picLocks noChangeAspect="1" noChangeArrowheads="1"/>
                                          </pic:cNvPicPr>
                                        </pic:nvPicPr>
                                        <pic:blipFill>
                                          <a:blip r:embed="rId93"/>
                                          <a:srcRect l="-5566" t="-5035" r="-5566" b="-5035"/>
                                          <a:stretch>
                                            <a:fillRect/>
                                          </a:stretch>
                                        </pic:blipFill>
                                        <pic:spPr bwMode="auto">
                                          <a:xfrm>
                                            <a:off x="0" y="0"/>
                                            <a:ext cx="180975" cy="200025"/>
                                          </a:xfrm>
                                          <a:prstGeom prst="rect">
                                            <a:avLst/>
                                          </a:prstGeom>
                                          <a:ln w="635">
                                            <a:solidFill>
                                              <a:srgbClr val="000000"/>
                                            </a:solidFill>
                                          </a:ln>
                                        </pic:spPr>
                                      </pic:pic>
                                    </a:graphicData>
                                  </a:graphic>
                                </wp:inline>
                              </w:drawing>
                            </w:r>
                          </w:p>
                        </w:tc>
                        <w:tc>
                          <w:tcPr>
                            <w:tcW w:w="3155" w:type="dxa"/>
                            <w:tcBorders/>
                            <w:shd w:fill="auto" w:val="clear"/>
                            <w:vAlign w:val="center"/>
                          </w:tcPr>
                          <w:p>
                            <w:pPr>
                              <w:pStyle w:val="TableContents"/>
                              <w:spacing w:before="0" w:after="283"/>
                              <w:jc w:val="left"/>
                              <w:rPr>
                                <w:rFonts w:ascii="Arial" w:hAnsi="Arial"/>
                                <w:sz w:val="20"/>
                              </w:rPr>
                            </w:pPr>
                            <w:r>
                              <w:rPr>
                                <w:rFonts w:ascii="Arial" w:hAnsi="Arial"/>
                                <w:sz w:val="20"/>
                              </w:rPr>
                              <w:t>International</w:t>
                            </w:r>
                          </w:p>
                        </w:tc>
                      </w:tr>
                      <w:tr>
                        <w:trPr/>
                        <w:tc>
                          <w:tcPr>
                            <w:tcW w:w="315" w:type="dxa"/>
                            <w:tcBorders/>
                            <w:shd w:fill="auto" w:val="clear"/>
                            <w:vAlign w:val="center"/>
                          </w:tcPr>
                          <w:p>
                            <w:pPr>
                              <w:pStyle w:val="TableContents"/>
                              <w:spacing w:before="0" w:after="283"/>
                              <w:jc w:val="center"/>
                              <w:rPr/>
                            </w:pPr>
                            <w:r>
                              <w:rPr/>
                              <w:drawing>
                                <wp:inline distT="0" distB="0" distL="0" distR="0">
                                  <wp:extent cx="200025" cy="190500"/>
                                  <wp:effectExtent l="0" t="0" r="0" b="0"/>
                                  <wp:docPr id="159"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93" descr=""/>
                                          <pic:cNvPicPr>
                                            <a:picLocks noChangeAspect="1" noChangeArrowheads="1"/>
                                          </pic:cNvPicPr>
                                        </pic:nvPicPr>
                                        <pic:blipFill>
                                          <a:blip r:embed="rId94"/>
                                          <a:srcRect l="-5035" t="-5293" r="-5035" b="-5293"/>
                                          <a:stretch>
                                            <a:fillRect/>
                                          </a:stretch>
                                        </pic:blipFill>
                                        <pic:spPr bwMode="auto">
                                          <a:xfrm>
                                            <a:off x="0" y="0"/>
                                            <a:ext cx="200025" cy="190500"/>
                                          </a:xfrm>
                                          <a:prstGeom prst="rect">
                                            <a:avLst/>
                                          </a:prstGeom>
                                          <a:ln w="635">
                                            <a:solidFill>
                                              <a:srgbClr val="000000"/>
                                            </a:solidFill>
                                          </a:ln>
                                        </pic:spPr>
                                      </pic:pic>
                                    </a:graphicData>
                                  </a:graphic>
                                </wp:inline>
                              </w:drawing>
                            </w:r>
                          </w:p>
                        </w:tc>
                        <w:tc>
                          <w:tcPr>
                            <w:tcW w:w="3155" w:type="dxa"/>
                            <w:tcBorders/>
                            <w:shd w:fill="auto" w:val="clear"/>
                            <w:vAlign w:val="center"/>
                          </w:tcPr>
                          <w:p>
                            <w:pPr>
                              <w:pStyle w:val="TableContents"/>
                              <w:spacing w:before="0" w:after="283"/>
                              <w:jc w:val="left"/>
                              <w:rPr>
                                <w:rFonts w:ascii="Arial" w:hAnsi="Arial"/>
                                <w:sz w:val="20"/>
                              </w:rPr>
                            </w:pPr>
                            <w:r>
                              <w:rPr>
                                <w:rFonts w:ascii="Arial" w:hAnsi="Arial"/>
                                <w:sz w:val="20"/>
                              </w:rPr>
                              <w:t xml:space="preserve">Human Capital Management </w:t>
                            </w:r>
                          </w:p>
                        </w:tc>
                      </w:tr>
                      <w:tr>
                        <w:trPr/>
                        <w:tc>
                          <w:tcPr>
                            <w:tcW w:w="315" w:type="dxa"/>
                            <w:tcBorders/>
                            <w:shd w:fill="auto" w:val="clear"/>
                            <w:vAlign w:val="center"/>
                          </w:tcPr>
                          <w:p>
                            <w:pPr>
                              <w:pStyle w:val="TableContents"/>
                              <w:spacing w:before="0" w:after="283"/>
                              <w:jc w:val="center"/>
                              <w:rPr/>
                            </w:pPr>
                            <w:r>
                              <w:rPr/>
                              <w:drawing>
                                <wp:inline distT="0" distB="0" distL="0" distR="0">
                                  <wp:extent cx="200025" cy="152400"/>
                                  <wp:effectExtent l="0" t="0" r="0" b="0"/>
                                  <wp:docPr id="160"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94" descr=""/>
                                          <pic:cNvPicPr>
                                            <a:picLocks noChangeAspect="1" noChangeArrowheads="1"/>
                                          </pic:cNvPicPr>
                                        </pic:nvPicPr>
                                        <pic:blipFill>
                                          <a:blip r:embed="rId95"/>
                                          <a:srcRect l="-5035" t="-6619" r="-5035" b="-6619"/>
                                          <a:stretch>
                                            <a:fillRect/>
                                          </a:stretch>
                                        </pic:blipFill>
                                        <pic:spPr bwMode="auto">
                                          <a:xfrm>
                                            <a:off x="0" y="0"/>
                                            <a:ext cx="200025" cy="152400"/>
                                          </a:xfrm>
                                          <a:prstGeom prst="rect">
                                            <a:avLst/>
                                          </a:prstGeom>
                                          <a:ln w="635">
                                            <a:solidFill>
                                              <a:srgbClr val="000000"/>
                                            </a:solidFill>
                                          </a:ln>
                                        </pic:spPr>
                                      </pic:pic>
                                    </a:graphicData>
                                  </a:graphic>
                                </wp:inline>
                              </w:drawing>
                            </w:r>
                          </w:p>
                        </w:tc>
                        <w:tc>
                          <w:tcPr>
                            <w:tcW w:w="3155" w:type="dxa"/>
                            <w:tcBorders/>
                            <w:shd w:fill="auto" w:val="clear"/>
                            <w:vAlign w:val="center"/>
                          </w:tcPr>
                          <w:p>
                            <w:pPr>
                              <w:pStyle w:val="TableContents"/>
                              <w:spacing w:before="0" w:after="283"/>
                              <w:jc w:val="left"/>
                              <w:rPr>
                                <w:rFonts w:ascii="Arial" w:hAnsi="Arial"/>
                                <w:sz w:val="20"/>
                              </w:rPr>
                            </w:pPr>
                            <w:r>
                              <w:rPr>
                                <w:rFonts w:ascii="Arial" w:hAnsi="Arial"/>
                                <w:sz w:val="20"/>
                              </w:rPr>
                              <w:t>Non-Profit/Educational/Philanthropic</w:t>
                            </w:r>
                          </w:p>
                        </w:tc>
                      </w:tr>
                    </w:tbl>
                    <w:p>
                      <w:pPr>
                        <w:pStyle w:val="TextBody"/>
                        <w:spacing w:before="0" w:after="283"/>
                        <w:rPr/>
                      </w:pPr>
                      <w:r>
                        <w:rPr/>
                      </w:r>
                    </w:p>
                  </w:txbxContent>
                </v:textbox>
                <w10:wrap type="square" side="left"/>
              </v:rect>
            </w:pict>
          </mc:Fallback>
        </mc:AlternateContent>
      </w:r>
      <w:r>
        <mc:AlternateContent>
          <mc:Choice Requires="wps">
            <w:drawing>
              <wp:anchor behindDoc="0" distT="0" distB="0" distL="0" distR="0" simplePos="0" locked="0" layoutInCell="1" allowOverlap="1" relativeHeight="50">
                <wp:simplePos x="0" y="0"/>
                <wp:positionH relativeFrom="column">
                  <wp:align>left</wp:align>
                </wp:positionH>
                <wp:positionV relativeFrom="line">
                  <wp:posOffset>635</wp:posOffset>
                </wp:positionV>
                <wp:extent cx="3110230" cy="2940685"/>
                <wp:effectExtent l="0" t="0" r="0" b="0"/>
                <wp:wrapSquare wrapText="largest"/>
                <wp:docPr id="161" name="Frame19"/>
                <a:graphic xmlns:a="http://schemas.openxmlformats.org/drawingml/2006/main">
                  <a:graphicData uri="http://schemas.microsoft.com/office/word/2010/wordprocessingShape">
                    <wps:wsp>
                      <wps:cNvSpPr txBox="1"/>
                      <wps:spPr>
                        <a:xfrm>
                          <a:off x="0" y="0"/>
                          <a:ext cx="3110230" cy="2940685"/>
                        </a:xfrm>
                        <a:prstGeom prst="rect"/>
                      </wps:spPr>
                      <wps:txbx>
                        <w:txbxContent>
                          <w:p>
                            <w:pPr>
                              <w:pStyle w:val="TextBody"/>
                              <w:spacing w:before="0" w:after="0"/>
                              <w:jc w:val="left"/>
                              <w:rPr>
                                <w:rFonts w:ascii="Arial" w:hAnsi="Arial"/>
                                <w:color w:val="00A1E0"/>
                                <w:sz w:val="15"/>
                              </w:rPr>
                            </w:pPr>
                            <w:r>
                              <w:rPr>
                                <w:rFonts w:ascii="Arial" w:hAnsi="Arial"/>
                                <w:color w:val="00A1E0"/>
                                <w:sz w:val="15"/>
                              </w:rPr>
                              <w:t>CAREER HIGHLIGHTS:</w:t>
                            </w:r>
                          </w:p>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t>Founder of David Novak Leadership, Inc., which provides online leadership training to transform managers into confident, capable, engaging leaders, 2020 – Present</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t>Executive Chairman of the Board, YUM! Brands, Inc., 2015 – 2016</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t>Chairman of the Board, YUM! Brands, Inc., 2001 – 2014</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t>Chief Executive Officer, YUM! Brands, Inc., 2000 – 2014</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t>Board Member, Lift-a-Life Novak Family Foundation</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t>Author of</w:t>
                                  </w:r>
                                  <w:r>
                                    <w:rPr>
                                      <w:rStyle w:val="Emphasis"/>
                                    </w:rPr>
                                    <w:t xml:space="preserve"> O GREAT ONE! A Little Story About the Awesome Power of Recognition, Taking People With You: The Only Way to Achieve Big Things</w:t>
                                  </w:r>
                                  <w:r>
                                    <w:rPr/>
                                    <w:t xml:space="preserve"> and co-author of </w:t>
                                  </w:r>
                                  <w:r>
                                    <w:rPr>
                                      <w:rStyle w:val="Emphasis"/>
                                    </w:rPr>
                                    <w:t xml:space="preserve">Take Charge of You, </w:t>
                                  </w:r>
                                  <w:r>
                                    <w:rPr/>
                                    <w:t>dedicated to developing leaders at every stage of life</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3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left"/>
                        <w:rPr>
                          <w:rFonts w:ascii="Arial" w:hAnsi="Arial"/>
                          <w:color w:val="00A1E0"/>
                          <w:sz w:val="15"/>
                        </w:rPr>
                      </w:pPr>
                      <w:r>
                        <w:rPr>
                          <w:rFonts w:ascii="Arial" w:hAnsi="Arial"/>
                          <w:color w:val="00A1E0"/>
                          <w:sz w:val="15"/>
                        </w:rPr>
                        <w:t>CAREER HIGHLIGHTS:</w:t>
                      </w:r>
                    </w:p>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t>Founder of David Novak Leadership, Inc., which provides online leadership training to transform managers into confident, capable, engaging leaders, 2020 – Present</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t>Executive Chairman of the Board, YUM! Brands, Inc., 2015 – 2016</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t>Chairman of the Board, YUM! Brands, Inc., 2001 – 2014</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t>Chief Executive Officer, YUM! Brands, Inc., 2000 – 2014</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t>Board Member, Lift-a-Life Novak Family Foundation</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t>Author of</w:t>
                            </w:r>
                            <w:r>
                              <w:rPr>
                                <w:rStyle w:val="Emphasis"/>
                              </w:rPr>
                              <w:t xml:space="preserve"> O GREAT ONE! A Little Story About the Awesome Power of Recognition, Taking People With You: The Only Way to Achieve Big Things</w:t>
                            </w:r>
                            <w:r>
                              <w:rPr/>
                              <w:t xml:space="preserve"> and co-author of </w:t>
                            </w:r>
                            <w:r>
                              <w:rPr>
                                <w:rStyle w:val="Emphasis"/>
                              </w:rPr>
                              <w:t xml:space="preserve">Take Charge of You, </w:t>
                            </w:r>
                            <w:r>
                              <w:rPr/>
                              <w:t>dedicated to developing leaders at every stage of life</w:t>
                            </w:r>
                          </w:p>
                        </w:tc>
                      </w:tr>
                    </w:tbl>
                    <w:p>
                      <w:pPr>
                        <w:pStyle w:val="TextBody"/>
                        <w:spacing w:before="0" w:after="283"/>
                        <w:rPr/>
                      </w:pPr>
                      <w:r>
                        <w:rPr/>
                      </w:r>
                    </w:p>
                  </w:txbxContent>
                </v:textbox>
                <w10:wrap type="square" side="right"/>
              </v:rect>
            </w:pict>
          </mc:Fallback>
        </mc:AlternateContent>
      </w:r>
    </w:p>
    <w:tbl>
      <w:tblPr>
        <w:tblW w:w="5885" w:type="dxa"/>
        <w:jc w:val="left"/>
        <w:tblInd w:w="0" w:type="dxa"/>
        <w:tblCellMar>
          <w:top w:w="0" w:type="dxa"/>
          <w:left w:w="0" w:type="dxa"/>
          <w:bottom w:w="160" w:type="dxa"/>
          <w:right w:w="0" w:type="dxa"/>
        </w:tblCellMar>
      </w:tblPr>
      <w:tblGrid>
        <w:gridCol w:w="4370"/>
        <w:gridCol w:w="1515"/>
      </w:tblGrid>
      <w:tr>
        <w:trPr/>
        <w:tc>
          <w:tcPr>
            <w:tcW w:w="4370" w:type="dxa"/>
            <w:tcBorders>
              <w:bottom w:val="single" w:sz="8" w:space="0" w:color="000000"/>
            </w:tcBorders>
            <w:shd w:fill="auto" w:val="clear"/>
            <w:vAlign w:val="center"/>
          </w:tcPr>
          <w:p>
            <w:pPr>
              <w:pStyle w:val="TableContents"/>
              <w:spacing w:before="0" w:after="0"/>
              <w:jc w:val="left"/>
              <w:rPr/>
            </w:pPr>
            <w:r>
              <w:rPr>
                <w:rStyle w:val="StrongEmphasis"/>
                <w:rFonts w:ascii="Arial" w:hAnsi="Arial"/>
                <w:sz w:val="24"/>
              </w:rPr>
              <w:t>Brian L. Roberts</w:t>
            </w:r>
          </w:p>
          <w:p>
            <w:pPr>
              <w:pStyle w:val="TableContents"/>
              <w:spacing w:before="0" w:after="0"/>
              <w:jc w:val="left"/>
              <w:rPr>
                <w:rFonts w:ascii="Arial" w:hAnsi="Arial"/>
                <w:sz w:val="20"/>
              </w:rPr>
            </w:pPr>
            <w:r>
              <w:rPr>
                <w:rFonts w:ascii="Arial" w:hAnsi="Arial"/>
                <w:sz w:val="20"/>
              </w:rPr>
              <w:t>Chairman and Chief Executive Officer of Comcast</w:t>
            </w:r>
          </w:p>
        </w:tc>
        <w:tc>
          <w:tcPr>
            <w:tcW w:w="1515" w:type="dxa"/>
            <w:vMerge w:val="restart"/>
            <w:tcBorders/>
            <w:shd w:fill="auto" w:val="clear"/>
            <w:tcMar>
              <w:bottom w:w="0" w:type="dxa"/>
            </w:tcMar>
            <w:vAlign w:val="center"/>
          </w:tcPr>
          <w:p>
            <w:pPr>
              <w:pStyle w:val="TableContents"/>
              <w:spacing w:before="0" w:after="283"/>
              <w:jc w:val="left"/>
              <w:rPr/>
            </w:pPr>
            <w:r>
              <w:rPr/>
              <w:drawing>
                <wp:inline distT="0" distB="0" distL="0" distR="0">
                  <wp:extent cx="962025" cy="952500"/>
                  <wp:effectExtent l="0" t="0" r="0" b="0"/>
                  <wp:docPr id="162"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95" descr=""/>
                          <pic:cNvPicPr>
                            <a:picLocks noChangeAspect="1" noChangeArrowheads="1"/>
                          </pic:cNvPicPr>
                        </pic:nvPicPr>
                        <pic:blipFill>
                          <a:blip r:embed="rId96"/>
                          <a:srcRect l="-1047" t="-1058" r="-1047" b="-1058"/>
                          <a:stretch>
                            <a:fillRect/>
                          </a:stretch>
                        </pic:blipFill>
                        <pic:spPr bwMode="auto">
                          <a:xfrm>
                            <a:off x="0" y="0"/>
                            <a:ext cx="962025" cy="952500"/>
                          </a:xfrm>
                          <a:prstGeom prst="rect">
                            <a:avLst/>
                          </a:prstGeom>
                          <a:ln w="635">
                            <a:solidFill>
                              <a:srgbClr val="000000"/>
                            </a:solidFill>
                          </a:ln>
                        </pic:spPr>
                      </pic:pic>
                    </a:graphicData>
                  </a:graphic>
                </wp:inline>
              </w:drawing>
            </w:r>
          </w:p>
        </w:tc>
      </w:tr>
      <w:tr>
        <w:trPr/>
        <w:tc>
          <w:tcPr>
            <w:tcW w:w="4370" w:type="dxa"/>
            <w:tcBorders/>
            <w:shd w:fill="auto" w:val="clear"/>
            <w:tcMar>
              <w:bottom w:w="0" w:type="dxa"/>
            </w:tcMar>
            <w:vAlign w:val="center"/>
          </w:tcPr>
          <w:p>
            <w:pPr>
              <w:pStyle w:val="TableContents"/>
              <w:spacing w:before="0" w:after="283"/>
              <w:jc w:val="left"/>
              <w:rPr/>
            </w:pPr>
            <w:r>
              <w:rPr/>
              <w:br/>
              <w:t> </w:t>
              <w:br/>
              <w:t> </w:t>
            </w:r>
          </w:p>
        </w:tc>
        <w:tc>
          <w:tcPr>
            <w:tcW w:w="1515" w:type="dxa"/>
            <w:vMerge w:val="continue"/>
            <w:tcBorders/>
            <w:shd w:fill="auto" w:val="clear"/>
            <w:tcMar>
              <w:bottom w:w="0" w:type="dxa"/>
            </w:tcMar>
            <w:vAlign w:val="center"/>
          </w:tcPr>
          <w:p>
            <w:pPr>
              <w:pStyle w:val="Normal"/>
              <w:rPr/>
            </w:pPr>
            <w:r>
              <w:rPr/>
            </w:r>
          </w:p>
        </w:tc>
      </w:tr>
    </w:tbl>
    <w:p>
      <w:pPr>
        <w:pStyle w:val="TextBody"/>
        <w:spacing w:before="0" w:after="283"/>
        <w:jc w:val="left"/>
        <w:rPr/>
      </w:pPr>
      <w:r>
        <w:rPr>
          <w:rFonts w:ascii="Arial" w:hAnsi="Arial"/>
          <w:sz w:val="20"/>
          <w:highlight w:val="cyan"/>
        </w:rPr>
        <w:t xml:space="preserve">Age: </w:t>
      </w:r>
      <w:r>
        <w:rPr>
          <w:rStyle w:val="StrongEmphasis"/>
          <w:rFonts w:ascii="Arial" w:hAnsi="Arial"/>
          <w:sz w:val="20"/>
          <w:highlight w:val="cyan"/>
        </w:rPr>
        <w:t>63</w:t>
        <w:br/>
      </w:r>
      <w:r>
        <w:rPr>
          <w:rFonts w:ascii="Arial" w:hAnsi="Arial"/>
          <w:sz w:val="20"/>
          <w:highlight w:val="cyan"/>
        </w:rPr>
        <w:t xml:space="preserve">Director since: </w:t>
      </w:r>
      <w:r>
        <w:rPr>
          <w:rStyle w:val="StrongEmphasis"/>
          <w:rFonts w:ascii="Arial" w:hAnsi="Arial"/>
          <w:sz w:val="20"/>
          <w:highlight w:val="cyan"/>
        </w:rPr>
        <w:t>March 1988</w:t>
        <w:br/>
      </w:r>
      <w:r>
        <w:rPr>
          <w:rFonts w:ascii="Arial" w:hAnsi="Arial"/>
          <w:sz w:val="20"/>
          <w:highlight w:val="cyan"/>
        </w:rPr>
        <w:t xml:space="preserve">Committees: </w:t>
      </w:r>
      <w:r>
        <w:rPr>
          <w:rStyle w:val="StrongEmphasis"/>
          <w:rFonts w:ascii="Arial" w:hAnsi="Arial"/>
          <w:sz w:val="20"/>
          <w:highlight w:val="cyan"/>
        </w:rPr>
        <w:t>None</w:t>
      </w:r>
    </w:p>
    <w:p>
      <w:pPr>
        <w:pStyle w:val="TextBody"/>
        <w:spacing w:before="0" w:after="0"/>
        <w:rPr/>
      </w:pPr>
      <w:r>
        <w:rPr/>
      </w:r>
      <w:r>
        <mc:AlternateContent>
          <mc:Choice Requires="wps">
            <w:drawing>
              <wp:anchor behindDoc="0" distT="0" distB="0" distL="0" distR="0" simplePos="0" locked="0" layoutInCell="1" allowOverlap="1" relativeHeight="2">
                <wp:simplePos x="0" y="0"/>
                <wp:positionH relativeFrom="column">
                  <wp:align>right</wp:align>
                </wp:positionH>
                <wp:positionV relativeFrom="line">
                  <wp:posOffset>635</wp:posOffset>
                </wp:positionV>
                <wp:extent cx="3110230" cy="3253740"/>
                <wp:effectExtent l="0" t="0" r="0" b="0"/>
                <wp:wrapSquare wrapText="largest"/>
                <wp:docPr id="163" name="Frame22"/>
                <a:graphic xmlns:a="http://schemas.openxmlformats.org/drawingml/2006/main">
                  <a:graphicData uri="http://schemas.microsoft.com/office/word/2010/wordprocessingShape">
                    <wps:wsp>
                      <wps:cNvSpPr txBox="1"/>
                      <wps:spPr>
                        <a:xfrm>
                          <a:off x="0" y="0"/>
                          <a:ext cx="3110230" cy="3253740"/>
                        </a:xfrm>
                        <a:prstGeom prst="rect"/>
                      </wps:spPr>
                      <wps:txbx>
                        <w:txbxContent>
                          <w:p>
                            <w:pPr>
                              <w:pStyle w:val="TextBody"/>
                              <w:spacing w:before="0" w:after="0"/>
                              <w:jc w:val="left"/>
                              <w:rPr>
                                <w:rFonts w:ascii="Arial" w:hAnsi="Arial"/>
                                <w:color w:val="00A1E0"/>
                                <w:sz w:val="15"/>
                              </w:rPr>
                            </w:pPr>
                            <w:r>
                              <w:rPr>
                                <w:rFonts w:ascii="Arial" w:hAnsi="Arial"/>
                                <w:color w:val="00A1E0"/>
                                <w:sz w:val="15"/>
                              </w:rPr>
                              <w:t>SKILLS AND QUALIFICATIONS:</w:t>
                            </w:r>
                          </w:p>
                          <w:p>
                            <w:pPr>
                              <w:pStyle w:val="TextBody"/>
                              <w:spacing w:before="0" w:after="0"/>
                              <w:jc w:val="left"/>
                              <w:rPr>
                                <w:rFonts w:ascii="Arial" w:hAnsi="Arial"/>
                                <w:sz w:val="20"/>
                              </w:rPr>
                            </w:pPr>
                            <w:r>
                              <w:rPr>
                                <w:rFonts w:ascii="Arial" w:hAnsi="Arial"/>
                                <w:sz w:val="20"/>
                              </w:rPr>
                              <w:t>We believe that Mr. Roberts’ extensive experience and leadership in the internet, video, phone, media and entertainment and wireless industries, including as our Chairman and Chief Executive Officer and in the oversight of business strategies and risk management efforts, render him qualified to serve as one of our directors.</w:t>
                            </w:r>
                          </w:p>
                          <w:tbl>
                            <w:tblPr>
                              <w:tblW w:w="3815" w:type="dxa"/>
                              <w:jc w:val="left"/>
                              <w:tblInd w:w="0" w:type="dxa"/>
                              <w:tblCellMar>
                                <w:top w:w="0" w:type="dxa"/>
                                <w:left w:w="0" w:type="dxa"/>
                                <w:bottom w:w="0" w:type="dxa"/>
                                <w:right w:w="0" w:type="dxa"/>
                              </w:tblCellMar>
                            </w:tblPr>
                            <w:tblGrid>
                              <w:gridCol w:w="315"/>
                              <w:gridCol w:w="3500"/>
                            </w:tblGrid>
                            <w:tr>
                              <w:trPr/>
                              <w:tc>
                                <w:tcPr>
                                  <w:tcW w:w="315" w:type="dxa"/>
                                  <w:tcBorders/>
                                  <w:shd w:fill="auto" w:val="clear"/>
                                  <w:vAlign w:val="center"/>
                                </w:tcPr>
                                <w:p>
                                  <w:pPr>
                                    <w:pStyle w:val="TableContents"/>
                                    <w:spacing w:before="0" w:after="283"/>
                                    <w:jc w:val="center"/>
                                    <w:rPr/>
                                  </w:pPr>
                                  <w:r>
                                    <w:rPr/>
                                    <w:drawing>
                                      <wp:inline distT="0" distB="0" distL="0" distR="0">
                                        <wp:extent cx="171450" cy="200025"/>
                                        <wp:effectExtent l="0" t="0" r="0" b="0"/>
                                        <wp:docPr id="164"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96" descr=""/>
                                                <pic:cNvPicPr>
                                                  <a:picLocks noChangeAspect="1" noChangeArrowheads="1"/>
                                                </pic:cNvPicPr>
                                              </pic:nvPicPr>
                                              <pic:blipFill>
                                                <a:blip r:embed="rId97"/>
                                                <a:srcRect l="-5882" t="-5035" r="-5882" b="-5035"/>
                                                <a:stretch>
                                                  <a:fillRect/>
                                                </a:stretch>
                                              </pic:blipFill>
                                              <pic:spPr bwMode="auto">
                                                <a:xfrm>
                                                  <a:off x="0" y="0"/>
                                                  <a:ext cx="171450" cy="200025"/>
                                                </a:xfrm>
                                                <a:prstGeom prst="rect">
                                                  <a:avLst/>
                                                </a:prstGeom>
                                                <a:ln w="635">
                                                  <a:solidFill>
                                                    <a:srgbClr val="000000"/>
                                                  </a:solidFill>
                                                </a:ln>
                                              </pic:spPr>
                                            </pic:pic>
                                          </a:graphicData>
                                        </a:graphic>
                                      </wp:inline>
                                    </w:drawing>
                                  </w:r>
                                </w:p>
                              </w:tc>
                              <w:tc>
                                <w:tcPr>
                                  <w:tcW w:w="3500" w:type="dxa"/>
                                  <w:tcBorders/>
                                  <w:shd w:fill="auto" w:val="clear"/>
                                  <w:vAlign w:val="center"/>
                                </w:tcPr>
                                <w:p>
                                  <w:pPr>
                                    <w:pStyle w:val="TableContents"/>
                                    <w:spacing w:before="0" w:after="283"/>
                                    <w:jc w:val="left"/>
                                    <w:rPr>
                                      <w:rFonts w:ascii="Arial" w:hAnsi="Arial"/>
                                      <w:sz w:val="20"/>
                                    </w:rPr>
                                  </w:pPr>
                                  <w:r>
                                    <w:rPr>
                                      <w:rFonts w:ascii="Arial" w:hAnsi="Arial"/>
                                      <w:sz w:val="20"/>
                                    </w:rPr>
                                    <w:t xml:space="preserve">Executive Leadership </w:t>
                                  </w:r>
                                </w:p>
                              </w:tc>
                            </w:tr>
                            <w:tr>
                              <w:trPr/>
                              <w:tc>
                                <w:tcPr>
                                  <w:tcW w:w="315" w:type="dxa"/>
                                  <w:tcBorders/>
                                  <w:shd w:fill="auto" w:val="clear"/>
                                  <w:vAlign w:val="center"/>
                                </w:tcPr>
                                <w:p>
                                  <w:pPr>
                                    <w:pStyle w:val="TableContents"/>
                                    <w:spacing w:before="0" w:after="283"/>
                                    <w:jc w:val="center"/>
                                    <w:rPr/>
                                  </w:pPr>
                                  <w:r>
                                    <w:rPr/>
                                    <w:drawing>
                                      <wp:inline distT="0" distB="0" distL="0" distR="0">
                                        <wp:extent cx="190500" cy="133350"/>
                                        <wp:effectExtent l="0" t="0" r="0" b="0"/>
                                        <wp:docPr id="165"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97" descr=""/>
                                                <pic:cNvPicPr>
                                                  <a:picLocks noChangeAspect="1" noChangeArrowheads="1"/>
                                                </pic:cNvPicPr>
                                              </pic:nvPicPr>
                                              <pic:blipFill>
                                                <a:blip r:embed="rId98"/>
                                                <a:srcRect l="-5293" t="-7567" r="-5293" b="-7567"/>
                                                <a:stretch>
                                                  <a:fillRect/>
                                                </a:stretch>
                                              </pic:blipFill>
                                              <pic:spPr bwMode="auto">
                                                <a:xfrm>
                                                  <a:off x="0" y="0"/>
                                                  <a:ext cx="190500" cy="133350"/>
                                                </a:xfrm>
                                                <a:prstGeom prst="rect">
                                                  <a:avLst/>
                                                </a:prstGeom>
                                                <a:ln w="635">
                                                  <a:solidFill>
                                                    <a:srgbClr val="000000"/>
                                                  </a:solidFill>
                                                </a:ln>
                                              </pic:spPr>
                                            </pic:pic>
                                          </a:graphicData>
                                        </a:graphic>
                                      </wp:inline>
                                    </w:drawing>
                                  </w:r>
                                </w:p>
                              </w:tc>
                              <w:tc>
                                <w:tcPr>
                                  <w:tcW w:w="3500" w:type="dxa"/>
                                  <w:tcBorders/>
                                  <w:shd w:fill="auto" w:val="clear"/>
                                  <w:vAlign w:val="center"/>
                                </w:tcPr>
                                <w:p>
                                  <w:pPr>
                                    <w:pStyle w:val="TableContents"/>
                                    <w:spacing w:before="0" w:after="283"/>
                                    <w:jc w:val="left"/>
                                    <w:rPr>
                                      <w:rFonts w:ascii="Arial" w:hAnsi="Arial"/>
                                      <w:sz w:val="20"/>
                                    </w:rPr>
                                  </w:pPr>
                                  <w:r>
                                    <w:rPr>
                                      <w:rFonts w:ascii="Arial" w:hAnsi="Arial"/>
                                      <w:sz w:val="20"/>
                                    </w:rPr>
                                    <w:t>Relevant Industry Experience</w:t>
                                  </w:r>
                                </w:p>
                              </w:tc>
                            </w:tr>
                            <w:tr>
                              <w:trPr/>
                              <w:tc>
                                <w:tcPr>
                                  <w:tcW w:w="315" w:type="dxa"/>
                                  <w:tcBorders/>
                                  <w:shd w:fill="auto" w:val="clear"/>
                                  <w:vAlign w:val="center"/>
                                </w:tcPr>
                                <w:p>
                                  <w:pPr>
                                    <w:pStyle w:val="TableContents"/>
                                    <w:spacing w:before="0" w:after="283"/>
                                    <w:jc w:val="center"/>
                                    <w:rPr/>
                                  </w:pPr>
                                  <w:r>
                                    <w:rPr/>
                                    <w:drawing>
                                      <wp:inline distT="0" distB="0" distL="0" distR="0">
                                        <wp:extent cx="190500" cy="200025"/>
                                        <wp:effectExtent l="0" t="0" r="0" b="0"/>
                                        <wp:docPr id="166"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98" descr=""/>
                                                <pic:cNvPicPr>
                                                  <a:picLocks noChangeAspect="1" noChangeArrowheads="1"/>
                                                </pic:cNvPicPr>
                                              </pic:nvPicPr>
                                              <pic:blipFill>
                                                <a:blip r:embed="rId99"/>
                                                <a:srcRect l="-5293" t="-5035" r="-5293" b="-5035"/>
                                                <a:stretch>
                                                  <a:fillRect/>
                                                </a:stretch>
                                              </pic:blipFill>
                                              <pic:spPr bwMode="auto">
                                                <a:xfrm>
                                                  <a:off x="0" y="0"/>
                                                  <a:ext cx="190500" cy="200025"/>
                                                </a:xfrm>
                                                <a:prstGeom prst="rect">
                                                  <a:avLst/>
                                                </a:prstGeom>
                                                <a:ln w="635">
                                                  <a:solidFill>
                                                    <a:srgbClr val="000000"/>
                                                  </a:solidFill>
                                                </a:ln>
                                              </pic:spPr>
                                            </pic:pic>
                                          </a:graphicData>
                                        </a:graphic>
                                      </wp:inline>
                                    </w:drawing>
                                  </w:r>
                                </w:p>
                              </w:tc>
                              <w:tc>
                                <w:tcPr>
                                  <w:tcW w:w="3500" w:type="dxa"/>
                                  <w:tcBorders/>
                                  <w:shd w:fill="auto" w:val="clear"/>
                                  <w:vAlign w:val="center"/>
                                </w:tcPr>
                                <w:p>
                                  <w:pPr>
                                    <w:pStyle w:val="TableContents"/>
                                    <w:spacing w:before="0" w:after="283"/>
                                    <w:jc w:val="left"/>
                                    <w:rPr>
                                      <w:rFonts w:ascii="Arial" w:hAnsi="Arial"/>
                                      <w:sz w:val="20"/>
                                    </w:rPr>
                                  </w:pPr>
                                  <w:r>
                                    <w:rPr>
                                      <w:rFonts w:ascii="Arial" w:hAnsi="Arial"/>
                                      <w:sz w:val="20"/>
                                    </w:rPr>
                                    <w:t xml:space="preserve">Consumer Products/Customer-Oriented </w:t>
                                  </w:r>
                                </w:p>
                              </w:tc>
                            </w:tr>
                            <w:tr>
                              <w:trPr/>
                              <w:tc>
                                <w:tcPr>
                                  <w:tcW w:w="315" w:type="dxa"/>
                                  <w:tcBorders/>
                                  <w:shd w:fill="auto" w:val="clear"/>
                                  <w:vAlign w:val="center"/>
                                </w:tcPr>
                                <w:p>
                                  <w:pPr>
                                    <w:pStyle w:val="TableContents"/>
                                    <w:spacing w:before="0" w:after="283"/>
                                    <w:jc w:val="center"/>
                                    <w:rPr/>
                                  </w:pPr>
                                  <w:r>
                                    <w:rPr/>
                                    <w:drawing>
                                      <wp:inline distT="0" distB="0" distL="0" distR="0">
                                        <wp:extent cx="200025" cy="209550"/>
                                        <wp:effectExtent l="0" t="0" r="0" b="0"/>
                                        <wp:docPr id="167"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99" descr=""/>
                                                <pic:cNvPicPr>
                                                  <a:picLocks noChangeAspect="1" noChangeArrowheads="1"/>
                                                </pic:cNvPicPr>
                                              </pic:nvPicPr>
                                              <pic:blipFill>
                                                <a:blip r:embed="rId100"/>
                                                <a:srcRect l="-5035" t="-4810" r="-5035" b="-4810"/>
                                                <a:stretch>
                                                  <a:fillRect/>
                                                </a:stretch>
                                              </pic:blipFill>
                                              <pic:spPr bwMode="auto">
                                                <a:xfrm>
                                                  <a:off x="0" y="0"/>
                                                  <a:ext cx="200025" cy="209550"/>
                                                </a:xfrm>
                                                <a:prstGeom prst="rect">
                                                  <a:avLst/>
                                                </a:prstGeom>
                                                <a:ln w="635">
                                                  <a:solidFill>
                                                    <a:srgbClr val="000000"/>
                                                  </a:solidFill>
                                                </a:ln>
                                              </pic:spPr>
                                            </pic:pic>
                                          </a:graphicData>
                                        </a:graphic>
                                      </wp:inline>
                                    </w:drawing>
                                  </w:r>
                                </w:p>
                              </w:tc>
                              <w:tc>
                                <w:tcPr>
                                  <w:tcW w:w="3500" w:type="dxa"/>
                                  <w:tcBorders/>
                                  <w:shd w:fill="auto" w:val="clear"/>
                                  <w:vAlign w:val="center"/>
                                </w:tcPr>
                                <w:p>
                                  <w:pPr>
                                    <w:pStyle w:val="TableContents"/>
                                    <w:spacing w:before="0" w:after="283"/>
                                    <w:jc w:val="left"/>
                                    <w:rPr>
                                      <w:rFonts w:ascii="Arial" w:hAnsi="Arial"/>
                                      <w:sz w:val="20"/>
                                    </w:rPr>
                                  </w:pPr>
                                  <w:r>
                                    <w:rPr>
                                      <w:rFonts w:ascii="Arial" w:hAnsi="Arial"/>
                                      <w:sz w:val="20"/>
                                    </w:rPr>
                                    <w:t xml:space="preserve">Risk Management Oversight </w:t>
                                  </w:r>
                                </w:p>
                              </w:tc>
                            </w:tr>
                            <w:tr>
                              <w:trPr/>
                              <w:tc>
                                <w:tcPr>
                                  <w:tcW w:w="315" w:type="dxa"/>
                                  <w:tcBorders/>
                                  <w:shd w:fill="auto" w:val="clear"/>
                                  <w:vAlign w:val="center"/>
                                </w:tcPr>
                                <w:p>
                                  <w:pPr>
                                    <w:pStyle w:val="TableContents"/>
                                    <w:spacing w:before="0" w:after="283"/>
                                    <w:jc w:val="center"/>
                                    <w:rPr/>
                                  </w:pPr>
                                  <w:r>
                                    <w:rPr/>
                                    <w:drawing>
                                      <wp:inline distT="0" distB="0" distL="0" distR="0">
                                        <wp:extent cx="180975" cy="200025"/>
                                        <wp:effectExtent l="0" t="0" r="0" b="0"/>
                                        <wp:docPr id="168"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00" descr=""/>
                                                <pic:cNvPicPr>
                                                  <a:picLocks noChangeAspect="1" noChangeArrowheads="1"/>
                                                </pic:cNvPicPr>
                                              </pic:nvPicPr>
                                              <pic:blipFill>
                                                <a:blip r:embed="rId101"/>
                                                <a:srcRect l="-5566" t="-5035" r="-5566" b="-5035"/>
                                                <a:stretch>
                                                  <a:fillRect/>
                                                </a:stretch>
                                              </pic:blipFill>
                                              <pic:spPr bwMode="auto">
                                                <a:xfrm>
                                                  <a:off x="0" y="0"/>
                                                  <a:ext cx="180975" cy="200025"/>
                                                </a:xfrm>
                                                <a:prstGeom prst="rect">
                                                  <a:avLst/>
                                                </a:prstGeom>
                                                <a:ln w="635">
                                                  <a:solidFill>
                                                    <a:srgbClr val="000000"/>
                                                  </a:solidFill>
                                                </a:ln>
                                              </pic:spPr>
                                            </pic:pic>
                                          </a:graphicData>
                                        </a:graphic>
                                      </wp:inline>
                                    </w:drawing>
                                  </w:r>
                                </w:p>
                              </w:tc>
                              <w:tc>
                                <w:tcPr>
                                  <w:tcW w:w="3500" w:type="dxa"/>
                                  <w:tcBorders/>
                                  <w:shd w:fill="auto" w:val="clear"/>
                                  <w:vAlign w:val="center"/>
                                </w:tcPr>
                                <w:p>
                                  <w:pPr>
                                    <w:pStyle w:val="TableContents"/>
                                    <w:spacing w:before="0" w:after="283"/>
                                    <w:jc w:val="left"/>
                                    <w:rPr>
                                      <w:rFonts w:ascii="Arial" w:hAnsi="Arial"/>
                                      <w:sz w:val="20"/>
                                    </w:rPr>
                                  </w:pPr>
                                  <w:r>
                                    <w:rPr>
                                      <w:rFonts w:ascii="Arial" w:hAnsi="Arial"/>
                                      <w:sz w:val="20"/>
                                    </w:rPr>
                                    <w:t>International</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56.2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spacing w:before="0" w:after="0"/>
                        <w:jc w:val="left"/>
                        <w:rPr>
                          <w:rFonts w:ascii="Arial" w:hAnsi="Arial"/>
                          <w:color w:val="00A1E0"/>
                          <w:sz w:val="15"/>
                        </w:rPr>
                      </w:pPr>
                      <w:r>
                        <w:rPr>
                          <w:rFonts w:ascii="Arial" w:hAnsi="Arial"/>
                          <w:color w:val="00A1E0"/>
                          <w:sz w:val="15"/>
                        </w:rPr>
                        <w:t>SKILLS AND QUALIFICATIONS:</w:t>
                      </w:r>
                    </w:p>
                    <w:p>
                      <w:pPr>
                        <w:pStyle w:val="TextBody"/>
                        <w:spacing w:before="0" w:after="0"/>
                        <w:jc w:val="left"/>
                        <w:rPr>
                          <w:rFonts w:ascii="Arial" w:hAnsi="Arial"/>
                          <w:sz w:val="20"/>
                        </w:rPr>
                      </w:pPr>
                      <w:r>
                        <w:rPr>
                          <w:rFonts w:ascii="Arial" w:hAnsi="Arial"/>
                          <w:sz w:val="20"/>
                        </w:rPr>
                        <w:t>We believe that Mr. Roberts’ extensive experience and leadership in the internet, video, phone, media and entertainment and wireless industries, including as our Chairman and Chief Executive Officer and in the oversight of business strategies and risk management efforts, render him qualified to serve as one of our directors.</w:t>
                      </w:r>
                    </w:p>
                    <w:tbl>
                      <w:tblPr>
                        <w:tblW w:w="3815" w:type="dxa"/>
                        <w:jc w:val="left"/>
                        <w:tblInd w:w="0" w:type="dxa"/>
                        <w:tblCellMar>
                          <w:top w:w="0" w:type="dxa"/>
                          <w:left w:w="0" w:type="dxa"/>
                          <w:bottom w:w="0" w:type="dxa"/>
                          <w:right w:w="0" w:type="dxa"/>
                        </w:tblCellMar>
                      </w:tblPr>
                      <w:tblGrid>
                        <w:gridCol w:w="315"/>
                        <w:gridCol w:w="3500"/>
                      </w:tblGrid>
                      <w:tr>
                        <w:trPr/>
                        <w:tc>
                          <w:tcPr>
                            <w:tcW w:w="315" w:type="dxa"/>
                            <w:tcBorders/>
                            <w:shd w:fill="auto" w:val="clear"/>
                            <w:vAlign w:val="center"/>
                          </w:tcPr>
                          <w:p>
                            <w:pPr>
                              <w:pStyle w:val="TableContents"/>
                              <w:spacing w:before="0" w:after="283"/>
                              <w:jc w:val="center"/>
                              <w:rPr/>
                            </w:pPr>
                            <w:r>
                              <w:rPr/>
                              <w:drawing>
                                <wp:inline distT="0" distB="0" distL="0" distR="0">
                                  <wp:extent cx="171450" cy="200025"/>
                                  <wp:effectExtent l="0" t="0" r="0" b="0"/>
                                  <wp:docPr id="169"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96" descr=""/>
                                          <pic:cNvPicPr>
                                            <a:picLocks noChangeAspect="1" noChangeArrowheads="1"/>
                                          </pic:cNvPicPr>
                                        </pic:nvPicPr>
                                        <pic:blipFill>
                                          <a:blip r:embed="rId97"/>
                                          <a:srcRect l="-5882" t="-5035" r="-5882" b="-5035"/>
                                          <a:stretch>
                                            <a:fillRect/>
                                          </a:stretch>
                                        </pic:blipFill>
                                        <pic:spPr bwMode="auto">
                                          <a:xfrm>
                                            <a:off x="0" y="0"/>
                                            <a:ext cx="171450" cy="200025"/>
                                          </a:xfrm>
                                          <a:prstGeom prst="rect">
                                            <a:avLst/>
                                          </a:prstGeom>
                                          <a:ln w="635">
                                            <a:solidFill>
                                              <a:srgbClr val="000000"/>
                                            </a:solidFill>
                                          </a:ln>
                                        </pic:spPr>
                                      </pic:pic>
                                    </a:graphicData>
                                  </a:graphic>
                                </wp:inline>
                              </w:drawing>
                            </w:r>
                          </w:p>
                        </w:tc>
                        <w:tc>
                          <w:tcPr>
                            <w:tcW w:w="3500" w:type="dxa"/>
                            <w:tcBorders/>
                            <w:shd w:fill="auto" w:val="clear"/>
                            <w:vAlign w:val="center"/>
                          </w:tcPr>
                          <w:p>
                            <w:pPr>
                              <w:pStyle w:val="TableContents"/>
                              <w:spacing w:before="0" w:after="283"/>
                              <w:jc w:val="left"/>
                              <w:rPr>
                                <w:rFonts w:ascii="Arial" w:hAnsi="Arial"/>
                                <w:sz w:val="20"/>
                              </w:rPr>
                            </w:pPr>
                            <w:r>
                              <w:rPr>
                                <w:rFonts w:ascii="Arial" w:hAnsi="Arial"/>
                                <w:sz w:val="20"/>
                              </w:rPr>
                              <w:t xml:space="preserve">Executive Leadership </w:t>
                            </w:r>
                          </w:p>
                        </w:tc>
                      </w:tr>
                      <w:tr>
                        <w:trPr/>
                        <w:tc>
                          <w:tcPr>
                            <w:tcW w:w="315" w:type="dxa"/>
                            <w:tcBorders/>
                            <w:shd w:fill="auto" w:val="clear"/>
                            <w:vAlign w:val="center"/>
                          </w:tcPr>
                          <w:p>
                            <w:pPr>
                              <w:pStyle w:val="TableContents"/>
                              <w:spacing w:before="0" w:after="283"/>
                              <w:jc w:val="center"/>
                              <w:rPr/>
                            </w:pPr>
                            <w:r>
                              <w:rPr/>
                              <w:drawing>
                                <wp:inline distT="0" distB="0" distL="0" distR="0">
                                  <wp:extent cx="190500" cy="133350"/>
                                  <wp:effectExtent l="0" t="0" r="0" b="0"/>
                                  <wp:docPr id="170"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97" descr=""/>
                                          <pic:cNvPicPr>
                                            <a:picLocks noChangeAspect="1" noChangeArrowheads="1"/>
                                          </pic:cNvPicPr>
                                        </pic:nvPicPr>
                                        <pic:blipFill>
                                          <a:blip r:embed="rId98"/>
                                          <a:srcRect l="-5293" t="-7567" r="-5293" b="-7567"/>
                                          <a:stretch>
                                            <a:fillRect/>
                                          </a:stretch>
                                        </pic:blipFill>
                                        <pic:spPr bwMode="auto">
                                          <a:xfrm>
                                            <a:off x="0" y="0"/>
                                            <a:ext cx="190500" cy="133350"/>
                                          </a:xfrm>
                                          <a:prstGeom prst="rect">
                                            <a:avLst/>
                                          </a:prstGeom>
                                          <a:ln w="635">
                                            <a:solidFill>
                                              <a:srgbClr val="000000"/>
                                            </a:solidFill>
                                          </a:ln>
                                        </pic:spPr>
                                      </pic:pic>
                                    </a:graphicData>
                                  </a:graphic>
                                </wp:inline>
                              </w:drawing>
                            </w:r>
                          </w:p>
                        </w:tc>
                        <w:tc>
                          <w:tcPr>
                            <w:tcW w:w="3500" w:type="dxa"/>
                            <w:tcBorders/>
                            <w:shd w:fill="auto" w:val="clear"/>
                            <w:vAlign w:val="center"/>
                          </w:tcPr>
                          <w:p>
                            <w:pPr>
                              <w:pStyle w:val="TableContents"/>
                              <w:spacing w:before="0" w:after="283"/>
                              <w:jc w:val="left"/>
                              <w:rPr>
                                <w:rFonts w:ascii="Arial" w:hAnsi="Arial"/>
                                <w:sz w:val="20"/>
                              </w:rPr>
                            </w:pPr>
                            <w:r>
                              <w:rPr>
                                <w:rFonts w:ascii="Arial" w:hAnsi="Arial"/>
                                <w:sz w:val="20"/>
                              </w:rPr>
                              <w:t>Relevant Industry Experience</w:t>
                            </w:r>
                          </w:p>
                        </w:tc>
                      </w:tr>
                      <w:tr>
                        <w:trPr/>
                        <w:tc>
                          <w:tcPr>
                            <w:tcW w:w="315" w:type="dxa"/>
                            <w:tcBorders/>
                            <w:shd w:fill="auto" w:val="clear"/>
                            <w:vAlign w:val="center"/>
                          </w:tcPr>
                          <w:p>
                            <w:pPr>
                              <w:pStyle w:val="TableContents"/>
                              <w:spacing w:before="0" w:after="283"/>
                              <w:jc w:val="center"/>
                              <w:rPr/>
                            </w:pPr>
                            <w:r>
                              <w:rPr/>
                              <w:drawing>
                                <wp:inline distT="0" distB="0" distL="0" distR="0">
                                  <wp:extent cx="190500" cy="200025"/>
                                  <wp:effectExtent l="0" t="0" r="0" b="0"/>
                                  <wp:docPr id="171"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98" descr=""/>
                                          <pic:cNvPicPr>
                                            <a:picLocks noChangeAspect="1" noChangeArrowheads="1"/>
                                          </pic:cNvPicPr>
                                        </pic:nvPicPr>
                                        <pic:blipFill>
                                          <a:blip r:embed="rId99"/>
                                          <a:srcRect l="-5293" t="-5035" r="-5293" b="-5035"/>
                                          <a:stretch>
                                            <a:fillRect/>
                                          </a:stretch>
                                        </pic:blipFill>
                                        <pic:spPr bwMode="auto">
                                          <a:xfrm>
                                            <a:off x="0" y="0"/>
                                            <a:ext cx="190500" cy="200025"/>
                                          </a:xfrm>
                                          <a:prstGeom prst="rect">
                                            <a:avLst/>
                                          </a:prstGeom>
                                          <a:ln w="635">
                                            <a:solidFill>
                                              <a:srgbClr val="000000"/>
                                            </a:solidFill>
                                          </a:ln>
                                        </pic:spPr>
                                      </pic:pic>
                                    </a:graphicData>
                                  </a:graphic>
                                </wp:inline>
                              </w:drawing>
                            </w:r>
                          </w:p>
                        </w:tc>
                        <w:tc>
                          <w:tcPr>
                            <w:tcW w:w="3500" w:type="dxa"/>
                            <w:tcBorders/>
                            <w:shd w:fill="auto" w:val="clear"/>
                            <w:vAlign w:val="center"/>
                          </w:tcPr>
                          <w:p>
                            <w:pPr>
                              <w:pStyle w:val="TableContents"/>
                              <w:spacing w:before="0" w:after="283"/>
                              <w:jc w:val="left"/>
                              <w:rPr>
                                <w:rFonts w:ascii="Arial" w:hAnsi="Arial"/>
                                <w:sz w:val="20"/>
                              </w:rPr>
                            </w:pPr>
                            <w:r>
                              <w:rPr>
                                <w:rFonts w:ascii="Arial" w:hAnsi="Arial"/>
                                <w:sz w:val="20"/>
                              </w:rPr>
                              <w:t xml:space="preserve">Consumer Products/Customer-Oriented </w:t>
                            </w:r>
                          </w:p>
                        </w:tc>
                      </w:tr>
                      <w:tr>
                        <w:trPr/>
                        <w:tc>
                          <w:tcPr>
                            <w:tcW w:w="315" w:type="dxa"/>
                            <w:tcBorders/>
                            <w:shd w:fill="auto" w:val="clear"/>
                            <w:vAlign w:val="center"/>
                          </w:tcPr>
                          <w:p>
                            <w:pPr>
                              <w:pStyle w:val="TableContents"/>
                              <w:spacing w:before="0" w:after="283"/>
                              <w:jc w:val="center"/>
                              <w:rPr/>
                            </w:pPr>
                            <w:r>
                              <w:rPr/>
                              <w:drawing>
                                <wp:inline distT="0" distB="0" distL="0" distR="0">
                                  <wp:extent cx="200025" cy="209550"/>
                                  <wp:effectExtent l="0" t="0" r="0" b="0"/>
                                  <wp:docPr id="172"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99" descr=""/>
                                          <pic:cNvPicPr>
                                            <a:picLocks noChangeAspect="1" noChangeArrowheads="1"/>
                                          </pic:cNvPicPr>
                                        </pic:nvPicPr>
                                        <pic:blipFill>
                                          <a:blip r:embed="rId100"/>
                                          <a:srcRect l="-5035" t="-4810" r="-5035" b="-4810"/>
                                          <a:stretch>
                                            <a:fillRect/>
                                          </a:stretch>
                                        </pic:blipFill>
                                        <pic:spPr bwMode="auto">
                                          <a:xfrm>
                                            <a:off x="0" y="0"/>
                                            <a:ext cx="200025" cy="209550"/>
                                          </a:xfrm>
                                          <a:prstGeom prst="rect">
                                            <a:avLst/>
                                          </a:prstGeom>
                                          <a:ln w="635">
                                            <a:solidFill>
                                              <a:srgbClr val="000000"/>
                                            </a:solidFill>
                                          </a:ln>
                                        </pic:spPr>
                                      </pic:pic>
                                    </a:graphicData>
                                  </a:graphic>
                                </wp:inline>
                              </w:drawing>
                            </w:r>
                          </w:p>
                        </w:tc>
                        <w:tc>
                          <w:tcPr>
                            <w:tcW w:w="3500" w:type="dxa"/>
                            <w:tcBorders/>
                            <w:shd w:fill="auto" w:val="clear"/>
                            <w:vAlign w:val="center"/>
                          </w:tcPr>
                          <w:p>
                            <w:pPr>
                              <w:pStyle w:val="TableContents"/>
                              <w:spacing w:before="0" w:after="283"/>
                              <w:jc w:val="left"/>
                              <w:rPr>
                                <w:rFonts w:ascii="Arial" w:hAnsi="Arial"/>
                                <w:sz w:val="20"/>
                              </w:rPr>
                            </w:pPr>
                            <w:r>
                              <w:rPr>
                                <w:rFonts w:ascii="Arial" w:hAnsi="Arial"/>
                                <w:sz w:val="20"/>
                              </w:rPr>
                              <w:t xml:space="preserve">Risk Management Oversight </w:t>
                            </w:r>
                          </w:p>
                        </w:tc>
                      </w:tr>
                      <w:tr>
                        <w:trPr/>
                        <w:tc>
                          <w:tcPr>
                            <w:tcW w:w="315" w:type="dxa"/>
                            <w:tcBorders/>
                            <w:shd w:fill="auto" w:val="clear"/>
                            <w:vAlign w:val="center"/>
                          </w:tcPr>
                          <w:p>
                            <w:pPr>
                              <w:pStyle w:val="TableContents"/>
                              <w:spacing w:before="0" w:after="283"/>
                              <w:jc w:val="center"/>
                              <w:rPr/>
                            </w:pPr>
                            <w:r>
                              <w:rPr/>
                              <w:drawing>
                                <wp:inline distT="0" distB="0" distL="0" distR="0">
                                  <wp:extent cx="180975" cy="200025"/>
                                  <wp:effectExtent l="0" t="0" r="0" b="0"/>
                                  <wp:docPr id="173"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00" descr=""/>
                                          <pic:cNvPicPr>
                                            <a:picLocks noChangeAspect="1" noChangeArrowheads="1"/>
                                          </pic:cNvPicPr>
                                        </pic:nvPicPr>
                                        <pic:blipFill>
                                          <a:blip r:embed="rId101"/>
                                          <a:srcRect l="-5566" t="-5035" r="-5566" b="-5035"/>
                                          <a:stretch>
                                            <a:fillRect/>
                                          </a:stretch>
                                        </pic:blipFill>
                                        <pic:spPr bwMode="auto">
                                          <a:xfrm>
                                            <a:off x="0" y="0"/>
                                            <a:ext cx="180975" cy="200025"/>
                                          </a:xfrm>
                                          <a:prstGeom prst="rect">
                                            <a:avLst/>
                                          </a:prstGeom>
                                          <a:ln w="635">
                                            <a:solidFill>
                                              <a:srgbClr val="000000"/>
                                            </a:solidFill>
                                          </a:ln>
                                        </pic:spPr>
                                      </pic:pic>
                                    </a:graphicData>
                                  </a:graphic>
                                </wp:inline>
                              </w:drawing>
                            </w:r>
                          </w:p>
                        </w:tc>
                        <w:tc>
                          <w:tcPr>
                            <w:tcW w:w="3500" w:type="dxa"/>
                            <w:tcBorders/>
                            <w:shd w:fill="auto" w:val="clear"/>
                            <w:vAlign w:val="center"/>
                          </w:tcPr>
                          <w:p>
                            <w:pPr>
                              <w:pStyle w:val="TableContents"/>
                              <w:spacing w:before="0" w:after="283"/>
                              <w:jc w:val="left"/>
                              <w:rPr>
                                <w:rFonts w:ascii="Arial" w:hAnsi="Arial"/>
                                <w:sz w:val="20"/>
                              </w:rPr>
                            </w:pPr>
                            <w:r>
                              <w:rPr>
                                <w:rFonts w:ascii="Arial" w:hAnsi="Arial"/>
                                <w:sz w:val="20"/>
                              </w:rPr>
                              <w:t>International</w:t>
                            </w:r>
                          </w:p>
                        </w:tc>
                      </w:tr>
                    </w:tbl>
                    <w:p>
                      <w:pPr>
                        <w:pStyle w:val="TextBody"/>
                        <w:spacing w:before="0" w:after="283"/>
                        <w:rPr/>
                      </w:pPr>
                      <w:r>
                        <w:rPr/>
                      </w:r>
                    </w:p>
                  </w:txbxContent>
                </v:textbox>
                <w10:wrap type="square" side="left"/>
              </v:rect>
            </w:pict>
          </mc:Fallback>
        </mc:AlternateContent>
      </w:r>
      <w:r>
        <mc:AlternateContent>
          <mc:Choice Requires="wps">
            <w:drawing>
              <wp:anchor behindDoc="0" distT="0" distB="0" distL="0" distR="0" simplePos="0" locked="0" layoutInCell="1" allowOverlap="1" relativeHeight="66">
                <wp:simplePos x="0" y="0"/>
                <wp:positionH relativeFrom="column">
                  <wp:align>left</wp:align>
                </wp:positionH>
                <wp:positionV relativeFrom="line">
                  <wp:posOffset>635</wp:posOffset>
                </wp:positionV>
                <wp:extent cx="3110230" cy="2493645"/>
                <wp:effectExtent l="0" t="0" r="0" b="0"/>
                <wp:wrapSquare wrapText="largest"/>
                <wp:docPr id="174" name="Frame21"/>
                <a:graphic xmlns:a="http://schemas.openxmlformats.org/drawingml/2006/main">
                  <a:graphicData uri="http://schemas.microsoft.com/office/word/2010/wordprocessingShape">
                    <wps:wsp>
                      <wps:cNvSpPr txBox="1"/>
                      <wps:spPr>
                        <a:xfrm>
                          <a:off x="0" y="0"/>
                          <a:ext cx="3110230" cy="2493645"/>
                        </a:xfrm>
                        <a:prstGeom prst="rect"/>
                      </wps:spPr>
                      <wps:txbx>
                        <w:txbxContent>
                          <w:p>
                            <w:pPr>
                              <w:pStyle w:val="TextBody"/>
                              <w:spacing w:before="0" w:after="0"/>
                              <w:jc w:val="left"/>
                              <w:rPr>
                                <w:rFonts w:ascii="Arial" w:hAnsi="Arial"/>
                                <w:color w:val="00A1E0"/>
                                <w:sz w:val="15"/>
                              </w:rPr>
                            </w:pPr>
                            <w:r>
                              <w:rPr>
                                <w:rFonts w:ascii="Arial" w:hAnsi="Arial"/>
                                <w:color w:val="00A1E0"/>
                                <w:sz w:val="15"/>
                              </w:rPr>
                              <w:t>CAREER HIGHLIGHTS:</w:t>
                            </w:r>
                          </w:p>
                          <w:tbl>
                            <w:tblPr>
                              <w:tblW w:w="8590" w:type="dxa"/>
                              <w:jc w:val="left"/>
                              <w:tblInd w:w="0" w:type="dxa"/>
                              <w:tblCellMar>
                                <w:top w:w="0" w:type="dxa"/>
                                <w:left w:w="0" w:type="dxa"/>
                                <w:bottom w:w="0" w:type="dxa"/>
                                <w:right w:w="0" w:type="dxa"/>
                              </w:tblCellMar>
                            </w:tblPr>
                            <w:tblGrid>
                              <w:gridCol w:w="170"/>
                              <w:gridCol w:w="8420"/>
                            </w:tblGrid>
                            <w:tr>
                              <w:trPr/>
                              <w:tc>
                                <w:tcPr>
                                  <w:tcW w:w="170" w:type="dxa"/>
                                  <w:tcBorders/>
                                  <w:shd w:fill="auto" w:val="clear"/>
                                  <w:vAlign w:val="center"/>
                                </w:tcPr>
                                <w:p>
                                  <w:pPr>
                                    <w:pStyle w:val="TableContents"/>
                                    <w:spacing w:before="0" w:after="283"/>
                                    <w:rPr>
                                      <w:color w:val="00A1E0"/>
                                    </w:rPr>
                                  </w:pPr>
                                  <w:r>
                                    <w:rPr>
                                      <w:color w:val="00A1E0"/>
                                    </w:rPr>
                                    <w:t>●</w:t>
                                  </w:r>
                                </w:p>
                              </w:tc>
                              <w:tc>
                                <w:tcPr>
                                  <w:tcW w:w="8420" w:type="dxa"/>
                                  <w:tcBorders/>
                                  <w:shd w:fill="auto" w:val="clear"/>
                                  <w:vAlign w:val="center"/>
                                </w:tcPr>
                                <w:p>
                                  <w:pPr>
                                    <w:pStyle w:val="TableContents"/>
                                    <w:spacing w:before="0" w:after="283"/>
                                    <w:rPr/>
                                  </w:pPr>
                                  <w:r>
                                    <w:rPr/>
                                    <w:t>Chairman of the Board, Comcast, 2004 – Present</w:t>
                                  </w:r>
                                </w:p>
                              </w:tc>
                            </w:tr>
                            <w:tr>
                              <w:trPr/>
                              <w:tc>
                                <w:tcPr>
                                  <w:tcW w:w="170" w:type="dxa"/>
                                  <w:tcBorders/>
                                  <w:shd w:fill="auto" w:val="clear"/>
                                  <w:vAlign w:val="center"/>
                                </w:tcPr>
                                <w:p>
                                  <w:pPr>
                                    <w:pStyle w:val="TableContents"/>
                                    <w:spacing w:before="0" w:after="283"/>
                                    <w:rPr>
                                      <w:color w:val="00A1E0"/>
                                    </w:rPr>
                                  </w:pPr>
                                  <w:r>
                                    <w:rPr>
                                      <w:color w:val="00A1E0"/>
                                    </w:rPr>
                                    <w:t>●</w:t>
                                  </w:r>
                                </w:p>
                              </w:tc>
                              <w:tc>
                                <w:tcPr>
                                  <w:tcW w:w="8420" w:type="dxa"/>
                                  <w:tcBorders/>
                                  <w:shd w:fill="auto" w:val="clear"/>
                                  <w:vAlign w:val="center"/>
                                </w:tcPr>
                                <w:p>
                                  <w:pPr>
                                    <w:pStyle w:val="TableContents"/>
                                    <w:spacing w:before="0" w:after="283"/>
                                    <w:rPr/>
                                  </w:pPr>
                                  <w:r>
                                    <w:rPr/>
                                    <w:t>Chief Executive Officer, Comcast, 2002 – Present</w:t>
                                  </w:r>
                                </w:p>
                              </w:tc>
                            </w:tr>
                            <w:tr>
                              <w:trPr/>
                              <w:tc>
                                <w:tcPr>
                                  <w:tcW w:w="170" w:type="dxa"/>
                                  <w:tcBorders/>
                                  <w:shd w:fill="auto" w:val="clear"/>
                                  <w:vAlign w:val="center"/>
                                </w:tcPr>
                                <w:p>
                                  <w:pPr>
                                    <w:pStyle w:val="TableContents"/>
                                    <w:spacing w:before="0" w:after="283"/>
                                    <w:rPr>
                                      <w:color w:val="00A1E0"/>
                                    </w:rPr>
                                  </w:pPr>
                                  <w:r>
                                    <w:rPr>
                                      <w:color w:val="00A1E0"/>
                                    </w:rPr>
                                    <w:t>●</w:t>
                                  </w:r>
                                </w:p>
                              </w:tc>
                              <w:tc>
                                <w:tcPr>
                                  <w:tcW w:w="8420" w:type="dxa"/>
                                  <w:tcBorders/>
                                  <w:shd w:fill="auto" w:val="clear"/>
                                  <w:vAlign w:val="center"/>
                                </w:tcPr>
                                <w:p>
                                  <w:pPr>
                                    <w:pStyle w:val="TableContents"/>
                                    <w:spacing w:before="0" w:after="283"/>
                                    <w:rPr/>
                                  </w:pPr>
                                  <w:r>
                                    <w:rPr/>
                                    <w:t>President, Comcast, 1990 – 2022</w:t>
                                  </w:r>
                                </w:p>
                              </w:tc>
                            </w:tr>
                            <w:tr>
                              <w:trPr/>
                              <w:tc>
                                <w:tcPr>
                                  <w:tcW w:w="170" w:type="dxa"/>
                                  <w:tcBorders/>
                                  <w:shd w:fill="auto" w:val="clear"/>
                                  <w:vAlign w:val="center"/>
                                </w:tcPr>
                                <w:p>
                                  <w:pPr>
                                    <w:pStyle w:val="TableContents"/>
                                    <w:spacing w:before="0" w:after="283"/>
                                    <w:rPr>
                                      <w:color w:val="00A1E0"/>
                                    </w:rPr>
                                  </w:pPr>
                                  <w:r>
                                    <w:rPr>
                                      <w:color w:val="00A1E0"/>
                                    </w:rPr>
                                    <w:t>●</w:t>
                                  </w:r>
                                </w:p>
                              </w:tc>
                              <w:tc>
                                <w:tcPr>
                                  <w:tcW w:w="8420" w:type="dxa"/>
                                  <w:tcBorders/>
                                  <w:shd w:fill="auto" w:val="clear"/>
                                  <w:vAlign w:val="center"/>
                                </w:tcPr>
                                <w:p>
                                  <w:pPr>
                                    <w:pStyle w:val="TableContents"/>
                                    <w:spacing w:before="0" w:after="283"/>
                                    <w:rPr/>
                                  </w:pPr>
                                  <w:r>
                                    <w:rPr/>
                                    <w:t>Director Emeritus, CableLabs, the cable industry’s research and development consortium</w:t>
                                  </w:r>
                                </w:p>
                              </w:tc>
                            </w:tr>
                          </w:tbl>
                          <w:p>
                            <w:pPr>
                              <w:pStyle w:val="TextBody"/>
                              <w:spacing w:before="0" w:after="0"/>
                              <w:rPr/>
                            </w:pPr>
                            <w:r>
                              <w:rPr/>
                            </w:r>
                          </w:p>
                          <w:p>
                            <w:pPr>
                              <w:pStyle w:val="TextBody"/>
                              <w:spacing w:before="0" w:after="0"/>
                              <w:jc w:val="left"/>
                              <w:rPr/>
                            </w:pPr>
                            <w:r>
                              <w:rPr>
                                <w:rFonts w:ascii="arial" w:hAnsi="arial"/>
                                <w:sz w:val="20"/>
                              </w:rPr>
                              <w:t>As of December 31, 2022, Mr. Roberts, through his ownership of our Class B common stock, had sole voting power over 33 1/3% of the combined voting power of our two classes of voting common stock.</w:t>
                            </w:r>
                            <w:r>
                              <w:rPr/>
                              <w:t xml:space="preserv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9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left"/>
                        <w:rPr>
                          <w:rFonts w:ascii="Arial" w:hAnsi="Arial"/>
                          <w:color w:val="00A1E0"/>
                          <w:sz w:val="15"/>
                        </w:rPr>
                      </w:pPr>
                      <w:r>
                        <w:rPr>
                          <w:rFonts w:ascii="Arial" w:hAnsi="Arial"/>
                          <w:color w:val="00A1E0"/>
                          <w:sz w:val="15"/>
                        </w:rPr>
                        <w:t>CAREER HIGHLIGHTS:</w:t>
                      </w:r>
                    </w:p>
                    <w:tbl>
                      <w:tblPr>
                        <w:tblW w:w="8590" w:type="dxa"/>
                        <w:jc w:val="left"/>
                        <w:tblInd w:w="0" w:type="dxa"/>
                        <w:tblCellMar>
                          <w:top w:w="0" w:type="dxa"/>
                          <w:left w:w="0" w:type="dxa"/>
                          <w:bottom w:w="0" w:type="dxa"/>
                          <w:right w:w="0" w:type="dxa"/>
                        </w:tblCellMar>
                      </w:tblPr>
                      <w:tblGrid>
                        <w:gridCol w:w="170"/>
                        <w:gridCol w:w="8420"/>
                      </w:tblGrid>
                      <w:tr>
                        <w:trPr/>
                        <w:tc>
                          <w:tcPr>
                            <w:tcW w:w="170" w:type="dxa"/>
                            <w:tcBorders/>
                            <w:shd w:fill="auto" w:val="clear"/>
                            <w:vAlign w:val="center"/>
                          </w:tcPr>
                          <w:p>
                            <w:pPr>
                              <w:pStyle w:val="TableContents"/>
                              <w:spacing w:before="0" w:after="283"/>
                              <w:rPr>
                                <w:color w:val="00A1E0"/>
                              </w:rPr>
                            </w:pPr>
                            <w:r>
                              <w:rPr>
                                <w:color w:val="00A1E0"/>
                              </w:rPr>
                              <w:t>●</w:t>
                            </w:r>
                          </w:p>
                        </w:tc>
                        <w:tc>
                          <w:tcPr>
                            <w:tcW w:w="8420" w:type="dxa"/>
                            <w:tcBorders/>
                            <w:shd w:fill="auto" w:val="clear"/>
                            <w:vAlign w:val="center"/>
                          </w:tcPr>
                          <w:p>
                            <w:pPr>
                              <w:pStyle w:val="TableContents"/>
                              <w:spacing w:before="0" w:after="283"/>
                              <w:rPr/>
                            </w:pPr>
                            <w:r>
                              <w:rPr/>
                              <w:t>Chairman of the Board, Comcast, 2004 – Present</w:t>
                            </w:r>
                          </w:p>
                        </w:tc>
                      </w:tr>
                      <w:tr>
                        <w:trPr/>
                        <w:tc>
                          <w:tcPr>
                            <w:tcW w:w="170" w:type="dxa"/>
                            <w:tcBorders/>
                            <w:shd w:fill="auto" w:val="clear"/>
                            <w:vAlign w:val="center"/>
                          </w:tcPr>
                          <w:p>
                            <w:pPr>
                              <w:pStyle w:val="TableContents"/>
                              <w:spacing w:before="0" w:after="283"/>
                              <w:rPr>
                                <w:color w:val="00A1E0"/>
                              </w:rPr>
                            </w:pPr>
                            <w:r>
                              <w:rPr>
                                <w:color w:val="00A1E0"/>
                              </w:rPr>
                              <w:t>●</w:t>
                            </w:r>
                          </w:p>
                        </w:tc>
                        <w:tc>
                          <w:tcPr>
                            <w:tcW w:w="8420" w:type="dxa"/>
                            <w:tcBorders/>
                            <w:shd w:fill="auto" w:val="clear"/>
                            <w:vAlign w:val="center"/>
                          </w:tcPr>
                          <w:p>
                            <w:pPr>
                              <w:pStyle w:val="TableContents"/>
                              <w:spacing w:before="0" w:after="283"/>
                              <w:rPr/>
                            </w:pPr>
                            <w:r>
                              <w:rPr/>
                              <w:t>Chief Executive Officer, Comcast, 2002 – Present</w:t>
                            </w:r>
                          </w:p>
                        </w:tc>
                      </w:tr>
                      <w:tr>
                        <w:trPr/>
                        <w:tc>
                          <w:tcPr>
                            <w:tcW w:w="170" w:type="dxa"/>
                            <w:tcBorders/>
                            <w:shd w:fill="auto" w:val="clear"/>
                            <w:vAlign w:val="center"/>
                          </w:tcPr>
                          <w:p>
                            <w:pPr>
                              <w:pStyle w:val="TableContents"/>
                              <w:spacing w:before="0" w:after="283"/>
                              <w:rPr>
                                <w:color w:val="00A1E0"/>
                              </w:rPr>
                            </w:pPr>
                            <w:r>
                              <w:rPr>
                                <w:color w:val="00A1E0"/>
                              </w:rPr>
                              <w:t>●</w:t>
                            </w:r>
                          </w:p>
                        </w:tc>
                        <w:tc>
                          <w:tcPr>
                            <w:tcW w:w="8420" w:type="dxa"/>
                            <w:tcBorders/>
                            <w:shd w:fill="auto" w:val="clear"/>
                            <w:vAlign w:val="center"/>
                          </w:tcPr>
                          <w:p>
                            <w:pPr>
                              <w:pStyle w:val="TableContents"/>
                              <w:spacing w:before="0" w:after="283"/>
                              <w:rPr/>
                            </w:pPr>
                            <w:r>
                              <w:rPr/>
                              <w:t>President, Comcast, 1990 – 2022</w:t>
                            </w:r>
                          </w:p>
                        </w:tc>
                      </w:tr>
                      <w:tr>
                        <w:trPr/>
                        <w:tc>
                          <w:tcPr>
                            <w:tcW w:w="170" w:type="dxa"/>
                            <w:tcBorders/>
                            <w:shd w:fill="auto" w:val="clear"/>
                            <w:vAlign w:val="center"/>
                          </w:tcPr>
                          <w:p>
                            <w:pPr>
                              <w:pStyle w:val="TableContents"/>
                              <w:spacing w:before="0" w:after="283"/>
                              <w:rPr>
                                <w:color w:val="00A1E0"/>
                              </w:rPr>
                            </w:pPr>
                            <w:r>
                              <w:rPr>
                                <w:color w:val="00A1E0"/>
                              </w:rPr>
                              <w:t>●</w:t>
                            </w:r>
                          </w:p>
                        </w:tc>
                        <w:tc>
                          <w:tcPr>
                            <w:tcW w:w="8420" w:type="dxa"/>
                            <w:tcBorders/>
                            <w:shd w:fill="auto" w:val="clear"/>
                            <w:vAlign w:val="center"/>
                          </w:tcPr>
                          <w:p>
                            <w:pPr>
                              <w:pStyle w:val="TableContents"/>
                              <w:spacing w:before="0" w:after="283"/>
                              <w:rPr/>
                            </w:pPr>
                            <w:r>
                              <w:rPr/>
                              <w:t>Director Emeritus, CableLabs, the cable industry’s research and development consortium</w:t>
                            </w:r>
                          </w:p>
                        </w:tc>
                      </w:tr>
                    </w:tbl>
                    <w:p>
                      <w:pPr>
                        <w:pStyle w:val="TextBody"/>
                        <w:spacing w:before="0" w:after="0"/>
                        <w:rPr/>
                      </w:pPr>
                      <w:r>
                        <w:rPr/>
                      </w:r>
                    </w:p>
                    <w:p>
                      <w:pPr>
                        <w:pStyle w:val="TextBody"/>
                        <w:spacing w:before="0" w:after="0"/>
                        <w:jc w:val="left"/>
                        <w:rPr/>
                      </w:pPr>
                      <w:r>
                        <w:rPr>
                          <w:rFonts w:ascii="arial" w:hAnsi="arial"/>
                          <w:sz w:val="20"/>
                        </w:rPr>
                        <w:t>As of December 31, 2022, Mr. Roberts, through his ownership of our Class B common stock, had sole voting power over 33 1/3% of the combined voting power of our two classes of voting common stock.</w:t>
                      </w:r>
                      <w:r>
                        <w:rPr/>
                        <w:t xml:space="preserve"> </w:t>
                      </w:r>
                    </w:p>
                  </w:txbxContent>
                </v:textbox>
                <w10:wrap type="square" side="right"/>
              </v:rect>
            </w:pict>
          </mc:Fallback>
        </mc:AlternateContent>
      </w:r>
    </w:p>
    <w:tbl>
      <w:tblPr>
        <w:tblW w:w="2095" w:type="dxa"/>
        <w:jc w:val="left"/>
        <w:tblInd w:w="0" w:type="dxa"/>
        <w:tblCellMar>
          <w:top w:w="0" w:type="dxa"/>
          <w:left w:w="0" w:type="dxa"/>
          <w:bottom w:w="0" w:type="dxa"/>
          <w:right w:w="0" w:type="dxa"/>
        </w:tblCellMar>
      </w:tblPr>
      <w:tblGrid>
        <w:gridCol w:w="1895"/>
        <w:gridCol w:w="200"/>
      </w:tblGrid>
      <w:tr>
        <w:trPr/>
        <w:tc>
          <w:tcPr>
            <w:tcW w:w="1895" w:type="dxa"/>
            <w:tcBorders/>
            <w:shd w:fill="auto" w:val="clear"/>
            <w:vAlign w:val="center"/>
          </w:tcPr>
          <w:p>
            <w:pPr>
              <w:pStyle w:val="TableContents"/>
              <w:spacing w:before="0" w:after="283"/>
              <w:jc w:val="right"/>
              <w:rPr>
                <w:rFonts w:ascii="Arial" w:hAnsi="Arial"/>
                <w:sz w:val="15"/>
              </w:rPr>
            </w:pPr>
            <w:r>
              <w:rPr>
                <w:rFonts w:ascii="Arial" w:hAnsi="Arial"/>
                <w:sz w:val="15"/>
              </w:rPr>
              <w:t>2023 Proxy Statement       </w:t>
            </w:r>
          </w:p>
        </w:tc>
        <w:tc>
          <w:tcPr>
            <w:tcW w:w="200" w:type="dxa"/>
            <w:tcBorders/>
            <w:shd w:fill="auto" w:val="clear"/>
            <w:vAlign w:val="center"/>
          </w:tcPr>
          <w:p>
            <w:pPr>
              <w:pStyle w:val="TableContents"/>
              <w:spacing w:before="0" w:after="283"/>
              <w:jc w:val="left"/>
              <w:rPr/>
            </w:pPr>
            <w:r>
              <w:rPr>
                <w:rStyle w:val="StrongEmphasis"/>
                <w:rFonts w:ascii="Arial" w:hAnsi="Arial"/>
                <w:sz w:val="15"/>
              </w:rPr>
              <w:t>19</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p>
      <w:pPr>
        <w:pStyle w:val="TextBody"/>
        <w:jc w:val="left"/>
        <w:rPr>
          <w:rFonts w:ascii="Arial" w:hAnsi="Arial"/>
          <w:sz w:val="28"/>
        </w:rPr>
      </w:pPr>
      <w:r>
        <w:rPr>
          <w:rFonts w:ascii="Arial" w:hAnsi="Arial"/>
          <w:sz w:val="28"/>
        </w:rPr>
        <w:t>Independence Determinations</w:t>
      </w:r>
    </w:p>
    <w:p>
      <w:pPr>
        <w:pStyle w:val="TextBody"/>
        <w:jc w:val="left"/>
        <w:rPr/>
      </w:pPr>
      <w:r>
        <w:rPr>
          <w:rFonts w:ascii="Arial" w:hAnsi="Arial"/>
          <w:sz w:val="20"/>
        </w:rPr>
        <w:t xml:space="preserve">Our Board has determined that each of our nine nonemployee directors is independent in accordance with the director independence definition specified in our corporate governance guidelines, which are posted under “Corporate Governance” in the Investors section of our website at </w:t>
      </w:r>
      <w:r>
        <w:rPr>
          <w:rFonts w:ascii="Arial" w:hAnsi="Arial"/>
          <w:i/>
          <w:sz w:val="20"/>
        </w:rPr>
        <w:t>www.cmcsa.com</w:t>
      </w:r>
      <w:r>
        <w:rPr>
          <w:rFonts w:ascii="Arial" w:hAnsi="Arial"/>
          <w:sz w:val="20"/>
        </w:rPr>
        <w:t>, and in accordance with the applicable rules of The Nasdaq Stock Market LLC (“Nasdaq”). In making its independence determinations, our Board considered transactions and relationships between each director or any member of his or her immediate family and us, including those reported under “Related Party Transactions Policy and Certain Transactions” below. The Board also considered that in the ordinary course of business we have, during the current year and the past three fiscal years, sold products and services to, purchased products and services from, and/or made charitable donations (including by certain of our executive officers) to companies and organizations at which certain of our directors are currently an executive officer or a significant shareholder. In each case, the amount paid or donated to or received from these companies and organizations each year was below 1% of the recipient company’s or organization’s total consolidated gross revenues, which is far below the 5% limit prescribed by Nasdaq rules.</w:t>
      </w:r>
    </w:p>
    <w:p>
      <w:pPr>
        <w:pStyle w:val="TextBody"/>
        <w:jc w:val="left"/>
        <w:rPr>
          <w:rFonts w:ascii="Arial" w:hAnsi="Arial"/>
          <w:sz w:val="28"/>
        </w:rPr>
      </w:pPr>
      <w:r>
        <w:rPr>
          <w:rFonts w:ascii="Arial" w:hAnsi="Arial"/>
          <w:sz w:val="28"/>
        </w:rPr>
        <w:t>Retirement Age, Director Tenure and Director Emeritus Program</w:t>
      </w:r>
    </w:p>
    <w:p>
      <w:pPr>
        <w:pStyle w:val="TextBody"/>
        <w:jc w:val="left"/>
        <w:rPr>
          <w:rFonts w:ascii="Arial" w:hAnsi="Arial"/>
          <w:sz w:val="20"/>
        </w:rPr>
      </w:pPr>
      <w:r>
        <w:rPr>
          <w:rFonts w:ascii="Arial" w:hAnsi="Arial"/>
          <w:sz w:val="20"/>
        </w:rPr>
        <w:t>Our corporate governance guidelines require that our independent directors not stand for re-election to the Board after reaching the age of 72. We believe that our retirement policy and natural turnover achieve the appropriate balance between maintaining longer-term directors with deep institutional knowledge and refreshing the Board with new directors and different areas of expertise and knowledge, while including gender and racial and ethnic representation.</w:t>
      </w:r>
    </w:p>
    <w:p>
      <w:pPr>
        <w:pStyle w:val="TextBody"/>
        <w:jc w:val="left"/>
        <w:rPr>
          <w:rFonts w:ascii="Arial" w:hAnsi="Arial"/>
          <w:sz w:val="20"/>
        </w:rPr>
      </w:pPr>
      <w:r>
        <w:rPr>
          <w:rFonts w:ascii="Arial" w:hAnsi="Arial"/>
          <w:sz w:val="20"/>
        </w:rPr>
        <w:t>Our Board considers director tenure in connection with its independence determinations, even though neither our corporate governance guidelines nor Nasdaq or SEC rules deem a long-tenured director not independent. Following the annual meeting of shareholders, if all director nominees are elected to serve as our directors, the average tenure of our independent directors will be 9.7 years.</w:t>
      </w:r>
    </w:p>
    <w:p>
      <w:pPr>
        <w:pStyle w:val="TextBody"/>
        <w:jc w:val="left"/>
        <w:rPr>
          <w:rFonts w:ascii="Arial" w:hAnsi="Arial"/>
          <w:sz w:val="20"/>
        </w:rPr>
      </w:pPr>
      <w:r>
        <w:rPr>
          <w:rFonts w:ascii="Arial" w:hAnsi="Arial"/>
          <w:sz w:val="20"/>
        </w:rPr>
        <w:t>Our Board has created a director emeritus program to avail itself of the counsel of retiring directors who have made and can continue to make a unique contribution to the deliberations of the Board. A director emeritus may provide advisory services as requested from time to time and may be invited to attend meetings of the Board, but may not vote, be counted for quorum purposes or have any of the duties or obligations imposed on our directors or officers under applicable law or otherwise be considered a director. Sheldon M. Bonovitz was designated as a director emeritus following our 2020 annual meeting.</w:t>
      </w:r>
    </w:p>
    <w:p>
      <w:pPr>
        <w:pStyle w:val="TextBody"/>
        <w:jc w:val="left"/>
        <w:rPr>
          <w:rFonts w:ascii="Arial" w:hAnsi="Arial"/>
          <w:sz w:val="28"/>
        </w:rPr>
      </w:pPr>
      <w:r>
        <w:rPr>
          <w:rFonts w:ascii="Arial" w:hAnsi="Arial"/>
          <w:sz w:val="28"/>
        </w:rPr>
        <w:t>Director Nominations</w:t>
      </w:r>
    </w:p>
    <w:p>
      <w:pPr>
        <w:pStyle w:val="TextBody"/>
        <w:jc w:val="left"/>
        <w:rPr>
          <w:rFonts w:ascii="Arial" w:hAnsi="Arial"/>
          <w:color w:val="00A1E0"/>
          <w:sz w:val="26"/>
        </w:rPr>
      </w:pPr>
      <w:r>
        <w:rPr>
          <w:rFonts w:ascii="Arial" w:hAnsi="Arial"/>
          <w:color w:val="00A1E0"/>
          <w:sz w:val="26"/>
        </w:rPr>
        <w:t>Identifying and Evaluating Director Nominees</w:t>
      </w:r>
    </w:p>
    <w:p>
      <w:pPr>
        <w:pStyle w:val="TextBody"/>
        <w:jc w:val="left"/>
        <w:rPr>
          <w:rFonts w:ascii="Arial" w:hAnsi="Arial"/>
          <w:sz w:val="20"/>
        </w:rPr>
      </w:pPr>
      <w:r>
        <w:rPr>
          <w:rFonts w:ascii="Arial" w:hAnsi="Arial"/>
          <w:sz w:val="20"/>
        </w:rPr>
        <w:t>Our GCR Committee will consider director candidates nominated or recommended by shareholders and will evaluate any such candidates in a similar manner as any other candidates. In identifying and evaluating candidates, whether recommended by the GCR Committee or by shareholders, the GCR Committee will consider an individual’s professional knowledge, business, financial and management expertise, industry knowledge, entrepreneurial background and experience, as well as applicable independence requirements. The GCR Committee also gives significant consideration to the current composition and diversity of our Board, including with respect to the skills set forth above, as well as age, background, experiences, perspectives, viewpoints and gender and racial and ethnic representation. All of our nominees are current directors and were elected by the shareholders at our 2022 annual meeting, other than Thomas J. Baltimore, Jr., who joined the Board in March 2023.</w:t>
      </w:r>
    </w:p>
    <w:p>
      <w:pPr>
        <w:pStyle w:val="TextBody"/>
        <w:jc w:val="left"/>
        <w:rPr>
          <w:rFonts w:ascii="Arial" w:hAnsi="Arial"/>
          <w:color w:val="00A1E0"/>
          <w:sz w:val="26"/>
        </w:rPr>
      </w:pPr>
      <w:r>
        <w:rPr>
          <w:rFonts w:ascii="Arial" w:hAnsi="Arial"/>
          <w:color w:val="00A1E0"/>
          <w:sz w:val="26"/>
        </w:rPr>
        <w:t>Shareholder Nominees</w:t>
      </w:r>
    </w:p>
    <w:p>
      <w:pPr>
        <w:pStyle w:val="TextBody"/>
        <w:jc w:val="left"/>
        <w:rPr>
          <w:rFonts w:ascii="Arial" w:hAnsi="Arial"/>
          <w:sz w:val="20"/>
        </w:rPr>
      </w:pPr>
      <w:r>
        <w:rPr>
          <w:rFonts w:ascii="Arial" w:hAnsi="Arial"/>
          <w:sz w:val="20"/>
        </w:rPr>
        <w:t>To submit a nomination for the election of directors, shareholders must provide a written notice in accordance with Section 3.10 of our bylaws. For the election of directors at the 2024 annual meeting of shareholders, if such meeting is called for a date between May 8, 2024 and July 7, 2024, we must receive written notice at the mailing address given on page 90 on or after February 8, 2024 and no later than the close of business on March 9, 2024. If we call the 2024 annual meeting of shareholders for any other date, we must receive written notice no later than the close of business on the tenth day following the day on which we first make a public announcement of the date of the meeting.</w:t>
      </w:r>
    </w:p>
    <w:p>
      <w:pPr>
        <w:pStyle w:val="TextBody"/>
        <w:jc w:val="left"/>
        <w:rPr>
          <w:rFonts w:ascii="Arial" w:hAnsi="Arial"/>
          <w:sz w:val="20"/>
        </w:rPr>
      </w:pPr>
      <w:r>
        <w:rPr>
          <w:rFonts w:ascii="Arial" w:hAnsi="Arial"/>
          <w:sz w:val="20"/>
        </w:rPr>
        <w:t>In addition, in accordance with Section 3.11 of our bylaws, a shareholder or group of up to 20 shareholders owning at least 3% of the aggregate number of our outstanding shares of common stock continuously for at least three years may nominate and include in our proxy materials director nominees constituting up to the greater of 20% of our Board or two directors, provided the shareholder(s) and nominee(s) satisfy the requirements in our bylaws. Written notice of proxy access director nominees for the election of directors at the 2024 annual meeting of shareholders, if such meeting is called for a date between May 8, 2024 and July 7, 2024, must be received at the mailing address given on page 90 on or after November 30, 2023 and</w:t>
      </w:r>
    </w:p>
    <w:tbl>
      <w:tblPr>
        <w:tblW w:w="200" w:type="dxa"/>
        <w:jc w:val="left"/>
        <w:tblInd w:w="0" w:type="dxa"/>
        <w:tblCellMar>
          <w:top w:w="0" w:type="dxa"/>
          <w:left w:w="0" w:type="dxa"/>
          <w:bottom w:w="0" w:type="dxa"/>
          <w:right w:w="0" w:type="dxa"/>
        </w:tblCellMar>
      </w:tblPr>
      <w:tblGrid>
        <w:gridCol w:w="200"/>
      </w:tblGrid>
      <w:tr>
        <w:trPr/>
        <w:tc>
          <w:tcPr>
            <w:tcW w:w="200" w:type="dxa"/>
            <w:tcBorders/>
            <w:shd w:fill="auto" w:val="clear"/>
            <w:vAlign w:val="center"/>
          </w:tcPr>
          <w:p>
            <w:pPr>
              <w:pStyle w:val="TableContents"/>
              <w:spacing w:before="0" w:after="283"/>
              <w:jc w:val="left"/>
              <w:rPr/>
            </w:pPr>
            <w:r>
              <w:rPr>
                <w:rStyle w:val="StrongEmphasis"/>
                <w:rFonts w:ascii="Arial" w:hAnsi="Arial"/>
                <w:sz w:val="15"/>
              </w:rPr>
              <w:t>20</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p>
      <w:pPr>
        <w:pStyle w:val="TextBody"/>
        <w:jc w:val="left"/>
        <w:rPr>
          <w:rFonts w:ascii="Arial" w:hAnsi="Arial"/>
          <w:sz w:val="20"/>
        </w:rPr>
      </w:pPr>
      <w:r>
        <w:rPr>
          <w:rFonts w:ascii="Arial" w:hAnsi="Arial"/>
          <w:sz w:val="20"/>
        </w:rPr>
        <w:t>no later than December 30, 2023. If such meeting is called for any other date, we must receive written notice no later than the close of business on the later of the date that is 180 days prior to such meeting or the tenth day following the day on which we first make a public announcement of the date of the meeting.</w:t>
      </w:r>
    </w:p>
    <w:p>
      <w:pPr>
        <w:pStyle w:val="TextBody"/>
        <w:jc w:val="left"/>
        <w:rPr/>
      </w:pPr>
      <w:r>
        <w:rPr>
          <w:rFonts w:ascii="Arial" w:hAnsi="Arial"/>
          <w:sz w:val="20"/>
        </w:rPr>
        <w:t xml:space="preserve">Shareholders can obtain a copy of our bylaws by writing to Thomas J. Reid, Secretary, Comcast Corporation, at the mailing address given on page 90. A copy of our bylaws is filed with the SEC as an exhibit to our Annual Report on Form 10-K for the year ended December 31, 2022 and is posted under “Corporate Governance” in the Investors section of our website at </w:t>
      </w:r>
      <w:r>
        <w:rPr>
          <w:rFonts w:ascii="Arial" w:hAnsi="Arial"/>
          <w:i/>
          <w:sz w:val="20"/>
        </w:rPr>
        <w:t>www.cmcsa.com</w:t>
      </w:r>
      <w:r>
        <w:rPr>
          <w:rFonts w:ascii="Arial" w:hAnsi="Arial"/>
          <w:sz w:val="20"/>
        </w:rPr>
        <w:t>.</w:t>
      </w:r>
    </w:p>
    <w:p>
      <w:pPr>
        <w:pStyle w:val="TextBody"/>
        <w:jc w:val="left"/>
        <w:rPr>
          <w:rFonts w:ascii="Arial" w:hAnsi="Arial"/>
          <w:b/>
          <w:color w:val="00A1E0"/>
          <w:sz w:val="32"/>
        </w:rPr>
      </w:pPr>
      <w:bookmarkStart w:id="12" w:name="boardstructureresp"/>
      <w:bookmarkEnd w:id="12"/>
      <w:r>
        <w:rPr>
          <w:rFonts w:ascii="Arial" w:hAnsi="Arial"/>
          <w:b/>
          <w:color w:val="00A1E0"/>
          <w:sz w:val="32"/>
        </w:rPr>
        <w:t>Board Structure and Responsibilities</w:t>
      </w:r>
    </w:p>
    <w:p>
      <w:pPr>
        <w:pStyle w:val="TextBody"/>
        <w:jc w:val="left"/>
        <w:rPr>
          <w:rFonts w:ascii="Arial" w:hAnsi="Arial"/>
          <w:sz w:val="28"/>
        </w:rPr>
      </w:pPr>
      <w:r>
        <w:rPr>
          <w:rFonts w:ascii="Arial" w:hAnsi="Arial"/>
          <w:sz w:val="28"/>
        </w:rPr>
        <w:t>Board Leadership Structure</w:t>
      </w:r>
    </w:p>
    <w:p>
      <w:pPr>
        <w:pStyle w:val="TextBody"/>
        <w:jc w:val="left"/>
        <w:rPr>
          <w:rFonts w:ascii="Arial" w:hAnsi="Arial"/>
          <w:sz w:val="20"/>
        </w:rPr>
      </w:pPr>
      <w:r>
        <w:rPr>
          <w:rFonts w:ascii="Arial" w:hAnsi="Arial"/>
          <w:sz w:val="20"/>
        </w:rPr>
        <w:t>Our Board believes that we and our shareholders are best served by maintaining the flexibility for the Board to split or combine the offices of Chairman and Chief Executive Officer depending upon the best interests of our company at a given point in time. To that end, our GCR Committee and Board regularly review our Board leadership structure to ensure that the most appropriate structure is in place. These reviews may consider a variety of factors, such as our state corporation laws, our governance practices, the efficiency and effectiveness of our existing board leadership structure and feedback from our Board members as well as shareholders on our Board and its leadership structure.</w:t>
      </w:r>
    </w:p>
    <w:p>
      <w:pPr>
        <w:pStyle w:val="TextBody"/>
        <w:jc w:val="left"/>
        <w:rPr>
          <w:rFonts w:ascii="Arial" w:hAnsi="Arial"/>
          <w:sz w:val="20"/>
        </w:rPr>
      </w:pPr>
      <w:r>
        <w:rPr>
          <w:rFonts w:ascii="Arial" w:hAnsi="Arial"/>
          <w:sz w:val="20"/>
        </w:rPr>
        <w:t>Our Board currently believes that we and our shareholders continue to be best served by having Mr. Roberts serve as both our Chairman and Chief Executive Officer – working together with a strong Lead Independent Director. Mr. Roberts is a strong and effective leader, at both the company and Board levels, who provides critical leadership in carrying out our strategic initiatives and confronting our challenges. Mr. Roberts serves as an effective bridge between the Board and management, facilitating strong collaboration and encouraging open lines of communication with the Board. In his role as Chairman, he also brings to Board discussions extensive knowledge of all aspects of our current business, operations and risks.</w:t>
      </w:r>
    </w:p>
    <w:p>
      <w:pPr>
        <w:pStyle w:val="TextBody"/>
        <w:jc w:val="left"/>
        <w:rPr>
          <w:rFonts w:ascii="Arial" w:hAnsi="Arial"/>
          <w:sz w:val="20"/>
        </w:rPr>
      </w:pPr>
      <w:r>
        <w:rPr>
          <w:rFonts w:ascii="Arial" w:hAnsi="Arial"/>
          <w:sz w:val="20"/>
        </w:rPr>
        <w:t>In addition to our combined Chairman and CEO role, our independent directors are led by our Lead Independent Director, who ensures a strong, independent and active Board by promoting effective communication and consideration of strategy and material risks.</w:t>
      </w:r>
    </w:p>
    <w:tbl>
      <w:tblPr>
        <w:tblW w:w="10205" w:type="dxa"/>
        <w:jc w:val="left"/>
        <w:tblInd w:w="0" w:type="dxa"/>
        <w:tblCellMar>
          <w:top w:w="28" w:type="dxa"/>
          <w:left w:w="0" w:type="dxa"/>
          <w:bottom w:w="0" w:type="dxa"/>
          <w:right w:w="0" w:type="dxa"/>
        </w:tblCellMar>
      </w:tblPr>
      <w:tblGrid>
        <w:gridCol w:w="193"/>
        <w:gridCol w:w="9818"/>
        <w:gridCol w:w="194"/>
      </w:tblGrid>
      <w:tr>
        <w:trPr/>
        <w:tc>
          <w:tcPr>
            <w:tcW w:w="193" w:type="dxa"/>
            <w:tcBorders>
              <w:top w:val="single" w:sz="8" w:space="0" w:color="959595"/>
            </w:tcBorders>
            <w:shd w:fill="auto" w:val="clear"/>
            <w:vAlign w:val="center"/>
          </w:tcPr>
          <w:p>
            <w:pPr>
              <w:pStyle w:val="TableContents"/>
              <w:spacing w:before="0" w:after="283"/>
              <w:rPr/>
            </w:pPr>
            <w:r>
              <w:rPr/>
              <w:t xml:space="preserve">    </w:t>
            </w:r>
          </w:p>
        </w:tc>
        <w:tc>
          <w:tcPr>
            <w:tcW w:w="9818" w:type="dxa"/>
            <w:tcBorders>
              <w:top w:val="single" w:sz="8" w:space="0" w:color="959595"/>
            </w:tcBorders>
            <w:shd w:fill="auto" w:val="clear"/>
            <w:vAlign w:val="center"/>
          </w:tcPr>
          <w:p>
            <w:pPr>
              <w:pStyle w:val="TableContents"/>
              <w:spacing w:before="0" w:after="283"/>
              <w:rPr>
                <w:sz w:val="4"/>
                <w:szCs w:val="4"/>
              </w:rPr>
            </w:pPr>
            <w:r>
              <w:rPr>
                <w:sz w:val="4"/>
                <w:szCs w:val="4"/>
              </w:rPr>
            </w:r>
          </w:p>
        </w:tc>
        <w:tc>
          <w:tcPr>
            <w:tcW w:w="194" w:type="dxa"/>
            <w:tcBorders>
              <w:top w:val="single" w:sz="8" w:space="0" w:color="959595"/>
              <w:right w:val="single" w:sz="8" w:space="0" w:color="959595"/>
            </w:tcBorders>
            <w:shd w:fill="auto" w:val="clear"/>
            <w:tcMar>
              <w:right w:w="28" w:type="dxa"/>
            </w:tcMar>
            <w:vAlign w:val="center"/>
          </w:tcPr>
          <w:p>
            <w:pPr>
              <w:pStyle w:val="TableContents"/>
              <w:spacing w:before="0" w:after="283"/>
              <w:rPr/>
            </w:pPr>
            <w:r>
              <w:rPr/>
              <w:t xml:space="preserve">    </w:t>
            </w:r>
          </w:p>
        </w:tc>
      </w:tr>
      <w:tr>
        <w:trPr/>
        <w:tc>
          <w:tcPr>
            <w:tcW w:w="193" w:type="dxa"/>
            <w:tcBorders/>
            <w:shd w:fill="ECF6FA" w:val="clear"/>
            <w:tcMar>
              <w:top w:w="0" w:type="dxa"/>
            </w:tcMar>
            <w:vAlign w:val="center"/>
          </w:tcPr>
          <w:p>
            <w:pPr>
              <w:pStyle w:val="TableContents"/>
              <w:spacing w:before="0" w:after="283"/>
              <w:rPr>
                <w:sz w:val="4"/>
                <w:szCs w:val="4"/>
              </w:rPr>
            </w:pPr>
            <w:r>
              <w:rPr>
                <w:sz w:val="4"/>
                <w:szCs w:val="4"/>
              </w:rPr>
            </w:r>
          </w:p>
        </w:tc>
        <w:tc>
          <w:tcPr>
            <w:tcW w:w="9818" w:type="dxa"/>
            <w:tcBorders/>
            <w:shd w:fill="ECF6FA" w:val="clear"/>
            <w:tcMar>
              <w:top w:w="0" w:type="dxa"/>
            </w:tcMar>
            <w:vAlign w:val="center"/>
          </w:tcPr>
          <w:p>
            <w:pPr>
              <w:pStyle w:val="TableContents"/>
              <w:spacing w:before="0" w:after="0"/>
              <w:jc w:val="left"/>
              <w:rPr/>
            </w:pPr>
            <w:r>
              <w:rPr>
                <w:rFonts w:ascii="Arial" w:hAnsi="Arial"/>
                <w:b/>
                <w:sz w:val="24"/>
              </w:rPr>
              <w:t>Edward D. Breen</w:t>
              <w:br/>
            </w:r>
            <w:r>
              <w:rPr>
                <w:rFonts w:ascii="Arial" w:hAnsi="Arial"/>
                <w:b/>
                <w:color w:val="00A1E0"/>
                <w:sz w:val="15"/>
              </w:rPr>
              <w:t>LEAD INDEPENDENT DIRECTOR</w:t>
            </w:r>
          </w:p>
        </w:tc>
        <w:tc>
          <w:tcPr>
            <w:tcW w:w="194" w:type="dxa"/>
            <w:tcBorders>
              <w:right w:val="single" w:sz="8" w:space="0" w:color="959595"/>
            </w:tcBorders>
            <w:shd w:fill="auto" w:val="clear"/>
            <w:tcMar>
              <w:top w:w="0" w:type="dxa"/>
              <w:right w:w="28" w:type="dxa"/>
            </w:tcMar>
            <w:vAlign w:val="center"/>
          </w:tcPr>
          <w:p>
            <w:pPr>
              <w:pStyle w:val="TableContents"/>
              <w:spacing w:before="0" w:after="283"/>
              <w:rPr>
                <w:sz w:val="4"/>
                <w:szCs w:val="4"/>
              </w:rPr>
            </w:pPr>
            <w:r>
              <w:rPr>
                <w:sz w:val="4"/>
                <w:szCs w:val="4"/>
              </w:rPr>
            </w:r>
          </w:p>
        </w:tc>
      </w:tr>
      <w:tr>
        <w:trPr/>
        <w:tc>
          <w:tcPr>
            <w:tcW w:w="193" w:type="dxa"/>
            <w:tcBorders/>
            <w:shd w:fill="auto" w:val="clear"/>
            <w:tcMar>
              <w:top w:w="0" w:type="dxa"/>
            </w:tcMar>
            <w:vAlign w:val="center"/>
          </w:tcPr>
          <w:p>
            <w:pPr>
              <w:pStyle w:val="TableContents"/>
              <w:spacing w:before="0" w:after="283"/>
              <w:rPr>
                <w:sz w:val="4"/>
                <w:szCs w:val="4"/>
              </w:rPr>
            </w:pPr>
            <w:r>
              <w:rPr>
                <w:sz w:val="4"/>
                <w:szCs w:val="4"/>
              </w:rPr>
            </w:r>
          </w:p>
        </w:tc>
        <w:tc>
          <w:tcPr>
            <w:tcW w:w="9818" w:type="dxa"/>
            <w:tcBorders/>
            <w:shd w:fill="auto" w:val="clear"/>
            <w:tcMar>
              <w:top w:w="0" w:type="dxa"/>
            </w:tcMar>
            <w:vAlign w:val="center"/>
          </w:tcPr>
          <w:p>
            <w:pPr>
              <w:pStyle w:val="TableContents"/>
              <w:spacing w:before="0" w:after="0"/>
              <w:jc w:val="left"/>
              <w:rPr>
                <w:rFonts w:ascii="Arial" w:hAnsi="Arial"/>
                <w:sz w:val="20"/>
              </w:rPr>
            </w:pPr>
            <w:r>
              <w:rPr>
                <w:rFonts w:ascii="Arial" w:hAnsi="Arial"/>
                <w:sz w:val="20"/>
              </w:rPr>
              <w:t>In accordance with our corporate governance guidelines, our Board has a strong Lead Independent Director position, currently filled by Mr. Breen. The Lead Independent Director:</w:t>
            </w:r>
          </w:p>
          <w:p>
            <w:pPr>
              <w:pStyle w:val="TableContents"/>
              <w:spacing w:before="0" w:after="0"/>
              <w:ind w:left="0" w:right="0" w:hanging="290"/>
              <w:jc w:val="left"/>
              <w:rPr/>
            </w:pPr>
            <w:r>
              <w:rPr>
                <w:color w:val="00A1E0"/>
              </w:rPr>
              <w:t>●</w:t>
            </w:r>
            <w:r>
              <w:rPr>
                <w:rFonts w:ascii="ARIAL" w:hAnsi="ARIAL"/>
                <w:sz w:val="20"/>
              </w:rPr>
              <w:t>Chairs meetings of the Board at which the Chairman is not present.</w:t>
            </w:r>
          </w:p>
          <w:p>
            <w:pPr>
              <w:pStyle w:val="TableContents"/>
              <w:spacing w:before="0" w:after="0"/>
              <w:ind w:left="0" w:right="0" w:hanging="290"/>
              <w:jc w:val="left"/>
              <w:rPr/>
            </w:pPr>
            <w:r>
              <w:rPr>
                <w:color w:val="00A1E0"/>
              </w:rPr>
              <w:t>●</w:t>
            </w:r>
            <w:r>
              <w:rPr>
                <w:rFonts w:ascii="ARIAL" w:hAnsi="ARIAL"/>
                <w:sz w:val="20"/>
              </w:rPr>
              <w:t>Facilitates communication between the Chairman and the independent directors and encourages director participation by fostering an environment of open dialogue and constructive feedback.</w:t>
            </w:r>
          </w:p>
          <w:p>
            <w:pPr>
              <w:pStyle w:val="TableContents"/>
              <w:spacing w:before="0" w:after="0"/>
              <w:ind w:left="0" w:right="0" w:hanging="290"/>
              <w:jc w:val="left"/>
              <w:rPr/>
            </w:pPr>
            <w:r>
              <w:rPr>
                <w:color w:val="00A1E0"/>
              </w:rPr>
              <w:t>●</w:t>
            </w:r>
            <w:r>
              <w:rPr>
                <w:rFonts w:ascii="ARIAL" w:hAnsi="ARIAL"/>
                <w:sz w:val="20"/>
              </w:rPr>
              <w:t>Communicates periodically as necessary between Board meetings and executive sessions with our independent directors and with management on topics of importance to our independent directors.</w:t>
            </w:r>
          </w:p>
          <w:p>
            <w:pPr>
              <w:pStyle w:val="TableContents"/>
              <w:spacing w:before="0" w:after="0"/>
              <w:ind w:left="0" w:right="0" w:hanging="290"/>
              <w:jc w:val="left"/>
              <w:rPr/>
            </w:pPr>
            <w:r>
              <w:rPr>
                <w:color w:val="00A1E0"/>
              </w:rPr>
              <w:t>●</w:t>
            </w:r>
            <w:r>
              <w:rPr>
                <w:rFonts w:ascii="ARIAL" w:hAnsi="ARIAL"/>
                <w:sz w:val="20"/>
              </w:rPr>
              <w:t>Consults with our independent directors concerning the need for an executive session in connection with each regularly scheduled Board meeting.</w:t>
            </w:r>
          </w:p>
          <w:p>
            <w:pPr>
              <w:pStyle w:val="TableContents"/>
              <w:spacing w:before="0" w:after="0"/>
              <w:ind w:left="0" w:right="0" w:hanging="290"/>
              <w:jc w:val="left"/>
              <w:rPr/>
            </w:pPr>
            <w:r>
              <w:rPr>
                <w:color w:val="00A1E0"/>
              </w:rPr>
              <w:t>●</w:t>
            </w:r>
            <w:r>
              <w:rPr>
                <w:rFonts w:ascii="ARIAL" w:hAnsi="ARIAL"/>
                <w:sz w:val="20"/>
              </w:rPr>
              <w:t>Is authorized to schedule meetings of the independent directors, including executive sessions of the independent directors.</w:t>
            </w:r>
          </w:p>
          <w:p>
            <w:pPr>
              <w:pStyle w:val="TableContents"/>
              <w:spacing w:before="0" w:after="0"/>
              <w:ind w:left="0" w:right="0" w:hanging="290"/>
              <w:jc w:val="left"/>
              <w:rPr/>
            </w:pPr>
            <w:r>
              <w:rPr>
                <w:color w:val="00A1E0"/>
              </w:rPr>
              <w:t>●</w:t>
            </w:r>
            <w:r>
              <w:rPr>
                <w:rFonts w:ascii="ARIAL" w:hAnsi="ARIAL"/>
                <w:sz w:val="20"/>
              </w:rPr>
              <w:t>Consults, reviews and has the opportunity to provide input on meeting agendas and meeting schedules for the Board, which may include matters relating to significant risks of the Company.</w:t>
            </w:r>
          </w:p>
          <w:p>
            <w:pPr>
              <w:pStyle w:val="TableContents"/>
              <w:spacing w:before="0" w:after="0"/>
              <w:ind w:left="0" w:right="0" w:hanging="290"/>
              <w:jc w:val="left"/>
              <w:rPr/>
            </w:pPr>
            <w:r>
              <w:rPr>
                <w:color w:val="00A1E0"/>
              </w:rPr>
              <w:t>●</w:t>
            </w:r>
            <w:r>
              <w:rPr>
                <w:rFonts w:ascii="ARIAL" w:hAnsi="ARIAL"/>
                <w:sz w:val="20"/>
              </w:rPr>
              <w:t>With the CHC Committee, organizes the annual Board evaluation of the performance of our Chief Executive Officer and senior management.</w:t>
            </w:r>
          </w:p>
          <w:p>
            <w:pPr>
              <w:pStyle w:val="TableContents"/>
              <w:spacing w:before="0" w:after="0"/>
              <w:ind w:left="0" w:right="0" w:hanging="290"/>
              <w:jc w:val="left"/>
              <w:rPr/>
            </w:pPr>
            <w:r>
              <w:rPr>
                <w:color w:val="00A1E0"/>
              </w:rPr>
              <w:t>●</w:t>
            </w:r>
            <w:r>
              <w:rPr>
                <w:rFonts w:ascii="ARIAL" w:hAnsi="ARIAL"/>
                <w:sz w:val="20"/>
              </w:rPr>
              <w:t>With the GCR Committee, reviews and approves the process for the annual self-assessment of our Board and its committees.</w:t>
            </w:r>
          </w:p>
          <w:p>
            <w:pPr>
              <w:pStyle w:val="TableContents"/>
              <w:spacing w:before="0" w:after="0"/>
              <w:ind w:left="0" w:right="0" w:hanging="290"/>
              <w:jc w:val="left"/>
              <w:rPr/>
            </w:pPr>
            <w:r>
              <w:rPr>
                <w:color w:val="00A1E0"/>
              </w:rPr>
              <w:t>●</w:t>
            </w:r>
            <w:r>
              <w:rPr>
                <w:rFonts w:ascii="ARIAL" w:hAnsi="ARIAL"/>
                <w:sz w:val="20"/>
              </w:rPr>
              <w:t>Represents independent directors in communications with external constituencies, including significant shareholders, as appropriate.</w:t>
            </w:r>
          </w:p>
          <w:p>
            <w:pPr>
              <w:pStyle w:val="TableContents"/>
              <w:spacing w:before="0" w:after="0"/>
              <w:jc w:val="left"/>
              <w:rPr>
                <w:rFonts w:ascii="Arial" w:hAnsi="Arial"/>
                <w:sz w:val="20"/>
              </w:rPr>
            </w:pPr>
            <w:r>
              <w:rPr>
                <w:rFonts w:ascii="Arial" w:hAnsi="Arial"/>
                <w:sz w:val="20"/>
              </w:rPr>
              <w:t>The role of Lead Independent Director is filled by an independent director recommended by the GCR Committee, which is chaired by and composed entirely of independent directors, and appointed by the Board annually. In recommending Mr. Breen to serve as our Lead Independent Director, our GCR Committee considered, among other qualifications, his extensive experience as a board chairman and chief executive officer seasoned in board-level risk oversight.</w:t>
            </w:r>
          </w:p>
        </w:tc>
        <w:tc>
          <w:tcPr>
            <w:tcW w:w="194" w:type="dxa"/>
            <w:tcBorders>
              <w:right w:val="single" w:sz="8" w:space="0" w:color="959595"/>
            </w:tcBorders>
            <w:shd w:fill="auto" w:val="clear"/>
            <w:tcMar>
              <w:top w:w="0" w:type="dxa"/>
              <w:right w:w="28" w:type="dxa"/>
            </w:tcM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2200" w:type="dxa"/>
        <w:jc w:val="left"/>
        <w:tblInd w:w="0" w:type="dxa"/>
        <w:tblCellMar>
          <w:top w:w="0" w:type="dxa"/>
          <w:left w:w="0" w:type="dxa"/>
          <w:bottom w:w="0" w:type="dxa"/>
          <w:right w:w="0" w:type="dxa"/>
        </w:tblCellMar>
      </w:tblPr>
      <w:tblGrid>
        <w:gridCol w:w="1580"/>
        <w:gridCol w:w="620"/>
      </w:tblGrid>
      <w:tr>
        <w:trPr/>
        <w:tc>
          <w:tcPr>
            <w:tcW w:w="1580" w:type="dxa"/>
            <w:tcBorders/>
            <w:shd w:fill="auto" w:val="clear"/>
            <w:vAlign w:val="center"/>
          </w:tcPr>
          <w:p>
            <w:pPr>
              <w:pStyle w:val="TableContents"/>
              <w:spacing w:before="0" w:after="283"/>
              <w:jc w:val="right"/>
              <w:rPr>
                <w:rFonts w:ascii="Arial" w:hAnsi="Arial"/>
                <w:sz w:val="15"/>
              </w:rPr>
            </w:pPr>
            <w:r>
              <w:rPr>
                <w:rFonts w:ascii="Arial" w:hAnsi="Arial"/>
                <w:sz w:val="15"/>
              </w:rPr>
              <w:t>2023 Proxy Statement</w:t>
            </w:r>
          </w:p>
        </w:tc>
        <w:tc>
          <w:tcPr>
            <w:tcW w:w="620" w:type="dxa"/>
            <w:tcBorders/>
            <w:shd w:fill="auto" w:val="clear"/>
            <w:vAlign w:val="center"/>
          </w:tcPr>
          <w:p>
            <w:pPr>
              <w:pStyle w:val="TableContents"/>
              <w:spacing w:before="0" w:after="283"/>
              <w:jc w:val="right"/>
              <w:rPr/>
            </w:pPr>
            <w:r>
              <w:rPr/>
              <w:t>       </w:t>
            </w:r>
            <w:r>
              <w:rPr>
                <w:rFonts w:ascii="Arial" w:hAnsi="Arial"/>
                <w:b/>
                <w:sz w:val="15"/>
              </w:rPr>
              <w:t>21</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p>
      <w:pPr>
        <w:pStyle w:val="TextBody"/>
        <w:jc w:val="left"/>
        <w:rPr>
          <w:rFonts w:ascii="Arial" w:hAnsi="Arial"/>
          <w:sz w:val="20"/>
        </w:rPr>
      </w:pPr>
      <w:r>
        <w:rPr>
          <w:rFonts w:ascii="Arial" w:hAnsi="Arial"/>
          <w:sz w:val="20"/>
        </w:rPr>
        <w:t>Our Board believes that board independence and oversight of management are effectively maintained, and management plans are critically reviewed, with our current board leadership and oversight structure and practices. The composition of our Board evolves gradually over time, which provides stability and experience, but the processes by which the Board works are dynamic and are designed to address the most critical risks and circumstances prevailing at any point in time. In addition to the Lead Independent Director position, we have strong governance practices that support independent Board oversight, including:</w:t>
      </w:r>
    </w:p>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0"/>
              <w:jc w:val="left"/>
              <w:rPr/>
            </w:pPr>
            <w:r>
              <w:rPr/>
              <w:t>Board independence and oversight of management effectively maintained through the Board’s composition, where all but one of our director nominees are independent.</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0"/>
              <w:jc w:val="left"/>
              <w:rPr/>
            </w:pPr>
            <w:r>
              <w:rPr/>
              <w:t>All Board-level committees – Audit, CHC and GCR, are chaired by and composed entirely of independent directors, and appointed by the Board annually.</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0"/>
              <w:jc w:val="left"/>
              <w:rPr/>
            </w:pPr>
            <w:r>
              <w:rPr/>
              <w:t>All directors have access to management, external experts and independent auditors.</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0"/>
              <w:jc w:val="left"/>
              <w:rPr/>
            </w:pPr>
            <w:r>
              <w:rPr/>
              <w:t>Independent directors regularly meet in executive sessions without management present, chaired at our Board by our Lead Independent Director and at committees by committee chairs, to review, among other things, our strategy and risks, operating and financial performance, management effectiveness and succession planning.</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0"/>
              <w:jc w:val="left"/>
              <w:rPr/>
            </w:pPr>
            <w:r>
              <w:rPr/>
              <w:t>Annual Board assessment process includes independent director input (which includes the Lead Independent Director) for Board and committee meeting agendas on key business and risk topics, director educational topics and the design, composition and effectiveness of our Board, its leadership structure and Board committees.</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0"/>
              <w:jc w:val="left"/>
              <w:rPr/>
            </w:pPr>
            <w:r>
              <w:rPr/>
              <w:t>All directors may suggest inclusion of additional subjects on Board or committee agendas.</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0"/>
              <w:jc w:val="left"/>
              <w:rPr/>
            </w:pPr>
            <w:r>
              <w:rPr/>
              <w:t>Independent director participation in and oversight of key governance processes, such as Chief Executive Officer performance, executive compensation and succession planning.</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0"/>
              <w:jc w:val="left"/>
              <w:rPr/>
            </w:pPr>
            <w:r>
              <w:rPr/>
              <w:t>Our Chairman and Chief Executive Officer and our Lead Independent Director meet and speak with each other regularly about our Board and our company.</w:t>
            </w:r>
          </w:p>
        </w:tc>
      </w:tr>
    </w:tbl>
    <w:p>
      <w:pPr>
        <w:pStyle w:val="TextBody"/>
        <w:spacing w:before="240" w:after="283"/>
        <w:jc w:val="left"/>
        <w:rPr>
          <w:rFonts w:ascii="Arial" w:hAnsi="Arial"/>
          <w:sz w:val="20"/>
        </w:rPr>
      </w:pPr>
      <w:r>
        <w:rPr>
          <w:rFonts w:ascii="Arial" w:hAnsi="Arial"/>
          <w:sz w:val="20"/>
        </w:rPr>
        <w:t>In addition, having one individual perform the roles of Chairman and Chief Executive Officer is not restricted or prohibited by current laws or regulations. Board action is the product of consensus following informed and thorough discussion, relying on external expertise when appropriate to supplement management resources or provide the independent directors with additional support. No director has the right to override the vote of any other director, but in practical terms Board action is based on consensus not contested votes.</w:t>
      </w:r>
    </w:p>
    <w:p>
      <w:pPr>
        <w:pStyle w:val="TextBody"/>
        <w:jc w:val="left"/>
        <w:rPr>
          <w:rFonts w:ascii="Arial" w:hAnsi="Arial"/>
          <w:sz w:val="20"/>
        </w:rPr>
      </w:pPr>
      <w:r>
        <w:rPr>
          <w:rFonts w:ascii="Arial" w:hAnsi="Arial"/>
          <w:sz w:val="20"/>
        </w:rPr>
        <w:t>Ultimately, we believe that our current leadership structure, together with our strong governance practices, creates a productive relationship between our Board and management, including strong and effective leadership of the Company, as well as strong independent oversight that benefits our shareholders.</w:t>
      </w:r>
    </w:p>
    <w:p>
      <w:pPr>
        <w:pStyle w:val="TextBody"/>
        <w:jc w:val="left"/>
        <w:rPr>
          <w:rFonts w:ascii="Arial" w:hAnsi="Arial"/>
          <w:sz w:val="28"/>
        </w:rPr>
      </w:pPr>
      <w:r>
        <w:rPr>
          <w:rFonts w:ascii="Arial" w:hAnsi="Arial"/>
          <w:sz w:val="28"/>
        </w:rPr>
        <w:t>Board Meetings and Attendance</w:t>
      </w:r>
    </w:p>
    <w:p>
      <w:pPr>
        <w:pStyle w:val="TextBody"/>
        <w:jc w:val="left"/>
        <w:rPr>
          <w:rFonts w:ascii="Arial" w:hAnsi="Arial"/>
          <w:sz w:val="20"/>
        </w:rPr>
      </w:pPr>
      <w:r>
        <w:rPr>
          <w:rFonts w:ascii="Arial" w:hAnsi="Arial"/>
          <w:sz w:val="20"/>
        </w:rPr>
        <w:t>Our Board and various committees of the Board meet throughout the year. During 2022, there were five meetings of our Board and a total of 20 committee meetings. Each director attended more than 75% of the aggregate number of Board meetings and the number of meetings held by all of the committees on which he or she served.</w:t>
      </w:r>
    </w:p>
    <w:p>
      <w:pPr>
        <w:pStyle w:val="TextBody"/>
        <w:jc w:val="left"/>
        <w:rPr>
          <w:rFonts w:ascii="Arial" w:hAnsi="Arial"/>
          <w:sz w:val="20"/>
        </w:rPr>
      </w:pPr>
      <w:r>
        <w:rPr>
          <w:rFonts w:ascii="Arial" w:hAnsi="Arial"/>
          <w:sz w:val="20"/>
        </w:rPr>
        <w:t>We require our directors to participate in the annual meeting of shareholders, barring unusual circumstances. Each director then in office participated in the 2022 annual meeting of shareholders.</w:t>
      </w:r>
    </w:p>
    <w:p>
      <w:pPr>
        <w:pStyle w:val="TextBody"/>
        <w:jc w:val="left"/>
        <w:rPr>
          <w:rFonts w:ascii="Arial" w:hAnsi="Arial"/>
          <w:sz w:val="20"/>
        </w:rPr>
      </w:pPr>
      <w:r>
        <w:rPr>
          <w:rFonts w:ascii="Arial" w:hAnsi="Arial"/>
          <w:sz w:val="20"/>
        </w:rPr>
        <w:t>Our independent directors have the opportunity to meet separately in executive session following each regularly scheduled Board and committee meeting and, under our corporate governance guidelines, are required to meet in executive session at least two times each year. In 2022, executive sessions were held at each regularly scheduled Board meeting, and most regularly scheduled committee meetings.</w:t>
      </w:r>
    </w:p>
    <w:tbl>
      <w:tblPr>
        <w:tblW w:w="223" w:type="dxa"/>
        <w:jc w:val="left"/>
        <w:tblInd w:w="0" w:type="dxa"/>
        <w:tblCellMar>
          <w:top w:w="0" w:type="dxa"/>
          <w:left w:w="0" w:type="dxa"/>
          <w:bottom w:w="0" w:type="dxa"/>
          <w:right w:w="0" w:type="dxa"/>
        </w:tblCellMar>
      </w:tblPr>
      <w:tblGrid>
        <w:gridCol w:w="200"/>
        <w:gridCol w:w="23"/>
      </w:tblGrid>
      <w:tr>
        <w:trPr/>
        <w:tc>
          <w:tcPr>
            <w:tcW w:w="200" w:type="dxa"/>
            <w:tcBorders/>
            <w:shd w:fill="auto" w:val="clear"/>
            <w:vAlign w:val="center"/>
          </w:tcPr>
          <w:p>
            <w:pPr>
              <w:pStyle w:val="TableContents"/>
              <w:spacing w:before="0" w:after="283"/>
              <w:jc w:val="left"/>
              <w:rPr>
                <w:rFonts w:ascii="Arial" w:hAnsi="Arial"/>
                <w:b/>
                <w:sz w:val="15"/>
              </w:rPr>
            </w:pPr>
            <w:r>
              <w:rPr>
                <w:rFonts w:ascii="Arial" w:hAnsi="Arial"/>
                <w:b/>
                <w:sz w:val="15"/>
              </w:rPr>
              <w:t>22</w:t>
            </w:r>
          </w:p>
        </w:tc>
        <w:tc>
          <w:tcPr>
            <w:tcW w:w="2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p>
      <w:pPr>
        <w:pStyle w:val="TextBody"/>
        <w:jc w:val="left"/>
        <w:rPr>
          <w:rFonts w:ascii="Arial" w:hAnsi="Arial"/>
          <w:sz w:val="28"/>
        </w:rPr>
      </w:pPr>
      <w:r>
        <w:rPr>
          <w:rFonts w:ascii="Arial" w:hAnsi="Arial"/>
          <w:sz w:val="28"/>
        </w:rPr>
        <w:t>Committees of Our Board</w:t>
      </w:r>
    </w:p>
    <w:p>
      <w:pPr>
        <w:pStyle w:val="TextBody"/>
        <w:jc w:val="left"/>
        <w:rPr>
          <w:rFonts w:ascii="Arial" w:hAnsi="Arial"/>
          <w:sz w:val="20"/>
        </w:rPr>
      </w:pPr>
      <w:r>
        <w:rPr>
          <w:rFonts w:ascii="Arial" w:hAnsi="Arial"/>
          <w:sz w:val="20"/>
        </w:rPr>
        <w:t>Our Board has three standing committees: Audit, Compensation and Human Capital, and Governance and Corporate Responsibility. All of these committees are composed entirely of independent directors under applicable Nasdaq and SEC requirements.</w:t>
      </w:r>
    </w:p>
    <w:p>
      <w:pPr>
        <w:pStyle w:val="TextBody"/>
        <w:jc w:val="left"/>
        <w:rPr>
          <w:rFonts w:ascii="Arial" w:hAnsi="Arial"/>
          <w:sz w:val="20"/>
        </w:rPr>
      </w:pPr>
      <w:r>
        <w:rPr>
          <w:rFonts w:ascii="Arial" w:hAnsi="Arial"/>
          <w:sz w:val="20"/>
        </w:rPr>
        <w:t>The Board makes committee and committee chair assignments annually at its meeting immediately preceding the annual meeting of shareholders, although further changes may be made from time to time as deemed appropriate by the Board.</w:t>
      </w:r>
    </w:p>
    <w:p>
      <w:pPr>
        <w:pStyle w:val="TextBody"/>
        <w:jc w:val="left"/>
        <w:rPr/>
      </w:pPr>
      <w:r>
        <w:rPr>
          <w:rFonts w:ascii="Arial" w:hAnsi="Arial"/>
          <w:sz w:val="20"/>
        </w:rPr>
        <w:t xml:space="preserve">Each committee has a Board-approved charter, which is reviewed annually by the respective committee, with the GCR Committee annually reviewing all charters and our corporate governance guidelines. Each committee has the authority to retain independent advisors to assist it in carrying out its responsibilities. Committee charters are posted under “Corporate Governance” in the Investors section of our website at </w:t>
      </w:r>
      <w:r>
        <w:rPr>
          <w:rFonts w:ascii="Arial" w:hAnsi="Arial"/>
          <w:i/>
          <w:sz w:val="20"/>
        </w:rPr>
        <w:t>www.cmcsa.com</w:t>
      </w:r>
      <w:r>
        <w:rPr>
          <w:rFonts w:ascii="Arial" w:hAnsi="Arial"/>
          <w:sz w:val="20"/>
        </w:rPr>
        <w:t>.</w:t>
      </w:r>
    </w:p>
    <w:tbl>
      <w:tblPr>
        <w:tblW w:w="10205" w:type="dxa"/>
        <w:jc w:val="left"/>
        <w:tblInd w:w="0" w:type="dxa"/>
        <w:tblCellMar>
          <w:top w:w="28" w:type="dxa"/>
          <w:left w:w="0" w:type="dxa"/>
          <w:bottom w:w="0" w:type="dxa"/>
          <w:right w:w="0" w:type="dxa"/>
        </w:tblCellMar>
      </w:tblPr>
      <w:tblGrid>
        <w:gridCol w:w="202"/>
        <w:gridCol w:w="8239"/>
        <w:gridCol w:w="1560"/>
        <w:gridCol w:w="204"/>
      </w:tblGrid>
      <w:tr>
        <w:trPr/>
        <w:tc>
          <w:tcPr>
            <w:tcW w:w="202" w:type="dxa"/>
            <w:tcBorders>
              <w:top w:val="single" w:sz="8" w:space="0" w:color="959595"/>
            </w:tcBorders>
            <w:shd w:fill="auto" w:val="clear"/>
            <w:vAlign w:val="center"/>
          </w:tcPr>
          <w:p>
            <w:pPr>
              <w:pStyle w:val="TableContents"/>
              <w:spacing w:before="0" w:after="283"/>
              <w:rPr/>
            </w:pPr>
            <w:r>
              <w:rPr/>
              <w:t xml:space="preserve">    </w:t>
            </w:r>
          </w:p>
        </w:tc>
        <w:tc>
          <w:tcPr>
            <w:tcW w:w="8239" w:type="dxa"/>
            <w:tcBorders>
              <w:top w:val="single" w:sz="8" w:space="0" w:color="959595"/>
            </w:tcBorders>
            <w:shd w:fill="auto" w:val="clear"/>
            <w:vAlign w:val="center"/>
          </w:tcPr>
          <w:p>
            <w:pPr>
              <w:pStyle w:val="TableContents"/>
              <w:spacing w:before="0" w:after="283"/>
              <w:rPr>
                <w:sz w:val="4"/>
                <w:szCs w:val="4"/>
              </w:rPr>
            </w:pPr>
            <w:r>
              <w:rPr>
                <w:sz w:val="4"/>
                <w:szCs w:val="4"/>
              </w:rPr>
            </w:r>
          </w:p>
        </w:tc>
        <w:tc>
          <w:tcPr>
            <w:tcW w:w="1560" w:type="dxa"/>
            <w:tcBorders>
              <w:top w:val="single" w:sz="8" w:space="0" w:color="959595"/>
            </w:tcBorders>
            <w:shd w:fill="auto" w:val="clear"/>
            <w:vAlign w:val="center"/>
          </w:tcPr>
          <w:p>
            <w:pPr>
              <w:pStyle w:val="TableContents"/>
              <w:spacing w:before="0" w:after="283"/>
              <w:rPr/>
            </w:pPr>
            <w:r>
              <w:rPr/>
              <w:t xml:space="preserve">    </w:t>
            </w:r>
          </w:p>
        </w:tc>
        <w:tc>
          <w:tcPr>
            <w:tcW w:w="204" w:type="dxa"/>
            <w:tcBorders>
              <w:top w:val="single" w:sz="8" w:space="0" w:color="959595"/>
              <w:right w:val="single" w:sz="8" w:space="0" w:color="959595"/>
            </w:tcBorders>
            <w:shd w:fill="auto" w:val="clear"/>
            <w:tcMar>
              <w:right w:w="28" w:type="dxa"/>
            </w:tcMar>
            <w:vAlign w:val="center"/>
          </w:tcPr>
          <w:p>
            <w:pPr>
              <w:pStyle w:val="TableContents"/>
              <w:spacing w:before="0" w:after="283"/>
              <w:rPr/>
            </w:pPr>
            <w:r>
              <w:rPr/>
              <w:t xml:space="preserve">    </w:t>
            </w:r>
          </w:p>
        </w:tc>
      </w:tr>
      <w:tr>
        <w:trPr/>
        <w:tc>
          <w:tcPr>
            <w:tcW w:w="202" w:type="dxa"/>
            <w:tcBorders/>
            <w:shd w:fill="ECF6FA" w:val="clear"/>
            <w:tcMar>
              <w:top w:w="0" w:type="dxa"/>
            </w:tcMar>
            <w:vAlign w:val="center"/>
          </w:tcPr>
          <w:p>
            <w:pPr>
              <w:pStyle w:val="TableContents"/>
              <w:spacing w:before="0" w:after="283"/>
              <w:rPr>
                <w:sz w:val="4"/>
                <w:szCs w:val="4"/>
              </w:rPr>
            </w:pPr>
            <w:r>
              <w:rPr>
                <w:sz w:val="4"/>
                <w:szCs w:val="4"/>
              </w:rPr>
            </w:r>
          </w:p>
        </w:tc>
        <w:tc>
          <w:tcPr>
            <w:tcW w:w="8239" w:type="dxa"/>
            <w:tcBorders>
              <w:bottom w:val="single" w:sz="8" w:space="0" w:color="000000"/>
            </w:tcBorders>
            <w:shd w:fill="ECF6FA" w:val="clear"/>
            <w:tcMar>
              <w:top w:w="0" w:type="dxa"/>
              <w:bottom w:w="120" w:type="dxa"/>
            </w:tcMar>
            <w:vAlign w:val="center"/>
          </w:tcPr>
          <w:p>
            <w:pPr>
              <w:pStyle w:val="TableContents"/>
              <w:spacing w:before="0" w:after="0"/>
              <w:jc w:val="left"/>
              <w:rPr/>
            </w:pPr>
            <w:r>
              <w:rPr>
                <w:rStyle w:val="StrongEmphasis"/>
                <w:rFonts w:ascii="Arial" w:hAnsi="Arial"/>
                <w:color w:val="00A1E0"/>
                <w:sz w:val="24"/>
              </w:rPr>
              <w:t>Audit Committee</w:t>
            </w:r>
          </w:p>
        </w:tc>
        <w:tc>
          <w:tcPr>
            <w:tcW w:w="1560" w:type="dxa"/>
            <w:vMerge w:val="restart"/>
            <w:tcBorders/>
            <w:shd w:fill="ECF6FA" w:val="clear"/>
            <w:tcMar>
              <w:top w:w="0" w:type="dxa"/>
            </w:tcMar>
            <w:vAlign w:val="center"/>
          </w:tcPr>
          <w:p>
            <w:pPr>
              <w:pStyle w:val="TableContents"/>
              <w:spacing w:before="0" w:after="283"/>
              <w:rPr/>
            </w:pPr>
            <w:r>
              <w:rPr/>
              <w:drawing>
                <wp:inline distT="0" distB="0" distL="0" distR="0">
                  <wp:extent cx="990600" cy="990600"/>
                  <wp:effectExtent l="0" t="0" r="0" b="0"/>
                  <wp:docPr id="175"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01" descr=""/>
                          <pic:cNvPicPr>
                            <a:picLocks noChangeAspect="1" noChangeArrowheads="1"/>
                          </pic:cNvPicPr>
                        </pic:nvPicPr>
                        <pic:blipFill>
                          <a:blip r:embed="rId102"/>
                          <a:srcRect l="-1020" t="-1017" r="-1020" b="-1017"/>
                          <a:stretch>
                            <a:fillRect/>
                          </a:stretch>
                        </pic:blipFill>
                        <pic:spPr bwMode="auto">
                          <a:xfrm>
                            <a:off x="0" y="0"/>
                            <a:ext cx="990600" cy="990600"/>
                          </a:xfrm>
                          <a:prstGeom prst="rect">
                            <a:avLst/>
                          </a:prstGeom>
                          <a:ln w="635">
                            <a:solidFill>
                              <a:srgbClr val="000000"/>
                            </a:solidFill>
                          </a:ln>
                        </pic:spPr>
                      </pic:pic>
                    </a:graphicData>
                  </a:graphic>
                </wp:inline>
              </w:drawing>
            </w:r>
          </w:p>
        </w:tc>
        <w:tc>
          <w:tcPr>
            <w:tcW w:w="204" w:type="dxa"/>
            <w:tcBorders>
              <w:right w:val="single" w:sz="8" w:space="0" w:color="959595"/>
            </w:tcBorders>
            <w:shd w:fill="auto" w:val="clear"/>
            <w:tcMar>
              <w:top w:w="0" w:type="dxa"/>
              <w:right w:w="28" w:type="dxa"/>
            </w:tcMar>
            <w:vAlign w:val="center"/>
          </w:tcPr>
          <w:p>
            <w:pPr>
              <w:pStyle w:val="TableContents"/>
              <w:spacing w:before="0" w:after="283"/>
              <w:rPr>
                <w:sz w:val="4"/>
                <w:szCs w:val="4"/>
              </w:rPr>
            </w:pPr>
            <w:r>
              <w:rPr>
                <w:sz w:val="4"/>
                <w:szCs w:val="4"/>
              </w:rPr>
            </w:r>
          </w:p>
        </w:tc>
      </w:tr>
      <w:tr>
        <w:trPr/>
        <w:tc>
          <w:tcPr>
            <w:tcW w:w="202" w:type="dxa"/>
            <w:tcBorders/>
            <w:shd w:fill="ECF6FA" w:val="clear"/>
            <w:tcMar>
              <w:top w:w="0" w:type="dxa"/>
            </w:tcMar>
            <w:vAlign w:val="center"/>
          </w:tcPr>
          <w:p>
            <w:pPr>
              <w:pStyle w:val="TableContents"/>
              <w:spacing w:before="0" w:after="283"/>
              <w:rPr>
                <w:sz w:val="4"/>
                <w:szCs w:val="4"/>
              </w:rPr>
            </w:pPr>
            <w:r>
              <w:rPr>
                <w:sz w:val="4"/>
                <w:szCs w:val="4"/>
              </w:rPr>
            </w:r>
          </w:p>
        </w:tc>
        <w:tc>
          <w:tcPr>
            <w:tcW w:w="8239" w:type="dxa"/>
            <w:tcBorders/>
            <w:shd w:fill="ECF6FA" w:val="clear"/>
            <w:tcMar>
              <w:top w:w="0" w:type="dxa"/>
            </w:tcMar>
            <w:vAlign w:val="center"/>
          </w:tcPr>
          <w:p>
            <w:pPr>
              <w:pStyle w:val="TableContents"/>
              <w:spacing w:before="0" w:after="0"/>
              <w:jc w:val="left"/>
              <w:rPr/>
            </w:pPr>
            <w:r>
              <w:rPr>
                <w:rStyle w:val="StrongEmphasis"/>
                <w:rFonts w:ascii="Arial" w:hAnsi="Arial"/>
                <w:color w:val="00A1E0"/>
                <w:sz w:val="20"/>
              </w:rPr>
              <w:t>Members</w:t>
              <w:br/>
            </w:r>
            <w:r>
              <w:rPr>
                <w:rStyle w:val="StrongEmphasis"/>
                <w:rFonts w:ascii="Arial" w:hAnsi="Arial"/>
                <w:sz w:val="20"/>
              </w:rPr>
              <w:t>Jeffrey A. Honickman (Chair)</w:t>
              <w:br/>
            </w:r>
            <w:r>
              <w:rPr>
                <w:rFonts w:ascii="Arial" w:hAnsi="Arial"/>
                <w:sz w:val="20"/>
              </w:rPr>
              <w:t xml:space="preserve">Maritza G. Montiel </w:t>
              <w:br/>
              <w:t>Asuka Nakahara</w:t>
            </w:r>
          </w:p>
          <w:p>
            <w:pPr>
              <w:pStyle w:val="TableContents"/>
              <w:spacing w:before="0" w:after="0"/>
              <w:jc w:val="left"/>
              <w:rPr/>
            </w:pPr>
            <w:r>
              <w:rPr>
                <w:rStyle w:val="StrongEmphasis"/>
                <w:rFonts w:ascii="Arial" w:hAnsi="Arial"/>
                <w:color w:val="00A1E0"/>
                <w:sz w:val="20"/>
              </w:rPr>
              <w:t xml:space="preserve">Meetings in 2022: </w:t>
            </w:r>
            <w:r>
              <w:rPr>
                <w:rFonts w:ascii="Arial" w:hAnsi="Arial"/>
                <w:b/>
                <w:sz w:val="20"/>
              </w:rPr>
              <w:t>10</w:t>
            </w:r>
          </w:p>
        </w:tc>
        <w:tc>
          <w:tcPr>
            <w:tcW w:w="1560" w:type="dxa"/>
            <w:vMerge w:val="continue"/>
            <w:tcBorders/>
            <w:shd w:fill="ECF6FA" w:val="clear"/>
            <w:tcMar>
              <w:top w:w="0" w:type="dxa"/>
            </w:tcMar>
            <w:vAlign w:val="center"/>
          </w:tcPr>
          <w:p>
            <w:pPr>
              <w:pStyle w:val="Normal"/>
              <w:rPr/>
            </w:pPr>
            <w:r>
              <w:rPr/>
            </w:r>
          </w:p>
        </w:tc>
        <w:tc>
          <w:tcPr>
            <w:tcW w:w="204" w:type="dxa"/>
            <w:tcBorders>
              <w:right w:val="single" w:sz="8" w:space="0" w:color="959595"/>
            </w:tcBorders>
            <w:shd w:fill="auto" w:val="clear"/>
            <w:tcMar>
              <w:top w:w="0" w:type="dxa"/>
              <w:right w:w="28" w:type="dxa"/>
            </w:tcMar>
            <w:vAlign w:val="center"/>
          </w:tcPr>
          <w:p>
            <w:pPr>
              <w:pStyle w:val="TableContents"/>
              <w:spacing w:before="0" w:after="283"/>
              <w:rPr>
                <w:sz w:val="4"/>
                <w:szCs w:val="4"/>
              </w:rPr>
            </w:pPr>
            <w:r>
              <w:rPr>
                <w:sz w:val="4"/>
                <w:szCs w:val="4"/>
              </w:rPr>
            </w:r>
          </w:p>
        </w:tc>
      </w:tr>
      <w:tr>
        <w:trPr/>
        <w:tc>
          <w:tcPr>
            <w:tcW w:w="202" w:type="dxa"/>
            <w:tcBorders/>
            <w:shd w:fill="auto" w:val="clear"/>
            <w:tcMar>
              <w:top w:w="0" w:type="dxa"/>
            </w:tcMar>
            <w:vAlign w:val="center"/>
          </w:tcPr>
          <w:p>
            <w:pPr>
              <w:pStyle w:val="TableContents"/>
              <w:spacing w:before="0" w:after="283"/>
              <w:rPr>
                <w:sz w:val="4"/>
                <w:szCs w:val="4"/>
              </w:rPr>
            </w:pPr>
            <w:r>
              <w:rPr>
                <w:sz w:val="4"/>
                <w:szCs w:val="4"/>
              </w:rPr>
            </w:r>
          </w:p>
        </w:tc>
        <w:tc>
          <w:tcPr>
            <w:tcW w:w="8239" w:type="dxa"/>
            <w:tcBorders/>
            <w:shd w:fill="auto" w:val="clear"/>
            <w:tcMar>
              <w:top w:w="0" w:type="dxa"/>
            </w:tcMar>
            <w:vAlign w:val="center"/>
          </w:tcPr>
          <w:p>
            <w:pPr>
              <w:pStyle w:val="TableContents"/>
              <w:spacing w:before="0" w:after="0"/>
              <w:jc w:val="left"/>
              <w:rPr>
                <w:rFonts w:ascii="Arial" w:hAnsi="Arial"/>
                <w:color w:val="00A1E0"/>
                <w:sz w:val="20"/>
              </w:rPr>
            </w:pPr>
            <w:r>
              <w:rPr>
                <w:rFonts w:ascii="Arial" w:hAnsi="Arial"/>
                <w:color w:val="00A1E0"/>
                <w:sz w:val="20"/>
              </w:rPr>
              <w:t>KEY RESPONSIBILITIES</w:t>
            </w:r>
          </w:p>
          <w:p>
            <w:pPr>
              <w:pStyle w:val="TableContents"/>
              <w:spacing w:before="0" w:after="0"/>
              <w:ind w:left="0" w:right="0" w:hanging="290"/>
              <w:jc w:val="left"/>
              <w:rPr/>
            </w:pPr>
            <w:r>
              <w:rPr>
                <w:color w:val="00A1E0"/>
              </w:rPr>
              <w:t>●</w:t>
            </w:r>
            <w:r>
              <w:rPr>
                <w:rFonts w:ascii="ARIAL" w:hAnsi="ARIAL"/>
                <w:sz w:val="20"/>
              </w:rPr>
              <w:t>Reviews the quality and integrity of our financial statements.</w:t>
            </w:r>
          </w:p>
          <w:p>
            <w:pPr>
              <w:pStyle w:val="TableContents"/>
              <w:spacing w:before="0" w:after="0"/>
              <w:ind w:left="0" w:right="0" w:hanging="290"/>
              <w:jc w:val="left"/>
              <w:rPr/>
            </w:pPr>
            <w:r>
              <w:rPr>
                <w:color w:val="00A1E0"/>
              </w:rPr>
              <w:t>●</w:t>
            </w:r>
            <w:r>
              <w:rPr>
                <w:rFonts w:ascii="ARIAL" w:hAnsi="ARIAL"/>
                <w:sz w:val="20"/>
              </w:rPr>
              <w:t>Reviews the financial statements and “Management’s Discussion and Analysis of Financial Condition and Results of Operations” in our Forms 10-Q and 10-K and our quarterly earnings press releases.</w:t>
            </w:r>
          </w:p>
          <w:p>
            <w:pPr>
              <w:pStyle w:val="TableContents"/>
              <w:spacing w:before="0" w:after="0"/>
              <w:ind w:left="0" w:right="0" w:hanging="290"/>
              <w:jc w:val="left"/>
              <w:rPr/>
            </w:pPr>
            <w:r>
              <w:rPr>
                <w:color w:val="00A1E0"/>
              </w:rPr>
              <w:t>●</w:t>
            </w:r>
            <w:r>
              <w:rPr>
                <w:rFonts w:ascii="ARIAL" w:hAnsi="ARIAL"/>
                <w:sz w:val="20"/>
              </w:rPr>
              <w:t>Monitors our internal control over financial reporting and disclosure controls and procedures.</w:t>
            </w:r>
          </w:p>
          <w:p>
            <w:pPr>
              <w:pStyle w:val="TableContents"/>
              <w:spacing w:before="0" w:after="0"/>
              <w:ind w:left="0" w:right="0" w:hanging="290"/>
              <w:jc w:val="left"/>
              <w:rPr/>
            </w:pPr>
            <w:r>
              <w:rPr>
                <w:color w:val="00A1E0"/>
              </w:rPr>
              <w:t>●</w:t>
            </w:r>
            <w:r>
              <w:rPr>
                <w:rFonts w:ascii="ARIAL" w:hAnsi="ARIAL"/>
                <w:sz w:val="20"/>
              </w:rPr>
              <w:t>Reviews the performance and responsibilities of our internal audit function and activities.</w:t>
            </w:r>
          </w:p>
          <w:p>
            <w:pPr>
              <w:pStyle w:val="TableContents"/>
              <w:spacing w:before="0" w:after="0"/>
              <w:ind w:left="0" w:right="0" w:hanging="290"/>
              <w:jc w:val="left"/>
              <w:rPr/>
            </w:pPr>
            <w:r>
              <w:rPr>
                <w:color w:val="00A1E0"/>
              </w:rPr>
              <w:t>●</w:t>
            </w:r>
            <w:r>
              <w:rPr>
                <w:rFonts w:ascii="ARIAL" w:hAnsi="ARIAL"/>
                <w:sz w:val="20"/>
              </w:rPr>
              <w:t>Appoints and evaluates the qualification, performance and independence of our independent auditors.</w:t>
            </w:r>
          </w:p>
          <w:p>
            <w:pPr>
              <w:pStyle w:val="TableContents"/>
              <w:spacing w:before="0" w:after="0"/>
              <w:ind w:left="0" w:right="0" w:hanging="290"/>
              <w:jc w:val="left"/>
              <w:rPr/>
            </w:pPr>
            <w:r>
              <w:rPr>
                <w:color w:val="00A1E0"/>
              </w:rPr>
              <w:t>●</w:t>
            </w:r>
            <w:r>
              <w:rPr>
                <w:rFonts w:ascii="ARIAL" w:hAnsi="ARIAL"/>
                <w:sz w:val="20"/>
              </w:rPr>
              <w:t>Reviews financial risk assessment and management, cybersecurity and significant business continuity risks.</w:t>
            </w:r>
          </w:p>
          <w:p>
            <w:pPr>
              <w:pStyle w:val="TableContents"/>
              <w:spacing w:before="0" w:after="0"/>
              <w:ind w:left="0" w:right="0" w:hanging="290"/>
              <w:jc w:val="left"/>
              <w:rPr/>
            </w:pPr>
            <w:r>
              <w:rPr>
                <w:color w:val="00A1E0"/>
              </w:rPr>
              <w:t>●</w:t>
            </w:r>
            <w:r>
              <w:rPr>
                <w:rFonts w:ascii="ARIAL" w:hAnsi="ARIAL"/>
                <w:sz w:val="20"/>
              </w:rPr>
              <w:t>Reviews process with respect to our ERM assessment.</w:t>
            </w:r>
          </w:p>
          <w:p>
            <w:pPr>
              <w:pStyle w:val="TableContents"/>
              <w:spacing w:before="0" w:after="0"/>
              <w:ind w:left="0" w:right="0" w:hanging="290"/>
              <w:jc w:val="left"/>
              <w:rPr/>
            </w:pPr>
            <w:r>
              <w:rPr>
                <w:color w:val="00A1E0"/>
              </w:rPr>
              <w:t>●</w:t>
            </w:r>
            <w:r>
              <w:rPr>
                <w:rFonts w:ascii="ARIAL" w:hAnsi="ARIAL"/>
                <w:sz w:val="20"/>
              </w:rPr>
              <w:t>Reviews risks facing our company as disclosed in “Risk Factors” in our Form 10-K.</w:t>
            </w:r>
          </w:p>
          <w:p>
            <w:pPr>
              <w:pStyle w:val="TableContents"/>
              <w:spacing w:before="0" w:after="0"/>
              <w:ind w:left="0" w:right="0" w:hanging="290"/>
              <w:jc w:val="left"/>
              <w:rPr/>
            </w:pPr>
            <w:r>
              <w:rPr>
                <w:color w:val="00A1E0"/>
              </w:rPr>
              <w:t>●</w:t>
            </w:r>
            <w:r>
              <w:rPr>
                <w:rFonts w:ascii="ARIAL" w:hAnsi="ARIAL"/>
                <w:sz w:val="20"/>
              </w:rPr>
              <w:t>Reports its discussions to the full Board for consideration and action when appropriate.</w:t>
            </w:r>
          </w:p>
          <w:p>
            <w:pPr>
              <w:pStyle w:val="TableContents"/>
              <w:spacing w:before="0" w:after="0"/>
              <w:jc w:val="left"/>
              <w:rPr>
                <w:rFonts w:ascii="Arial" w:hAnsi="Arial"/>
                <w:sz w:val="20"/>
              </w:rPr>
            </w:pPr>
            <w:r>
              <w:rPr>
                <w:rFonts w:ascii="Arial" w:hAnsi="Arial"/>
                <w:sz w:val="20"/>
              </w:rPr>
              <w:t>Each member of our Audit Committee is financially literate for audit committee purposes, and our Board has concluded that Jeffrey A. Honickman and Maritza G. Montiel qualify as audit committee financial experts.</w:t>
            </w:r>
          </w:p>
          <w:p>
            <w:pPr>
              <w:pStyle w:val="TableContents"/>
              <w:spacing w:before="0" w:after="0"/>
              <w:jc w:val="left"/>
              <w:rPr/>
            </w:pPr>
            <w:r>
              <w:rPr>
                <w:rStyle w:val="StrongEmphasis"/>
                <w:rFonts w:ascii="Arial" w:hAnsi="Arial"/>
                <w:sz w:val="20"/>
              </w:rPr>
              <w:t>The Audit Committee Report is included on page 30.</w:t>
            </w:r>
          </w:p>
        </w:tc>
        <w:tc>
          <w:tcPr>
            <w:tcW w:w="1560" w:type="dxa"/>
            <w:tcBorders/>
            <w:shd w:fill="auto" w:val="clear"/>
            <w:tcMar>
              <w:top w:w="0" w:type="dxa"/>
            </w:tcMar>
            <w:vAlign w:val="center"/>
          </w:tcPr>
          <w:p>
            <w:pPr>
              <w:pStyle w:val="TableContents"/>
              <w:spacing w:before="0" w:after="283"/>
              <w:rPr>
                <w:sz w:val="4"/>
                <w:szCs w:val="4"/>
              </w:rPr>
            </w:pPr>
            <w:r>
              <w:rPr>
                <w:sz w:val="4"/>
                <w:szCs w:val="4"/>
              </w:rPr>
            </w:r>
          </w:p>
        </w:tc>
        <w:tc>
          <w:tcPr>
            <w:tcW w:w="204" w:type="dxa"/>
            <w:tcBorders>
              <w:right w:val="single" w:sz="8" w:space="0" w:color="959595"/>
            </w:tcBorders>
            <w:shd w:fill="auto" w:val="clear"/>
            <w:tcMar>
              <w:top w:w="0" w:type="dxa"/>
              <w:right w:w="28" w:type="dxa"/>
            </w:tcM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2200" w:type="dxa"/>
        <w:jc w:val="left"/>
        <w:tblInd w:w="0" w:type="dxa"/>
        <w:tblCellMar>
          <w:top w:w="0" w:type="dxa"/>
          <w:left w:w="0" w:type="dxa"/>
          <w:bottom w:w="0" w:type="dxa"/>
          <w:right w:w="0" w:type="dxa"/>
        </w:tblCellMar>
      </w:tblPr>
      <w:tblGrid>
        <w:gridCol w:w="1580"/>
        <w:gridCol w:w="620"/>
      </w:tblGrid>
      <w:tr>
        <w:trPr/>
        <w:tc>
          <w:tcPr>
            <w:tcW w:w="1580" w:type="dxa"/>
            <w:tcBorders/>
            <w:shd w:fill="auto" w:val="clear"/>
            <w:vAlign w:val="center"/>
          </w:tcPr>
          <w:p>
            <w:pPr>
              <w:pStyle w:val="TableContents"/>
              <w:spacing w:before="0" w:after="283"/>
              <w:jc w:val="right"/>
              <w:rPr>
                <w:rFonts w:ascii="Arial" w:hAnsi="Arial"/>
                <w:sz w:val="15"/>
              </w:rPr>
            </w:pPr>
            <w:r>
              <w:rPr>
                <w:rFonts w:ascii="Arial" w:hAnsi="Arial"/>
                <w:sz w:val="15"/>
              </w:rPr>
              <w:t>2023 Proxy Statement</w:t>
            </w:r>
          </w:p>
        </w:tc>
        <w:tc>
          <w:tcPr>
            <w:tcW w:w="620" w:type="dxa"/>
            <w:tcBorders/>
            <w:shd w:fill="auto" w:val="clear"/>
            <w:vAlign w:val="center"/>
          </w:tcPr>
          <w:p>
            <w:pPr>
              <w:pStyle w:val="TableContents"/>
              <w:spacing w:before="0" w:after="283"/>
              <w:jc w:val="right"/>
              <w:rPr/>
            </w:pPr>
            <w:r>
              <w:rPr/>
              <w:t>       </w:t>
            </w:r>
            <w:r>
              <w:rPr>
                <w:rFonts w:ascii="Arial" w:hAnsi="Arial"/>
                <w:b/>
                <w:sz w:val="15"/>
              </w:rPr>
              <w:t>23</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10205" w:type="dxa"/>
        <w:jc w:val="left"/>
        <w:tblInd w:w="0" w:type="dxa"/>
        <w:tblCellMar>
          <w:top w:w="28" w:type="dxa"/>
          <w:left w:w="0" w:type="dxa"/>
          <w:bottom w:w="0" w:type="dxa"/>
          <w:right w:w="0" w:type="dxa"/>
        </w:tblCellMar>
      </w:tblPr>
      <w:tblGrid>
        <w:gridCol w:w="204"/>
        <w:gridCol w:w="8236"/>
        <w:gridCol w:w="1560"/>
        <w:gridCol w:w="205"/>
      </w:tblGrid>
      <w:tr>
        <w:trPr/>
        <w:tc>
          <w:tcPr>
            <w:tcW w:w="204" w:type="dxa"/>
            <w:tcBorders>
              <w:top w:val="single" w:sz="8" w:space="0" w:color="959595"/>
            </w:tcBorders>
            <w:shd w:fill="auto" w:val="clear"/>
            <w:vAlign w:val="center"/>
          </w:tcPr>
          <w:p>
            <w:pPr>
              <w:pStyle w:val="TableContents"/>
              <w:spacing w:before="0" w:after="283"/>
              <w:rPr/>
            </w:pPr>
            <w:r>
              <w:rPr/>
              <w:t xml:space="preserve">    </w:t>
            </w:r>
          </w:p>
        </w:tc>
        <w:tc>
          <w:tcPr>
            <w:tcW w:w="8236" w:type="dxa"/>
            <w:tcBorders>
              <w:top w:val="single" w:sz="8" w:space="0" w:color="959595"/>
            </w:tcBorders>
            <w:shd w:fill="auto" w:val="clear"/>
            <w:vAlign w:val="center"/>
          </w:tcPr>
          <w:p>
            <w:pPr>
              <w:pStyle w:val="TableContents"/>
              <w:spacing w:before="0" w:after="283"/>
              <w:rPr>
                <w:sz w:val="4"/>
                <w:szCs w:val="4"/>
              </w:rPr>
            </w:pPr>
            <w:r>
              <w:rPr>
                <w:sz w:val="4"/>
                <w:szCs w:val="4"/>
              </w:rPr>
            </w:r>
          </w:p>
        </w:tc>
        <w:tc>
          <w:tcPr>
            <w:tcW w:w="1560" w:type="dxa"/>
            <w:tcBorders>
              <w:top w:val="single" w:sz="8" w:space="0" w:color="959595"/>
            </w:tcBorders>
            <w:shd w:fill="auto" w:val="clear"/>
            <w:vAlign w:val="center"/>
          </w:tcPr>
          <w:p>
            <w:pPr>
              <w:pStyle w:val="TableContents"/>
              <w:spacing w:before="0" w:after="283"/>
              <w:rPr/>
            </w:pPr>
            <w:r>
              <w:rPr/>
              <w:t xml:space="preserve">    </w:t>
            </w:r>
          </w:p>
        </w:tc>
        <w:tc>
          <w:tcPr>
            <w:tcW w:w="205" w:type="dxa"/>
            <w:tcBorders>
              <w:top w:val="single" w:sz="8" w:space="0" w:color="959595"/>
              <w:right w:val="single" w:sz="8" w:space="0" w:color="959595"/>
            </w:tcBorders>
            <w:shd w:fill="auto" w:val="clear"/>
            <w:tcMar>
              <w:right w:w="28" w:type="dxa"/>
            </w:tcMar>
            <w:vAlign w:val="center"/>
          </w:tcPr>
          <w:p>
            <w:pPr>
              <w:pStyle w:val="TableContents"/>
              <w:spacing w:before="0" w:after="283"/>
              <w:rPr/>
            </w:pPr>
            <w:r>
              <w:rPr/>
              <w:t xml:space="preserve">    </w:t>
            </w:r>
          </w:p>
        </w:tc>
      </w:tr>
      <w:tr>
        <w:trPr/>
        <w:tc>
          <w:tcPr>
            <w:tcW w:w="204" w:type="dxa"/>
            <w:tcBorders/>
            <w:shd w:fill="ECF6FA" w:val="clear"/>
            <w:tcMar>
              <w:top w:w="0" w:type="dxa"/>
            </w:tcMar>
            <w:vAlign w:val="center"/>
          </w:tcPr>
          <w:p>
            <w:pPr>
              <w:pStyle w:val="TableContents"/>
              <w:spacing w:before="0" w:after="283"/>
              <w:rPr>
                <w:sz w:val="4"/>
                <w:szCs w:val="4"/>
              </w:rPr>
            </w:pPr>
            <w:r>
              <w:rPr>
                <w:sz w:val="4"/>
                <w:szCs w:val="4"/>
              </w:rPr>
            </w:r>
          </w:p>
        </w:tc>
        <w:tc>
          <w:tcPr>
            <w:tcW w:w="8236" w:type="dxa"/>
            <w:tcBorders>
              <w:bottom w:val="single" w:sz="8" w:space="0" w:color="000000"/>
            </w:tcBorders>
            <w:shd w:fill="ECF6FA" w:val="clear"/>
            <w:tcMar>
              <w:top w:w="0" w:type="dxa"/>
              <w:bottom w:w="120" w:type="dxa"/>
            </w:tcMar>
            <w:vAlign w:val="center"/>
          </w:tcPr>
          <w:p>
            <w:pPr>
              <w:pStyle w:val="TableContents"/>
              <w:spacing w:before="0" w:after="0"/>
              <w:jc w:val="left"/>
              <w:rPr/>
            </w:pPr>
            <w:r>
              <w:rPr>
                <w:rStyle w:val="StrongEmphasis"/>
                <w:rFonts w:ascii="Arial" w:hAnsi="Arial"/>
                <w:color w:val="00A1E0"/>
                <w:sz w:val="24"/>
              </w:rPr>
              <w:t>Compensation and Human Capital Committee</w:t>
            </w:r>
          </w:p>
        </w:tc>
        <w:tc>
          <w:tcPr>
            <w:tcW w:w="1560" w:type="dxa"/>
            <w:vMerge w:val="restart"/>
            <w:tcBorders/>
            <w:shd w:fill="ECF6FA" w:val="clear"/>
            <w:tcMar>
              <w:top w:w="0" w:type="dxa"/>
            </w:tcMar>
            <w:vAlign w:val="center"/>
          </w:tcPr>
          <w:p>
            <w:pPr>
              <w:pStyle w:val="TableContents"/>
              <w:spacing w:before="0" w:after="283"/>
              <w:rPr/>
            </w:pPr>
            <w:r>
              <w:rPr/>
              <w:drawing>
                <wp:inline distT="0" distB="0" distL="0" distR="0">
                  <wp:extent cx="990600" cy="978535"/>
                  <wp:effectExtent l="0" t="0" r="0" b="0"/>
                  <wp:docPr id="176"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02" descr=""/>
                          <pic:cNvPicPr>
                            <a:picLocks noChangeAspect="1" noChangeArrowheads="1"/>
                          </pic:cNvPicPr>
                        </pic:nvPicPr>
                        <pic:blipFill>
                          <a:blip r:embed="rId103"/>
                          <a:srcRect l="-1027" t="-1030" r="-1027" b="-1030"/>
                          <a:stretch>
                            <a:fillRect/>
                          </a:stretch>
                        </pic:blipFill>
                        <pic:spPr bwMode="auto">
                          <a:xfrm>
                            <a:off x="0" y="0"/>
                            <a:ext cx="990600" cy="978535"/>
                          </a:xfrm>
                          <a:prstGeom prst="rect">
                            <a:avLst/>
                          </a:prstGeom>
                          <a:ln w="635">
                            <a:solidFill>
                              <a:srgbClr val="000000"/>
                            </a:solidFill>
                          </a:ln>
                        </pic:spPr>
                      </pic:pic>
                    </a:graphicData>
                  </a:graphic>
                </wp:inline>
              </w:drawing>
            </w:r>
          </w:p>
        </w:tc>
        <w:tc>
          <w:tcPr>
            <w:tcW w:w="205" w:type="dxa"/>
            <w:tcBorders>
              <w:right w:val="single" w:sz="8" w:space="0" w:color="959595"/>
            </w:tcBorders>
            <w:shd w:fill="auto" w:val="clear"/>
            <w:tcMar>
              <w:top w:w="0" w:type="dxa"/>
              <w:right w:w="28" w:type="dxa"/>
            </w:tcMar>
            <w:vAlign w:val="center"/>
          </w:tcPr>
          <w:p>
            <w:pPr>
              <w:pStyle w:val="TableContents"/>
              <w:spacing w:before="0" w:after="283"/>
              <w:rPr>
                <w:sz w:val="4"/>
                <w:szCs w:val="4"/>
              </w:rPr>
            </w:pPr>
            <w:r>
              <w:rPr>
                <w:sz w:val="4"/>
                <w:szCs w:val="4"/>
              </w:rPr>
            </w:r>
          </w:p>
        </w:tc>
      </w:tr>
      <w:tr>
        <w:trPr/>
        <w:tc>
          <w:tcPr>
            <w:tcW w:w="204" w:type="dxa"/>
            <w:tcBorders/>
            <w:shd w:fill="ECF6FA" w:val="clear"/>
            <w:tcMar>
              <w:top w:w="0" w:type="dxa"/>
            </w:tcMar>
            <w:vAlign w:val="center"/>
          </w:tcPr>
          <w:p>
            <w:pPr>
              <w:pStyle w:val="TableContents"/>
              <w:spacing w:before="0" w:after="283"/>
              <w:rPr>
                <w:sz w:val="4"/>
                <w:szCs w:val="4"/>
              </w:rPr>
            </w:pPr>
            <w:r>
              <w:rPr>
                <w:sz w:val="4"/>
                <w:szCs w:val="4"/>
              </w:rPr>
            </w:r>
          </w:p>
        </w:tc>
        <w:tc>
          <w:tcPr>
            <w:tcW w:w="8236" w:type="dxa"/>
            <w:tcBorders/>
            <w:shd w:fill="ECF6FA" w:val="clear"/>
            <w:tcMar>
              <w:top w:w="0" w:type="dxa"/>
            </w:tcMar>
            <w:vAlign w:val="center"/>
          </w:tcPr>
          <w:p>
            <w:pPr>
              <w:pStyle w:val="TableContents"/>
              <w:spacing w:before="0" w:after="0"/>
              <w:jc w:val="left"/>
              <w:rPr/>
            </w:pPr>
            <w:r>
              <w:rPr>
                <w:rStyle w:val="StrongEmphasis"/>
                <w:rFonts w:ascii="Arial" w:hAnsi="Arial"/>
                <w:color w:val="00A1E0"/>
                <w:sz w:val="20"/>
              </w:rPr>
              <w:t>Members</w:t>
              <w:br/>
            </w:r>
            <w:r>
              <w:rPr>
                <w:rStyle w:val="StrongEmphasis"/>
                <w:rFonts w:ascii="Arial" w:hAnsi="Arial"/>
                <w:sz w:val="20"/>
              </w:rPr>
              <w:t>Edward D. Breen (Chair)</w:t>
              <w:br/>
            </w:r>
            <w:r>
              <w:rPr>
                <w:rFonts w:ascii="Arial" w:hAnsi="Arial"/>
                <w:sz w:val="20"/>
              </w:rPr>
              <w:t xml:space="preserve">Gerald L. Hassell </w:t>
              <w:br/>
              <w:t>David C. Novak</w:t>
            </w:r>
          </w:p>
          <w:p>
            <w:pPr>
              <w:pStyle w:val="TableContents"/>
              <w:spacing w:before="0" w:after="0"/>
              <w:jc w:val="left"/>
              <w:rPr/>
            </w:pPr>
            <w:r>
              <w:rPr>
                <w:rStyle w:val="StrongEmphasis"/>
                <w:rFonts w:ascii="Arial" w:hAnsi="Arial"/>
                <w:color w:val="00A1E0"/>
                <w:sz w:val="20"/>
              </w:rPr>
              <w:t xml:space="preserve">Meetings in 2022: </w:t>
            </w:r>
            <w:r>
              <w:rPr>
                <w:rFonts w:ascii="Arial" w:hAnsi="Arial"/>
                <w:b/>
                <w:sz w:val="20"/>
              </w:rPr>
              <w:t>5</w:t>
            </w:r>
          </w:p>
        </w:tc>
        <w:tc>
          <w:tcPr>
            <w:tcW w:w="1560" w:type="dxa"/>
            <w:vMerge w:val="continue"/>
            <w:tcBorders/>
            <w:shd w:fill="ECF6FA" w:val="clear"/>
            <w:tcMar>
              <w:top w:w="0" w:type="dxa"/>
            </w:tcMar>
            <w:vAlign w:val="center"/>
          </w:tcPr>
          <w:p>
            <w:pPr>
              <w:pStyle w:val="Normal"/>
              <w:rPr/>
            </w:pPr>
            <w:r>
              <w:rPr/>
            </w:r>
          </w:p>
        </w:tc>
        <w:tc>
          <w:tcPr>
            <w:tcW w:w="205" w:type="dxa"/>
            <w:tcBorders>
              <w:right w:val="single" w:sz="8" w:space="0" w:color="959595"/>
            </w:tcBorders>
            <w:shd w:fill="auto" w:val="clear"/>
            <w:tcMar>
              <w:top w:w="0" w:type="dxa"/>
              <w:right w:w="28" w:type="dxa"/>
            </w:tcMar>
            <w:vAlign w:val="center"/>
          </w:tcPr>
          <w:p>
            <w:pPr>
              <w:pStyle w:val="TableContents"/>
              <w:spacing w:before="0" w:after="283"/>
              <w:rPr>
                <w:sz w:val="4"/>
                <w:szCs w:val="4"/>
              </w:rPr>
            </w:pPr>
            <w:r>
              <w:rPr>
                <w:sz w:val="4"/>
                <w:szCs w:val="4"/>
              </w:rPr>
            </w:r>
          </w:p>
        </w:tc>
      </w:tr>
      <w:tr>
        <w:trPr/>
        <w:tc>
          <w:tcPr>
            <w:tcW w:w="204" w:type="dxa"/>
            <w:tcBorders/>
            <w:shd w:fill="auto" w:val="clear"/>
            <w:tcMar>
              <w:top w:w="0" w:type="dxa"/>
            </w:tcMar>
            <w:vAlign w:val="center"/>
          </w:tcPr>
          <w:p>
            <w:pPr>
              <w:pStyle w:val="TableContents"/>
              <w:spacing w:before="0" w:after="283"/>
              <w:rPr>
                <w:sz w:val="4"/>
                <w:szCs w:val="4"/>
              </w:rPr>
            </w:pPr>
            <w:r>
              <w:rPr>
                <w:sz w:val="4"/>
                <w:szCs w:val="4"/>
              </w:rPr>
            </w:r>
          </w:p>
        </w:tc>
        <w:tc>
          <w:tcPr>
            <w:tcW w:w="8236" w:type="dxa"/>
            <w:tcBorders/>
            <w:shd w:fill="auto" w:val="clear"/>
            <w:tcMar>
              <w:top w:w="0" w:type="dxa"/>
            </w:tcMar>
            <w:vAlign w:val="center"/>
          </w:tcPr>
          <w:p>
            <w:pPr>
              <w:pStyle w:val="TableContents"/>
              <w:spacing w:before="0" w:after="0"/>
              <w:jc w:val="left"/>
              <w:rPr>
                <w:rFonts w:ascii="Arial" w:hAnsi="Arial"/>
                <w:color w:val="00A1E0"/>
                <w:sz w:val="20"/>
              </w:rPr>
            </w:pPr>
            <w:r>
              <w:rPr>
                <w:rFonts w:ascii="Arial" w:hAnsi="Arial"/>
                <w:color w:val="00A1E0"/>
                <w:sz w:val="20"/>
              </w:rPr>
              <w:t>KEY RESPONSIBILITIES</w:t>
            </w:r>
          </w:p>
          <w:p>
            <w:pPr>
              <w:pStyle w:val="TableContents"/>
              <w:spacing w:before="0" w:after="0"/>
              <w:ind w:left="0" w:right="0" w:hanging="290"/>
              <w:jc w:val="left"/>
              <w:rPr/>
            </w:pPr>
            <w:r>
              <w:rPr>
                <w:color w:val="00A1E0"/>
              </w:rPr>
              <w:t>●</w:t>
            </w:r>
            <w:r>
              <w:rPr>
                <w:rFonts w:ascii="ARIAL" w:hAnsi="ARIAL"/>
                <w:sz w:val="20"/>
              </w:rPr>
              <w:t>Oversees and sets compensation for our senior executives.</w:t>
            </w:r>
          </w:p>
          <w:p>
            <w:pPr>
              <w:pStyle w:val="TableContents"/>
              <w:spacing w:before="0" w:after="0"/>
              <w:ind w:left="0" w:right="0" w:hanging="290"/>
              <w:jc w:val="left"/>
              <w:rPr/>
            </w:pPr>
            <w:r>
              <w:rPr>
                <w:color w:val="00A1E0"/>
              </w:rPr>
              <w:t>●</w:t>
            </w:r>
            <w:r>
              <w:rPr>
                <w:rFonts w:ascii="ARIAL" w:hAnsi="ARIAL"/>
                <w:sz w:val="20"/>
              </w:rPr>
              <w:t>Performs an annual review of our compensation philosophy, executive compensation programs and the performance of senior executives, including our named executive officers (“NEOs”).</w:t>
            </w:r>
          </w:p>
          <w:p>
            <w:pPr>
              <w:pStyle w:val="TableContents"/>
              <w:spacing w:before="0" w:after="0"/>
              <w:ind w:left="0" w:right="0" w:hanging="290"/>
              <w:jc w:val="left"/>
              <w:rPr/>
            </w:pPr>
            <w:r>
              <w:rPr>
                <w:color w:val="00A1E0"/>
              </w:rPr>
              <w:t>●</w:t>
            </w:r>
            <w:r>
              <w:rPr>
                <w:rFonts w:ascii="ARIAL" w:hAnsi="ARIAL"/>
                <w:sz w:val="20"/>
              </w:rPr>
              <w:t>Evaluates annually whether there are any risks associated with our executive compensation program.</w:t>
            </w:r>
          </w:p>
          <w:p>
            <w:pPr>
              <w:pStyle w:val="TableContents"/>
              <w:spacing w:before="0" w:after="0"/>
              <w:ind w:left="0" w:right="0" w:hanging="290"/>
              <w:jc w:val="left"/>
              <w:rPr/>
            </w:pPr>
            <w:r>
              <w:rPr>
                <w:color w:val="00A1E0"/>
              </w:rPr>
              <w:t>●</w:t>
            </w:r>
            <w:r>
              <w:rPr>
                <w:rFonts w:ascii="ARIAL" w:hAnsi="ARIAL"/>
                <w:sz w:val="20"/>
              </w:rPr>
              <w:t>Oversees succession planning for senior management.</w:t>
            </w:r>
          </w:p>
          <w:p>
            <w:pPr>
              <w:pStyle w:val="TableContents"/>
              <w:spacing w:before="0" w:after="0"/>
              <w:ind w:left="0" w:right="0" w:hanging="290"/>
              <w:jc w:val="left"/>
              <w:rPr/>
            </w:pPr>
            <w:r>
              <w:rPr>
                <w:color w:val="00A1E0"/>
              </w:rPr>
              <w:t>●</w:t>
            </w:r>
            <w:r>
              <w:rPr>
                <w:rFonts w:ascii="ARIAL" w:hAnsi="ARIAL"/>
                <w:sz w:val="20"/>
              </w:rPr>
              <w:t>Reviews compensation and benefit plans and policies generally, including with respect to compensation of our senior executives and other employees.</w:t>
            </w:r>
          </w:p>
          <w:p>
            <w:pPr>
              <w:pStyle w:val="TableContents"/>
              <w:spacing w:before="0" w:after="0"/>
              <w:ind w:left="0" w:right="0" w:hanging="290"/>
              <w:jc w:val="left"/>
              <w:rPr/>
            </w:pPr>
            <w:r>
              <w:rPr>
                <w:color w:val="00A1E0"/>
              </w:rPr>
              <w:t>●</w:t>
            </w:r>
            <w:r>
              <w:rPr>
                <w:rFonts w:ascii="ARIAL" w:hAnsi="ARIAL"/>
                <w:sz w:val="20"/>
              </w:rPr>
              <w:t>Reviews programs and strategies with respect to human capital management, including with respect to talent recruitment, development and retention, employee engagement and workforce composition.</w:t>
            </w:r>
          </w:p>
          <w:p>
            <w:pPr>
              <w:pStyle w:val="TableContents"/>
              <w:spacing w:before="0" w:after="0"/>
              <w:ind w:left="0" w:right="0" w:hanging="290"/>
              <w:jc w:val="left"/>
              <w:rPr/>
            </w:pPr>
            <w:r>
              <w:rPr>
                <w:color w:val="00A1E0"/>
              </w:rPr>
              <w:t>●</w:t>
            </w:r>
            <w:r>
              <w:rPr>
                <w:rFonts w:ascii="ARIAL" w:hAnsi="ARIAL"/>
                <w:sz w:val="20"/>
              </w:rPr>
              <w:t>Reports its discussions to the full Board for consideration and action when appropriate.</w:t>
            </w:r>
          </w:p>
          <w:p>
            <w:pPr>
              <w:pStyle w:val="TableContents"/>
              <w:spacing w:before="0" w:after="0"/>
              <w:jc w:val="left"/>
              <w:rPr>
                <w:rFonts w:ascii="Arial" w:hAnsi="Arial"/>
                <w:sz w:val="20"/>
              </w:rPr>
            </w:pPr>
            <w:r>
              <w:rPr>
                <w:rFonts w:ascii="Arial" w:hAnsi="Arial"/>
                <w:sz w:val="20"/>
              </w:rPr>
              <w:t>Each member of our CHC Committee qualifies as a “non-employee director” under Rule 16b-3 under the Exchange Act.</w:t>
            </w:r>
          </w:p>
          <w:p>
            <w:pPr>
              <w:pStyle w:val="TableContents"/>
              <w:spacing w:before="0" w:after="0"/>
              <w:jc w:val="left"/>
              <w:rPr/>
            </w:pPr>
            <w:r>
              <w:rPr>
                <w:rStyle w:val="StrongEmphasis"/>
                <w:rFonts w:ascii="Arial" w:hAnsi="Arial"/>
                <w:sz w:val="20"/>
              </w:rPr>
              <w:t>The CHC Committee Report is included on page 53.</w:t>
            </w:r>
          </w:p>
        </w:tc>
        <w:tc>
          <w:tcPr>
            <w:tcW w:w="1560" w:type="dxa"/>
            <w:tcBorders/>
            <w:shd w:fill="auto" w:val="clear"/>
            <w:tcMar>
              <w:top w:w="0" w:type="dxa"/>
            </w:tcMar>
            <w:vAlign w:val="center"/>
          </w:tcPr>
          <w:p>
            <w:pPr>
              <w:pStyle w:val="TableContents"/>
              <w:spacing w:before="0" w:after="283"/>
              <w:rPr>
                <w:sz w:val="4"/>
                <w:szCs w:val="4"/>
              </w:rPr>
            </w:pPr>
            <w:r>
              <w:rPr>
                <w:sz w:val="4"/>
                <w:szCs w:val="4"/>
              </w:rPr>
            </w:r>
          </w:p>
        </w:tc>
        <w:tc>
          <w:tcPr>
            <w:tcW w:w="205" w:type="dxa"/>
            <w:tcBorders>
              <w:right w:val="single" w:sz="8" w:space="0" w:color="959595"/>
            </w:tcBorders>
            <w:shd w:fill="auto" w:val="clear"/>
            <w:tcMar>
              <w:top w:w="0" w:type="dxa"/>
              <w:right w:w="28" w:type="dxa"/>
            </w:tcM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10205" w:type="dxa"/>
        <w:jc w:val="left"/>
        <w:tblInd w:w="0" w:type="dxa"/>
        <w:tblCellMar>
          <w:top w:w="28" w:type="dxa"/>
          <w:left w:w="0" w:type="dxa"/>
          <w:bottom w:w="0" w:type="dxa"/>
          <w:right w:w="0" w:type="dxa"/>
        </w:tblCellMar>
      </w:tblPr>
      <w:tblGrid>
        <w:gridCol w:w="204"/>
        <w:gridCol w:w="8236"/>
        <w:gridCol w:w="1560"/>
        <w:gridCol w:w="205"/>
      </w:tblGrid>
      <w:tr>
        <w:trPr/>
        <w:tc>
          <w:tcPr>
            <w:tcW w:w="204" w:type="dxa"/>
            <w:tcBorders>
              <w:top w:val="single" w:sz="8" w:space="0" w:color="959595"/>
            </w:tcBorders>
            <w:shd w:fill="auto" w:val="clear"/>
            <w:vAlign w:val="center"/>
          </w:tcPr>
          <w:p>
            <w:pPr>
              <w:pStyle w:val="TableContents"/>
              <w:spacing w:before="0" w:after="283"/>
              <w:rPr/>
            </w:pPr>
            <w:r>
              <w:rPr/>
              <w:t xml:space="preserve">    </w:t>
            </w:r>
          </w:p>
        </w:tc>
        <w:tc>
          <w:tcPr>
            <w:tcW w:w="8236" w:type="dxa"/>
            <w:tcBorders>
              <w:top w:val="single" w:sz="8" w:space="0" w:color="959595"/>
            </w:tcBorders>
            <w:shd w:fill="auto" w:val="clear"/>
            <w:vAlign w:val="center"/>
          </w:tcPr>
          <w:p>
            <w:pPr>
              <w:pStyle w:val="TableContents"/>
              <w:spacing w:before="0" w:after="283"/>
              <w:rPr>
                <w:sz w:val="4"/>
                <w:szCs w:val="4"/>
              </w:rPr>
            </w:pPr>
            <w:r>
              <w:rPr>
                <w:sz w:val="4"/>
                <w:szCs w:val="4"/>
              </w:rPr>
            </w:r>
          </w:p>
        </w:tc>
        <w:tc>
          <w:tcPr>
            <w:tcW w:w="1560" w:type="dxa"/>
            <w:tcBorders>
              <w:top w:val="single" w:sz="8" w:space="0" w:color="959595"/>
            </w:tcBorders>
            <w:shd w:fill="auto" w:val="clear"/>
            <w:vAlign w:val="center"/>
          </w:tcPr>
          <w:p>
            <w:pPr>
              <w:pStyle w:val="TableContents"/>
              <w:spacing w:before="0" w:after="283"/>
              <w:rPr/>
            </w:pPr>
            <w:r>
              <w:rPr/>
              <w:t xml:space="preserve">    </w:t>
            </w:r>
          </w:p>
        </w:tc>
        <w:tc>
          <w:tcPr>
            <w:tcW w:w="205" w:type="dxa"/>
            <w:tcBorders>
              <w:top w:val="single" w:sz="8" w:space="0" w:color="959595"/>
              <w:right w:val="single" w:sz="8" w:space="0" w:color="959595"/>
            </w:tcBorders>
            <w:shd w:fill="auto" w:val="clear"/>
            <w:tcMar>
              <w:right w:w="28" w:type="dxa"/>
            </w:tcMar>
            <w:vAlign w:val="center"/>
          </w:tcPr>
          <w:p>
            <w:pPr>
              <w:pStyle w:val="TableContents"/>
              <w:spacing w:before="0" w:after="283"/>
              <w:rPr/>
            </w:pPr>
            <w:r>
              <w:rPr/>
              <w:t xml:space="preserve">    </w:t>
            </w:r>
          </w:p>
        </w:tc>
      </w:tr>
      <w:tr>
        <w:trPr/>
        <w:tc>
          <w:tcPr>
            <w:tcW w:w="204" w:type="dxa"/>
            <w:tcBorders/>
            <w:shd w:fill="ECF6FA" w:val="clear"/>
            <w:tcMar>
              <w:top w:w="0" w:type="dxa"/>
            </w:tcMar>
            <w:vAlign w:val="center"/>
          </w:tcPr>
          <w:p>
            <w:pPr>
              <w:pStyle w:val="TableContents"/>
              <w:spacing w:before="0" w:after="283"/>
              <w:rPr>
                <w:sz w:val="4"/>
                <w:szCs w:val="4"/>
              </w:rPr>
            </w:pPr>
            <w:r>
              <w:rPr>
                <w:sz w:val="4"/>
                <w:szCs w:val="4"/>
              </w:rPr>
            </w:r>
          </w:p>
        </w:tc>
        <w:tc>
          <w:tcPr>
            <w:tcW w:w="8236" w:type="dxa"/>
            <w:tcBorders>
              <w:bottom w:val="single" w:sz="8" w:space="0" w:color="000000"/>
            </w:tcBorders>
            <w:shd w:fill="ECF6FA" w:val="clear"/>
            <w:tcMar>
              <w:top w:w="0" w:type="dxa"/>
              <w:bottom w:w="120" w:type="dxa"/>
            </w:tcMar>
            <w:vAlign w:val="center"/>
          </w:tcPr>
          <w:p>
            <w:pPr>
              <w:pStyle w:val="TableContents"/>
              <w:spacing w:before="0" w:after="0"/>
              <w:jc w:val="left"/>
              <w:rPr/>
            </w:pPr>
            <w:r>
              <w:rPr>
                <w:rStyle w:val="StrongEmphasis"/>
                <w:rFonts w:ascii="Arial" w:hAnsi="Arial"/>
                <w:color w:val="00A1E0"/>
                <w:sz w:val="24"/>
              </w:rPr>
              <w:t>Governance and Corporate Responsibility Committee</w:t>
            </w:r>
          </w:p>
        </w:tc>
        <w:tc>
          <w:tcPr>
            <w:tcW w:w="1560" w:type="dxa"/>
            <w:vMerge w:val="restart"/>
            <w:tcBorders/>
            <w:shd w:fill="ECF6FA" w:val="clear"/>
            <w:tcMar>
              <w:top w:w="0" w:type="dxa"/>
            </w:tcMar>
            <w:vAlign w:val="center"/>
          </w:tcPr>
          <w:p>
            <w:pPr>
              <w:pStyle w:val="TableContents"/>
              <w:spacing w:before="0" w:after="283"/>
              <w:rPr/>
            </w:pPr>
            <w:r>
              <w:rPr/>
              <w:drawing>
                <wp:inline distT="0" distB="0" distL="0" distR="0">
                  <wp:extent cx="990600" cy="981075"/>
                  <wp:effectExtent l="0" t="0" r="0" b="0"/>
                  <wp:docPr id="177"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03" descr=""/>
                          <pic:cNvPicPr>
                            <a:picLocks noChangeAspect="1" noChangeArrowheads="1"/>
                          </pic:cNvPicPr>
                        </pic:nvPicPr>
                        <pic:blipFill>
                          <a:blip r:embed="rId104"/>
                          <a:srcRect l="-1023" t="-1027" r="-1023" b="-1027"/>
                          <a:stretch>
                            <a:fillRect/>
                          </a:stretch>
                        </pic:blipFill>
                        <pic:spPr bwMode="auto">
                          <a:xfrm>
                            <a:off x="0" y="0"/>
                            <a:ext cx="990600" cy="981075"/>
                          </a:xfrm>
                          <a:prstGeom prst="rect">
                            <a:avLst/>
                          </a:prstGeom>
                          <a:ln w="635">
                            <a:solidFill>
                              <a:srgbClr val="000000"/>
                            </a:solidFill>
                          </a:ln>
                        </pic:spPr>
                      </pic:pic>
                    </a:graphicData>
                  </a:graphic>
                </wp:inline>
              </w:drawing>
            </w:r>
          </w:p>
        </w:tc>
        <w:tc>
          <w:tcPr>
            <w:tcW w:w="205" w:type="dxa"/>
            <w:tcBorders>
              <w:right w:val="single" w:sz="8" w:space="0" w:color="959595"/>
            </w:tcBorders>
            <w:shd w:fill="auto" w:val="clear"/>
            <w:tcMar>
              <w:top w:w="0" w:type="dxa"/>
              <w:right w:w="28" w:type="dxa"/>
            </w:tcMar>
            <w:vAlign w:val="center"/>
          </w:tcPr>
          <w:p>
            <w:pPr>
              <w:pStyle w:val="TableContents"/>
              <w:spacing w:before="0" w:after="283"/>
              <w:rPr>
                <w:sz w:val="4"/>
                <w:szCs w:val="4"/>
              </w:rPr>
            </w:pPr>
            <w:r>
              <w:rPr>
                <w:sz w:val="4"/>
                <w:szCs w:val="4"/>
              </w:rPr>
            </w:r>
          </w:p>
        </w:tc>
      </w:tr>
      <w:tr>
        <w:trPr/>
        <w:tc>
          <w:tcPr>
            <w:tcW w:w="204" w:type="dxa"/>
            <w:tcBorders/>
            <w:shd w:fill="ECF6FA" w:val="clear"/>
            <w:tcMar>
              <w:top w:w="0" w:type="dxa"/>
            </w:tcMar>
            <w:vAlign w:val="center"/>
          </w:tcPr>
          <w:p>
            <w:pPr>
              <w:pStyle w:val="TableContents"/>
              <w:spacing w:before="0" w:after="283"/>
              <w:rPr>
                <w:sz w:val="4"/>
                <w:szCs w:val="4"/>
              </w:rPr>
            </w:pPr>
            <w:r>
              <w:rPr>
                <w:sz w:val="4"/>
                <w:szCs w:val="4"/>
              </w:rPr>
            </w:r>
          </w:p>
        </w:tc>
        <w:tc>
          <w:tcPr>
            <w:tcW w:w="8236" w:type="dxa"/>
            <w:tcBorders/>
            <w:shd w:fill="ECF6FA" w:val="clear"/>
            <w:tcMar>
              <w:top w:w="0" w:type="dxa"/>
            </w:tcMar>
            <w:vAlign w:val="center"/>
          </w:tcPr>
          <w:p>
            <w:pPr>
              <w:pStyle w:val="TableContents"/>
              <w:spacing w:before="0" w:after="0"/>
              <w:jc w:val="left"/>
              <w:rPr/>
            </w:pPr>
            <w:r>
              <w:rPr>
                <w:rStyle w:val="StrongEmphasis"/>
                <w:rFonts w:ascii="Arial" w:hAnsi="Arial"/>
                <w:color w:val="00A1E0"/>
                <w:sz w:val="20"/>
              </w:rPr>
              <w:t>Members</w:t>
              <w:br/>
            </w:r>
            <w:r>
              <w:rPr>
                <w:rStyle w:val="StrongEmphasis"/>
                <w:rFonts w:ascii="Arial" w:hAnsi="Arial"/>
                <w:sz w:val="20"/>
              </w:rPr>
              <w:t>Kenneth J. Bacon (Chair)</w:t>
              <w:br/>
            </w:r>
            <w:r>
              <w:rPr>
                <w:rFonts w:ascii="Arial" w:hAnsi="Arial"/>
                <w:sz w:val="20"/>
              </w:rPr>
              <w:t xml:space="preserve">Madeline S. Bell </w:t>
              <w:br/>
              <w:t>Jeffrey A. Honickman</w:t>
            </w:r>
          </w:p>
          <w:p>
            <w:pPr>
              <w:pStyle w:val="TableContents"/>
              <w:spacing w:before="0" w:after="0"/>
              <w:jc w:val="left"/>
              <w:rPr/>
            </w:pPr>
            <w:r>
              <w:rPr>
                <w:rStyle w:val="StrongEmphasis"/>
                <w:rFonts w:ascii="Arial" w:hAnsi="Arial"/>
                <w:color w:val="00A1E0"/>
                <w:sz w:val="20"/>
              </w:rPr>
              <w:t xml:space="preserve">Meetings in 2022: </w:t>
            </w:r>
            <w:r>
              <w:rPr>
                <w:rFonts w:ascii="Arial" w:hAnsi="Arial"/>
                <w:b/>
                <w:sz w:val="20"/>
              </w:rPr>
              <w:t>5</w:t>
            </w:r>
          </w:p>
        </w:tc>
        <w:tc>
          <w:tcPr>
            <w:tcW w:w="1560" w:type="dxa"/>
            <w:vMerge w:val="continue"/>
            <w:tcBorders/>
            <w:shd w:fill="ECF6FA" w:val="clear"/>
            <w:tcMar>
              <w:top w:w="0" w:type="dxa"/>
            </w:tcMar>
            <w:vAlign w:val="center"/>
          </w:tcPr>
          <w:p>
            <w:pPr>
              <w:pStyle w:val="Normal"/>
              <w:rPr/>
            </w:pPr>
            <w:r>
              <w:rPr/>
            </w:r>
          </w:p>
        </w:tc>
        <w:tc>
          <w:tcPr>
            <w:tcW w:w="205" w:type="dxa"/>
            <w:tcBorders>
              <w:right w:val="single" w:sz="8" w:space="0" w:color="959595"/>
            </w:tcBorders>
            <w:shd w:fill="auto" w:val="clear"/>
            <w:tcMar>
              <w:top w:w="0" w:type="dxa"/>
              <w:right w:w="28" w:type="dxa"/>
            </w:tcMar>
            <w:vAlign w:val="center"/>
          </w:tcPr>
          <w:p>
            <w:pPr>
              <w:pStyle w:val="TableContents"/>
              <w:spacing w:before="0" w:after="283"/>
              <w:rPr>
                <w:sz w:val="4"/>
                <w:szCs w:val="4"/>
              </w:rPr>
            </w:pPr>
            <w:r>
              <w:rPr>
                <w:sz w:val="4"/>
                <w:szCs w:val="4"/>
              </w:rPr>
            </w:r>
          </w:p>
        </w:tc>
      </w:tr>
      <w:tr>
        <w:trPr/>
        <w:tc>
          <w:tcPr>
            <w:tcW w:w="204" w:type="dxa"/>
            <w:tcBorders/>
            <w:shd w:fill="auto" w:val="clear"/>
            <w:tcMar>
              <w:top w:w="0" w:type="dxa"/>
            </w:tcMar>
            <w:vAlign w:val="center"/>
          </w:tcPr>
          <w:p>
            <w:pPr>
              <w:pStyle w:val="TableContents"/>
              <w:spacing w:before="0" w:after="283"/>
              <w:rPr>
                <w:sz w:val="4"/>
                <w:szCs w:val="4"/>
              </w:rPr>
            </w:pPr>
            <w:r>
              <w:rPr>
                <w:sz w:val="4"/>
                <w:szCs w:val="4"/>
              </w:rPr>
            </w:r>
          </w:p>
        </w:tc>
        <w:tc>
          <w:tcPr>
            <w:tcW w:w="8236" w:type="dxa"/>
            <w:tcBorders/>
            <w:shd w:fill="auto" w:val="clear"/>
            <w:tcMar>
              <w:top w:w="0" w:type="dxa"/>
            </w:tcMar>
            <w:vAlign w:val="center"/>
          </w:tcPr>
          <w:p>
            <w:pPr>
              <w:pStyle w:val="TableContents"/>
              <w:spacing w:before="0" w:after="0"/>
              <w:jc w:val="left"/>
              <w:rPr>
                <w:rFonts w:ascii="Arial" w:hAnsi="Arial"/>
                <w:color w:val="00A1E0"/>
                <w:sz w:val="20"/>
              </w:rPr>
            </w:pPr>
            <w:r>
              <w:rPr>
                <w:rFonts w:ascii="Arial" w:hAnsi="Arial"/>
                <w:color w:val="00A1E0"/>
                <w:sz w:val="20"/>
              </w:rPr>
              <w:t>KEY RESPONSIBILITIES</w:t>
            </w:r>
          </w:p>
          <w:p>
            <w:pPr>
              <w:pStyle w:val="TableContents"/>
              <w:spacing w:before="0" w:after="0"/>
              <w:ind w:left="0" w:right="0" w:hanging="290"/>
              <w:jc w:val="left"/>
              <w:rPr/>
            </w:pPr>
            <w:r>
              <w:rPr>
                <w:color w:val="00A1E0"/>
              </w:rPr>
              <w:t>●</w:t>
            </w:r>
            <w:r>
              <w:rPr>
                <w:rFonts w:ascii="ARIAL" w:hAnsi="ARIAL"/>
                <w:sz w:val="20"/>
              </w:rPr>
              <w:t>Provides general oversight of corporate governance.</w:t>
            </w:r>
          </w:p>
          <w:p>
            <w:pPr>
              <w:pStyle w:val="TableContents"/>
              <w:spacing w:before="0" w:after="0"/>
              <w:ind w:left="0" w:right="0" w:hanging="290"/>
              <w:jc w:val="left"/>
              <w:rPr/>
            </w:pPr>
            <w:r>
              <w:rPr>
                <w:color w:val="00A1E0"/>
              </w:rPr>
              <w:t>●</w:t>
            </w:r>
            <w:r>
              <w:rPr>
                <w:rFonts w:ascii="ARIAL" w:hAnsi="ARIAL"/>
                <w:sz w:val="20"/>
              </w:rPr>
              <w:t>Oversees culture of compliance and ethical business conduct, including compliance program.</w:t>
            </w:r>
          </w:p>
          <w:p>
            <w:pPr>
              <w:pStyle w:val="TableContents"/>
              <w:spacing w:before="0" w:after="0"/>
              <w:ind w:left="0" w:right="0" w:hanging="290"/>
              <w:jc w:val="left"/>
              <w:rPr/>
            </w:pPr>
            <w:r>
              <w:rPr>
                <w:color w:val="00A1E0"/>
              </w:rPr>
              <w:t>●</w:t>
            </w:r>
            <w:r>
              <w:rPr>
                <w:rFonts w:ascii="ARIAL" w:hAnsi="ARIAL"/>
                <w:sz w:val="20"/>
              </w:rPr>
              <w:t>Reviews significant legal and regulatory compliance risks, such as privacy.</w:t>
            </w:r>
          </w:p>
          <w:p>
            <w:pPr>
              <w:pStyle w:val="TableContents"/>
              <w:spacing w:before="0" w:after="0"/>
              <w:ind w:left="0" w:right="0" w:hanging="290"/>
              <w:jc w:val="left"/>
              <w:rPr/>
            </w:pPr>
            <w:r>
              <w:rPr>
                <w:color w:val="00A1E0"/>
              </w:rPr>
              <w:t>●</w:t>
            </w:r>
            <w:r>
              <w:rPr>
                <w:rFonts w:ascii="ARIAL" w:hAnsi="ARIAL"/>
                <w:sz w:val="20"/>
              </w:rPr>
              <w:t>Oversees, monitors and receives reports on workplace harassment and discrimination matters.</w:t>
            </w:r>
          </w:p>
          <w:p>
            <w:pPr>
              <w:pStyle w:val="TableContents"/>
              <w:spacing w:before="0" w:after="0"/>
              <w:ind w:left="0" w:right="0" w:hanging="290"/>
              <w:jc w:val="left"/>
              <w:rPr/>
            </w:pPr>
            <w:r>
              <w:rPr>
                <w:color w:val="00A1E0"/>
              </w:rPr>
              <w:t>●</w:t>
            </w:r>
            <w:r>
              <w:rPr>
                <w:rFonts w:ascii="ARIAL" w:hAnsi="ARIAL"/>
                <w:sz w:val="20"/>
              </w:rPr>
              <w:t>Reviews and assesses our corporate social responsibility report and significant environmental and social issues, risks and trends, including by receiving periodic reports on DE&amp;I initiatives and matters.</w:t>
            </w:r>
          </w:p>
          <w:p>
            <w:pPr>
              <w:pStyle w:val="TableContents"/>
              <w:spacing w:before="0" w:after="0"/>
              <w:ind w:left="0" w:right="0" w:hanging="290"/>
              <w:jc w:val="left"/>
              <w:rPr/>
            </w:pPr>
            <w:r>
              <w:rPr>
                <w:color w:val="00A1E0"/>
              </w:rPr>
              <w:t>●</w:t>
            </w:r>
            <w:r>
              <w:rPr>
                <w:rFonts w:ascii="ARIAL" w:hAnsi="ARIAL"/>
                <w:sz w:val="20"/>
              </w:rPr>
              <w:t>Oversees our approach to political and lobbying activities, including by receiving periodic reports on our political contributions, lobbying and trade association activities.</w:t>
            </w:r>
          </w:p>
          <w:p>
            <w:pPr>
              <w:pStyle w:val="TableContents"/>
              <w:spacing w:before="0" w:after="0"/>
              <w:ind w:left="0" w:right="0" w:hanging="290"/>
              <w:jc w:val="left"/>
              <w:rPr/>
            </w:pPr>
            <w:r>
              <w:rPr>
                <w:color w:val="00A1E0"/>
              </w:rPr>
              <w:t>●</w:t>
            </w:r>
            <w:r>
              <w:rPr>
                <w:rFonts w:ascii="ARIAL" w:hAnsi="ARIAL"/>
                <w:sz w:val="20"/>
              </w:rPr>
              <w:t>Reports its discussions to the full Board for consideration and action when appropriate.</w:t>
            </w:r>
          </w:p>
        </w:tc>
        <w:tc>
          <w:tcPr>
            <w:tcW w:w="1560" w:type="dxa"/>
            <w:tcBorders/>
            <w:shd w:fill="auto" w:val="clear"/>
            <w:tcMar>
              <w:top w:w="0" w:type="dxa"/>
            </w:tcMar>
            <w:vAlign w:val="center"/>
          </w:tcPr>
          <w:p>
            <w:pPr>
              <w:pStyle w:val="TableContents"/>
              <w:spacing w:before="0" w:after="283"/>
              <w:rPr>
                <w:sz w:val="4"/>
                <w:szCs w:val="4"/>
              </w:rPr>
            </w:pPr>
            <w:r>
              <w:rPr>
                <w:sz w:val="4"/>
                <w:szCs w:val="4"/>
              </w:rPr>
            </w:r>
          </w:p>
        </w:tc>
        <w:tc>
          <w:tcPr>
            <w:tcW w:w="205" w:type="dxa"/>
            <w:tcBorders>
              <w:right w:val="single" w:sz="8" w:space="0" w:color="959595"/>
            </w:tcBorders>
            <w:shd w:fill="auto" w:val="clear"/>
            <w:tcMar>
              <w:top w:w="0" w:type="dxa"/>
              <w:right w:w="28" w:type="dxa"/>
            </w:tcM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223" w:type="dxa"/>
        <w:jc w:val="left"/>
        <w:tblInd w:w="0" w:type="dxa"/>
        <w:tblCellMar>
          <w:top w:w="0" w:type="dxa"/>
          <w:left w:w="0" w:type="dxa"/>
          <w:bottom w:w="0" w:type="dxa"/>
          <w:right w:w="0" w:type="dxa"/>
        </w:tblCellMar>
      </w:tblPr>
      <w:tblGrid>
        <w:gridCol w:w="200"/>
        <w:gridCol w:w="23"/>
      </w:tblGrid>
      <w:tr>
        <w:trPr/>
        <w:tc>
          <w:tcPr>
            <w:tcW w:w="200" w:type="dxa"/>
            <w:tcBorders/>
            <w:shd w:fill="auto" w:val="clear"/>
            <w:vAlign w:val="center"/>
          </w:tcPr>
          <w:p>
            <w:pPr>
              <w:pStyle w:val="TableContents"/>
              <w:spacing w:before="0" w:after="283"/>
              <w:jc w:val="left"/>
              <w:rPr>
                <w:rFonts w:ascii="Arial" w:hAnsi="Arial"/>
                <w:b/>
                <w:sz w:val="15"/>
              </w:rPr>
            </w:pPr>
            <w:r>
              <w:rPr>
                <w:rFonts w:ascii="Arial" w:hAnsi="Arial"/>
                <w:b/>
                <w:sz w:val="15"/>
              </w:rPr>
              <w:t>24</w:t>
            </w:r>
          </w:p>
        </w:tc>
        <w:tc>
          <w:tcPr>
            <w:tcW w:w="2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p>
      <w:pPr>
        <w:pStyle w:val="TextBody"/>
        <w:spacing w:before="0" w:after="0"/>
        <w:jc w:val="left"/>
        <w:rPr>
          <w:rFonts w:ascii="Arial" w:hAnsi="Arial"/>
          <w:sz w:val="28"/>
        </w:rPr>
      </w:pPr>
      <w:r>
        <w:rPr>
          <w:rFonts w:ascii="Arial" w:hAnsi="Arial"/>
          <w:sz w:val="28"/>
        </w:rPr>
        <w:t>Board and Committee Strategy, Risk and ESG Oversight Responsibilities</w:t>
      </w:r>
    </w:p>
    <w:p>
      <w:pPr>
        <w:pStyle w:val="TextBody"/>
        <w:jc w:val="left"/>
        <w:rPr>
          <w:rFonts w:ascii="Arial" w:hAnsi="Arial"/>
          <w:sz w:val="20"/>
        </w:rPr>
      </w:pPr>
      <w:r>
        <w:rPr>
          <w:rFonts w:ascii="Arial" w:hAnsi="Arial"/>
          <w:sz w:val="20"/>
        </w:rPr>
        <w:t>Our Board and its committees provide guidance to and oversight of management with respect to our business strategy throughout the year. Various elements of strategy are discussed at every Board meeting, and our management is charged with executing the business strategy and updating the Board on progress.</w:t>
      </w:r>
    </w:p>
    <w:p>
      <w:pPr>
        <w:pStyle w:val="TextBody"/>
        <w:jc w:val="left"/>
        <w:rPr>
          <w:rFonts w:ascii="Arial" w:hAnsi="Arial"/>
          <w:sz w:val="20"/>
        </w:rPr>
      </w:pPr>
      <w:r>
        <w:rPr>
          <w:rFonts w:ascii="Arial" w:hAnsi="Arial"/>
          <w:sz w:val="20"/>
        </w:rPr>
        <w:t>While active risk management and responsibility for disclosure controls is primarily the responsibility of our management, our Board understands the significant risks facing our company, including those related to material ESG issues. Our Board, as a whole and through its committees, exercises an appropriate degree of risk oversight, including risks associated with the design and operation of disclosure controls. Our management, with involvement and input from our Board, performs an annual companywide ERM assessment to identify and manage key existing and emerging risks for our company. Our ERM process assesses the characteristics and circumstances of the evolving business environment at the time and seeks to identify both the potential impacts to our company of a particular risk and the velocity with which the risk may manifest (e.g., rapidly in less than three months or more slowly in more than twelve months). Members of our disclosure committee participate in the ERM process, and the ERM output helps inform how we present the risks facing our company in the “Risk Factors” section of our Annual Report on Form 10-K, which is also reviewed with our Audit Committee.</w:t>
      </w:r>
    </w:p>
    <w:p>
      <w:pPr>
        <w:pStyle w:val="TextBody"/>
        <w:jc w:val="left"/>
        <w:rPr>
          <w:rFonts w:ascii="Arial" w:hAnsi="Arial"/>
          <w:sz w:val="20"/>
        </w:rPr>
      </w:pPr>
      <w:r>
        <w:rPr>
          <w:rFonts w:ascii="Arial" w:hAnsi="Arial"/>
          <w:sz w:val="20"/>
        </w:rPr>
        <w:t>Our executive management team has the overall responsibility for, and oversight of, our ERM process, and an ERM steering committee manages the process, with one or more senior business executives then monitoring and managing each of the identified risks. Regular business presentations and discussions throughout the year at the Board or its committees, both from management and external experts as appropriate, highlight significant relevant risks and exposures, including those listed below as core enterprise risks identified through our ERM process. In addition to the ERM process, our Corporate Chief Compliance Officer, who reports to our Chief Legal Officer, leads an annual compliance risk assessment process, which is presented to our GCR Committee.</w:t>
      </w:r>
    </w:p>
    <w:p>
      <w:pPr>
        <w:pStyle w:val="TextBody"/>
        <w:jc w:val="left"/>
        <w:rPr>
          <w:rFonts w:ascii="Arial" w:hAnsi="Arial"/>
          <w:sz w:val="20"/>
        </w:rPr>
      </w:pPr>
      <w:r>
        <w:rPr>
          <w:rFonts w:ascii="Arial" w:hAnsi="Arial"/>
          <w:sz w:val="20"/>
        </w:rPr>
        <w:t>Our Board and its committees exercise their respective roles in strategy, risk oversight and oversight of significant ESG matters in a variety of ways, as set forth below. We believe the Board as a whole is ultimately accountable for risk oversight, but various Board committees may lead and inform the Board with regard to specific risks. To that end, our full Board receives an annual presentation on the results of the core enterprise risks identified through our ERM process for Board-level oversight, with our Audit Committee overseeing the process by which we perform our ERM exercise. Certain risks may be addressed by both the Board and its committees (such as cybersecurity and succession planning) or only by our Board or a committee, depending on the subject matter and significance of a particular risk. If discussion of a risk is covered during a committee meeting, the committee chair reports on the committee’s discussion to the full Board for consideration and action when appropriate.</w:t>
      </w:r>
    </w:p>
    <w:tbl>
      <w:tblPr>
        <w:tblW w:w="6675" w:type="dxa"/>
        <w:jc w:val="left"/>
        <w:tblInd w:w="0" w:type="dxa"/>
        <w:tblCellMar>
          <w:top w:w="28" w:type="dxa"/>
          <w:left w:w="28" w:type="dxa"/>
          <w:bottom w:w="0" w:type="dxa"/>
          <w:right w:w="0" w:type="dxa"/>
        </w:tblCellMar>
      </w:tblPr>
      <w:tblGrid>
        <w:gridCol w:w="120"/>
        <w:gridCol w:w="1055"/>
        <w:gridCol w:w="1100"/>
        <w:gridCol w:w="1040"/>
        <w:gridCol w:w="875"/>
        <w:gridCol w:w="1415"/>
        <w:gridCol w:w="950"/>
        <w:gridCol w:w="120"/>
      </w:tblGrid>
      <w:tr>
        <w:trPr/>
        <w:tc>
          <w:tcPr>
            <w:tcW w:w="120" w:type="dxa"/>
            <w:tcBorders>
              <w:top w:val="single" w:sz="12" w:space="0" w:color="959595"/>
              <w:left w:val="single" w:sz="12" w:space="0" w:color="959595"/>
            </w:tcBorders>
            <w:shd w:fill="auto" w:val="clear"/>
            <w:vAlign w:val="center"/>
          </w:tcPr>
          <w:p>
            <w:pPr>
              <w:pStyle w:val="TableContents"/>
              <w:spacing w:before="0" w:after="283"/>
              <w:rPr/>
            </w:pPr>
            <w:r>
              <w:rPr/>
              <w:t> </w:t>
            </w:r>
          </w:p>
        </w:tc>
        <w:tc>
          <w:tcPr>
            <w:tcW w:w="6435" w:type="dxa"/>
            <w:gridSpan w:val="6"/>
            <w:tcBorders>
              <w:top w:val="single" w:sz="12" w:space="0" w:color="959595"/>
            </w:tcBorders>
            <w:shd w:fill="auto" w:val="clear"/>
            <w:tcMar>
              <w:left w:w="0" w:type="dxa"/>
            </w:tcMar>
            <w:vAlign w:val="center"/>
          </w:tcPr>
          <w:p>
            <w:pPr>
              <w:pStyle w:val="TableContents"/>
              <w:spacing w:before="0" w:after="283"/>
              <w:jc w:val="center"/>
              <w:rPr/>
            </w:pPr>
            <w:r>
              <w:rPr/>
              <w:t> </w:t>
            </w:r>
          </w:p>
        </w:tc>
        <w:tc>
          <w:tcPr>
            <w:tcW w:w="120" w:type="dxa"/>
            <w:tcBorders>
              <w:top w:val="single" w:sz="12" w:space="0" w:color="959595"/>
              <w:right w:val="single" w:sz="12" w:space="0" w:color="959595"/>
            </w:tcBorders>
            <w:shd w:fill="auto" w:val="clear"/>
            <w:tcMar>
              <w:left w:w="0" w:type="dxa"/>
              <w:right w:w="28" w:type="dxa"/>
            </w:tcMar>
            <w:vAlign w:val="center"/>
          </w:tcPr>
          <w:p>
            <w:pPr>
              <w:pStyle w:val="TableContents"/>
              <w:spacing w:before="0" w:after="283"/>
              <w:rPr/>
            </w:pPr>
            <w:r>
              <w:rPr/>
              <w:t> </w:t>
            </w:r>
          </w:p>
        </w:tc>
      </w:tr>
      <w:tr>
        <w:trPr/>
        <w:tc>
          <w:tcPr>
            <w:tcW w:w="120" w:type="dxa"/>
            <w:tcBorders>
              <w:left w:val="single" w:sz="12" w:space="0" w:color="959595"/>
            </w:tcBorders>
            <w:shd w:fill="auto" w:val="clear"/>
            <w:tcMar>
              <w:top w:w="0" w:type="dxa"/>
            </w:tcMar>
            <w:vAlign w:val="center"/>
          </w:tcPr>
          <w:p>
            <w:pPr>
              <w:pStyle w:val="TableContents"/>
              <w:spacing w:before="0" w:after="283"/>
              <w:rPr/>
            </w:pPr>
            <w:r>
              <w:rPr/>
              <w:t> </w:t>
            </w:r>
          </w:p>
        </w:tc>
        <w:tc>
          <w:tcPr>
            <w:tcW w:w="6435" w:type="dxa"/>
            <w:gridSpan w:val="6"/>
            <w:tcBorders/>
            <w:shd w:fill="00A1E0" w:val="clear"/>
            <w:tcMar>
              <w:top w:w="0" w:type="dxa"/>
              <w:left w:w="0" w:type="dxa"/>
            </w:tcMar>
            <w:vAlign w:val="center"/>
          </w:tcPr>
          <w:p>
            <w:pPr>
              <w:pStyle w:val="TableContents"/>
              <w:spacing w:before="0" w:after="283"/>
              <w:jc w:val="center"/>
              <w:rPr>
                <w:rFonts w:ascii="Arial" w:hAnsi="Arial"/>
                <w:color w:val="FFFFFF"/>
                <w:sz w:val="24"/>
              </w:rPr>
            </w:pPr>
            <w:r>
              <w:rPr>
                <w:rFonts w:ascii="Arial" w:hAnsi="Arial"/>
                <w:color w:val="FFFFFF"/>
                <w:sz w:val="24"/>
              </w:rPr>
              <w:t>Board of Directors</w:t>
            </w:r>
          </w:p>
        </w:tc>
        <w:tc>
          <w:tcPr>
            <w:tcW w:w="120" w:type="dxa"/>
            <w:tcBorders>
              <w:right w:val="single" w:sz="12" w:space="0" w:color="959595"/>
            </w:tcBorders>
            <w:shd w:fill="auto" w:val="clear"/>
            <w:tcMar>
              <w:top w:w="0" w:type="dxa"/>
              <w:left w:w="0" w:type="dxa"/>
              <w:right w:w="28" w:type="dxa"/>
            </w:tcMar>
            <w:vAlign w:val="center"/>
          </w:tcPr>
          <w:p>
            <w:pPr>
              <w:pStyle w:val="TableContents"/>
              <w:spacing w:before="0" w:after="283"/>
              <w:rPr/>
            </w:pPr>
            <w:r>
              <w:rPr/>
              <w:t> </w:t>
            </w:r>
          </w:p>
        </w:tc>
      </w:tr>
      <w:tr>
        <w:trPr/>
        <w:tc>
          <w:tcPr>
            <w:tcW w:w="120" w:type="dxa"/>
            <w:tcBorders>
              <w:left w:val="single" w:sz="12" w:space="0" w:color="959595"/>
            </w:tcBorders>
            <w:shd w:fill="auto" w:val="clear"/>
            <w:tcMar>
              <w:top w:w="0" w:type="dxa"/>
            </w:tcMar>
            <w:vAlign w:val="center"/>
          </w:tcPr>
          <w:p>
            <w:pPr>
              <w:pStyle w:val="TableContents"/>
              <w:spacing w:before="0" w:after="283"/>
              <w:rPr/>
            </w:pPr>
            <w:r>
              <w:rPr/>
              <w:t> </w:t>
            </w:r>
          </w:p>
        </w:tc>
        <w:tc>
          <w:tcPr>
            <w:tcW w:w="6435" w:type="dxa"/>
            <w:gridSpan w:val="6"/>
            <w:tcBorders/>
            <w:shd w:fill="auto" w:val="clear"/>
            <w:tcMar>
              <w:top w:w="0" w:type="dxa"/>
              <w:left w:w="0" w:type="dxa"/>
            </w:tcMar>
            <w:vAlign w:val="center"/>
          </w:tcPr>
          <w:p>
            <w:pPr>
              <w:pStyle w:val="TableContents"/>
              <w:spacing w:before="0" w:after="283"/>
              <w:jc w:val="center"/>
              <w:rPr>
                <w:rFonts w:ascii="Arial" w:hAnsi="Arial"/>
                <w:color w:val="00A1E0"/>
                <w:sz w:val="20"/>
              </w:rPr>
            </w:pPr>
            <w:r>
              <w:rPr>
                <w:rFonts w:ascii="Arial" w:hAnsi="Arial"/>
                <w:color w:val="00A1E0"/>
                <w:sz w:val="20"/>
              </w:rPr>
              <w:t>Oversight of Core Enterprise Risks</w:t>
            </w:r>
          </w:p>
        </w:tc>
        <w:tc>
          <w:tcPr>
            <w:tcW w:w="120" w:type="dxa"/>
            <w:tcBorders>
              <w:right w:val="single" w:sz="12" w:space="0" w:color="959595"/>
            </w:tcBorders>
            <w:shd w:fill="auto" w:val="clear"/>
            <w:tcMar>
              <w:top w:w="0" w:type="dxa"/>
              <w:left w:w="0" w:type="dxa"/>
              <w:right w:w="28" w:type="dxa"/>
            </w:tcMar>
            <w:vAlign w:val="center"/>
          </w:tcPr>
          <w:p>
            <w:pPr>
              <w:pStyle w:val="TableContents"/>
              <w:spacing w:before="0" w:after="283"/>
              <w:rPr/>
            </w:pPr>
            <w:r>
              <w:rPr/>
              <w:t> </w:t>
            </w:r>
          </w:p>
        </w:tc>
      </w:tr>
      <w:tr>
        <w:trPr/>
        <w:tc>
          <w:tcPr>
            <w:tcW w:w="120" w:type="dxa"/>
            <w:tcBorders>
              <w:left w:val="single" w:sz="12" w:space="0" w:color="959595"/>
            </w:tcBorders>
            <w:shd w:fill="auto" w:val="clear"/>
            <w:tcMar>
              <w:top w:w="0" w:type="dxa"/>
            </w:tcMar>
            <w:vAlign w:val="center"/>
          </w:tcPr>
          <w:p>
            <w:pPr>
              <w:pStyle w:val="TableContents"/>
              <w:spacing w:before="0" w:after="283"/>
              <w:jc w:val="center"/>
              <w:rPr/>
            </w:pPr>
            <w:r>
              <w:rPr/>
              <w:t>  </w:t>
            </w:r>
          </w:p>
        </w:tc>
        <w:tc>
          <w:tcPr>
            <w:tcW w:w="1055" w:type="dxa"/>
            <w:tcBorders>
              <w:right w:val="single" w:sz="8" w:space="0" w:color="959595"/>
            </w:tcBorders>
            <w:shd w:fill="auto" w:val="clear"/>
            <w:tcMar>
              <w:top w:w="0" w:type="dxa"/>
              <w:left w:w="0" w:type="dxa"/>
              <w:right w:w="28" w:type="dxa"/>
            </w:tcMar>
            <w:vAlign w:val="center"/>
          </w:tcPr>
          <w:p>
            <w:pPr>
              <w:pStyle w:val="TableContents"/>
              <w:spacing w:before="0" w:after="283"/>
              <w:jc w:val="center"/>
              <w:rPr>
                <w:rFonts w:ascii="Arial" w:hAnsi="Arial"/>
                <w:sz w:val="20"/>
              </w:rPr>
            </w:pPr>
            <w:r>
              <w:rPr>
                <w:rFonts w:ascii="Arial" w:hAnsi="Arial"/>
                <w:sz w:val="20"/>
              </w:rPr>
              <w:t>Competitive</w:t>
              <w:br/>
              <w:t>Risks</w:t>
            </w:r>
          </w:p>
        </w:tc>
        <w:tc>
          <w:tcPr>
            <w:tcW w:w="1100" w:type="dxa"/>
            <w:tcBorders>
              <w:right w:val="single" w:sz="8" w:space="0" w:color="959595"/>
            </w:tcBorders>
            <w:shd w:fill="auto" w:val="clear"/>
            <w:tcMar>
              <w:top w:w="0" w:type="dxa"/>
              <w:left w:w="0" w:type="dxa"/>
              <w:right w:w="28" w:type="dxa"/>
            </w:tcMar>
            <w:vAlign w:val="center"/>
          </w:tcPr>
          <w:p>
            <w:pPr>
              <w:pStyle w:val="TableContents"/>
              <w:spacing w:before="0" w:after="283"/>
              <w:jc w:val="center"/>
              <w:rPr>
                <w:rFonts w:ascii="Arial" w:hAnsi="Arial"/>
                <w:sz w:val="20"/>
              </w:rPr>
            </w:pPr>
            <w:r>
              <w:rPr>
                <w:rFonts w:ascii="Arial" w:hAnsi="Arial"/>
                <w:sz w:val="20"/>
              </w:rPr>
              <w:t>Reputational</w:t>
              <w:br/>
              <w:t>Risks</w:t>
            </w:r>
          </w:p>
        </w:tc>
        <w:tc>
          <w:tcPr>
            <w:tcW w:w="1040" w:type="dxa"/>
            <w:tcBorders>
              <w:right w:val="single" w:sz="8" w:space="0" w:color="000000"/>
            </w:tcBorders>
            <w:shd w:fill="auto" w:val="clear"/>
            <w:tcMar>
              <w:top w:w="0" w:type="dxa"/>
              <w:left w:w="0" w:type="dxa"/>
              <w:right w:w="28" w:type="dxa"/>
            </w:tcMar>
            <w:vAlign w:val="center"/>
          </w:tcPr>
          <w:p>
            <w:pPr>
              <w:pStyle w:val="TableContents"/>
              <w:spacing w:before="0" w:after="283"/>
              <w:jc w:val="center"/>
              <w:rPr>
                <w:rFonts w:ascii="Arial" w:hAnsi="Arial"/>
                <w:sz w:val="20"/>
              </w:rPr>
            </w:pPr>
            <w:r>
              <w:rPr>
                <w:rFonts w:ascii="Arial" w:hAnsi="Arial"/>
                <w:sz w:val="20"/>
              </w:rPr>
              <w:t>Succession</w:t>
              <w:br/>
              <w:t>Planning</w:t>
            </w:r>
          </w:p>
        </w:tc>
        <w:tc>
          <w:tcPr>
            <w:tcW w:w="875" w:type="dxa"/>
            <w:tcBorders>
              <w:right w:val="single" w:sz="8" w:space="0" w:color="959595"/>
            </w:tcBorders>
            <w:shd w:fill="auto" w:val="clear"/>
            <w:tcMar>
              <w:top w:w="0" w:type="dxa"/>
              <w:left w:w="0" w:type="dxa"/>
              <w:right w:w="28" w:type="dxa"/>
            </w:tcMar>
            <w:vAlign w:val="center"/>
          </w:tcPr>
          <w:p>
            <w:pPr>
              <w:pStyle w:val="TableContents"/>
              <w:spacing w:before="0" w:after="283"/>
              <w:jc w:val="center"/>
              <w:rPr>
                <w:rFonts w:ascii="Arial" w:hAnsi="Arial"/>
                <w:sz w:val="20"/>
              </w:rPr>
            </w:pPr>
            <w:r>
              <w:rPr>
                <w:rFonts w:ascii="Arial" w:hAnsi="Arial"/>
                <w:sz w:val="20"/>
              </w:rPr>
              <w:t>Capital</w:t>
              <w:br/>
              <w:t>Allocation</w:t>
            </w:r>
          </w:p>
        </w:tc>
        <w:tc>
          <w:tcPr>
            <w:tcW w:w="1415" w:type="dxa"/>
            <w:tcBorders>
              <w:right w:val="single" w:sz="8" w:space="0" w:color="959595"/>
            </w:tcBorders>
            <w:shd w:fill="auto" w:val="clear"/>
            <w:tcMar>
              <w:top w:w="0" w:type="dxa"/>
              <w:left w:w="0" w:type="dxa"/>
              <w:right w:w="28" w:type="dxa"/>
            </w:tcMar>
            <w:vAlign w:val="center"/>
          </w:tcPr>
          <w:p>
            <w:pPr>
              <w:pStyle w:val="TableContents"/>
              <w:spacing w:before="0" w:after="283"/>
              <w:jc w:val="center"/>
              <w:rPr>
                <w:rFonts w:ascii="Arial" w:hAnsi="Arial"/>
                <w:sz w:val="20"/>
              </w:rPr>
            </w:pPr>
            <w:r>
              <w:rPr>
                <w:rFonts w:ascii="Arial" w:hAnsi="Arial"/>
                <w:sz w:val="20"/>
              </w:rPr>
              <w:t>Cybersecurity &amp;</w:t>
              <w:br/>
              <w:t>Privacy</w:t>
            </w:r>
          </w:p>
        </w:tc>
        <w:tc>
          <w:tcPr>
            <w:tcW w:w="950" w:type="dxa"/>
            <w:tcBorders/>
            <w:shd w:fill="auto" w:val="clear"/>
            <w:tcMar>
              <w:top w:w="0" w:type="dxa"/>
              <w:left w:w="0" w:type="dxa"/>
            </w:tcMar>
            <w:vAlign w:val="center"/>
          </w:tcPr>
          <w:p>
            <w:pPr>
              <w:pStyle w:val="TableContents"/>
              <w:spacing w:before="0" w:after="283"/>
              <w:jc w:val="center"/>
              <w:rPr>
                <w:rFonts w:ascii="Arial" w:hAnsi="Arial"/>
                <w:sz w:val="20"/>
              </w:rPr>
            </w:pPr>
            <w:r>
              <w:rPr>
                <w:rFonts w:ascii="Arial" w:hAnsi="Arial"/>
                <w:sz w:val="20"/>
              </w:rPr>
              <w:t>Legal &amp;</w:t>
              <w:br/>
              <w:t>Regulatory</w:t>
            </w:r>
          </w:p>
        </w:tc>
        <w:tc>
          <w:tcPr>
            <w:tcW w:w="120" w:type="dxa"/>
            <w:tcBorders>
              <w:right w:val="single" w:sz="12" w:space="0" w:color="959595"/>
            </w:tcBorders>
            <w:shd w:fill="auto" w:val="clear"/>
            <w:tcMar>
              <w:top w:w="0" w:type="dxa"/>
              <w:left w:w="0" w:type="dxa"/>
              <w:right w:w="28" w:type="dxa"/>
            </w:tcMar>
            <w:vAlign w:val="center"/>
          </w:tcPr>
          <w:p>
            <w:pPr>
              <w:pStyle w:val="TableContents"/>
              <w:spacing w:before="0" w:after="283"/>
              <w:jc w:val="center"/>
              <w:rPr/>
            </w:pPr>
            <w:r>
              <w:rPr/>
              <w:t>  </w:t>
            </w:r>
          </w:p>
        </w:tc>
      </w:tr>
      <w:tr>
        <w:trPr/>
        <w:tc>
          <w:tcPr>
            <w:tcW w:w="120" w:type="dxa"/>
            <w:tcBorders>
              <w:left w:val="single" w:sz="12" w:space="0" w:color="959595"/>
              <w:bottom w:val="single" w:sz="12" w:space="0" w:color="959595"/>
            </w:tcBorders>
            <w:shd w:fill="auto" w:val="clear"/>
            <w:tcMar>
              <w:top w:w="0" w:type="dxa"/>
              <w:bottom w:w="28" w:type="dxa"/>
            </w:tcMar>
            <w:vAlign w:val="center"/>
          </w:tcPr>
          <w:p>
            <w:pPr>
              <w:pStyle w:val="TableContents"/>
              <w:spacing w:before="0" w:after="283"/>
              <w:rPr>
                <w:sz w:val="4"/>
                <w:szCs w:val="4"/>
              </w:rPr>
            </w:pPr>
            <w:r>
              <w:rPr>
                <w:sz w:val="4"/>
                <w:szCs w:val="4"/>
              </w:rPr>
            </w:r>
          </w:p>
        </w:tc>
        <w:tc>
          <w:tcPr>
            <w:tcW w:w="1055" w:type="dxa"/>
            <w:tcBorders>
              <w:bottom w:val="single" w:sz="12" w:space="0" w:color="959595"/>
            </w:tcBorders>
            <w:shd w:fill="auto" w:val="clear"/>
            <w:tcMar>
              <w:top w:w="0" w:type="dxa"/>
              <w:left w:w="0" w:type="dxa"/>
              <w:bottom w:w="28" w:type="dxa"/>
            </w:tcMar>
            <w:vAlign w:val="center"/>
          </w:tcPr>
          <w:p>
            <w:pPr>
              <w:pStyle w:val="TableContents"/>
              <w:spacing w:before="0" w:after="283"/>
              <w:jc w:val="center"/>
              <w:rPr/>
            </w:pPr>
            <w:r>
              <w:rPr/>
              <w:t> </w:t>
            </w:r>
          </w:p>
        </w:tc>
        <w:tc>
          <w:tcPr>
            <w:tcW w:w="1100" w:type="dxa"/>
            <w:tcBorders>
              <w:bottom w:val="single" w:sz="12" w:space="0" w:color="959595"/>
            </w:tcBorders>
            <w:shd w:fill="auto" w:val="clear"/>
            <w:tcMar>
              <w:top w:w="0" w:type="dxa"/>
              <w:left w:w="0" w:type="dxa"/>
              <w:bottom w:w="28" w:type="dxa"/>
            </w:tcMar>
            <w:vAlign w:val="center"/>
          </w:tcPr>
          <w:p>
            <w:pPr>
              <w:pStyle w:val="TableContents"/>
              <w:spacing w:before="0" w:after="283"/>
              <w:rPr>
                <w:sz w:val="4"/>
                <w:szCs w:val="4"/>
              </w:rPr>
            </w:pPr>
            <w:r>
              <w:rPr>
                <w:sz w:val="4"/>
                <w:szCs w:val="4"/>
              </w:rPr>
            </w:r>
          </w:p>
        </w:tc>
        <w:tc>
          <w:tcPr>
            <w:tcW w:w="1040" w:type="dxa"/>
            <w:tcBorders>
              <w:bottom w:val="single" w:sz="12" w:space="0" w:color="959595"/>
            </w:tcBorders>
            <w:shd w:fill="auto" w:val="clear"/>
            <w:tcMar>
              <w:top w:w="0" w:type="dxa"/>
              <w:left w:w="0" w:type="dxa"/>
              <w:bottom w:w="28" w:type="dxa"/>
            </w:tcMar>
            <w:vAlign w:val="center"/>
          </w:tcPr>
          <w:p>
            <w:pPr>
              <w:pStyle w:val="TableContents"/>
              <w:spacing w:before="0" w:after="283"/>
              <w:rPr>
                <w:sz w:val="4"/>
                <w:szCs w:val="4"/>
              </w:rPr>
            </w:pPr>
            <w:r>
              <w:rPr>
                <w:sz w:val="4"/>
                <w:szCs w:val="4"/>
              </w:rPr>
            </w:r>
          </w:p>
        </w:tc>
        <w:tc>
          <w:tcPr>
            <w:tcW w:w="875" w:type="dxa"/>
            <w:tcBorders>
              <w:bottom w:val="single" w:sz="12" w:space="0" w:color="959595"/>
            </w:tcBorders>
            <w:shd w:fill="auto" w:val="clear"/>
            <w:tcMar>
              <w:top w:w="0" w:type="dxa"/>
              <w:left w:w="0" w:type="dxa"/>
              <w:bottom w:w="28" w:type="dxa"/>
            </w:tcMar>
            <w:vAlign w:val="center"/>
          </w:tcPr>
          <w:p>
            <w:pPr>
              <w:pStyle w:val="TableContents"/>
              <w:spacing w:before="0" w:after="283"/>
              <w:rPr>
                <w:sz w:val="4"/>
                <w:szCs w:val="4"/>
              </w:rPr>
            </w:pPr>
            <w:r>
              <w:rPr>
                <w:sz w:val="4"/>
                <w:szCs w:val="4"/>
              </w:rPr>
            </w:r>
          </w:p>
        </w:tc>
        <w:tc>
          <w:tcPr>
            <w:tcW w:w="1415" w:type="dxa"/>
            <w:tcBorders>
              <w:bottom w:val="single" w:sz="12" w:space="0" w:color="959595"/>
            </w:tcBorders>
            <w:shd w:fill="auto" w:val="clear"/>
            <w:tcMar>
              <w:top w:w="0" w:type="dxa"/>
              <w:left w:w="0" w:type="dxa"/>
              <w:bottom w:w="28" w:type="dxa"/>
            </w:tcMar>
            <w:vAlign w:val="center"/>
          </w:tcPr>
          <w:p>
            <w:pPr>
              <w:pStyle w:val="TableContents"/>
              <w:spacing w:before="0" w:after="283"/>
              <w:rPr>
                <w:sz w:val="4"/>
                <w:szCs w:val="4"/>
              </w:rPr>
            </w:pPr>
            <w:r>
              <w:rPr>
                <w:sz w:val="4"/>
                <w:szCs w:val="4"/>
              </w:rPr>
            </w:r>
          </w:p>
        </w:tc>
        <w:tc>
          <w:tcPr>
            <w:tcW w:w="950" w:type="dxa"/>
            <w:tcBorders>
              <w:bottom w:val="single" w:sz="12" w:space="0" w:color="959595"/>
            </w:tcBorders>
            <w:shd w:fill="auto" w:val="clear"/>
            <w:tcMar>
              <w:top w:w="0" w:type="dxa"/>
              <w:left w:w="0" w:type="dxa"/>
              <w:bottom w:w="28" w:type="dxa"/>
            </w:tcMar>
            <w:vAlign w:val="center"/>
          </w:tcPr>
          <w:p>
            <w:pPr>
              <w:pStyle w:val="TableContents"/>
              <w:spacing w:before="0" w:after="283"/>
              <w:rPr>
                <w:sz w:val="4"/>
                <w:szCs w:val="4"/>
              </w:rPr>
            </w:pPr>
            <w:r>
              <w:rPr>
                <w:sz w:val="4"/>
                <w:szCs w:val="4"/>
              </w:rPr>
            </w:r>
          </w:p>
        </w:tc>
        <w:tc>
          <w:tcPr>
            <w:tcW w:w="120" w:type="dxa"/>
            <w:tcBorders>
              <w:bottom w:val="single" w:sz="12" w:space="0" w:color="959595"/>
              <w:right w:val="single" w:sz="12" w:space="0" w:color="959595"/>
            </w:tcBorders>
            <w:shd w:fill="auto" w:val="clear"/>
            <w:tcMar>
              <w:top w:w="0" w:type="dxa"/>
              <w:left w:w="0" w:type="dxa"/>
              <w:bottom w:w="28" w:type="dxa"/>
              <w:right w:w="28" w:type="dxa"/>
            </w:tcMar>
            <w:vAlign w:val="center"/>
          </w:tcPr>
          <w:p>
            <w:pPr>
              <w:pStyle w:val="TableContents"/>
              <w:spacing w:before="0" w:after="283"/>
              <w:rPr/>
            </w:pPr>
            <w:r>
              <w:rPr/>
              <w:t> </w:t>
            </w:r>
          </w:p>
        </w:tc>
      </w:tr>
    </w:tbl>
    <w:tbl>
      <w:tblPr>
        <w:tblW w:w="10205" w:type="dxa"/>
        <w:jc w:val="left"/>
        <w:tblInd w:w="0" w:type="dxa"/>
        <w:tblCellMar>
          <w:top w:w="0" w:type="dxa"/>
          <w:left w:w="0" w:type="dxa"/>
          <w:bottom w:w="0" w:type="dxa"/>
          <w:right w:w="0" w:type="dxa"/>
        </w:tblCellMar>
      </w:tblPr>
      <w:tblGrid>
        <w:gridCol w:w="120"/>
        <w:gridCol w:w="1516"/>
        <w:gridCol w:w="120"/>
        <w:gridCol w:w="120"/>
        <w:gridCol w:w="120"/>
        <w:gridCol w:w="4003"/>
        <w:gridCol w:w="120"/>
        <w:gridCol w:w="120"/>
        <w:gridCol w:w="120"/>
        <w:gridCol w:w="3725"/>
        <w:gridCol w:w="121"/>
      </w:tblGrid>
      <w:tr>
        <w:trPr/>
        <w:tc>
          <w:tcPr>
            <w:tcW w:w="120" w:type="dxa"/>
            <w:tcBorders/>
            <w:shd w:fill="auto" w:val="clear"/>
            <w:vAlign w:val="center"/>
          </w:tcPr>
          <w:p>
            <w:pPr>
              <w:pStyle w:val="TableContents"/>
              <w:spacing w:before="0" w:after="283"/>
              <w:jc w:val="center"/>
              <w:rPr/>
            </w:pPr>
            <w:r>
              <w:rPr/>
              <w:t>  </w:t>
            </w:r>
          </w:p>
        </w:tc>
        <w:tc>
          <w:tcPr>
            <w:tcW w:w="1516" w:type="dxa"/>
            <w:tcBorders/>
            <w:shd w:fill="auto" w:val="clear"/>
            <w:vAlign w:val="center"/>
          </w:tcPr>
          <w:p>
            <w:pPr>
              <w:pStyle w:val="TableContents"/>
              <w:spacing w:before="0" w:after="283"/>
              <w:jc w:val="center"/>
              <w:rPr/>
            </w:pPr>
            <w:r>
              <w:rPr/>
              <w:drawing>
                <wp:inline distT="0" distB="0" distL="0" distR="0">
                  <wp:extent cx="200025" cy="171450"/>
                  <wp:effectExtent l="0" t="0" r="0" b="0"/>
                  <wp:docPr id="178"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04" descr=""/>
                          <pic:cNvPicPr>
                            <a:picLocks noChangeAspect="1" noChangeArrowheads="1"/>
                          </pic:cNvPicPr>
                        </pic:nvPicPr>
                        <pic:blipFill>
                          <a:blip r:embed="rId105"/>
                          <a:srcRect l="-5035" t="-5882" r="-5035" b="-5882"/>
                          <a:stretch>
                            <a:fillRect/>
                          </a:stretch>
                        </pic:blipFill>
                        <pic:spPr bwMode="auto">
                          <a:xfrm>
                            <a:off x="0" y="0"/>
                            <a:ext cx="200025" cy="171450"/>
                          </a:xfrm>
                          <a:prstGeom prst="rect">
                            <a:avLst/>
                          </a:prstGeom>
                          <a:ln w="635">
                            <a:solidFill>
                              <a:srgbClr val="000000"/>
                            </a:solidFill>
                          </a:ln>
                        </pic:spPr>
                      </pic:pic>
                    </a:graphicData>
                  </a:graphic>
                </wp:inline>
              </w:drawing>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jc w:val="center"/>
              <w:rPr/>
            </w:pPr>
            <w:r>
              <w:rPr/>
              <w:t>  </w:t>
            </w:r>
          </w:p>
        </w:tc>
        <w:tc>
          <w:tcPr>
            <w:tcW w:w="120" w:type="dxa"/>
            <w:tcBorders/>
            <w:shd w:fill="auto" w:val="clear"/>
            <w:vAlign w:val="center"/>
          </w:tcPr>
          <w:p>
            <w:pPr>
              <w:pStyle w:val="TableContents"/>
              <w:spacing w:before="0" w:after="283"/>
              <w:rPr>
                <w:sz w:val="4"/>
                <w:szCs w:val="4"/>
              </w:rPr>
            </w:pPr>
            <w:r>
              <w:rPr>
                <w:sz w:val="4"/>
                <w:szCs w:val="4"/>
              </w:rPr>
            </w:r>
          </w:p>
        </w:tc>
        <w:tc>
          <w:tcPr>
            <w:tcW w:w="4003" w:type="dxa"/>
            <w:tcBorders/>
            <w:shd w:fill="auto" w:val="clear"/>
            <w:vAlign w:val="center"/>
          </w:tcPr>
          <w:p>
            <w:pPr>
              <w:pStyle w:val="TableContents"/>
              <w:spacing w:before="0" w:after="283"/>
              <w:jc w:val="center"/>
              <w:rPr/>
            </w:pPr>
            <w:r>
              <w:rPr/>
              <w:drawing>
                <wp:inline distT="0" distB="0" distL="0" distR="0">
                  <wp:extent cx="200025" cy="171450"/>
                  <wp:effectExtent l="0" t="0" r="0" b="0"/>
                  <wp:docPr id="179"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05" descr=""/>
                          <pic:cNvPicPr>
                            <a:picLocks noChangeAspect="1" noChangeArrowheads="1"/>
                          </pic:cNvPicPr>
                        </pic:nvPicPr>
                        <pic:blipFill>
                          <a:blip r:embed="rId106"/>
                          <a:srcRect l="-5035" t="-5882" r="-5035" b="-5882"/>
                          <a:stretch>
                            <a:fillRect/>
                          </a:stretch>
                        </pic:blipFill>
                        <pic:spPr bwMode="auto">
                          <a:xfrm>
                            <a:off x="0" y="0"/>
                            <a:ext cx="200025" cy="171450"/>
                          </a:xfrm>
                          <a:prstGeom prst="rect">
                            <a:avLst/>
                          </a:prstGeom>
                          <a:ln w="635">
                            <a:solidFill>
                              <a:srgbClr val="000000"/>
                            </a:solidFill>
                          </a:ln>
                        </pic:spPr>
                      </pic:pic>
                    </a:graphicData>
                  </a:graphic>
                </wp:inline>
              </w:drawing>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jc w:val="center"/>
              <w:rPr/>
            </w:pPr>
            <w:r>
              <w:rPr/>
              <w:t>  </w:t>
            </w:r>
          </w:p>
        </w:tc>
        <w:tc>
          <w:tcPr>
            <w:tcW w:w="120" w:type="dxa"/>
            <w:tcBorders/>
            <w:shd w:fill="auto" w:val="clear"/>
            <w:vAlign w:val="center"/>
          </w:tcPr>
          <w:p>
            <w:pPr>
              <w:pStyle w:val="TableContents"/>
              <w:spacing w:before="0" w:after="283"/>
              <w:rPr>
                <w:sz w:val="4"/>
                <w:szCs w:val="4"/>
              </w:rPr>
            </w:pPr>
            <w:r>
              <w:rPr>
                <w:sz w:val="4"/>
                <w:szCs w:val="4"/>
              </w:rPr>
            </w:r>
          </w:p>
        </w:tc>
        <w:tc>
          <w:tcPr>
            <w:tcW w:w="3725" w:type="dxa"/>
            <w:tcBorders/>
            <w:shd w:fill="auto" w:val="clear"/>
            <w:vAlign w:val="center"/>
          </w:tcPr>
          <w:p>
            <w:pPr>
              <w:pStyle w:val="TableContents"/>
              <w:spacing w:before="0" w:after="283"/>
              <w:jc w:val="center"/>
              <w:rPr/>
            </w:pPr>
            <w:r>
              <w:rPr/>
              <w:drawing>
                <wp:inline distT="0" distB="0" distL="0" distR="0">
                  <wp:extent cx="200025" cy="171450"/>
                  <wp:effectExtent l="0" t="0" r="0" b="0"/>
                  <wp:docPr id="180"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06" descr=""/>
                          <pic:cNvPicPr>
                            <a:picLocks noChangeAspect="1" noChangeArrowheads="1"/>
                          </pic:cNvPicPr>
                        </pic:nvPicPr>
                        <pic:blipFill>
                          <a:blip r:embed="rId107"/>
                          <a:srcRect l="-5035" t="-5882" r="-5035" b="-5882"/>
                          <a:stretch>
                            <a:fillRect/>
                          </a:stretch>
                        </pic:blipFill>
                        <pic:spPr bwMode="auto">
                          <a:xfrm>
                            <a:off x="0" y="0"/>
                            <a:ext cx="200025" cy="171450"/>
                          </a:xfrm>
                          <a:prstGeom prst="rect">
                            <a:avLst/>
                          </a:prstGeom>
                          <a:ln w="635">
                            <a:solidFill>
                              <a:srgbClr val="000000"/>
                            </a:solidFill>
                          </a:ln>
                        </pic:spPr>
                      </pic:pic>
                    </a:graphicData>
                  </a:graphic>
                </wp:inline>
              </w:drawing>
            </w:r>
          </w:p>
        </w:tc>
        <w:tc>
          <w:tcPr>
            <w:tcW w:w="121" w:type="dxa"/>
            <w:tcBorders/>
            <w:shd w:fill="auto" w:val="clear"/>
            <w:vAlign w:val="center"/>
          </w:tcPr>
          <w:p>
            <w:pPr>
              <w:pStyle w:val="TableContents"/>
              <w:spacing w:before="0" w:after="283"/>
              <w:rPr>
                <w:sz w:val="4"/>
                <w:szCs w:val="4"/>
              </w:rPr>
            </w:pPr>
            <w:r>
              <w:rPr>
                <w:sz w:val="4"/>
                <w:szCs w:val="4"/>
              </w:rPr>
            </w:r>
          </w:p>
        </w:tc>
      </w:tr>
      <w:tr>
        <w:trPr/>
        <w:tc>
          <w:tcPr>
            <w:tcW w:w="120" w:type="dxa"/>
            <w:tcBorders>
              <w:top w:val="single" w:sz="12" w:space="0" w:color="959595"/>
            </w:tcBorders>
            <w:shd w:fill="auto" w:val="clear"/>
            <w:tcMar>
              <w:top w:w="28" w:type="dxa"/>
            </w:tcMar>
            <w:vAlign w:val="center"/>
          </w:tcPr>
          <w:p>
            <w:pPr>
              <w:pStyle w:val="TableContents"/>
              <w:spacing w:before="0" w:after="283"/>
              <w:jc w:val="center"/>
              <w:rPr/>
            </w:pPr>
            <w:r>
              <w:rPr/>
              <w:t>  </w:t>
            </w:r>
          </w:p>
        </w:tc>
        <w:tc>
          <w:tcPr>
            <w:tcW w:w="1516" w:type="dxa"/>
            <w:tcBorders>
              <w:top w:val="single" w:sz="12" w:space="0" w:color="959595"/>
            </w:tcBorders>
            <w:shd w:fill="auto" w:val="clear"/>
            <w:tcMar>
              <w:top w:w="120" w:type="dxa"/>
            </w:tcMar>
            <w:vAlign w:val="center"/>
          </w:tcPr>
          <w:p>
            <w:pPr>
              <w:pStyle w:val="TableContents"/>
              <w:spacing w:before="0" w:after="283"/>
              <w:jc w:val="center"/>
              <w:rPr>
                <w:rFonts w:ascii="Arial" w:hAnsi="Arial"/>
                <w:color w:val="00A1E0"/>
                <w:sz w:val="20"/>
              </w:rPr>
            </w:pPr>
            <w:r>
              <w:rPr>
                <w:rFonts w:ascii="Arial" w:hAnsi="Arial"/>
                <w:color w:val="00A1E0"/>
                <w:sz w:val="20"/>
              </w:rPr>
              <w:t xml:space="preserve">Audit </w:t>
              <w:br/>
              <w:t>Committee</w:t>
            </w:r>
          </w:p>
        </w:tc>
        <w:tc>
          <w:tcPr>
            <w:tcW w:w="120" w:type="dxa"/>
            <w:tcBorders>
              <w:top w:val="single" w:sz="12" w:space="0" w:color="959595"/>
              <w:right w:val="single" w:sz="12" w:space="0" w:color="959595"/>
            </w:tcBorders>
            <w:shd w:fill="auto" w:val="clear"/>
            <w:tcMar>
              <w:top w:w="120" w:type="dxa"/>
              <w:right w:w="28" w:type="dxa"/>
            </w:tcM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top w:val="single" w:sz="12" w:space="0" w:color="959595"/>
            </w:tcBorders>
            <w:shd w:fill="auto" w:val="clear"/>
            <w:tcMar>
              <w:top w:w="120" w:type="dxa"/>
            </w:tcMar>
            <w:vAlign w:val="center"/>
          </w:tcPr>
          <w:p>
            <w:pPr>
              <w:pStyle w:val="TableContents"/>
              <w:spacing w:before="0" w:after="283"/>
              <w:rPr>
                <w:sz w:val="4"/>
                <w:szCs w:val="4"/>
              </w:rPr>
            </w:pPr>
            <w:r>
              <w:rPr>
                <w:sz w:val="4"/>
                <w:szCs w:val="4"/>
              </w:rPr>
            </w:r>
          </w:p>
        </w:tc>
        <w:tc>
          <w:tcPr>
            <w:tcW w:w="4003" w:type="dxa"/>
            <w:tcBorders>
              <w:top w:val="single" w:sz="12" w:space="0" w:color="959595"/>
            </w:tcBorders>
            <w:shd w:fill="auto" w:val="clear"/>
            <w:tcMar>
              <w:top w:w="120" w:type="dxa"/>
            </w:tcMar>
            <w:vAlign w:val="center"/>
          </w:tcPr>
          <w:p>
            <w:pPr>
              <w:pStyle w:val="TableContents"/>
              <w:spacing w:before="0" w:after="283"/>
              <w:jc w:val="center"/>
              <w:rPr>
                <w:rFonts w:ascii="Arial" w:hAnsi="Arial"/>
                <w:color w:val="00A1E0"/>
                <w:sz w:val="20"/>
              </w:rPr>
            </w:pPr>
            <w:r>
              <w:rPr>
                <w:rFonts w:ascii="Arial" w:hAnsi="Arial"/>
                <w:color w:val="00A1E0"/>
                <w:sz w:val="20"/>
              </w:rPr>
              <w:t xml:space="preserve">Compensation &amp; Human </w:t>
              <w:br/>
              <w:t>Capital Committee</w:t>
            </w:r>
          </w:p>
        </w:tc>
        <w:tc>
          <w:tcPr>
            <w:tcW w:w="120" w:type="dxa"/>
            <w:tcBorders>
              <w:top w:val="single" w:sz="12" w:space="0" w:color="959595"/>
              <w:right w:val="single" w:sz="12" w:space="0" w:color="959595"/>
            </w:tcBorders>
            <w:shd w:fill="auto" w:val="clear"/>
            <w:tcMar>
              <w:top w:w="120" w:type="dxa"/>
              <w:right w:w="28" w:type="dxa"/>
            </w:tcM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top w:val="single" w:sz="12" w:space="0" w:color="959595"/>
            </w:tcBorders>
            <w:shd w:fill="auto" w:val="clear"/>
            <w:tcMar>
              <w:top w:w="120" w:type="dxa"/>
            </w:tcMar>
            <w:vAlign w:val="center"/>
          </w:tcPr>
          <w:p>
            <w:pPr>
              <w:pStyle w:val="TableContents"/>
              <w:spacing w:before="0" w:after="283"/>
              <w:rPr>
                <w:sz w:val="4"/>
                <w:szCs w:val="4"/>
              </w:rPr>
            </w:pPr>
            <w:r>
              <w:rPr>
                <w:sz w:val="4"/>
                <w:szCs w:val="4"/>
              </w:rPr>
            </w:r>
          </w:p>
        </w:tc>
        <w:tc>
          <w:tcPr>
            <w:tcW w:w="3725" w:type="dxa"/>
            <w:tcBorders>
              <w:top w:val="single" w:sz="12" w:space="0" w:color="959595"/>
            </w:tcBorders>
            <w:shd w:fill="auto" w:val="clear"/>
            <w:tcMar>
              <w:top w:w="120" w:type="dxa"/>
            </w:tcMar>
            <w:vAlign w:val="center"/>
          </w:tcPr>
          <w:p>
            <w:pPr>
              <w:pStyle w:val="TableContents"/>
              <w:spacing w:before="0" w:after="283"/>
              <w:jc w:val="center"/>
              <w:rPr>
                <w:rFonts w:ascii="Arial" w:hAnsi="Arial"/>
                <w:color w:val="00A1E0"/>
                <w:sz w:val="20"/>
              </w:rPr>
            </w:pPr>
            <w:r>
              <w:rPr>
                <w:rFonts w:ascii="Arial" w:hAnsi="Arial"/>
                <w:color w:val="00A1E0"/>
                <w:sz w:val="20"/>
              </w:rPr>
              <w:t xml:space="preserve">Governance &amp; Corporate </w:t>
              <w:br/>
              <w:t>Responsibility Committee</w:t>
            </w:r>
          </w:p>
        </w:tc>
        <w:tc>
          <w:tcPr>
            <w:tcW w:w="121" w:type="dxa"/>
            <w:tcBorders>
              <w:top w:val="single" w:sz="12" w:space="0" w:color="959595"/>
              <w:right w:val="single" w:sz="12" w:space="0" w:color="959595"/>
            </w:tcBorders>
            <w:shd w:fill="auto" w:val="clear"/>
            <w:tcMar>
              <w:top w:w="120" w:type="dxa"/>
              <w:right w:w="28" w:type="dxa"/>
            </w:tcMar>
            <w:vAlign w:val="center"/>
          </w:tcPr>
          <w:p>
            <w:pPr>
              <w:pStyle w:val="TableContents"/>
              <w:spacing w:before="0" w:after="283"/>
              <w:rPr>
                <w:sz w:val="4"/>
                <w:szCs w:val="4"/>
              </w:rPr>
            </w:pPr>
            <w:r>
              <w:rPr>
                <w:sz w:val="4"/>
                <w:szCs w:val="4"/>
              </w:rPr>
            </w:r>
          </w:p>
        </w:tc>
      </w:tr>
      <w:tr>
        <w:trPr/>
        <w:tc>
          <w:tcPr>
            <w:tcW w:w="120" w:type="dxa"/>
            <w:tcBorders/>
            <w:shd w:fill="auto" w:val="clear"/>
            <w:vAlign w:val="center"/>
          </w:tcPr>
          <w:p>
            <w:pPr>
              <w:pStyle w:val="TableContents"/>
              <w:spacing w:before="0" w:after="283"/>
              <w:rPr/>
            </w:pPr>
            <w:r>
              <w:rPr/>
              <w:t> </w:t>
            </w:r>
          </w:p>
        </w:tc>
        <w:tc>
          <w:tcPr>
            <w:tcW w:w="1516" w:type="dxa"/>
            <w:tcBorders/>
            <w:shd w:fill="auto" w:val="clear"/>
            <w:vAlign w:val="center"/>
          </w:tcPr>
          <w:p>
            <w:pPr>
              <w:pStyle w:val="TableContents"/>
              <w:spacing w:before="0" w:after="283"/>
              <w:rPr>
                <w:rFonts w:ascii="Arial" w:hAnsi="Arial"/>
                <w:sz w:val="20"/>
              </w:rPr>
            </w:pPr>
            <w:r>
              <w:rPr>
                <w:rFonts w:ascii="Arial" w:hAnsi="Arial"/>
                <w:sz w:val="20"/>
              </w:rPr>
              <w:t>Oversight of:</w:t>
            </w:r>
          </w:p>
        </w:tc>
        <w:tc>
          <w:tcPr>
            <w:tcW w:w="120" w:type="dxa"/>
            <w:tcBorders>
              <w:right w:val="single" w:sz="12" w:space="0" w:color="959595"/>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4003" w:type="dxa"/>
            <w:tcBorders/>
            <w:shd w:fill="auto" w:val="clear"/>
            <w:vAlign w:val="center"/>
          </w:tcPr>
          <w:p>
            <w:pPr>
              <w:pStyle w:val="TableContents"/>
              <w:spacing w:before="0" w:after="283"/>
              <w:rPr>
                <w:rFonts w:ascii="Arial" w:hAnsi="Arial"/>
                <w:sz w:val="20"/>
              </w:rPr>
            </w:pPr>
            <w:r>
              <w:rPr>
                <w:rFonts w:ascii="Arial" w:hAnsi="Arial"/>
                <w:sz w:val="20"/>
              </w:rPr>
              <w:t>Oversight of:</w:t>
            </w:r>
          </w:p>
        </w:tc>
        <w:tc>
          <w:tcPr>
            <w:tcW w:w="120" w:type="dxa"/>
            <w:tcBorders>
              <w:right w:val="single" w:sz="12" w:space="0" w:color="959595"/>
            </w:tcBorders>
            <w:shd w:fill="auto" w:val="clear"/>
            <w:tcMar>
              <w:right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3725" w:type="dxa"/>
            <w:tcBorders/>
            <w:shd w:fill="auto" w:val="clear"/>
            <w:vAlign w:val="center"/>
          </w:tcPr>
          <w:p>
            <w:pPr>
              <w:pStyle w:val="TableContents"/>
              <w:spacing w:before="0" w:after="283"/>
              <w:rPr>
                <w:rFonts w:ascii="Arial" w:hAnsi="Arial"/>
                <w:sz w:val="20"/>
              </w:rPr>
            </w:pPr>
            <w:r>
              <w:rPr>
                <w:rFonts w:ascii="Arial" w:hAnsi="Arial"/>
                <w:sz w:val="20"/>
              </w:rPr>
              <w:t>Oversight of:</w:t>
            </w:r>
          </w:p>
        </w:tc>
        <w:tc>
          <w:tcPr>
            <w:tcW w:w="121" w:type="dxa"/>
            <w:tcBorders>
              <w:right w:val="single" w:sz="12" w:space="0" w:color="959595"/>
            </w:tcBorders>
            <w:shd w:fill="auto" w:val="clear"/>
            <w:tcMar>
              <w:right w:w="28" w:type="dxa"/>
            </w:tcMar>
            <w:vAlign w:val="center"/>
          </w:tcPr>
          <w:p>
            <w:pPr>
              <w:pStyle w:val="TableContents"/>
              <w:spacing w:before="0" w:after="283"/>
              <w:rPr/>
            </w:pPr>
            <w:r>
              <w:rPr/>
              <w:t>  </w:t>
            </w:r>
          </w:p>
        </w:tc>
      </w:tr>
      <w:tr>
        <w:trPr/>
        <w:tc>
          <w:tcPr>
            <w:tcW w:w="120" w:type="dxa"/>
            <w:tcBorders/>
            <w:shd w:fill="auto" w:val="clear"/>
            <w:vAlign w:val="center"/>
          </w:tcPr>
          <w:p>
            <w:pPr>
              <w:pStyle w:val="TableContents"/>
              <w:spacing w:before="0" w:after="283"/>
              <w:jc w:val="center"/>
              <w:rPr/>
            </w:pPr>
            <w:r>
              <w:rPr/>
              <w:t>  </w:t>
            </w:r>
          </w:p>
        </w:tc>
        <w:tc>
          <w:tcPr>
            <w:tcW w:w="1516" w:type="dxa"/>
            <w:tcBorders/>
            <w:shd w:fill="auto" w:val="clear"/>
            <w:vAlign w:val="center"/>
          </w:tcPr>
          <w:p>
            <w:pPr>
              <w:pStyle w:val="TableContents"/>
              <w:spacing w:before="0" w:after="0"/>
              <w:ind w:left="0" w:right="0" w:hanging="290"/>
              <w:jc w:val="left"/>
              <w:rPr/>
            </w:pPr>
            <w:r>
              <w:rPr>
                <w:color w:val="00A1E0"/>
              </w:rPr>
              <w:t>●</w:t>
            </w:r>
            <w:r>
              <w:rPr>
                <w:rFonts w:ascii="Arial" w:hAnsi="Arial"/>
                <w:sz w:val="20"/>
              </w:rPr>
              <w:t>ERM assessment process</w:t>
            </w:r>
          </w:p>
          <w:p>
            <w:pPr>
              <w:pStyle w:val="TableContents"/>
              <w:spacing w:before="0" w:after="0"/>
              <w:ind w:left="0" w:right="0" w:hanging="290"/>
              <w:jc w:val="left"/>
              <w:rPr/>
            </w:pPr>
            <w:r>
              <w:rPr>
                <w:color w:val="00A1E0"/>
              </w:rPr>
              <w:t>●</w:t>
            </w:r>
            <w:r>
              <w:rPr>
                <w:rFonts w:ascii="Arial" w:hAnsi="Arial"/>
                <w:sz w:val="20"/>
              </w:rPr>
              <w:t>Financial reporting and accounting matters</w:t>
            </w:r>
          </w:p>
          <w:p>
            <w:pPr>
              <w:pStyle w:val="TableContents"/>
              <w:spacing w:before="0" w:after="0"/>
              <w:ind w:left="0" w:right="0" w:hanging="290"/>
              <w:jc w:val="left"/>
              <w:rPr/>
            </w:pPr>
            <w:r>
              <w:rPr>
                <w:color w:val="00A1E0"/>
              </w:rPr>
              <w:t>●</w:t>
            </w:r>
            <w:r>
              <w:rPr>
                <w:rFonts w:ascii="Arial" w:hAnsi="Arial"/>
                <w:sz w:val="20"/>
              </w:rPr>
              <w:t>Internal and disclosure controls</w:t>
            </w:r>
          </w:p>
          <w:p>
            <w:pPr>
              <w:pStyle w:val="TableContents"/>
              <w:spacing w:before="0" w:after="0"/>
              <w:ind w:left="0" w:right="0" w:hanging="290"/>
              <w:jc w:val="left"/>
              <w:rPr/>
            </w:pPr>
            <w:r>
              <w:rPr>
                <w:color w:val="00A1E0"/>
              </w:rPr>
              <w:t>●</w:t>
            </w:r>
            <w:r>
              <w:rPr>
                <w:rFonts w:ascii="Arial" w:hAnsi="Arial"/>
                <w:sz w:val="20"/>
              </w:rPr>
              <w:t>Financial risks</w:t>
            </w:r>
          </w:p>
          <w:p>
            <w:pPr>
              <w:pStyle w:val="TableContents"/>
              <w:spacing w:before="0" w:after="0"/>
              <w:ind w:left="0" w:right="0" w:hanging="290"/>
              <w:jc w:val="left"/>
              <w:rPr/>
            </w:pPr>
            <w:r>
              <w:rPr>
                <w:color w:val="00A1E0"/>
              </w:rPr>
              <w:t>●</w:t>
            </w:r>
            <w:r>
              <w:rPr>
                <w:rFonts w:ascii="Arial" w:hAnsi="Arial"/>
                <w:sz w:val="20"/>
              </w:rPr>
              <w:t>Cybersecurity and business continuity</w:t>
            </w:r>
          </w:p>
        </w:tc>
        <w:tc>
          <w:tcPr>
            <w:tcW w:w="120" w:type="dxa"/>
            <w:tcBorders>
              <w:right w:val="single" w:sz="12" w:space="0" w:color="959595"/>
            </w:tcBorders>
            <w:shd w:fill="auto" w:val="clear"/>
            <w:tcMar>
              <w:right w:w="28" w:type="dxa"/>
            </w:tcMar>
            <w:vAlign w:val="center"/>
          </w:tcPr>
          <w:p>
            <w:pPr>
              <w:pStyle w:val="TableContents"/>
              <w:spacing w:before="0" w:after="283"/>
              <w:jc w:val="center"/>
              <w:rPr/>
            </w:pPr>
            <w:r>
              <w:rPr/>
              <w:t>  </w:t>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003" w:type="dxa"/>
            <w:tcBorders/>
            <w:shd w:fill="auto" w:val="clear"/>
            <w:vAlign w:val="center"/>
          </w:tcPr>
          <w:p>
            <w:pPr>
              <w:pStyle w:val="TableContents"/>
              <w:spacing w:before="0" w:after="0"/>
              <w:ind w:left="0" w:right="0" w:hanging="290"/>
              <w:jc w:val="left"/>
              <w:rPr/>
            </w:pPr>
            <w:r>
              <w:rPr>
                <w:color w:val="00A1E0"/>
              </w:rPr>
              <w:t>●</w:t>
            </w:r>
            <w:r>
              <w:rPr>
                <w:rFonts w:ascii="Arial" w:hAnsi="Arial"/>
                <w:sz w:val="20"/>
              </w:rPr>
              <w:t>Executive compensation program</w:t>
            </w:r>
          </w:p>
          <w:p>
            <w:pPr>
              <w:pStyle w:val="TableContents"/>
              <w:spacing w:before="0" w:after="0"/>
              <w:ind w:left="0" w:right="0" w:hanging="290"/>
              <w:jc w:val="left"/>
              <w:rPr/>
            </w:pPr>
            <w:r>
              <w:rPr>
                <w:color w:val="00A1E0"/>
              </w:rPr>
              <w:t>●</w:t>
            </w:r>
            <w:r>
              <w:rPr>
                <w:rFonts w:ascii="Arial" w:hAnsi="Arial"/>
                <w:sz w:val="20"/>
              </w:rPr>
              <w:t>Nonemployee director compensation</w:t>
            </w:r>
          </w:p>
          <w:p>
            <w:pPr>
              <w:pStyle w:val="TableContents"/>
              <w:spacing w:before="0" w:after="0"/>
              <w:ind w:left="0" w:right="0" w:hanging="290"/>
              <w:jc w:val="left"/>
              <w:rPr/>
            </w:pPr>
            <w:r>
              <w:rPr>
                <w:color w:val="00A1E0"/>
              </w:rPr>
              <w:t>●</w:t>
            </w:r>
            <w:r>
              <w:rPr>
                <w:rFonts w:ascii="Arial" w:hAnsi="Arial"/>
                <w:sz w:val="20"/>
              </w:rPr>
              <w:t>Human capital management, including talent recruitment, development and retention, employee engagement and workforce composition</w:t>
            </w:r>
          </w:p>
        </w:tc>
        <w:tc>
          <w:tcPr>
            <w:tcW w:w="120" w:type="dxa"/>
            <w:tcBorders>
              <w:right w:val="single" w:sz="12" w:space="0" w:color="959595"/>
            </w:tcBorders>
            <w:shd w:fill="auto" w:val="clear"/>
            <w:tcMar>
              <w:right w:w="28" w:type="dxa"/>
            </w:tcMar>
            <w:vAlign w:val="center"/>
          </w:tcPr>
          <w:p>
            <w:pPr>
              <w:pStyle w:val="TableContents"/>
              <w:spacing w:before="0" w:after="283"/>
              <w:jc w:val="center"/>
              <w:rPr/>
            </w:pPr>
            <w:r>
              <w:rPr/>
              <w:t>  </w:t>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725" w:type="dxa"/>
            <w:tcBorders/>
            <w:shd w:fill="auto" w:val="clear"/>
            <w:vAlign w:val="center"/>
          </w:tcPr>
          <w:p>
            <w:pPr>
              <w:pStyle w:val="TableContents"/>
              <w:spacing w:before="0" w:after="0"/>
              <w:ind w:left="0" w:right="0" w:hanging="290"/>
              <w:jc w:val="left"/>
              <w:rPr/>
            </w:pPr>
            <w:r>
              <w:rPr>
                <w:color w:val="00A1E0"/>
              </w:rPr>
              <w:t>●</w:t>
            </w:r>
            <w:r>
              <w:rPr>
                <w:rFonts w:ascii="Arial" w:hAnsi="Arial"/>
                <w:sz w:val="20"/>
              </w:rPr>
              <w:t>Corporate governance</w:t>
            </w:r>
          </w:p>
          <w:p>
            <w:pPr>
              <w:pStyle w:val="TableContents"/>
              <w:spacing w:before="0" w:after="0"/>
              <w:ind w:left="0" w:right="0" w:hanging="290"/>
              <w:jc w:val="left"/>
              <w:rPr/>
            </w:pPr>
            <w:r>
              <w:rPr>
                <w:color w:val="00A1E0"/>
              </w:rPr>
              <w:t>●</w:t>
            </w:r>
            <w:r>
              <w:rPr>
                <w:rFonts w:ascii="Arial" w:hAnsi="Arial"/>
                <w:sz w:val="20"/>
              </w:rPr>
              <w:t>Compliance, legal and regulatory matters, including privacy</w:t>
            </w:r>
          </w:p>
          <w:p>
            <w:pPr>
              <w:pStyle w:val="TableContents"/>
              <w:spacing w:before="0" w:after="0"/>
              <w:ind w:left="0" w:right="0" w:hanging="290"/>
              <w:jc w:val="left"/>
              <w:rPr/>
            </w:pPr>
            <w:r>
              <w:rPr>
                <w:color w:val="00A1E0"/>
              </w:rPr>
              <w:t>●</w:t>
            </w:r>
            <w:r>
              <w:rPr>
                <w:rFonts w:ascii="Arial" w:hAnsi="Arial"/>
                <w:sz w:val="20"/>
              </w:rPr>
              <w:t>Harassment and discrimination matters</w:t>
            </w:r>
          </w:p>
          <w:p>
            <w:pPr>
              <w:pStyle w:val="TableContents"/>
              <w:spacing w:before="0" w:after="0"/>
              <w:ind w:left="0" w:right="0" w:hanging="290"/>
              <w:jc w:val="left"/>
              <w:rPr/>
            </w:pPr>
            <w:r>
              <w:rPr>
                <w:color w:val="00A1E0"/>
              </w:rPr>
              <w:t>●</w:t>
            </w:r>
            <w:r>
              <w:rPr>
                <w:rFonts w:ascii="Arial" w:hAnsi="Arial"/>
                <w:sz w:val="20"/>
              </w:rPr>
              <w:t>DE&amp;I matters</w:t>
            </w:r>
          </w:p>
          <w:p>
            <w:pPr>
              <w:pStyle w:val="TableContents"/>
              <w:spacing w:before="0" w:after="0"/>
              <w:ind w:left="0" w:right="0" w:hanging="290"/>
              <w:jc w:val="left"/>
              <w:rPr/>
            </w:pPr>
            <w:r>
              <w:rPr>
                <w:color w:val="00A1E0"/>
              </w:rPr>
              <w:t>●</w:t>
            </w:r>
            <w:r>
              <w:rPr>
                <w:rFonts w:ascii="Arial" w:hAnsi="Arial"/>
                <w:sz w:val="20"/>
              </w:rPr>
              <w:t>Political and lobbying activities</w:t>
            </w:r>
          </w:p>
          <w:p>
            <w:pPr>
              <w:pStyle w:val="TableContents"/>
              <w:spacing w:before="0" w:after="0"/>
              <w:ind w:left="0" w:right="0" w:hanging="290"/>
              <w:jc w:val="left"/>
              <w:rPr/>
            </w:pPr>
            <w:r>
              <w:rPr>
                <w:color w:val="00A1E0"/>
              </w:rPr>
              <w:t>●</w:t>
            </w:r>
            <w:r>
              <w:rPr>
                <w:rFonts w:ascii="Arial" w:hAnsi="Arial"/>
                <w:sz w:val="20"/>
              </w:rPr>
              <w:t>Annual corporate responsibility reporting, which includes significant environmental and social issues, risks and trends</w:t>
            </w:r>
          </w:p>
        </w:tc>
        <w:tc>
          <w:tcPr>
            <w:tcW w:w="121" w:type="dxa"/>
            <w:tcBorders>
              <w:right w:val="single" w:sz="12" w:space="0" w:color="959595"/>
            </w:tcBorders>
            <w:shd w:fill="auto" w:val="clear"/>
            <w:tcMar>
              <w:right w:w="28" w:type="dxa"/>
            </w:tcMar>
            <w:vAlign w:val="center"/>
          </w:tcPr>
          <w:p>
            <w:pPr>
              <w:pStyle w:val="TableContents"/>
              <w:spacing w:before="0" w:after="283"/>
              <w:jc w:val="center"/>
              <w:rPr/>
            </w:pPr>
            <w:r>
              <w:rPr/>
              <w:t>  </w:t>
            </w:r>
          </w:p>
        </w:tc>
      </w:tr>
    </w:tbl>
    <w:p>
      <w:pPr>
        <w:pStyle w:val="TextBody"/>
        <w:spacing w:before="0" w:after="0"/>
        <w:rPr/>
      </w:pPr>
      <w:r>
        <w:rPr/>
      </w:r>
    </w:p>
    <w:tbl>
      <w:tblPr>
        <w:tblW w:w="2200" w:type="dxa"/>
        <w:jc w:val="left"/>
        <w:tblInd w:w="0" w:type="dxa"/>
        <w:tblCellMar>
          <w:top w:w="0" w:type="dxa"/>
          <w:left w:w="0" w:type="dxa"/>
          <w:bottom w:w="0" w:type="dxa"/>
          <w:right w:w="0" w:type="dxa"/>
        </w:tblCellMar>
      </w:tblPr>
      <w:tblGrid>
        <w:gridCol w:w="1580"/>
        <w:gridCol w:w="620"/>
      </w:tblGrid>
      <w:tr>
        <w:trPr/>
        <w:tc>
          <w:tcPr>
            <w:tcW w:w="1580" w:type="dxa"/>
            <w:tcBorders/>
            <w:shd w:fill="auto" w:val="clear"/>
            <w:vAlign w:val="center"/>
          </w:tcPr>
          <w:p>
            <w:pPr>
              <w:pStyle w:val="TableContents"/>
              <w:spacing w:before="0" w:after="283"/>
              <w:jc w:val="right"/>
              <w:rPr>
                <w:rFonts w:ascii="Arial" w:hAnsi="Arial"/>
                <w:sz w:val="15"/>
              </w:rPr>
            </w:pPr>
            <w:r>
              <w:rPr>
                <w:rFonts w:ascii="Arial" w:hAnsi="Arial"/>
                <w:sz w:val="15"/>
              </w:rPr>
              <w:t>2023 Proxy Statement</w:t>
            </w:r>
          </w:p>
        </w:tc>
        <w:tc>
          <w:tcPr>
            <w:tcW w:w="620" w:type="dxa"/>
            <w:tcBorders/>
            <w:shd w:fill="auto" w:val="clear"/>
            <w:vAlign w:val="center"/>
          </w:tcPr>
          <w:p>
            <w:pPr>
              <w:pStyle w:val="TableContents"/>
              <w:spacing w:before="0" w:after="283"/>
              <w:jc w:val="right"/>
              <w:rPr/>
            </w:pPr>
            <w:r>
              <w:rPr/>
              <w:t>       </w:t>
            </w:r>
            <w:r>
              <w:rPr>
                <w:rFonts w:ascii="Arial" w:hAnsi="Arial"/>
                <w:b/>
                <w:sz w:val="15"/>
              </w:rPr>
              <w:t>25</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p>
      <w:pPr>
        <w:pStyle w:val="TextBody"/>
        <w:jc w:val="left"/>
        <w:rPr>
          <w:rFonts w:ascii="Arial" w:hAnsi="Arial"/>
          <w:b/>
          <w:color w:val="00A1E0"/>
          <w:sz w:val="32"/>
        </w:rPr>
      </w:pPr>
      <w:bookmarkStart w:id="13" w:name="corpogovernanceprac"/>
      <w:bookmarkEnd w:id="13"/>
      <w:r>
        <w:rPr>
          <w:rFonts w:ascii="Arial" w:hAnsi="Arial"/>
          <w:b/>
          <w:color w:val="00A1E0"/>
          <w:sz w:val="32"/>
        </w:rPr>
        <w:t>Corporate Governance Practices, Policies and Processes</w:t>
      </w:r>
    </w:p>
    <w:p>
      <w:pPr>
        <w:pStyle w:val="TextBody"/>
        <w:jc w:val="left"/>
        <w:rPr>
          <w:rFonts w:ascii="Arial" w:hAnsi="Arial"/>
          <w:sz w:val="28"/>
        </w:rPr>
      </w:pPr>
      <w:r>
        <w:rPr>
          <w:rFonts w:ascii="Arial" w:hAnsi="Arial"/>
          <w:sz w:val="28"/>
        </w:rPr>
        <w:t>Corporate Governance Highlights</w:t>
      </w:r>
    </w:p>
    <w:p>
      <w:pPr>
        <w:pStyle w:val="TextBody"/>
        <w:jc w:val="left"/>
        <w:rPr>
          <w:rFonts w:ascii="Arial" w:hAnsi="Arial"/>
          <w:sz w:val="20"/>
        </w:rPr>
      </w:pPr>
      <w:r>
        <w:rPr>
          <w:rFonts w:ascii="Arial" w:hAnsi="Arial"/>
          <w:sz w:val="20"/>
        </w:rPr>
        <w:t>As described in more detail elsewhere in this proxy statement, below are highlights of our corporate governance structure.</w:t>
      </w:r>
    </w:p>
    <w:tbl>
      <w:tblPr>
        <w:tblW w:w="10205" w:type="dxa"/>
        <w:jc w:val="left"/>
        <w:tblInd w:w="0" w:type="dxa"/>
        <w:tblCellMar>
          <w:top w:w="28" w:type="dxa"/>
          <w:left w:w="0" w:type="dxa"/>
          <w:bottom w:w="0" w:type="dxa"/>
          <w:right w:w="0" w:type="dxa"/>
        </w:tblCellMar>
      </w:tblPr>
      <w:tblGrid>
        <w:gridCol w:w="3898"/>
        <w:gridCol w:w="120"/>
        <w:gridCol w:w="600"/>
        <w:gridCol w:w="5466"/>
        <w:gridCol w:w="121"/>
      </w:tblGrid>
      <w:tr>
        <w:trPr/>
        <w:tc>
          <w:tcPr>
            <w:tcW w:w="3898" w:type="dxa"/>
            <w:tcBorders>
              <w:top w:val="single" w:sz="12" w:space="0" w:color="959595"/>
            </w:tcBorders>
            <w:shd w:fill="auto" w:val="clear"/>
            <w:vAlign w:val="center"/>
          </w:tcPr>
          <w:p>
            <w:pPr>
              <w:pStyle w:val="TableContents"/>
              <w:spacing w:before="0" w:after="283"/>
              <w:rPr>
                <w:sz w:val="4"/>
                <w:szCs w:val="4"/>
              </w:rPr>
            </w:pPr>
            <w:r>
              <w:rPr>
                <w:sz w:val="4"/>
                <w:szCs w:val="4"/>
              </w:rPr>
            </w:r>
          </w:p>
        </w:tc>
        <w:tc>
          <w:tcPr>
            <w:tcW w:w="120" w:type="dxa"/>
            <w:tcBorders>
              <w:top w:val="single" w:sz="12" w:space="0" w:color="959595"/>
              <w:right w:val="single" w:sz="12" w:space="0" w:color="959595"/>
            </w:tcBorders>
            <w:shd w:fill="auto" w:val="clear"/>
            <w:tcMar>
              <w:right w:w="28" w:type="dxa"/>
            </w:tcMar>
            <w:vAlign w:val="center"/>
          </w:tcPr>
          <w:p>
            <w:pPr>
              <w:pStyle w:val="TableContents"/>
              <w:spacing w:before="0" w:after="283"/>
              <w:rPr>
                <w:sz w:val="4"/>
                <w:szCs w:val="4"/>
              </w:rPr>
            </w:pPr>
            <w:r>
              <w:rPr>
                <w:sz w:val="4"/>
                <w:szCs w:val="4"/>
              </w:rPr>
            </w:r>
          </w:p>
        </w:tc>
        <w:tc>
          <w:tcPr>
            <w:tcW w:w="600" w:type="dxa"/>
            <w:tcBorders/>
            <w:shd w:fill="auto" w:val="clear"/>
            <w:tcMar>
              <w:top w:w="0" w:type="dxa"/>
            </w:tcMar>
            <w:vAlign w:val="center"/>
          </w:tcPr>
          <w:p>
            <w:pPr>
              <w:pStyle w:val="TableContents"/>
              <w:spacing w:before="0" w:after="283"/>
              <w:rPr/>
            </w:pPr>
            <w:r>
              <w:rPr/>
              <w:t>          </w:t>
            </w:r>
          </w:p>
        </w:tc>
        <w:tc>
          <w:tcPr>
            <w:tcW w:w="5466" w:type="dxa"/>
            <w:tcBorders>
              <w:top w:val="single" w:sz="12" w:space="0" w:color="959595"/>
            </w:tcBorders>
            <w:shd w:fill="auto" w:val="clear"/>
            <w:vAlign w:val="center"/>
          </w:tcPr>
          <w:p>
            <w:pPr>
              <w:pStyle w:val="TableContents"/>
              <w:spacing w:before="0" w:after="283"/>
              <w:rPr>
                <w:sz w:val="4"/>
                <w:szCs w:val="4"/>
              </w:rPr>
            </w:pPr>
            <w:r>
              <w:rPr>
                <w:sz w:val="4"/>
                <w:szCs w:val="4"/>
              </w:rPr>
            </w:r>
          </w:p>
        </w:tc>
        <w:tc>
          <w:tcPr>
            <w:tcW w:w="121" w:type="dxa"/>
            <w:tcBorders>
              <w:top w:val="single" w:sz="12" w:space="0" w:color="959595"/>
              <w:right w:val="single" w:sz="12" w:space="0" w:color="959595"/>
            </w:tcBorders>
            <w:shd w:fill="auto" w:val="clear"/>
            <w:tcMar>
              <w:right w:w="28" w:type="dxa"/>
            </w:tcMar>
            <w:vAlign w:val="center"/>
          </w:tcPr>
          <w:p>
            <w:pPr>
              <w:pStyle w:val="TableContents"/>
              <w:spacing w:before="0" w:after="283"/>
              <w:rPr/>
            </w:pPr>
            <w:r>
              <w:rPr/>
              <w:t> </w:t>
            </w:r>
          </w:p>
        </w:tc>
      </w:tr>
      <w:tr>
        <w:trPr/>
        <w:tc>
          <w:tcPr>
            <w:tcW w:w="3898" w:type="dxa"/>
            <w:tcBorders/>
            <w:shd w:fill="ECF6FA" w:val="clear"/>
            <w:tcMar>
              <w:top w:w="0" w:type="dxa"/>
            </w:tcMar>
            <w:vAlign w:val="center"/>
          </w:tcPr>
          <w:p>
            <w:pPr>
              <w:pStyle w:val="TableContents"/>
              <w:spacing w:before="0" w:after="283"/>
              <w:rPr>
                <w:rFonts w:ascii="Arial" w:hAnsi="Arial"/>
                <w:color w:val="00A1E0"/>
                <w:sz w:val="24"/>
              </w:rPr>
            </w:pPr>
            <w:r>
              <w:rPr>
                <w:rFonts w:ascii="Arial" w:hAnsi="Arial"/>
                <w:color w:val="00A1E0"/>
                <w:sz w:val="24"/>
              </w:rPr>
              <w:t>Board Independence/Composition</w:t>
            </w:r>
          </w:p>
        </w:tc>
        <w:tc>
          <w:tcPr>
            <w:tcW w:w="120" w:type="dxa"/>
            <w:tcBorders>
              <w:right w:val="single" w:sz="12" w:space="0" w:color="959595"/>
            </w:tcBorders>
            <w:shd w:fill="auto" w:val="clear"/>
            <w:tcMar>
              <w:top w:w="0" w:type="dxa"/>
              <w:right w:w="28" w:type="dxa"/>
            </w:tcMar>
            <w:vAlign w:val="center"/>
          </w:tcPr>
          <w:p>
            <w:pPr>
              <w:pStyle w:val="TableContents"/>
              <w:spacing w:before="0" w:after="283"/>
              <w:rPr/>
            </w:pPr>
            <w:r>
              <w:rPr/>
              <w:t>  </w:t>
            </w:r>
          </w:p>
        </w:tc>
        <w:tc>
          <w:tcPr>
            <w:tcW w:w="600" w:type="dxa"/>
            <w:tcBorders/>
            <w:shd w:fill="auto" w:val="clear"/>
            <w:tcMar>
              <w:top w:w="0" w:type="dxa"/>
            </w:tcMar>
            <w:vAlign w:val="center"/>
          </w:tcPr>
          <w:p>
            <w:pPr>
              <w:pStyle w:val="TableContents"/>
              <w:spacing w:before="0" w:after="283"/>
              <w:rPr>
                <w:sz w:val="4"/>
                <w:szCs w:val="4"/>
              </w:rPr>
            </w:pPr>
            <w:r>
              <w:rPr>
                <w:sz w:val="4"/>
                <w:szCs w:val="4"/>
              </w:rPr>
            </w:r>
          </w:p>
        </w:tc>
        <w:tc>
          <w:tcPr>
            <w:tcW w:w="5466" w:type="dxa"/>
            <w:tcBorders/>
            <w:shd w:fill="ECF6FA" w:val="clear"/>
            <w:tcMar>
              <w:top w:w="0" w:type="dxa"/>
            </w:tcMar>
            <w:vAlign w:val="center"/>
          </w:tcPr>
          <w:p>
            <w:pPr>
              <w:pStyle w:val="TableContents"/>
              <w:spacing w:before="0" w:after="283"/>
              <w:rPr>
                <w:rFonts w:ascii="Arial" w:hAnsi="Arial"/>
                <w:color w:val="00A1E0"/>
                <w:sz w:val="24"/>
              </w:rPr>
            </w:pPr>
            <w:r>
              <w:rPr>
                <w:rFonts w:ascii="Arial" w:hAnsi="Arial"/>
                <w:color w:val="00A1E0"/>
                <w:sz w:val="24"/>
              </w:rPr>
              <w:t>Corporate Governance</w:t>
            </w:r>
          </w:p>
        </w:tc>
        <w:tc>
          <w:tcPr>
            <w:tcW w:w="121" w:type="dxa"/>
            <w:tcBorders>
              <w:right w:val="single" w:sz="12" w:space="0" w:color="959595"/>
            </w:tcBorders>
            <w:shd w:fill="auto" w:val="clear"/>
            <w:tcMar>
              <w:top w:w="0" w:type="dxa"/>
              <w:right w:w="28" w:type="dxa"/>
            </w:tcMar>
            <w:vAlign w:val="center"/>
          </w:tcPr>
          <w:p>
            <w:pPr>
              <w:pStyle w:val="TableContents"/>
              <w:spacing w:before="0" w:after="283"/>
              <w:rPr/>
            </w:pPr>
            <w:r>
              <w:rPr/>
              <w:t>  </w:t>
            </w:r>
          </w:p>
        </w:tc>
      </w:tr>
      <w:tr>
        <w:trPr/>
        <w:tc>
          <w:tcPr>
            <w:tcW w:w="3898" w:type="dxa"/>
            <w:tcBorders/>
            <w:shd w:fill="auto" w:val="clear"/>
            <w:tcMar>
              <w:top w:w="0" w:type="dxa"/>
            </w:tcMar>
            <w:vAlign w:val="center"/>
          </w:tcPr>
          <w:p>
            <w:pPr>
              <w:pStyle w:val="TableContents"/>
              <w:spacing w:before="0" w:after="0"/>
              <w:ind w:left="0" w:right="0" w:hanging="290"/>
              <w:jc w:val="left"/>
              <w:rPr/>
            </w:pPr>
            <w:r>
              <w:rPr>
                <w:color w:val="00A1E0"/>
              </w:rPr>
              <w:t>●</w:t>
            </w:r>
            <w:r>
              <w:rPr>
                <w:rFonts w:ascii="Arial" w:hAnsi="Arial"/>
                <w:sz w:val="20"/>
              </w:rPr>
              <w:t>Strong Lead Independent Director, with Defined Role and Responsibilities</w:t>
            </w:r>
          </w:p>
          <w:p>
            <w:pPr>
              <w:pStyle w:val="TableContents"/>
              <w:spacing w:before="0" w:after="0"/>
              <w:ind w:left="0" w:right="0" w:hanging="290"/>
              <w:jc w:val="left"/>
              <w:rPr/>
            </w:pPr>
            <w:r>
              <w:rPr>
                <w:color w:val="00A1E0"/>
              </w:rPr>
              <w:t>●</w:t>
            </w:r>
            <w:r>
              <w:rPr>
                <w:rFonts w:ascii="Arial" w:hAnsi="Arial"/>
                <w:sz w:val="20"/>
              </w:rPr>
              <w:t>90% of Director Nominees are Independent</w:t>
            </w:r>
          </w:p>
          <w:p>
            <w:pPr>
              <w:pStyle w:val="TableContents"/>
              <w:spacing w:before="0" w:after="0"/>
              <w:ind w:left="0" w:right="0" w:hanging="290"/>
              <w:jc w:val="left"/>
              <w:rPr/>
            </w:pPr>
            <w:r>
              <w:rPr>
                <w:color w:val="00A1E0"/>
              </w:rPr>
              <w:t>●</w:t>
            </w:r>
            <w:r>
              <w:rPr>
                <w:rFonts w:ascii="Arial" w:hAnsi="Arial"/>
                <w:sz w:val="20"/>
              </w:rPr>
              <w:t>Director Tenure Considered in Annual Board Director Independence Determinations</w:t>
            </w:r>
          </w:p>
          <w:p>
            <w:pPr>
              <w:pStyle w:val="TableContents"/>
              <w:spacing w:before="0" w:after="0"/>
              <w:ind w:left="0" w:right="0" w:hanging="290"/>
              <w:jc w:val="left"/>
              <w:rPr/>
            </w:pPr>
            <w:r>
              <w:rPr>
                <w:color w:val="00A1E0"/>
              </w:rPr>
              <w:t>●</w:t>
            </w:r>
            <w:r>
              <w:rPr>
                <w:rFonts w:ascii="Arial" w:hAnsi="Arial"/>
                <w:sz w:val="20"/>
              </w:rPr>
              <w:t>All Members of Board Committees are Independent</w:t>
            </w:r>
          </w:p>
          <w:p>
            <w:pPr>
              <w:pStyle w:val="TableContents"/>
              <w:spacing w:before="0" w:after="0"/>
              <w:ind w:left="0" w:right="0" w:hanging="290"/>
              <w:jc w:val="left"/>
              <w:rPr/>
            </w:pPr>
            <w:r>
              <w:rPr>
                <w:color w:val="00A1E0"/>
              </w:rPr>
              <w:t>●</w:t>
            </w:r>
            <w:r>
              <w:rPr>
                <w:rFonts w:ascii="Arial" w:hAnsi="Arial"/>
                <w:sz w:val="20"/>
              </w:rPr>
              <w:t>Opportunity for Executive Sessions at Every Board and Committee Meeting</w:t>
            </w:r>
          </w:p>
          <w:p>
            <w:pPr>
              <w:pStyle w:val="TableContents"/>
              <w:spacing w:before="0" w:after="0"/>
              <w:ind w:left="0" w:right="0" w:hanging="290"/>
              <w:jc w:val="left"/>
              <w:rPr/>
            </w:pPr>
            <w:r>
              <w:rPr>
                <w:color w:val="00A1E0"/>
              </w:rPr>
              <w:t>●</w:t>
            </w:r>
            <w:r>
              <w:rPr>
                <w:rFonts w:ascii="Arial" w:hAnsi="Arial"/>
                <w:sz w:val="20"/>
              </w:rPr>
              <w:t>50% of Director Nominees are Diverse by Gender or Race</w:t>
            </w:r>
          </w:p>
          <w:p>
            <w:pPr>
              <w:pStyle w:val="TableContents"/>
              <w:spacing w:before="0" w:after="0"/>
              <w:ind w:left="0" w:right="0" w:hanging="290"/>
              <w:jc w:val="left"/>
              <w:rPr/>
            </w:pPr>
            <w:r>
              <w:rPr>
                <w:color w:val="00A1E0"/>
              </w:rPr>
              <w:t>●</w:t>
            </w:r>
            <w:r>
              <w:rPr>
                <w:rFonts w:ascii="Arial" w:hAnsi="Arial"/>
                <w:sz w:val="20"/>
              </w:rPr>
              <w:t>40% Racial/Ethnic Diversity</w:t>
            </w:r>
          </w:p>
          <w:p>
            <w:pPr>
              <w:pStyle w:val="TableContents"/>
              <w:spacing w:before="0" w:after="0"/>
              <w:ind w:left="0" w:right="0" w:hanging="290"/>
              <w:jc w:val="left"/>
              <w:rPr/>
            </w:pPr>
            <w:r>
              <w:rPr>
                <w:color w:val="00A1E0"/>
              </w:rPr>
              <w:t>●</w:t>
            </w:r>
            <w:r>
              <w:rPr>
                <w:rFonts w:ascii="Arial" w:hAnsi="Arial"/>
                <w:sz w:val="20"/>
              </w:rPr>
              <w:t>20% Female</w:t>
            </w:r>
          </w:p>
          <w:p>
            <w:pPr>
              <w:pStyle w:val="TableContents"/>
              <w:spacing w:before="0" w:after="0"/>
              <w:ind w:left="0" w:right="0" w:hanging="290"/>
              <w:jc w:val="left"/>
              <w:rPr/>
            </w:pPr>
            <w:r>
              <w:rPr>
                <w:color w:val="00A1E0"/>
              </w:rPr>
              <w:t>●</w:t>
            </w:r>
            <w:r>
              <w:rPr>
                <w:rFonts w:ascii="Arial" w:hAnsi="Arial"/>
                <w:sz w:val="20"/>
              </w:rPr>
              <w:t>CHC Committee Directly Retains Independent Compensation Consultant</w:t>
            </w:r>
          </w:p>
        </w:tc>
        <w:tc>
          <w:tcPr>
            <w:tcW w:w="120" w:type="dxa"/>
            <w:tcBorders>
              <w:right w:val="single" w:sz="12" w:space="0" w:color="959595"/>
            </w:tcBorders>
            <w:shd w:fill="auto" w:val="clear"/>
            <w:tcMar>
              <w:top w:w="0" w:type="dxa"/>
              <w:right w:w="28" w:type="dxa"/>
            </w:tcMar>
            <w:vAlign w:val="center"/>
          </w:tcPr>
          <w:p>
            <w:pPr>
              <w:pStyle w:val="TableContents"/>
              <w:spacing w:before="0" w:after="283"/>
              <w:rPr>
                <w:sz w:val="4"/>
                <w:szCs w:val="4"/>
              </w:rPr>
            </w:pPr>
            <w:r>
              <w:rPr>
                <w:sz w:val="4"/>
                <w:szCs w:val="4"/>
              </w:rPr>
            </w:r>
          </w:p>
        </w:tc>
        <w:tc>
          <w:tcPr>
            <w:tcW w:w="600" w:type="dxa"/>
            <w:tcBorders/>
            <w:shd w:fill="auto" w:val="clear"/>
            <w:tcMar>
              <w:top w:w="0" w:type="dxa"/>
            </w:tcMar>
            <w:vAlign w:val="center"/>
          </w:tcPr>
          <w:p>
            <w:pPr>
              <w:pStyle w:val="TableContents"/>
              <w:spacing w:before="0" w:after="283"/>
              <w:rPr>
                <w:sz w:val="4"/>
                <w:szCs w:val="4"/>
              </w:rPr>
            </w:pPr>
            <w:r>
              <w:rPr>
                <w:sz w:val="4"/>
                <w:szCs w:val="4"/>
              </w:rPr>
            </w:r>
          </w:p>
        </w:tc>
        <w:tc>
          <w:tcPr>
            <w:tcW w:w="5466" w:type="dxa"/>
            <w:tcBorders/>
            <w:shd w:fill="auto" w:val="clear"/>
            <w:tcMar>
              <w:top w:w="0" w:type="dxa"/>
            </w:tcMar>
            <w:vAlign w:val="center"/>
          </w:tcPr>
          <w:p>
            <w:pPr>
              <w:pStyle w:val="TableContents"/>
              <w:spacing w:before="0" w:after="0"/>
              <w:ind w:left="0" w:right="0" w:hanging="290"/>
              <w:jc w:val="left"/>
              <w:rPr/>
            </w:pPr>
            <w:r>
              <w:rPr>
                <w:color w:val="00A1E0"/>
              </w:rPr>
              <w:t>●</w:t>
            </w:r>
            <w:r>
              <w:rPr>
                <w:rFonts w:ascii="Arial" w:hAnsi="Arial"/>
                <w:sz w:val="20"/>
              </w:rPr>
              <w:t>2 New Independent Directors within Past 6 Years</w:t>
            </w:r>
          </w:p>
          <w:p>
            <w:pPr>
              <w:pStyle w:val="TableContents"/>
              <w:spacing w:before="0" w:after="0"/>
              <w:ind w:left="0" w:right="0" w:hanging="290"/>
              <w:jc w:val="left"/>
              <w:rPr/>
            </w:pPr>
            <w:r>
              <w:rPr>
                <w:color w:val="00A1E0"/>
              </w:rPr>
              <w:t>●</w:t>
            </w:r>
            <w:r>
              <w:rPr>
                <w:rFonts w:ascii="Arial" w:hAnsi="Arial"/>
                <w:sz w:val="20"/>
              </w:rPr>
              <w:t>Average Tenure of Independent Directors is 9.7 Years</w:t>
            </w:r>
          </w:p>
          <w:p>
            <w:pPr>
              <w:pStyle w:val="TableContents"/>
              <w:spacing w:before="0" w:after="0"/>
              <w:ind w:left="0" w:right="0" w:hanging="290"/>
              <w:jc w:val="left"/>
              <w:rPr/>
            </w:pPr>
            <w:r>
              <w:rPr>
                <w:color w:val="00A1E0"/>
              </w:rPr>
              <w:t>●</w:t>
            </w:r>
            <w:r>
              <w:rPr>
                <w:rFonts w:ascii="Arial" w:hAnsi="Arial"/>
                <w:sz w:val="20"/>
              </w:rPr>
              <w:t>Mandatory Independent Director Retirement at 72</w:t>
            </w:r>
          </w:p>
          <w:p>
            <w:pPr>
              <w:pStyle w:val="TableContents"/>
              <w:spacing w:before="0" w:after="0"/>
              <w:ind w:left="0" w:right="0" w:hanging="290"/>
              <w:jc w:val="left"/>
              <w:rPr/>
            </w:pPr>
            <w:r>
              <w:rPr>
                <w:color w:val="00A1E0"/>
              </w:rPr>
              <w:t>●</w:t>
            </w:r>
            <w:r>
              <w:rPr>
                <w:rFonts w:ascii="Arial" w:hAnsi="Arial"/>
                <w:sz w:val="20"/>
              </w:rPr>
              <w:t>Director “Overboarding” Policy</w:t>
            </w:r>
          </w:p>
          <w:p>
            <w:pPr>
              <w:pStyle w:val="TableContents"/>
              <w:spacing w:before="0" w:after="0"/>
              <w:ind w:left="0" w:right="0" w:hanging="290"/>
              <w:jc w:val="left"/>
              <w:rPr/>
            </w:pPr>
            <w:r>
              <w:rPr>
                <w:color w:val="00A1E0"/>
              </w:rPr>
              <w:t>●</w:t>
            </w:r>
            <w:r>
              <w:rPr>
                <w:rFonts w:ascii="Arial" w:hAnsi="Arial"/>
                <w:sz w:val="20"/>
              </w:rPr>
              <w:t>Annual Board Assessment Process</w:t>
            </w:r>
          </w:p>
          <w:p>
            <w:pPr>
              <w:pStyle w:val="TableContents"/>
              <w:spacing w:before="0" w:after="0"/>
              <w:ind w:left="0" w:right="0" w:hanging="290"/>
              <w:jc w:val="left"/>
              <w:rPr/>
            </w:pPr>
            <w:r>
              <w:rPr>
                <w:color w:val="00A1E0"/>
              </w:rPr>
              <w:t>●</w:t>
            </w:r>
            <w:r>
              <w:rPr>
                <w:rFonts w:ascii="Arial" w:hAnsi="Arial"/>
                <w:sz w:val="20"/>
              </w:rPr>
              <w:t>Robust Shareholder Engagement Program</w:t>
            </w:r>
          </w:p>
          <w:p>
            <w:pPr>
              <w:pStyle w:val="TableContents"/>
              <w:spacing w:before="0" w:after="0"/>
              <w:ind w:left="0" w:right="0" w:hanging="290"/>
              <w:jc w:val="left"/>
              <w:rPr/>
            </w:pPr>
            <w:r>
              <w:rPr>
                <w:color w:val="00A1E0"/>
              </w:rPr>
              <w:t>●</w:t>
            </w:r>
            <w:r>
              <w:rPr>
                <w:rFonts w:ascii="Arial" w:hAnsi="Arial"/>
                <w:sz w:val="20"/>
              </w:rPr>
              <w:t>Outreach to Over 50 Investors and Meetings with Over 40 Investors Owning Over 50% of Class A Common Stock on Governance, Compensation and Other ESG Matters</w:t>
            </w:r>
          </w:p>
          <w:p>
            <w:pPr>
              <w:pStyle w:val="TableContents"/>
              <w:spacing w:before="0" w:after="0"/>
              <w:ind w:left="0" w:right="0" w:hanging="290"/>
              <w:jc w:val="left"/>
              <w:rPr/>
            </w:pPr>
            <w:r>
              <w:rPr>
                <w:color w:val="00A1E0"/>
              </w:rPr>
              <w:t>●</w:t>
            </w:r>
            <w:r>
              <w:rPr>
                <w:rFonts w:ascii="Arial" w:hAnsi="Arial"/>
                <w:sz w:val="20"/>
              </w:rPr>
              <w:t>Annual Director Elections</w:t>
            </w:r>
          </w:p>
          <w:p>
            <w:pPr>
              <w:pStyle w:val="TableContents"/>
              <w:spacing w:before="0" w:after="0"/>
              <w:ind w:left="0" w:right="0" w:hanging="290"/>
              <w:jc w:val="left"/>
              <w:rPr/>
            </w:pPr>
            <w:r>
              <w:rPr>
                <w:color w:val="00A1E0"/>
              </w:rPr>
              <w:t>●</w:t>
            </w:r>
            <w:r>
              <w:rPr>
                <w:rFonts w:ascii="Arial" w:hAnsi="Arial"/>
                <w:sz w:val="20"/>
              </w:rPr>
              <w:t>Proxy Access Bylaw</w:t>
            </w:r>
          </w:p>
          <w:p>
            <w:pPr>
              <w:pStyle w:val="TableContents"/>
              <w:spacing w:before="0" w:after="0"/>
              <w:ind w:left="0" w:right="0" w:hanging="290"/>
              <w:jc w:val="left"/>
              <w:rPr/>
            </w:pPr>
            <w:r>
              <w:rPr>
                <w:color w:val="00A1E0"/>
              </w:rPr>
              <w:t>●</w:t>
            </w:r>
            <w:r>
              <w:rPr>
                <w:rFonts w:ascii="Arial" w:hAnsi="Arial"/>
                <w:sz w:val="20"/>
              </w:rPr>
              <w:t>Recoupment (“Clawback”) Policy for Executive Compensation</w:t>
            </w:r>
          </w:p>
          <w:p>
            <w:pPr>
              <w:pStyle w:val="TableContents"/>
              <w:spacing w:before="0" w:after="0"/>
              <w:ind w:left="0" w:right="0" w:hanging="290"/>
              <w:jc w:val="left"/>
              <w:rPr/>
            </w:pPr>
            <w:r>
              <w:rPr>
                <w:color w:val="00A1E0"/>
              </w:rPr>
              <w:t>●</w:t>
            </w:r>
            <w:r>
              <w:rPr>
                <w:rFonts w:ascii="Arial" w:hAnsi="Arial"/>
                <w:sz w:val="20"/>
              </w:rPr>
              <w:t>No Automatic Acceleration of Vesting in Connection with a Change in Control</w:t>
            </w:r>
          </w:p>
        </w:tc>
        <w:tc>
          <w:tcPr>
            <w:tcW w:w="121" w:type="dxa"/>
            <w:tcBorders>
              <w:right w:val="single" w:sz="12" w:space="0" w:color="959595"/>
            </w:tcBorders>
            <w:shd w:fill="auto" w:val="clear"/>
            <w:tcMar>
              <w:top w:w="0" w:type="dxa"/>
              <w:right w:w="28" w:type="dxa"/>
            </w:tcMar>
            <w:vAlign w:val="center"/>
          </w:tcPr>
          <w:p>
            <w:pPr>
              <w:pStyle w:val="TableContents"/>
              <w:spacing w:before="0" w:after="283"/>
              <w:rPr/>
            </w:pPr>
            <w:r>
              <w:rPr/>
              <w:t> </w:t>
            </w:r>
          </w:p>
        </w:tc>
      </w:tr>
      <w:tr>
        <w:trPr/>
        <w:tc>
          <w:tcPr>
            <w:tcW w:w="3898" w:type="dxa"/>
            <w:tcBorders/>
            <w:shd w:fill="auto" w:val="clear"/>
            <w:tcMar>
              <w:top w:w="0" w:type="dxa"/>
            </w:tcMar>
            <w:vAlign w:val="center"/>
          </w:tcPr>
          <w:p>
            <w:pPr>
              <w:pStyle w:val="TableContents"/>
              <w:spacing w:before="0" w:after="283"/>
              <w:rPr/>
            </w:pPr>
            <w:r>
              <w:rPr/>
              <w:t> </w:t>
            </w:r>
          </w:p>
        </w:tc>
        <w:tc>
          <w:tcPr>
            <w:tcW w:w="120" w:type="dxa"/>
            <w:tcBorders/>
            <w:shd w:fill="auto" w:val="clear"/>
            <w:tcMar>
              <w:top w:w="0" w:type="dxa"/>
            </w:tcMar>
            <w:vAlign w:val="center"/>
          </w:tcPr>
          <w:p>
            <w:pPr>
              <w:pStyle w:val="TableContents"/>
              <w:spacing w:before="0" w:after="283"/>
              <w:rPr>
                <w:sz w:val="4"/>
                <w:szCs w:val="4"/>
              </w:rPr>
            </w:pPr>
            <w:r>
              <w:rPr>
                <w:sz w:val="4"/>
                <w:szCs w:val="4"/>
              </w:rPr>
            </w:r>
          </w:p>
        </w:tc>
        <w:tc>
          <w:tcPr>
            <w:tcW w:w="600" w:type="dxa"/>
            <w:tcBorders/>
            <w:shd w:fill="auto" w:val="clear"/>
            <w:tcMar>
              <w:top w:w="0" w:type="dxa"/>
            </w:tcMar>
            <w:vAlign w:val="center"/>
          </w:tcPr>
          <w:p>
            <w:pPr>
              <w:pStyle w:val="TableContents"/>
              <w:spacing w:before="0" w:after="283"/>
              <w:rPr>
                <w:sz w:val="4"/>
                <w:szCs w:val="4"/>
              </w:rPr>
            </w:pPr>
            <w:r>
              <w:rPr>
                <w:sz w:val="4"/>
                <w:szCs w:val="4"/>
              </w:rPr>
            </w:r>
          </w:p>
        </w:tc>
        <w:tc>
          <w:tcPr>
            <w:tcW w:w="5466" w:type="dxa"/>
            <w:tcBorders/>
            <w:shd w:fill="auto" w:val="clear"/>
            <w:tcMar>
              <w:top w:w="0" w:type="dxa"/>
            </w:tcMar>
            <w:vAlign w:val="center"/>
          </w:tcPr>
          <w:p>
            <w:pPr>
              <w:pStyle w:val="TableContents"/>
              <w:spacing w:before="0" w:after="283"/>
              <w:rPr/>
            </w:pPr>
            <w:r>
              <w:rPr/>
              <w:t> </w:t>
            </w:r>
          </w:p>
        </w:tc>
        <w:tc>
          <w:tcPr>
            <w:tcW w:w="121" w:type="dxa"/>
            <w:tcBorders/>
            <w:shd w:fill="auto" w:val="clear"/>
            <w:tcMar>
              <w:top w:w="0" w:type="dxa"/>
            </w:tcMar>
            <w:vAlign w:val="center"/>
          </w:tcPr>
          <w:p>
            <w:pPr>
              <w:pStyle w:val="TableContents"/>
              <w:spacing w:before="0" w:after="283"/>
              <w:rPr/>
            </w:pPr>
            <w:r>
              <w:rPr/>
              <w:t> </w:t>
            </w:r>
          </w:p>
        </w:tc>
      </w:tr>
      <w:tr>
        <w:trPr/>
        <w:tc>
          <w:tcPr>
            <w:tcW w:w="3898" w:type="dxa"/>
            <w:tcBorders>
              <w:top w:val="single" w:sz="12" w:space="0" w:color="959595"/>
            </w:tcBorders>
            <w:shd w:fill="auto" w:val="clear"/>
            <w:vAlign w:val="center"/>
          </w:tcPr>
          <w:p>
            <w:pPr>
              <w:pStyle w:val="TableContents"/>
              <w:spacing w:before="0" w:after="283"/>
              <w:rPr/>
            </w:pPr>
            <w:r>
              <w:rPr/>
              <w:t> </w:t>
            </w:r>
          </w:p>
        </w:tc>
        <w:tc>
          <w:tcPr>
            <w:tcW w:w="120" w:type="dxa"/>
            <w:tcBorders>
              <w:top w:val="single" w:sz="12" w:space="0" w:color="959595"/>
              <w:right w:val="single" w:sz="12" w:space="0" w:color="959595"/>
            </w:tcBorders>
            <w:shd w:fill="auto" w:val="clear"/>
            <w:tcMar>
              <w:right w:w="28" w:type="dxa"/>
            </w:tcMar>
            <w:vAlign w:val="center"/>
          </w:tcPr>
          <w:p>
            <w:pPr>
              <w:pStyle w:val="TableContents"/>
              <w:spacing w:before="0" w:after="283"/>
              <w:rPr>
                <w:sz w:val="4"/>
                <w:szCs w:val="4"/>
              </w:rPr>
            </w:pPr>
            <w:r>
              <w:rPr>
                <w:sz w:val="4"/>
                <w:szCs w:val="4"/>
              </w:rPr>
            </w:r>
          </w:p>
        </w:tc>
        <w:tc>
          <w:tcPr>
            <w:tcW w:w="600" w:type="dxa"/>
            <w:tcBorders/>
            <w:shd w:fill="auto" w:val="clear"/>
            <w:tcMar>
              <w:top w:w="0" w:type="dxa"/>
            </w:tcMar>
            <w:vAlign w:val="center"/>
          </w:tcPr>
          <w:p>
            <w:pPr>
              <w:pStyle w:val="TableContents"/>
              <w:spacing w:before="0" w:after="283"/>
              <w:rPr>
                <w:sz w:val="4"/>
                <w:szCs w:val="4"/>
              </w:rPr>
            </w:pPr>
            <w:r>
              <w:rPr>
                <w:sz w:val="4"/>
                <w:szCs w:val="4"/>
              </w:rPr>
            </w:r>
          </w:p>
        </w:tc>
        <w:tc>
          <w:tcPr>
            <w:tcW w:w="5466" w:type="dxa"/>
            <w:tcBorders>
              <w:top w:val="single" w:sz="12" w:space="0" w:color="959595"/>
            </w:tcBorders>
            <w:shd w:fill="auto" w:val="clear"/>
            <w:vAlign w:val="center"/>
          </w:tcPr>
          <w:p>
            <w:pPr>
              <w:pStyle w:val="TableContents"/>
              <w:spacing w:before="0" w:after="283"/>
              <w:rPr/>
            </w:pPr>
            <w:r>
              <w:rPr/>
              <w:t> </w:t>
            </w:r>
          </w:p>
        </w:tc>
        <w:tc>
          <w:tcPr>
            <w:tcW w:w="121" w:type="dxa"/>
            <w:tcBorders>
              <w:top w:val="single" w:sz="12" w:space="0" w:color="959595"/>
              <w:right w:val="single" w:sz="12" w:space="0" w:color="959595"/>
            </w:tcBorders>
            <w:shd w:fill="auto" w:val="clear"/>
            <w:tcMar>
              <w:right w:w="28" w:type="dxa"/>
            </w:tcMar>
            <w:vAlign w:val="center"/>
          </w:tcPr>
          <w:p>
            <w:pPr>
              <w:pStyle w:val="TableContents"/>
              <w:spacing w:before="0" w:after="283"/>
              <w:rPr/>
            </w:pPr>
            <w:r>
              <w:rPr/>
              <w:t> </w:t>
            </w:r>
          </w:p>
        </w:tc>
      </w:tr>
      <w:tr>
        <w:trPr/>
        <w:tc>
          <w:tcPr>
            <w:tcW w:w="3898" w:type="dxa"/>
            <w:tcBorders/>
            <w:shd w:fill="ECF6FA" w:val="clear"/>
            <w:tcMar>
              <w:top w:w="0" w:type="dxa"/>
            </w:tcMar>
            <w:vAlign w:val="center"/>
          </w:tcPr>
          <w:p>
            <w:pPr>
              <w:pStyle w:val="TableContents"/>
              <w:spacing w:before="0" w:after="283"/>
              <w:rPr>
                <w:rFonts w:ascii="Arial" w:hAnsi="Arial"/>
                <w:color w:val="00A1E0"/>
                <w:sz w:val="24"/>
              </w:rPr>
            </w:pPr>
            <w:r>
              <w:rPr>
                <w:rFonts w:ascii="Arial" w:hAnsi="Arial"/>
                <w:color w:val="00A1E0"/>
                <w:sz w:val="24"/>
              </w:rPr>
              <w:t>Board Performance</w:t>
            </w:r>
          </w:p>
        </w:tc>
        <w:tc>
          <w:tcPr>
            <w:tcW w:w="120" w:type="dxa"/>
            <w:tcBorders>
              <w:right w:val="single" w:sz="12" w:space="0" w:color="959595"/>
            </w:tcBorders>
            <w:shd w:fill="auto" w:val="clear"/>
            <w:tcMar>
              <w:top w:w="0" w:type="dxa"/>
              <w:right w:w="28" w:type="dxa"/>
            </w:tcMar>
            <w:vAlign w:val="center"/>
          </w:tcPr>
          <w:p>
            <w:pPr>
              <w:pStyle w:val="TableContents"/>
              <w:spacing w:before="0" w:after="283"/>
              <w:rPr>
                <w:sz w:val="4"/>
                <w:szCs w:val="4"/>
              </w:rPr>
            </w:pPr>
            <w:r>
              <w:rPr>
                <w:sz w:val="4"/>
                <w:szCs w:val="4"/>
              </w:rPr>
            </w:r>
          </w:p>
        </w:tc>
        <w:tc>
          <w:tcPr>
            <w:tcW w:w="600" w:type="dxa"/>
            <w:tcBorders/>
            <w:shd w:fill="auto" w:val="clear"/>
            <w:tcMar>
              <w:top w:w="0" w:type="dxa"/>
            </w:tcMar>
            <w:vAlign w:val="center"/>
          </w:tcPr>
          <w:p>
            <w:pPr>
              <w:pStyle w:val="TableContents"/>
              <w:spacing w:before="0" w:after="283"/>
              <w:rPr>
                <w:sz w:val="4"/>
                <w:szCs w:val="4"/>
              </w:rPr>
            </w:pPr>
            <w:r>
              <w:rPr>
                <w:sz w:val="4"/>
                <w:szCs w:val="4"/>
              </w:rPr>
            </w:r>
          </w:p>
        </w:tc>
        <w:tc>
          <w:tcPr>
            <w:tcW w:w="5466" w:type="dxa"/>
            <w:tcBorders/>
            <w:shd w:fill="ECF6FA" w:val="clear"/>
            <w:tcMar>
              <w:top w:w="0" w:type="dxa"/>
            </w:tcMar>
            <w:vAlign w:val="center"/>
          </w:tcPr>
          <w:p>
            <w:pPr>
              <w:pStyle w:val="TableContents"/>
              <w:spacing w:before="0" w:after="283"/>
              <w:rPr>
                <w:rFonts w:ascii="Arial" w:hAnsi="Arial"/>
                <w:color w:val="00A1E0"/>
                <w:sz w:val="24"/>
              </w:rPr>
            </w:pPr>
            <w:r>
              <w:rPr>
                <w:rFonts w:ascii="Arial" w:hAnsi="Arial"/>
                <w:color w:val="00A1E0"/>
                <w:sz w:val="24"/>
              </w:rPr>
              <w:t>Stock Ownership Requirements</w:t>
            </w:r>
          </w:p>
        </w:tc>
        <w:tc>
          <w:tcPr>
            <w:tcW w:w="121" w:type="dxa"/>
            <w:tcBorders>
              <w:right w:val="single" w:sz="12" w:space="0" w:color="959595"/>
            </w:tcBorders>
            <w:shd w:fill="auto" w:val="clear"/>
            <w:tcMar>
              <w:top w:w="0" w:type="dxa"/>
              <w:right w:w="28" w:type="dxa"/>
            </w:tcMar>
            <w:vAlign w:val="center"/>
          </w:tcPr>
          <w:p>
            <w:pPr>
              <w:pStyle w:val="TableContents"/>
              <w:spacing w:before="0" w:after="283"/>
              <w:rPr/>
            </w:pPr>
            <w:r>
              <w:rPr/>
              <w:t> </w:t>
            </w:r>
          </w:p>
        </w:tc>
      </w:tr>
      <w:tr>
        <w:trPr/>
        <w:tc>
          <w:tcPr>
            <w:tcW w:w="3898" w:type="dxa"/>
            <w:tcBorders/>
            <w:shd w:fill="auto" w:val="clear"/>
            <w:tcMar>
              <w:top w:w="0" w:type="dxa"/>
            </w:tcMar>
            <w:vAlign w:val="center"/>
          </w:tcPr>
          <w:p>
            <w:pPr>
              <w:pStyle w:val="TableContents"/>
              <w:spacing w:before="0" w:after="0"/>
              <w:ind w:left="0" w:right="0" w:hanging="290"/>
              <w:jc w:val="left"/>
              <w:rPr/>
            </w:pPr>
            <w:r>
              <w:rPr>
                <w:color w:val="00A1E0"/>
              </w:rPr>
              <w:t>●</w:t>
            </w:r>
            <w:r>
              <w:rPr>
                <w:rFonts w:ascii="Arial" w:hAnsi="Arial"/>
                <w:sz w:val="20"/>
              </w:rPr>
              <w:t>Annual Board and Committee Evaluations</w:t>
            </w:r>
          </w:p>
          <w:p>
            <w:pPr>
              <w:pStyle w:val="TableContents"/>
              <w:spacing w:before="0" w:after="0"/>
              <w:ind w:left="0" w:right="0" w:hanging="290"/>
              <w:jc w:val="left"/>
              <w:rPr/>
            </w:pPr>
            <w:r>
              <w:rPr>
                <w:color w:val="00A1E0"/>
              </w:rPr>
              <w:t>●</w:t>
            </w:r>
            <w:r>
              <w:rPr>
                <w:rFonts w:ascii="Arial" w:hAnsi="Arial"/>
                <w:sz w:val="20"/>
              </w:rPr>
              <w:t>Board/Committee Oversight of Strategy, Significant Company Risks and ESG Matters</w:t>
            </w:r>
          </w:p>
          <w:p>
            <w:pPr>
              <w:pStyle w:val="TableContents"/>
              <w:spacing w:before="0" w:after="0"/>
              <w:ind w:left="0" w:right="0" w:hanging="290"/>
              <w:jc w:val="left"/>
              <w:rPr/>
            </w:pPr>
            <w:r>
              <w:rPr>
                <w:color w:val="00A1E0"/>
              </w:rPr>
              <w:t>●</w:t>
            </w:r>
            <w:r>
              <w:rPr>
                <w:rFonts w:ascii="Arial" w:hAnsi="Arial"/>
                <w:sz w:val="20"/>
              </w:rPr>
              <w:t>Annual Board and CHC Committee Discussion of Succession Planning for CEO and Senior Executives</w:t>
            </w:r>
          </w:p>
          <w:p>
            <w:pPr>
              <w:pStyle w:val="TableContents"/>
              <w:spacing w:before="0" w:after="0"/>
              <w:ind w:left="0" w:right="0" w:hanging="290"/>
              <w:jc w:val="left"/>
              <w:rPr/>
            </w:pPr>
            <w:r>
              <w:rPr>
                <w:color w:val="00A1E0"/>
              </w:rPr>
              <w:t>●</w:t>
            </w:r>
            <w:r>
              <w:rPr>
                <w:rFonts w:ascii="Arial" w:hAnsi="Arial"/>
                <w:sz w:val="20"/>
              </w:rPr>
              <w:t>Director Education on Key Company Topics and Issues, Including as Requested by Independent Directors</w:t>
            </w:r>
          </w:p>
        </w:tc>
        <w:tc>
          <w:tcPr>
            <w:tcW w:w="120" w:type="dxa"/>
            <w:tcBorders>
              <w:right w:val="single" w:sz="12" w:space="0" w:color="959595"/>
            </w:tcBorders>
            <w:shd w:fill="auto" w:val="clear"/>
            <w:tcMar>
              <w:top w:w="0" w:type="dxa"/>
              <w:right w:w="28" w:type="dxa"/>
            </w:tcMar>
            <w:vAlign w:val="center"/>
          </w:tcPr>
          <w:p>
            <w:pPr>
              <w:pStyle w:val="TableContents"/>
              <w:spacing w:before="0" w:after="283"/>
              <w:rPr>
                <w:sz w:val="4"/>
                <w:szCs w:val="4"/>
              </w:rPr>
            </w:pPr>
            <w:r>
              <w:rPr>
                <w:sz w:val="4"/>
                <w:szCs w:val="4"/>
              </w:rPr>
            </w:r>
          </w:p>
        </w:tc>
        <w:tc>
          <w:tcPr>
            <w:tcW w:w="600" w:type="dxa"/>
            <w:tcBorders/>
            <w:shd w:fill="auto" w:val="clear"/>
            <w:tcMar>
              <w:top w:w="0" w:type="dxa"/>
            </w:tcMar>
            <w:vAlign w:val="center"/>
          </w:tcPr>
          <w:p>
            <w:pPr>
              <w:pStyle w:val="TableContents"/>
              <w:spacing w:before="0" w:after="283"/>
              <w:rPr>
                <w:sz w:val="4"/>
                <w:szCs w:val="4"/>
              </w:rPr>
            </w:pPr>
            <w:r>
              <w:rPr>
                <w:sz w:val="4"/>
                <w:szCs w:val="4"/>
              </w:rPr>
            </w:r>
          </w:p>
        </w:tc>
        <w:tc>
          <w:tcPr>
            <w:tcW w:w="5466" w:type="dxa"/>
            <w:tcBorders/>
            <w:shd w:fill="auto" w:val="clear"/>
            <w:tcMar>
              <w:top w:w="0" w:type="dxa"/>
            </w:tcMar>
            <w:vAlign w:val="center"/>
          </w:tcPr>
          <w:p>
            <w:pPr>
              <w:pStyle w:val="TableContents"/>
              <w:spacing w:before="0" w:after="0"/>
              <w:ind w:left="0" w:right="0" w:hanging="290"/>
              <w:jc w:val="left"/>
              <w:rPr/>
            </w:pPr>
            <w:r>
              <w:rPr>
                <w:color w:val="00A1E0"/>
              </w:rPr>
              <w:t>●</w:t>
            </w:r>
            <w:r>
              <w:rPr>
                <w:rFonts w:ascii="Arial" w:hAnsi="Arial"/>
                <w:sz w:val="20"/>
              </w:rPr>
              <w:t>Executive Officers and Nonemployee Directors Subject to and in Compliance with Robust Stock Ownership Requirements</w:t>
            </w:r>
          </w:p>
          <w:p>
            <w:pPr>
              <w:pStyle w:val="TableContents"/>
              <w:spacing w:before="0" w:after="0"/>
              <w:ind w:left="0" w:right="0" w:hanging="290"/>
              <w:jc w:val="left"/>
              <w:rPr/>
            </w:pPr>
            <w:r>
              <w:rPr>
                <w:color w:val="00A1E0"/>
              </w:rPr>
              <w:t>●</w:t>
            </w:r>
            <w:r>
              <w:rPr>
                <w:rFonts w:ascii="Arial" w:hAnsi="Arial"/>
                <w:sz w:val="20"/>
              </w:rPr>
              <w:t>CEO = 10x Salary</w:t>
            </w:r>
          </w:p>
          <w:p>
            <w:pPr>
              <w:pStyle w:val="TableContents"/>
              <w:spacing w:before="0" w:after="0"/>
              <w:ind w:left="0" w:right="0" w:hanging="290"/>
              <w:jc w:val="left"/>
              <w:rPr/>
            </w:pPr>
            <w:r>
              <w:rPr>
                <w:color w:val="00A1E0"/>
              </w:rPr>
              <w:t>●</w:t>
            </w:r>
            <w:r>
              <w:rPr>
                <w:rFonts w:ascii="Arial" w:hAnsi="Arial"/>
                <w:sz w:val="20"/>
              </w:rPr>
              <w:t>President = 5x Salary</w:t>
            </w:r>
          </w:p>
          <w:p>
            <w:pPr>
              <w:pStyle w:val="TableContents"/>
              <w:spacing w:before="0" w:after="0"/>
              <w:ind w:left="0" w:right="0" w:hanging="290"/>
              <w:jc w:val="left"/>
              <w:rPr/>
            </w:pPr>
            <w:r>
              <w:rPr>
                <w:color w:val="00A1E0"/>
              </w:rPr>
              <w:t>●</w:t>
            </w:r>
            <w:r>
              <w:rPr>
                <w:rFonts w:ascii="Arial" w:hAnsi="Arial"/>
                <w:sz w:val="20"/>
              </w:rPr>
              <w:t>Other Executive Officers = 3x Salary</w:t>
            </w:r>
          </w:p>
          <w:p>
            <w:pPr>
              <w:pStyle w:val="TableContents"/>
              <w:spacing w:before="0" w:after="0"/>
              <w:ind w:left="0" w:right="0" w:hanging="290"/>
              <w:jc w:val="left"/>
              <w:rPr/>
            </w:pPr>
            <w:r>
              <w:rPr>
                <w:color w:val="00A1E0"/>
              </w:rPr>
              <w:t>●</w:t>
            </w:r>
            <w:r>
              <w:rPr>
                <w:rFonts w:ascii="Arial" w:hAnsi="Arial"/>
                <w:sz w:val="20"/>
              </w:rPr>
              <w:t>Nonemployee Directors = 5x Annual Cash Retainer</w:t>
            </w:r>
          </w:p>
          <w:p>
            <w:pPr>
              <w:pStyle w:val="TableContents"/>
              <w:spacing w:before="0" w:after="0"/>
              <w:ind w:left="0" w:right="0" w:hanging="290"/>
              <w:jc w:val="left"/>
              <w:rPr/>
            </w:pPr>
            <w:r>
              <w:rPr>
                <w:color w:val="00A1E0"/>
              </w:rPr>
              <w:t>●</w:t>
            </w:r>
            <w:r>
              <w:rPr>
                <w:rFonts w:ascii="Arial" w:hAnsi="Arial"/>
                <w:sz w:val="20"/>
              </w:rPr>
              <w:t>No Dividend Equivalents Paid on Unearned RSUs or on Any Stock Options</w:t>
            </w:r>
          </w:p>
          <w:p>
            <w:pPr>
              <w:pStyle w:val="TableContents"/>
              <w:spacing w:before="0" w:after="0"/>
              <w:ind w:left="0" w:right="0" w:hanging="290"/>
              <w:jc w:val="left"/>
              <w:rPr/>
            </w:pPr>
            <w:r>
              <w:rPr>
                <w:color w:val="00A1E0"/>
              </w:rPr>
              <w:t>●</w:t>
            </w:r>
            <w:r>
              <w:rPr>
                <w:rFonts w:ascii="Arial" w:hAnsi="Arial"/>
                <w:sz w:val="20"/>
              </w:rPr>
              <w:t>Prohibition on Hedging and Pledging Comcast Stock</w:t>
            </w:r>
          </w:p>
        </w:tc>
        <w:tc>
          <w:tcPr>
            <w:tcW w:w="121" w:type="dxa"/>
            <w:tcBorders>
              <w:right w:val="single" w:sz="12" w:space="0" w:color="959595"/>
            </w:tcBorders>
            <w:shd w:fill="auto" w:val="clear"/>
            <w:tcMar>
              <w:top w:w="0" w:type="dxa"/>
              <w:right w:w="28" w:type="dxa"/>
            </w:tcMar>
            <w:vAlign w:val="center"/>
          </w:tcPr>
          <w:p>
            <w:pPr>
              <w:pStyle w:val="TableContents"/>
              <w:spacing w:before="0" w:after="283"/>
              <w:rPr/>
            </w:pPr>
            <w:r>
              <w:rPr/>
              <w:t> </w:t>
            </w:r>
          </w:p>
        </w:tc>
      </w:tr>
    </w:tbl>
    <w:p>
      <w:pPr>
        <w:pStyle w:val="TextBody"/>
        <w:spacing w:before="0" w:after="0"/>
        <w:rPr/>
      </w:pPr>
      <w:r>
        <w:rPr/>
      </w:r>
    </w:p>
    <w:tbl>
      <w:tblPr>
        <w:tblW w:w="223" w:type="dxa"/>
        <w:jc w:val="left"/>
        <w:tblInd w:w="0" w:type="dxa"/>
        <w:tblCellMar>
          <w:top w:w="0" w:type="dxa"/>
          <w:left w:w="0" w:type="dxa"/>
          <w:bottom w:w="0" w:type="dxa"/>
          <w:right w:w="0" w:type="dxa"/>
        </w:tblCellMar>
      </w:tblPr>
      <w:tblGrid>
        <w:gridCol w:w="200"/>
        <w:gridCol w:w="23"/>
      </w:tblGrid>
      <w:tr>
        <w:trPr/>
        <w:tc>
          <w:tcPr>
            <w:tcW w:w="200" w:type="dxa"/>
            <w:tcBorders/>
            <w:shd w:fill="auto" w:val="clear"/>
            <w:vAlign w:val="center"/>
          </w:tcPr>
          <w:p>
            <w:pPr>
              <w:pStyle w:val="TableContents"/>
              <w:spacing w:before="0" w:after="283"/>
              <w:jc w:val="left"/>
              <w:rPr>
                <w:rFonts w:ascii="Arial" w:hAnsi="Arial"/>
                <w:b/>
                <w:sz w:val="15"/>
              </w:rPr>
            </w:pPr>
            <w:r>
              <w:rPr>
                <w:rFonts w:ascii="Arial" w:hAnsi="Arial"/>
                <w:b/>
                <w:sz w:val="15"/>
              </w:rPr>
              <w:t>26</w:t>
            </w:r>
          </w:p>
        </w:tc>
        <w:tc>
          <w:tcPr>
            <w:tcW w:w="2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p>
      <w:pPr>
        <w:pStyle w:val="TextBody"/>
        <w:spacing w:before="0" w:after="0"/>
        <w:jc w:val="left"/>
        <w:rPr>
          <w:rFonts w:ascii="Arial" w:hAnsi="Arial"/>
          <w:sz w:val="28"/>
        </w:rPr>
      </w:pPr>
      <w:r>
        <w:rPr>
          <w:rFonts w:ascii="Arial" w:hAnsi="Arial"/>
          <w:sz w:val="28"/>
        </w:rPr>
        <w:t>Succession Planning</w:t>
      </w:r>
    </w:p>
    <w:p>
      <w:pPr>
        <w:pStyle w:val="TextBody"/>
        <w:spacing w:before="0" w:after="0"/>
        <w:jc w:val="left"/>
        <w:rPr>
          <w:rFonts w:ascii="Arial" w:hAnsi="Arial"/>
          <w:sz w:val="20"/>
        </w:rPr>
      </w:pPr>
      <w:r>
        <w:rPr>
          <w:rFonts w:ascii="Arial" w:hAnsi="Arial"/>
          <w:sz w:val="20"/>
        </w:rPr>
        <w:t>Ensuring that we have the appropriate senior management talent to successfully pursue our strategies is one of the Board’s primary responsibilities. To this end, the Board discusses succession planning for our CEO and the remainder of our senior executive management team in private sessions at most of its regularly scheduled meetings. To help fulfill the Board’s responsibility, our CHC Committee is required, pursuant to our corporate governance guidelines, to ensure that we have in place appropriate planning to address CEO succession both in the ordinary course of business and in emergency situations. Our CEO succession planning includes criteria that reflect our business strategies, such as identifying and developing internal candidates. Our corporate governance guidelines also require that our CHC Committee ensures that we have appropriate succession planning for the remainder of our senior executive management team, including our NEOs. Each year, our Board and CHC Committee formally discuss succession planning for our senior executive management team and their respective direct reports.</w:t>
      </w:r>
    </w:p>
    <w:p>
      <w:pPr>
        <w:pStyle w:val="TextBody"/>
        <w:spacing w:before="0" w:after="0"/>
        <w:jc w:val="left"/>
        <w:rPr>
          <w:rFonts w:ascii="Arial" w:hAnsi="Arial"/>
          <w:sz w:val="28"/>
        </w:rPr>
      </w:pPr>
      <w:r>
        <w:rPr>
          <w:rFonts w:ascii="Arial" w:hAnsi="Arial"/>
          <w:sz w:val="28"/>
        </w:rPr>
        <w:t>Board and Committee Evaluations</w:t>
      </w:r>
    </w:p>
    <w:p>
      <w:pPr>
        <w:pStyle w:val="TextBody"/>
        <w:spacing w:before="0" w:after="0"/>
        <w:jc w:val="left"/>
        <w:rPr>
          <w:rFonts w:ascii="Arial" w:hAnsi="Arial"/>
          <w:sz w:val="20"/>
        </w:rPr>
      </w:pPr>
      <w:r>
        <w:rPr>
          <w:rFonts w:ascii="Arial" w:hAnsi="Arial"/>
          <w:sz w:val="20"/>
        </w:rPr>
        <w:t>Every year, our Board and each of its committees perform a self-assessment to evaluate their effectiveness. As part of these assessments, each director completes a detailed questionnaire for the Board and any committees on which he or she serves, addressing topics such as Board structure and composition, Board responsibilities, Board meetings and materials, Board and management interactions and ethics and compliance. The questionnaire seeks both quantitative-based responses and general comments. The GCR Committee reviews and approves the process and the questionnaires to be used, with outside counsel also reviewing the questionnaires. The results of the assessments are compiled anonymously and are reviewed and discussed with the Board and the GCR Committee (as it relates to both the Board and all committees), each committee (as it relates to such committee) and, as appropriate, any individual director. In addition to the formal evaluation process, directors provide feedback on the Board’s and its committees’ performance on an ongoing basis. The GCR Committee develops action plans for items that may require follow-up, and it also coordinates recommendations for key business and director educational topics for the following year’s Board and committee meeting agendas.</w:t>
      </w:r>
    </w:p>
    <w:p>
      <w:pPr>
        <w:pStyle w:val="TextBody"/>
        <w:spacing w:before="0" w:after="0"/>
        <w:jc w:val="left"/>
        <w:rPr>
          <w:rFonts w:ascii="Arial" w:hAnsi="Arial"/>
          <w:sz w:val="28"/>
        </w:rPr>
      </w:pPr>
      <w:r>
        <w:rPr>
          <w:rFonts w:ascii="Arial" w:hAnsi="Arial"/>
          <w:sz w:val="28"/>
        </w:rPr>
        <w:t>Corporate Governance Guidelines and Code of Conduct</w:t>
      </w:r>
    </w:p>
    <w:p>
      <w:pPr>
        <w:pStyle w:val="TextBody"/>
        <w:spacing w:before="0" w:after="0"/>
        <w:jc w:val="left"/>
        <w:rPr/>
      </w:pPr>
      <w:r>
        <w:rPr>
          <w:rFonts w:ascii="Arial" w:hAnsi="Arial"/>
          <w:sz w:val="20"/>
        </w:rPr>
        <w:t xml:space="preserve">Our Board has adopted corporate governance guidelines that address items such as the standards, qualifications and responsibilities of our directors and director candidates and corporate governance policies and standards applicable to us in general. We also have a code of conduct that applies to all of our employees, including our executive officers, and our directors. Both the guidelines and the code of conduct applicable to our executive officers and directors are posted under “Corporate Governance” in the Investors section of our website at </w:t>
      </w:r>
      <w:r>
        <w:rPr>
          <w:rFonts w:ascii="Arial" w:hAnsi="Arial"/>
          <w:i/>
          <w:sz w:val="20"/>
        </w:rPr>
        <w:t>www.cmcsa.com</w:t>
      </w:r>
      <w:r>
        <w:rPr>
          <w:rFonts w:ascii="Arial" w:hAnsi="Arial"/>
          <w:sz w:val="20"/>
        </w:rPr>
        <w:t>. We will disclose under “Corporate Governance” in the Investors section of our website any amendments to, or any waivers under, the code of conduct that are required to be disclosed by SEC or Nasdaq rules.</w:t>
      </w:r>
    </w:p>
    <w:p>
      <w:pPr>
        <w:pStyle w:val="TextBody"/>
        <w:spacing w:before="0" w:after="0"/>
        <w:rPr/>
      </w:pPr>
      <w:r>
        <w:rPr/>
      </w:r>
    </w:p>
    <w:tbl>
      <w:tblPr>
        <w:tblW w:w="2200" w:type="dxa"/>
        <w:jc w:val="left"/>
        <w:tblInd w:w="0" w:type="dxa"/>
        <w:tblCellMar>
          <w:top w:w="0" w:type="dxa"/>
          <w:left w:w="0" w:type="dxa"/>
          <w:bottom w:w="0" w:type="dxa"/>
          <w:right w:w="0" w:type="dxa"/>
        </w:tblCellMar>
      </w:tblPr>
      <w:tblGrid>
        <w:gridCol w:w="1580"/>
        <w:gridCol w:w="620"/>
      </w:tblGrid>
      <w:tr>
        <w:trPr/>
        <w:tc>
          <w:tcPr>
            <w:tcW w:w="1580" w:type="dxa"/>
            <w:tcBorders/>
            <w:shd w:fill="auto" w:val="clear"/>
            <w:vAlign w:val="center"/>
          </w:tcPr>
          <w:p>
            <w:pPr>
              <w:pStyle w:val="TableContents"/>
              <w:spacing w:before="0" w:after="283"/>
              <w:jc w:val="right"/>
              <w:rPr>
                <w:rFonts w:ascii="Arial" w:hAnsi="Arial"/>
                <w:sz w:val="15"/>
              </w:rPr>
            </w:pPr>
            <w:r>
              <w:rPr>
                <w:rFonts w:ascii="Arial" w:hAnsi="Arial"/>
                <w:sz w:val="15"/>
              </w:rPr>
              <w:t>2023 Proxy Statement</w:t>
            </w:r>
          </w:p>
        </w:tc>
        <w:tc>
          <w:tcPr>
            <w:tcW w:w="620" w:type="dxa"/>
            <w:tcBorders/>
            <w:shd w:fill="auto" w:val="clear"/>
            <w:vAlign w:val="center"/>
          </w:tcPr>
          <w:p>
            <w:pPr>
              <w:pStyle w:val="TableContents"/>
              <w:spacing w:before="0" w:after="283"/>
              <w:jc w:val="right"/>
              <w:rPr/>
            </w:pPr>
            <w:r>
              <w:rPr/>
              <w:t>       </w:t>
            </w:r>
            <w:r>
              <w:rPr>
                <w:rFonts w:ascii="Arial" w:hAnsi="Arial"/>
                <w:b/>
                <w:sz w:val="15"/>
              </w:rPr>
              <w:t>27</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p>
      <w:pPr>
        <w:pStyle w:val="TextBody"/>
        <w:spacing w:before="0" w:after="0"/>
        <w:jc w:val="left"/>
        <w:rPr>
          <w:rFonts w:ascii="Arial" w:hAnsi="Arial"/>
          <w:sz w:val="28"/>
        </w:rPr>
      </w:pPr>
      <w:r>
        <w:rPr>
          <w:rFonts w:ascii="Arial" w:hAnsi="Arial"/>
          <w:sz w:val="28"/>
        </w:rPr>
        <w:t>Shareholder Engagement</w:t>
      </w:r>
    </w:p>
    <w:p>
      <w:pPr>
        <w:pStyle w:val="TextBody"/>
        <w:jc w:val="left"/>
        <w:rPr>
          <w:rFonts w:ascii="Arial" w:hAnsi="Arial"/>
          <w:sz w:val="20"/>
        </w:rPr>
      </w:pPr>
      <w:r>
        <w:rPr>
          <w:rFonts w:ascii="Arial" w:hAnsi="Arial"/>
          <w:sz w:val="20"/>
        </w:rPr>
        <w:t>We have an active, broad-based and year-round investor relations outreach program to solicit input and to communicate with shareholders on a variety of topics. In addition to our regular investor relations program that reviews our business and strategy with buy-side investors and securities analysts, we engage with investors on various corporate governance, compensation and other environmental and social (“E&amp;S”) topics. This dialogue provides an opportunity to discuss governance matters generally, including our directors’ skills and tenure, Board oversight roles and responsibilities, E&amp;S initiatives and executive compensation.</w:t>
      </w:r>
    </w:p>
    <w:p>
      <w:pPr>
        <w:pStyle w:val="TextBody"/>
        <w:jc w:val="left"/>
        <w:rPr>
          <w:rFonts w:ascii="Arial" w:hAnsi="Arial"/>
          <w:sz w:val="20"/>
        </w:rPr>
      </w:pPr>
      <w:r>
        <w:rPr>
          <w:rFonts w:ascii="Arial" w:hAnsi="Arial"/>
          <w:sz w:val="20"/>
        </w:rPr>
        <w:t>The key elements of our investor relations outreach program are below:</w:t>
      </w:r>
    </w:p>
    <w:p>
      <w:pPr>
        <w:pStyle w:val="TextBody"/>
        <w:spacing w:before="0" w:after="0"/>
        <w:ind w:left="0" w:right="0" w:hanging="0"/>
        <w:jc w:val="left"/>
        <w:rPr>
          <w:rFonts w:ascii="Arial" w:hAnsi="Arial"/>
          <w:color w:val="FFFFFF"/>
          <w:sz w:val="2"/>
        </w:rPr>
      </w:pPr>
      <w:r>
        <w:rPr>
          <w:rFonts w:ascii="Arial" w:hAnsi="Arial"/>
          <w:color w:val="FFFFFF"/>
          <w:sz w:val="2"/>
        </w:rPr>
        <w:t xml:space="preserve">COMCAST SHAREHOLDER OUTREACH Investor Relations Year-Round Engagement Governance and E&amp;S Engagements Annual Meeting Outcomes from Investor Feedback </w:t>
      </w:r>
    </w:p>
    <w:tbl>
      <w:tblPr>
        <w:tblW w:w="10205" w:type="dxa"/>
        <w:jc w:val="center"/>
        <w:tblInd w:w="0" w:type="dxa"/>
        <w:tblCellMar>
          <w:top w:w="0" w:type="dxa"/>
          <w:left w:w="0" w:type="dxa"/>
          <w:bottom w:w="0" w:type="dxa"/>
          <w:right w:w="0" w:type="dxa"/>
        </w:tblCellMar>
      </w:tblPr>
      <w:tblGrid>
        <w:gridCol w:w="1972"/>
        <w:gridCol w:w="750"/>
        <w:gridCol w:w="120"/>
        <w:gridCol w:w="4938"/>
        <w:gridCol w:w="120"/>
        <w:gridCol w:w="750"/>
        <w:gridCol w:w="1471"/>
        <w:gridCol w:w="23"/>
        <w:gridCol w:w="61"/>
      </w:tblGrid>
      <w:tr>
        <w:trPr/>
        <w:tc>
          <w:tcPr>
            <w:tcW w:w="1972" w:type="dxa"/>
            <w:tcBorders/>
            <w:shd w:fill="auto" w:val="clear"/>
            <w:vAlign w:val="center"/>
          </w:tcPr>
          <w:p>
            <w:pPr>
              <w:pStyle w:val="TableContents"/>
              <w:spacing w:before="0" w:after="283"/>
              <w:rPr/>
            </w:pPr>
            <w:r>
              <w:rPr/>
              <w:t> </w:t>
            </w:r>
          </w:p>
        </w:tc>
        <w:tc>
          <w:tcPr>
            <w:tcW w:w="750" w:type="dxa"/>
            <w:tcBorders/>
            <w:shd w:fill="auto" w:val="clear"/>
            <w:vAlign w:val="center"/>
          </w:tcPr>
          <w:p>
            <w:pPr>
              <w:pStyle w:val="TableContents"/>
              <w:spacing w:before="0" w:after="283"/>
              <w:jc w:val="left"/>
              <w:rPr/>
            </w:pPr>
            <w:r>
              <w:rPr/>
              <w:t> </w:t>
            </w:r>
          </w:p>
        </w:tc>
        <w:tc>
          <w:tcPr>
            <w:tcW w:w="120" w:type="dxa"/>
            <w:tcBorders/>
            <w:shd w:fill="auto" w:val="clear"/>
            <w:vAlign w:val="center"/>
          </w:tcPr>
          <w:p>
            <w:pPr>
              <w:pStyle w:val="TableContents"/>
              <w:spacing w:before="0" w:after="283"/>
              <w:rPr/>
            </w:pPr>
            <w:r>
              <w:rPr/>
              <w:t>  </w:t>
            </w:r>
          </w:p>
        </w:tc>
        <w:tc>
          <w:tcPr>
            <w:tcW w:w="4938" w:type="dxa"/>
            <w:tcBorders>
              <w:top w:val="single" w:sz="12" w:space="0" w:color="69BCEA"/>
              <w:left w:val="single" w:sz="12" w:space="0" w:color="69BCEA"/>
              <w:bottom w:val="single" w:sz="12" w:space="0" w:color="69BCEA"/>
              <w:right w:val="single" w:sz="12" w:space="0" w:color="69BCEA"/>
            </w:tcBorders>
            <w:shd w:fill="auto" w:val="clear"/>
            <w:tcMar>
              <w:top w:w="120" w:type="dxa"/>
              <w:left w:w="80" w:type="dxa"/>
              <w:bottom w:w="120" w:type="dxa"/>
              <w:right w:w="80" w:type="dxa"/>
            </w:tcMar>
            <w:vAlign w:val="center"/>
          </w:tcPr>
          <w:p>
            <w:pPr>
              <w:pStyle w:val="TableContents"/>
              <w:spacing w:before="0" w:after="0"/>
              <w:ind w:left="0" w:right="0" w:hanging="280"/>
              <w:jc w:val="left"/>
              <w:rPr/>
            </w:pPr>
            <w:r>
              <w:rPr>
                <w:color w:val="69BDEA"/>
              </w:rPr>
              <w:t>●</w:t>
            </w:r>
            <w:r>
              <w:rPr/>
              <w:t xml:space="preserve"> </w:t>
            </w:r>
            <w:r>
              <w:rPr>
                <w:rFonts w:ascii="Arial" w:hAnsi="Arial"/>
                <w:sz w:val="15"/>
              </w:rPr>
              <w:t>Focused, one-on-one meetings with over 40 investors, senior management and, at times, independent directors, on a range of governance, compensation and E&amp;S matters, as well as general business and strategy updates</w:t>
            </w:r>
          </w:p>
          <w:p>
            <w:pPr>
              <w:pStyle w:val="TableContents"/>
              <w:spacing w:before="0" w:after="0"/>
              <w:ind w:left="0" w:right="0" w:hanging="280"/>
              <w:jc w:val="left"/>
              <w:rPr/>
            </w:pPr>
            <w:r>
              <w:rPr>
                <w:color w:val="69BDEA"/>
              </w:rPr>
              <w:t>●</w:t>
            </w:r>
            <w:r>
              <w:rPr/>
              <w:t xml:space="preserve"> </w:t>
            </w:r>
            <w:r>
              <w:rPr>
                <w:rFonts w:ascii="Arial" w:hAnsi="Arial"/>
                <w:sz w:val="15"/>
              </w:rPr>
              <w:t>Meetings with proxy advisory firms</w:t>
            </w:r>
          </w:p>
        </w:tc>
        <w:tc>
          <w:tcPr>
            <w:tcW w:w="120" w:type="dxa"/>
            <w:tcBorders/>
            <w:shd w:fill="auto" w:val="clear"/>
            <w:vAlign w:val="center"/>
          </w:tcPr>
          <w:p>
            <w:pPr>
              <w:pStyle w:val="TableContents"/>
              <w:spacing w:before="0" w:after="283"/>
              <w:rPr/>
            </w:pPr>
            <w:r>
              <w:rPr/>
              <w:t>  </w:t>
            </w:r>
          </w:p>
        </w:tc>
        <w:tc>
          <w:tcPr>
            <w:tcW w:w="750" w:type="dxa"/>
            <w:tcBorders/>
            <w:shd w:fill="auto" w:val="clear"/>
            <w:vAlign w:val="center"/>
          </w:tcPr>
          <w:p>
            <w:pPr>
              <w:pStyle w:val="TableContents"/>
              <w:spacing w:before="0" w:after="283"/>
              <w:jc w:val="right"/>
              <w:rPr/>
            </w:pPr>
            <w:r>
              <w:rPr/>
              <w:t> </w:t>
            </w:r>
          </w:p>
        </w:tc>
        <w:tc>
          <w:tcPr>
            <w:tcW w:w="1471" w:type="dxa"/>
            <w:tcBorders/>
            <w:shd w:fill="auto" w:val="clear"/>
            <w:vAlign w:val="center"/>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61" w:type="dxa"/>
            <w:tcBorders/>
            <w:shd w:fill="auto" w:val="clear"/>
          </w:tcPr>
          <w:p>
            <w:pPr>
              <w:pStyle w:val="TableContents"/>
              <w:spacing w:before="0" w:after="283"/>
              <w:rPr>
                <w:sz w:val="4"/>
                <w:szCs w:val="4"/>
              </w:rPr>
            </w:pPr>
            <w:r>
              <w:rPr>
                <w:sz w:val="4"/>
                <w:szCs w:val="4"/>
              </w:rPr>
            </w:r>
          </w:p>
        </w:tc>
      </w:tr>
      <w:tr>
        <w:trPr/>
        <w:tc>
          <w:tcPr>
            <w:tcW w:w="1972" w:type="dxa"/>
            <w:tcBorders/>
            <w:shd w:fill="auto" w:val="clear"/>
            <w:vAlign w:val="center"/>
          </w:tcPr>
          <w:p>
            <w:pPr>
              <w:pStyle w:val="TableContents"/>
              <w:spacing w:before="0" w:after="283"/>
              <w:rPr/>
            </w:pPr>
            <w:r>
              <w:rPr/>
              <w:t> </w:t>
            </w:r>
          </w:p>
        </w:tc>
        <w:tc>
          <w:tcPr>
            <w:tcW w:w="7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938" w:type="dxa"/>
            <w:tcBorders/>
            <w:shd w:fill="auto" w:val="clear"/>
            <w:vAlign w:val="center"/>
          </w:tcPr>
          <w:p>
            <w:pPr>
              <w:pStyle w:val="TableContents"/>
              <w:spacing w:before="0" w:after="283"/>
              <w:jc w:val="center"/>
              <w:rPr/>
            </w:pPr>
            <w:r>
              <w:rPr/>
              <w:drawing>
                <wp:inline distT="0" distB="0" distL="0" distR="0">
                  <wp:extent cx="66675" cy="257175"/>
                  <wp:effectExtent l="0" t="0" r="0" b="0"/>
                  <wp:docPr id="181"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07" descr=""/>
                          <pic:cNvPicPr>
                            <a:picLocks noChangeAspect="1" noChangeArrowheads="1"/>
                          </pic:cNvPicPr>
                        </pic:nvPicPr>
                        <pic:blipFill>
                          <a:blip r:embed="rId108"/>
                          <a:srcRect l="-15135" t="-3921" r="-15135" b="-3921"/>
                          <a:stretch>
                            <a:fillRect/>
                          </a:stretch>
                        </pic:blipFill>
                        <pic:spPr bwMode="auto">
                          <a:xfrm>
                            <a:off x="0" y="0"/>
                            <a:ext cx="66675" cy="257175"/>
                          </a:xfrm>
                          <a:prstGeom prst="rect">
                            <a:avLst/>
                          </a:prstGeom>
                          <a:ln w="635">
                            <a:solidFill>
                              <a:srgbClr val="000000"/>
                            </a:solidFill>
                          </a:ln>
                        </pic:spPr>
                      </pic:pic>
                    </a:graphicData>
                  </a:graphic>
                </wp:inline>
              </w:drawing>
            </w:r>
          </w:p>
        </w:tc>
        <w:tc>
          <w:tcPr>
            <w:tcW w:w="120"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1471"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tcPr>
          <w:p>
            <w:pPr>
              <w:pStyle w:val="TableContents"/>
              <w:spacing w:before="0" w:after="283"/>
              <w:rPr>
                <w:sz w:val="4"/>
                <w:szCs w:val="4"/>
              </w:rPr>
            </w:pPr>
            <w:r>
              <w:rPr>
                <w:sz w:val="4"/>
                <w:szCs w:val="4"/>
              </w:rPr>
            </w:r>
          </w:p>
        </w:tc>
        <w:tc>
          <w:tcPr>
            <w:tcW w:w="61" w:type="dxa"/>
            <w:tcBorders/>
            <w:shd w:fill="auto" w:val="clear"/>
          </w:tcPr>
          <w:p>
            <w:pPr>
              <w:pStyle w:val="TableContents"/>
              <w:spacing w:before="0" w:after="283"/>
              <w:rPr>
                <w:sz w:val="4"/>
                <w:szCs w:val="4"/>
              </w:rPr>
            </w:pPr>
            <w:r>
              <w:rPr>
                <w:sz w:val="4"/>
                <w:szCs w:val="4"/>
              </w:rPr>
            </w:r>
          </w:p>
        </w:tc>
      </w:tr>
      <w:tr>
        <w:trPr/>
        <w:tc>
          <w:tcPr>
            <w:tcW w:w="1972" w:type="dxa"/>
            <w:tcBorders/>
            <w:shd w:fill="auto" w:val="clear"/>
            <w:vAlign w:val="center"/>
          </w:tcPr>
          <w:p>
            <w:pPr>
              <w:pStyle w:val="TableContents"/>
              <w:spacing w:before="0" w:after="283"/>
              <w:rPr/>
            </w:pPr>
            <w:r>
              <w:rPr/>
              <w:t> </w:t>
            </w:r>
          </w:p>
        </w:tc>
        <w:tc>
          <w:tcPr>
            <w:tcW w:w="750" w:type="dxa"/>
            <w:tcBorders/>
            <w:shd w:fill="auto" w:val="clear"/>
            <w:vAlign w:val="center"/>
          </w:tcPr>
          <w:p>
            <w:pPr>
              <w:pStyle w:val="TableContents"/>
              <w:spacing w:before="0" w:after="283"/>
              <w:rPr>
                <w:sz w:val="4"/>
                <w:szCs w:val="4"/>
              </w:rPr>
            </w:pPr>
            <w:r>
              <w:rPr>
                <w:sz w:val="4"/>
                <w:szCs w:val="4"/>
              </w:rPr>
            </w:r>
          </w:p>
        </w:tc>
        <w:tc>
          <w:tcPr>
            <w:tcW w:w="5178" w:type="dxa"/>
            <w:gridSpan w:val="3"/>
            <w:vMerge w:val="restart"/>
            <w:tcBorders/>
            <w:shd w:fill="auto" w:val="clear"/>
            <w:vAlign w:val="center"/>
          </w:tcPr>
          <w:p>
            <w:pPr>
              <w:pStyle w:val="TableContents"/>
              <w:spacing w:before="0" w:after="283"/>
              <w:jc w:val="center"/>
              <w:rPr/>
            </w:pPr>
            <w:r>
              <w:rPr/>
              <w:drawing>
                <wp:inline distT="0" distB="0" distL="0" distR="0">
                  <wp:extent cx="1905000" cy="6629400"/>
                  <wp:effectExtent l="0" t="0" r="0" b="0"/>
                  <wp:docPr id="182"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08" descr=""/>
                          <pic:cNvPicPr>
                            <a:picLocks noChangeAspect="1" noChangeArrowheads="1"/>
                          </pic:cNvPicPr>
                        </pic:nvPicPr>
                        <pic:blipFill>
                          <a:blip r:embed="rId109"/>
                          <a:srcRect l="-151" t="-152" r="-151" b="-152"/>
                          <a:stretch>
                            <a:fillRect/>
                          </a:stretch>
                        </pic:blipFill>
                        <pic:spPr bwMode="auto">
                          <a:xfrm>
                            <a:off x="0" y="0"/>
                            <a:ext cx="1905000" cy="6629400"/>
                          </a:xfrm>
                          <a:prstGeom prst="rect">
                            <a:avLst/>
                          </a:prstGeom>
                          <a:ln w="635">
                            <a:solidFill>
                              <a:srgbClr val="000000"/>
                            </a:solidFill>
                          </a:ln>
                        </pic:spPr>
                      </pic:pic>
                    </a:graphicData>
                  </a:graphic>
                </wp:inline>
              </w:drawing>
            </w:r>
          </w:p>
        </w:tc>
        <w:tc>
          <w:tcPr>
            <w:tcW w:w="750" w:type="dxa"/>
            <w:tcBorders/>
            <w:shd w:fill="auto" w:val="clear"/>
            <w:vAlign w:val="center"/>
          </w:tcPr>
          <w:p>
            <w:pPr>
              <w:pStyle w:val="TableContents"/>
              <w:spacing w:before="0" w:after="283"/>
              <w:rPr>
                <w:sz w:val="4"/>
                <w:szCs w:val="4"/>
              </w:rPr>
            </w:pPr>
            <w:r>
              <w:rPr>
                <w:sz w:val="4"/>
                <w:szCs w:val="4"/>
              </w:rPr>
            </w:r>
          </w:p>
        </w:tc>
        <w:tc>
          <w:tcPr>
            <w:tcW w:w="1471"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tcPr>
          <w:p>
            <w:pPr>
              <w:pStyle w:val="TableContents"/>
              <w:spacing w:before="0" w:after="283"/>
              <w:rPr>
                <w:sz w:val="4"/>
                <w:szCs w:val="4"/>
              </w:rPr>
            </w:pPr>
            <w:r>
              <w:rPr>
                <w:sz w:val="4"/>
                <w:szCs w:val="4"/>
              </w:rPr>
            </w:r>
          </w:p>
        </w:tc>
        <w:tc>
          <w:tcPr>
            <w:tcW w:w="61" w:type="dxa"/>
            <w:tcBorders/>
            <w:shd w:fill="auto" w:val="clear"/>
          </w:tcPr>
          <w:p>
            <w:pPr>
              <w:pStyle w:val="TableContents"/>
              <w:spacing w:before="0" w:after="283"/>
              <w:rPr>
                <w:sz w:val="4"/>
                <w:szCs w:val="4"/>
              </w:rPr>
            </w:pPr>
            <w:r>
              <w:rPr>
                <w:sz w:val="4"/>
                <w:szCs w:val="4"/>
              </w:rPr>
            </w:r>
          </w:p>
        </w:tc>
      </w:tr>
      <w:tr>
        <w:trPr/>
        <w:tc>
          <w:tcPr>
            <w:tcW w:w="1972" w:type="dxa"/>
            <w:vMerge w:val="restart"/>
            <w:tcBorders>
              <w:top w:val="single" w:sz="12" w:space="0" w:color="00A1E0"/>
              <w:left w:val="single" w:sz="12" w:space="0" w:color="00A1E0"/>
              <w:bottom w:val="single" w:sz="12" w:space="0" w:color="00A1E0"/>
              <w:right w:val="single" w:sz="12" w:space="0" w:color="00A1E0"/>
            </w:tcBorders>
            <w:shd w:fill="auto" w:val="clear"/>
            <w:tcMar>
              <w:top w:w="28" w:type="dxa"/>
              <w:left w:w="80" w:type="dxa"/>
              <w:bottom w:w="28" w:type="dxa"/>
              <w:right w:w="80" w:type="dxa"/>
            </w:tcMar>
            <w:vAlign w:val="center"/>
          </w:tcPr>
          <w:p>
            <w:pPr>
              <w:pStyle w:val="TableContents"/>
              <w:spacing w:before="0" w:after="0"/>
              <w:ind w:left="0" w:right="0" w:hanging="280"/>
              <w:jc w:val="left"/>
              <w:rPr/>
            </w:pPr>
            <w:r>
              <w:rPr>
                <w:color w:val="00A1E0"/>
              </w:rPr>
              <w:t>●</w:t>
            </w:r>
            <w:r>
              <w:rPr/>
              <w:t xml:space="preserve"> </w:t>
            </w:r>
            <w:r>
              <w:rPr>
                <w:rFonts w:ascii="Arial" w:hAnsi="Arial"/>
                <w:sz w:val="15"/>
              </w:rPr>
              <w:t>Live webcasts of quarterly earnings presentations</w:t>
            </w:r>
          </w:p>
          <w:p>
            <w:pPr>
              <w:pStyle w:val="TableContents"/>
              <w:spacing w:before="0" w:after="0"/>
              <w:ind w:left="0" w:right="0" w:hanging="280"/>
              <w:jc w:val="left"/>
              <w:rPr/>
            </w:pPr>
            <w:r>
              <w:rPr>
                <w:color w:val="00A1E0"/>
              </w:rPr>
              <w:t>●</w:t>
            </w:r>
            <w:r>
              <w:rPr/>
              <w:t xml:space="preserve"> </w:t>
            </w:r>
            <w:r>
              <w:rPr>
                <w:rFonts w:ascii="Arial" w:hAnsi="Arial"/>
                <w:sz w:val="15"/>
              </w:rPr>
              <w:t>Live webcasts of CEO, President, CFO and other business leaders speaking at investor conferences</w:t>
            </w:r>
          </w:p>
          <w:p>
            <w:pPr>
              <w:pStyle w:val="TableContents"/>
              <w:spacing w:before="0" w:after="0"/>
              <w:ind w:left="0" w:right="0" w:hanging="280"/>
              <w:jc w:val="left"/>
              <w:rPr/>
            </w:pPr>
            <w:r>
              <w:rPr>
                <w:color w:val="00A1E0"/>
              </w:rPr>
              <w:t>●</w:t>
            </w:r>
            <w:r>
              <w:rPr/>
              <w:t xml:space="preserve"> </w:t>
            </w:r>
            <w:r>
              <w:rPr>
                <w:rFonts w:ascii="Arial" w:hAnsi="Arial"/>
                <w:sz w:val="15"/>
              </w:rPr>
              <w:t>Met with over 375 investors on strategy and business results through a combination of in-person and virtual meetings</w:t>
            </w:r>
          </w:p>
        </w:tc>
        <w:tc>
          <w:tcPr>
            <w:tcW w:w="750" w:type="dxa"/>
            <w:vMerge w:val="restart"/>
            <w:tcBorders/>
            <w:shd w:fill="auto" w:val="clear"/>
            <w:vAlign w:val="center"/>
          </w:tcPr>
          <w:p>
            <w:pPr>
              <w:pStyle w:val="TableContents"/>
              <w:spacing w:before="0" w:after="283"/>
              <w:jc w:val="left"/>
              <w:rPr/>
            </w:pPr>
            <w:r>
              <w:rPr/>
              <w:drawing>
                <wp:inline distT="0" distB="0" distL="0" distR="0">
                  <wp:extent cx="476250" cy="66675"/>
                  <wp:effectExtent l="0" t="0" r="0" b="0"/>
                  <wp:docPr id="183"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09" descr=""/>
                          <pic:cNvPicPr>
                            <a:picLocks noChangeAspect="1" noChangeArrowheads="1"/>
                          </pic:cNvPicPr>
                        </pic:nvPicPr>
                        <pic:blipFill>
                          <a:blip r:embed="rId110"/>
                          <a:srcRect l="-2116" t="-15135" r="-2116" b="-15135"/>
                          <a:stretch>
                            <a:fillRect/>
                          </a:stretch>
                        </pic:blipFill>
                        <pic:spPr bwMode="auto">
                          <a:xfrm>
                            <a:off x="0" y="0"/>
                            <a:ext cx="476250" cy="66675"/>
                          </a:xfrm>
                          <a:prstGeom prst="rect">
                            <a:avLst/>
                          </a:prstGeom>
                          <a:ln w="635">
                            <a:solidFill>
                              <a:srgbClr val="000000"/>
                            </a:solidFill>
                          </a:ln>
                        </pic:spPr>
                      </pic:pic>
                    </a:graphicData>
                  </a:graphic>
                </wp:inline>
              </w:drawing>
            </w:r>
          </w:p>
        </w:tc>
        <w:tc>
          <w:tcPr>
            <w:tcW w:w="5178" w:type="dxa"/>
            <w:gridSpan w:val="3"/>
            <w:vMerge w:val="continue"/>
            <w:tcBorders/>
            <w:shd w:fill="auto" w:val="clear"/>
            <w:vAlign w:val="center"/>
          </w:tcPr>
          <w:p>
            <w:pPr>
              <w:pStyle w:val="Normal"/>
              <w:rPr/>
            </w:pPr>
            <w:r>
              <w:rPr/>
            </w:r>
          </w:p>
        </w:tc>
        <w:tc>
          <w:tcPr>
            <w:tcW w:w="750" w:type="dxa"/>
            <w:vMerge w:val="restart"/>
            <w:tcBorders/>
            <w:shd w:fill="auto" w:val="clear"/>
            <w:vAlign w:val="center"/>
          </w:tcPr>
          <w:p>
            <w:pPr>
              <w:pStyle w:val="TableContents"/>
              <w:spacing w:before="0" w:after="283"/>
              <w:jc w:val="right"/>
              <w:rPr/>
            </w:pPr>
            <w:r>
              <w:rPr/>
              <w:drawing>
                <wp:inline distT="0" distB="0" distL="0" distR="0">
                  <wp:extent cx="476250" cy="66675"/>
                  <wp:effectExtent l="0" t="0" r="0" b="0"/>
                  <wp:docPr id="184"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10" descr=""/>
                          <pic:cNvPicPr>
                            <a:picLocks noChangeAspect="1" noChangeArrowheads="1"/>
                          </pic:cNvPicPr>
                        </pic:nvPicPr>
                        <pic:blipFill>
                          <a:blip r:embed="rId111"/>
                          <a:srcRect l="-2116" t="-15135" r="-2116" b="-15135"/>
                          <a:stretch>
                            <a:fillRect/>
                          </a:stretch>
                        </pic:blipFill>
                        <pic:spPr bwMode="auto">
                          <a:xfrm>
                            <a:off x="0" y="0"/>
                            <a:ext cx="476250" cy="66675"/>
                          </a:xfrm>
                          <a:prstGeom prst="rect">
                            <a:avLst/>
                          </a:prstGeom>
                          <a:ln w="635">
                            <a:solidFill>
                              <a:srgbClr val="000000"/>
                            </a:solidFill>
                          </a:ln>
                        </pic:spPr>
                      </pic:pic>
                    </a:graphicData>
                  </a:graphic>
                </wp:inline>
              </w:drawing>
            </w:r>
          </w:p>
        </w:tc>
        <w:tc>
          <w:tcPr>
            <w:tcW w:w="1471" w:type="dxa"/>
            <w:vMerge w:val="restart"/>
            <w:tcBorders>
              <w:top w:val="single" w:sz="12" w:space="0" w:color="9AD0F0"/>
              <w:left w:val="single" w:sz="12" w:space="0" w:color="9AD0F0"/>
              <w:bottom w:val="single" w:sz="12" w:space="0" w:color="9AD0F0"/>
              <w:right w:val="single" w:sz="12" w:space="0" w:color="9AD0F0"/>
            </w:tcBorders>
            <w:shd w:fill="auto" w:val="clear"/>
            <w:tcMar>
              <w:top w:w="28" w:type="dxa"/>
              <w:left w:w="80" w:type="dxa"/>
              <w:bottom w:w="28" w:type="dxa"/>
              <w:right w:w="80" w:type="dxa"/>
            </w:tcMar>
            <w:vAlign w:val="center"/>
          </w:tcPr>
          <w:p>
            <w:pPr>
              <w:pStyle w:val="TableContents"/>
              <w:spacing w:before="0" w:after="0"/>
              <w:ind w:left="0" w:right="0" w:hanging="280"/>
              <w:jc w:val="left"/>
              <w:rPr/>
            </w:pPr>
            <w:r>
              <w:rPr>
                <w:color w:val="9AD0F0"/>
              </w:rPr>
              <w:t>●</w:t>
            </w:r>
            <w:r>
              <w:rPr/>
              <w:t xml:space="preserve"> </w:t>
            </w:r>
            <w:r>
              <w:rPr>
                <w:rFonts w:ascii="Arial" w:hAnsi="Arial"/>
                <w:sz w:val="15"/>
              </w:rPr>
              <w:t>Discussions with proponents of shareholder proposals before proxy statement filed</w:t>
            </w:r>
          </w:p>
          <w:p>
            <w:pPr>
              <w:pStyle w:val="TableContents"/>
              <w:spacing w:before="0" w:after="0"/>
              <w:ind w:left="0" w:right="0" w:hanging="280"/>
              <w:jc w:val="left"/>
              <w:rPr/>
            </w:pPr>
            <w:r>
              <w:rPr>
                <w:color w:val="9AD0F0"/>
              </w:rPr>
              <w:t>●</w:t>
            </w:r>
            <w:r>
              <w:rPr/>
              <w:t xml:space="preserve"> </w:t>
            </w:r>
            <w:r>
              <w:rPr>
                <w:rFonts w:ascii="Arial" w:hAnsi="Arial"/>
                <w:sz w:val="15"/>
              </w:rPr>
              <w:t>Meetings with investors to discuss annual meeting proposals</w:t>
            </w:r>
          </w:p>
          <w:p>
            <w:pPr>
              <w:pStyle w:val="TableContents"/>
              <w:spacing w:before="0" w:after="0"/>
              <w:ind w:left="0" w:right="0" w:hanging="280"/>
              <w:jc w:val="left"/>
              <w:rPr/>
            </w:pPr>
            <w:r>
              <w:rPr>
                <w:color w:val="9AD0F0"/>
              </w:rPr>
              <w:t>●</w:t>
            </w:r>
            <w:r>
              <w:rPr/>
              <w:t xml:space="preserve"> </w:t>
            </w:r>
            <w:r>
              <w:rPr>
                <w:rFonts w:ascii="Arial" w:hAnsi="Arial"/>
                <w:sz w:val="15"/>
              </w:rPr>
              <w:t>Review and consider shareholder voting results</w:t>
            </w:r>
          </w:p>
        </w:tc>
        <w:tc>
          <w:tcPr>
            <w:tcW w:w="23" w:type="dxa"/>
            <w:tcBorders/>
            <w:shd w:fill="auto" w:val="clear"/>
          </w:tcPr>
          <w:p>
            <w:pPr>
              <w:pStyle w:val="TableContents"/>
              <w:spacing w:before="0" w:after="283"/>
              <w:rPr>
                <w:sz w:val="4"/>
                <w:szCs w:val="4"/>
              </w:rPr>
            </w:pPr>
            <w:r>
              <w:rPr>
                <w:sz w:val="4"/>
                <w:szCs w:val="4"/>
              </w:rPr>
            </w:r>
          </w:p>
        </w:tc>
        <w:tc>
          <w:tcPr>
            <w:tcW w:w="61" w:type="dxa"/>
            <w:tcBorders/>
            <w:shd w:fill="auto" w:val="clear"/>
          </w:tcPr>
          <w:p>
            <w:pPr>
              <w:pStyle w:val="TableContents"/>
              <w:spacing w:before="0" w:after="283"/>
              <w:rPr>
                <w:sz w:val="4"/>
                <w:szCs w:val="4"/>
              </w:rPr>
            </w:pPr>
            <w:r>
              <w:rPr>
                <w:sz w:val="4"/>
                <w:szCs w:val="4"/>
              </w:rPr>
            </w:r>
          </w:p>
        </w:tc>
      </w:tr>
      <w:tr>
        <w:trPr/>
        <w:tc>
          <w:tcPr>
            <w:tcW w:w="1972" w:type="dxa"/>
            <w:vMerge w:val="continue"/>
            <w:tcBorders>
              <w:top w:val="single" w:sz="12" w:space="0" w:color="00A1E0"/>
              <w:left w:val="single" w:sz="12" w:space="0" w:color="00A1E0"/>
              <w:bottom w:val="single" w:sz="12" w:space="0" w:color="00A1E0"/>
              <w:right w:val="single" w:sz="12" w:space="0" w:color="00A1E0"/>
            </w:tcBorders>
            <w:shd w:fill="auto" w:val="clear"/>
            <w:tcMar>
              <w:top w:w="28" w:type="dxa"/>
              <w:left w:w="80" w:type="dxa"/>
              <w:bottom w:w="28" w:type="dxa"/>
              <w:right w:w="80" w:type="dxa"/>
            </w:tcMar>
            <w:vAlign w:val="center"/>
          </w:tcPr>
          <w:p>
            <w:pPr>
              <w:pStyle w:val="Normal"/>
              <w:rPr/>
            </w:pPr>
            <w:r>
              <w:rPr/>
            </w:r>
          </w:p>
        </w:tc>
        <w:tc>
          <w:tcPr>
            <w:tcW w:w="750" w:type="dxa"/>
            <w:vMerge w:val="continue"/>
            <w:tcBorders/>
            <w:shd w:fill="auto" w:val="clear"/>
            <w:vAlign w:val="center"/>
          </w:tcPr>
          <w:p>
            <w:pPr>
              <w:pStyle w:val="Normal"/>
              <w:rPr/>
            </w:pPr>
            <w:r>
              <w:rPr/>
            </w:r>
          </w:p>
        </w:tc>
        <w:tc>
          <w:tcPr>
            <w:tcW w:w="5178" w:type="dxa"/>
            <w:gridSpan w:val="3"/>
            <w:vMerge w:val="continue"/>
            <w:tcBorders/>
            <w:shd w:fill="auto" w:val="clear"/>
            <w:vAlign w:val="center"/>
          </w:tcPr>
          <w:p>
            <w:pPr>
              <w:pStyle w:val="Normal"/>
              <w:rPr/>
            </w:pPr>
            <w:r>
              <w:rPr/>
            </w:r>
          </w:p>
        </w:tc>
        <w:tc>
          <w:tcPr>
            <w:tcW w:w="750" w:type="dxa"/>
            <w:vMerge w:val="continue"/>
            <w:tcBorders/>
            <w:shd w:fill="auto" w:val="clear"/>
            <w:vAlign w:val="center"/>
          </w:tcPr>
          <w:p>
            <w:pPr>
              <w:pStyle w:val="Normal"/>
              <w:rPr/>
            </w:pPr>
            <w:r>
              <w:rPr/>
            </w:r>
          </w:p>
        </w:tc>
        <w:tc>
          <w:tcPr>
            <w:tcW w:w="1471" w:type="dxa"/>
            <w:vMerge w:val="continue"/>
            <w:tcBorders>
              <w:top w:val="single" w:sz="12" w:space="0" w:color="9AD0F0"/>
              <w:left w:val="single" w:sz="12" w:space="0" w:color="9AD0F0"/>
              <w:bottom w:val="single" w:sz="12" w:space="0" w:color="9AD0F0"/>
              <w:right w:val="single" w:sz="12" w:space="0" w:color="9AD0F0"/>
            </w:tcBorders>
            <w:shd w:fill="auto" w:val="clear"/>
            <w:tcMar>
              <w:top w:w="28" w:type="dxa"/>
              <w:left w:w="80" w:type="dxa"/>
              <w:bottom w:w="28" w:type="dxa"/>
              <w:right w:w="80" w:type="dxa"/>
            </w:tcMar>
            <w:vAlign w:val="center"/>
          </w:tcPr>
          <w:p>
            <w:pPr>
              <w:pStyle w:val="Normal"/>
              <w:rPr/>
            </w:pPr>
            <w:r>
              <w:rPr/>
            </w:r>
          </w:p>
        </w:tc>
        <w:tc>
          <w:tcPr>
            <w:tcW w:w="23"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pPr>
            <w:r>
              <w:rPr/>
              <w:t> </w:t>
            </w:r>
          </w:p>
        </w:tc>
      </w:tr>
      <w:tr>
        <w:trPr/>
        <w:tc>
          <w:tcPr>
            <w:tcW w:w="1972" w:type="dxa"/>
            <w:tcBorders/>
            <w:shd w:fill="auto" w:val="clear"/>
            <w:vAlign w:val="center"/>
          </w:tcPr>
          <w:p>
            <w:pPr>
              <w:pStyle w:val="TableContents"/>
              <w:spacing w:before="0" w:after="283"/>
              <w:rPr/>
            </w:pPr>
            <w:r>
              <w:rPr/>
              <w:t> </w:t>
            </w:r>
          </w:p>
        </w:tc>
        <w:tc>
          <w:tcPr>
            <w:tcW w:w="750" w:type="dxa"/>
            <w:tcBorders/>
            <w:shd w:fill="auto" w:val="clear"/>
            <w:vAlign w:val="center"/>
          </w:tcPr>
          <w:p>
            <w:pPr>
              <w:pStyle w:val="TableContents"/>
              <w:spacing w:before="0" w:after="283"/>
              <w:jc w:val="left"/>
              <w:rPr/>
            </w:pPr>
            <w:r>
              <w:rPr/>
              <w:t> </w:t>
            </w:r>
          </w:p>
        </w:tc>
        <w:tc>
          <w:tcPr>
            <w:tcW w:w="5178" w:type="dxa"/>
            <w:gridSpan w:val="3"/>
            <w:vMerge w:val="continue"/>
            <w:tcBorders/>
            <w:shd w:fill="auto" w:val="clear"/>
            <w:vAlign w:val="center"/>
          </w:tcPr>
          <w:p>
            <w:pPr>
              <w:pStyle w:val="Normal"/>
              <w:rPr/>
            </w:pPr>
            <w:r>
              <w:rPr/>
            </w:r>
          </w:p>
        </w:tc>
        <w:tc>
          <w:tcPr>
            <w:tcW w:w="750" w:type="dxa"/>
            <w:tcBorders/>
            <w:shd w:fill="auto" w:val="clear"/>
            <w:vAlign w:val="center"/>
          </w:tcPr>
          <w:p>
            <w:pPr>
              <w:pStyle w:val="TableContents"/>
              <w:spacing w:before="0" w:after="283"/>
              <w:jc w:val="right"/>
              <w:rPr/>
            </w:pPr>
            <w:r>
              <w:rPr/>
              <w:t> </w:t>
            </w:r>
          </w:p>
        </w:tc>
        <w:tc>
          <w:tcPr>
            <w:tcW w:w="1471" w:type="dxa"/>
            <w:tcBorders/>
            <w:shd w:fill="auto" w:val="clear"/>
            <w:vAlign w:val="center"/>
          </w:tcPr>
          <w:p>
            <w:pPr>
              <w:pStyle w:val="TableContents"/>
              <w:spacing w:before="0" w:after="283"/>
              <w:rPr>
                <w:sz w:val="4"/>
                <w:szCs w:val="4"/>
              </w:rPr>
            </w:pPr>
            <w:r>
              <w:rPr>
                <w:sz w:val="4"/>
                <w:szCs w:val="4"/>
              </w:rPr>
            </w:r>
          </w:p>
        </w:tc>
        <w:tc>
          <w:tcPr>
            <w:tcW w:w="84" w:type="dxa"/>
            <w:gridSpan w:val="2"/>
            <w:tcBorders/>
            <w:shd w:fill="auto" w:val="clear"/>
          </w:tcPr>
          <w:p>
            <w:pPr>
              <w:pStyle w:val="TableContents"/>
              <w:spacing w:before="0" w:after="283"/>
              <w:rPr>
                <w:sz w:val="4"/>
                <w:szCs w:val="4"/>
              </w:rPr>
            </w:pPr>
            <w:r>
              <w:rPr>
                <w:sz w:val="4"/>
                <w:szCs w:val="4"/>
              </w:rPr>
            </w:r>
          </w:p>
        </w:tc>
      </w:tr>
      <w:tr>
        <w:trPr/>
        <w:tc>
          <w:tcPr>
            <w:tcW w:w="1972" w:type="dxa"/>
            <w:tcBorders/>
            <w:shd w:fill="auto" w:val="clear"/>
            <w:vAlign w:val="center"/>
          </w:tcPr>
          <w:p>
            <w:pPr>
              <w:pStyle w:val="TableContents"/>
              <w:spacing w:before="0" w:after="283"/>
              <w:rPr/>
            </w:pPr>
            <w:r>
              <w:rPr/>
              <w:t> </w:t>
            </w:r>
          </w:p>
        </w:tc>
        <w:tc>
          <w:tcPr>
            <w:tcW w:w="7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938" w:type="dxa"/>
            <w:tcBorders/>
            <w:shd w:fill="auto" w:val="clear"/>
            <w:vAlign w:val="center"/>
          </w:tcPr>
          <w:p>
            <w:pPr>
              <w:pStyle w:val="TableContents"/>
              <w:spacing w:before="0" w:after="283"/>
              <w:jc w:val="center"/>
              <w:rPr/>
            </w:pPr>
            <w:r>
              <w:rPr/>
              <w:drawing>
                <wp:inline distT="0" distB="0" distL="0" distR="0">
                  <wp:extent cx="95250" cy="257175"/>
                  <wp:effectExtent l="0" t="0" r="0" b="0"/>
                  <wp:docPr id="185"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11" descr=""/>
                          <pic:cNvPicPr>
                            <a:picLocks noChangeAspect="1" noChangeArrowheads="1"/>
                          </pic:cNvPicPr>
                        </pic:nvPicPr>
                        <pic:blipFill>
                          <a:blip r:embed="rId112"/>
                          <a:srcRect l="-10566" t="-3921" r="-10566" b="-3921"/>
                          <a:stretch>
                            <a:fillRect/>
                          </a:stretch>
                        </pic:blipFill>
                        <pic:spPr bwMode="auto">
                          <a:xfrm>
                            <a:off x="0" y="0"/>
                            <a:ext cx="95250" cy="257175"/>
                          </a:xfrm>
                          <a:prstGeom prst="rect">
                            <a:avLst/>
                          </a:prstGeom>
                          <a:ln w="635">
                            <a:solidFill>
                              <a:srgbClr val="000000"/>
                            </a:solidFill>
                          </a:ln>
                        </pic:spPr>
                      </pic:pic>
                    </a:graphicData>
                  </a:graphic>
                </wp:inline>
              </w:drawing>
            </w:r>
          </w:p>
        </w:tc>
        <w:tc>
          <w:tcPr>
            <w:tcW w:w="120"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1471" w:type="dxa"/>
            <w:tcBorders/>
            <w:shd w:fill="auto" w:val="clear"/>
            <w:vAlign w:val="center"/>
          </w:tcPr>
          <w:p>
            <w:pPr>
              <w:pStyle w:val="TableContents"/>
              <w:spacing w:before="0" w:after="283"/>
              <w:rPr>
                <w:sz w:val="4"/>
                <w:szCs w:val="4"/>
              </w:rPr>
            </w:pPr>
            <w:r>
              <w:rPr>
                <w:sz w:val="4"/>
                <w:szCs w:val="4"/>
              </w:rPr>
            </w:r>
          </w:p>
        </w:tc>
        <w:tc>
          <w:tcPr>
            <w:tcW w:w="84" w:type="dxa"/>
            <w:gridSpan w:val="2"/>
            <w:tcBorders/>
            <w:shd w:fill="auto" w:val="clear"/>
          </w:tcPr>
          <w:p>
            <w:pPr>
              <w:pStyle w:val="TableContents"/>
              <w:spacing w:before="0" w:after="283"/>
              <w:rPr>
                <w:sz w:val="4"/>
                <w:szCs w:val="4"/>
              </w:rPr>
            </w:pPr>
            <w:r>
              <w:rPr>
                <w:sz w:val="4"/>
                <w:szCs w:val="4"/>
              </w:rPr>
            </w:r>
          </w:p>
        </w:tc>
      </w:tr>
      <w:tr>
        <w:trPr/>
        <w:tc>
          <w:tcPr>
            <w:tcW w:w="10121" w:type="dxa"/>
            <w:gridSpan w:val="7"/>
            <w:tcBorders>
              <w:top w:val="single" w:sz="12" w:space="0" w:color="C4E2F6"/>
              <w:left w:val="single" w:sz="12" w:space="0" w:color="C4E2F6"/>
              <w:bottom w:val="single" w:sz="12" w:space="0" w:color="C4E2F6"/>
              <w:right w:val="single" w:sz="12" w:space="0" w:color="C4E2F6"/>
            </w:tcBorders>
            <w:shd w:fill="auto" w:val="clear"/>
            <w:tcMar>
              <w:top w:w="120" w:type="dxa"/>
              <w:left w:w="80" w:type="dxa"/>
              <w:bottom w:w="120" w:type="dxa"/>
              <w:right w:w="80" w:type="dxa"/>
            </w:tcMar>
            <w:vAlign w:val="center"/>
          </w:tcPr>
          <w:p>
            <w:pPr>
              <w:pStyle w:val="TableContents"/>
              <w:spacing w:before="0" w:after="0"/>
              <w:ind w:left="0" w:right="0" w:hanging="280"/>
              <w:jc w:val="left"/>
              <w:rPr/>
            </w:pPr>
            <w:r>
              <w:rPr>
                <w:color w:val="C4E3F6"/>
              </w:rPr>
              <w:t>●</w:t>
            </w:r>
            <w:r>
              <w:rPr/>
              <w:t xml:space="preserve"> </w:t>
            </w:r>
            <w:r>
              <w:rPr>
                <w:rFonts w:ascii="Arial" w:hAnsi="Arial"/>
                <w:sz w:val="15"/>
              </w:rPr>
              <w:t>Board and/or its committees review and consider annual meeting voting results and investor feedback received from engagements</w:t>
            </w:r>
          </w:p>
          <w:p>
            <w:pPr>
              <w:pStyle w:val="TableContents"/>
              <w:spacing w:before="0" w:after="0"/>
              <w:ind w:left="0" w:right="0" w:hanging="280"/>
              <w:jc w:val="left"/>
              <w:rPr/>
            </w:pPr>
            <w:r>
              <w:rPr>
                <w:color w:val="C4E3F6"/>
              </w:rPr>
              <w:t>●</w:t>
            </w:r>
            <w:r>
              <w:rPr/>
              <w:t xml:space="preserve"> </w:t>
            </w:r>
            <w:r>
              <w:rPr>
                <w:rFonts w:ascii="Arial" w:hAnsi="Arial"/>
                <w:sz w:val="15"/>
              </w:rPr>
              <w:t xml:space="preserve">As a result of these meetings, we have further increased the transparency of our E&amp;S disclosures available on our ESG Reporting website </w:t>
            </w:r>
            <w:r>
              <w:rPr>
                <w:rFonts w:ascii="Arial" w:hAnsi="Arial"/>
                <w:i/>
                <w:sz w:val="15"/>
              </w:rPr>
              <w:t>www.cmcsa.com/esg-reporting</w:t>
            </w:r>
            <w:r>
              <w:rPr>
                <w:rFonts w:ascii="Arial" w:hAnsi="Arial"/>
                <w:sz w:val="15"/>
              </w:rPr>
              <w:t xml:space="preserve">, including: </w:t>
            </w:r>
          </w:p>
          <w:p>
            <w:pPr>
              <w:pStyle w:val="TableContents"/>
              <w:spacing w:before="0" w:after="0"/>
              <w:ind w:left="0" w:right="0" w:hanging="280"/>
              <w:jc w:val="left"/>
              <w:rPr/>
            </w:pPr>
            <w:r>
              <w:rPr>
                <w:color w:val="C4E3F6"/>
              </w:rPr>
              <w:t>●</w:t>
            </w:r>
            <w:r>
              <w:rPr/>
              <w:t xml:space="preserve"> </w:t>
            </w:r>
            <w:r>
              <w:rPr>
                <w:rFonts w:ascii="Arial" w:hAnsi="Arial"/>
                <w:sz w:val="15"/>
              </w:rPr>
              <w:t xml:space="preserve">expanding our GHG emissions inventory to include estimated Scope 3 GHG emissions for the first time in our Carbon Footprint Data Report </w:t>
            </w:r>
          </w:p>
          <w:p>
            <w:pPr>
              <w:pStyle w:val="TableContents"/>
              <w:spacing w:before="0" w:after="0"/>
              <w:ind w:left="0" w:right="0" w:hanging="280"/>
              <w:jc w:val="left"/>
              <w:rPr/>
            </w:pPr>
            <w:r>
              <w:rPr>
                <w:color w:val="C4E3F6"/>
              </w:rPr>
              <w:t>●</w:t>
            </w:r>
            <w:r>
              <w:rPr/>
              <w:t xml:space="preserve"> </w:t>
            </w:r>
            <w:r>
              <w:rPr>
                <w:rFonts w:ascii="Arial" w:hAnsi="Arial"/>
                <w:sz w:val="15"/>
              </w:rPr>
              <w:t>making recent enhancements to our Statement on Political and Trade Association Activities</w:t>
            </w:r>
          </w:p>
          <w:p>
            <w:pPr>
              <w:pStyle w:val="TableContents"/>
              <w:spacing w:before="0" w:after="0"/>
              <w:ind w:left="0" w:right="0" w:hanging="280"/>
              <w:jc w:val="left"/>
              <w:rPr/>
            </w:pPr>
            <w:r>
              <w:rPr>
                <w:color w:val="C4E3F6"/>
              </w:rPr>
              <w:t>●</w:t>
            </w:r>
            <w:r>
              <w:rPr/>
              <w:t xml:space="preserve"> </w:t>
            </w:r>
            <w:r>
              <w:rPr>
                <w:rFonts w:ascii="Arial" w:hAnsi="Arial"/>
                <w:sz w:val="15"/>
              </w:rPr>
              <w:t>continuing to report in line with the CDP, SASB and TCFD frameworks and disclosing EEO-1 data</w:t>
            </w:r>
          </w:p>
        </w:tc>
        <w:tc>
          <w:tcPr>
            <w:tcW w:w="84" w:type="dxa"/>
            <w:gridSpan w:val="2"/>
            <w:tcBorders/>
            <w:shd w:fill="auto" w:val="clear"/>
          </w:tcPr>
          <w:p>
            <w:pPr>
              <w:pStyle w:val="TableContents"/>
              <w:spacing w:before="0" w:after="283"/>
              <w:rPr>
                <w:sz w:val="4"/>
                <w:szCs w:val="4"/>
              </w:rPr>
            </w:pPr>
            <w:r>
              <w:rPr>
                <w:sz w:val="4"/>
                <w:szCs w:val="4"/>
              </w:rPr>
            </w:r>
          </w:p>
        </w:tc>
      </w:tr>
    </w:tbl>
    <w:p>
      <w:pPr>
        <w:pStyle w:val="TextBody"/>
        <w:spacing w:before="0" w:after="0"/>
        <w:rPr/>
      </w:pPr>
      <w:r>
        <w:rPr/>
      </w:r>
    </w:p>
    <w:tbl>
      <w:tblPr>
        <w:tblW w:w="8975" w:type="dxa"/>
        <w:jc w:val="left"/>
        <w:tblInd w:w="0" w:type="dxa"/>
        <w:tblCellMar>
          <w:top w:w="28" w:type="dxa"/>
          <w:left w:w="28" w:type="dxa"/>
          <w:bottom w:w="0" w:type="dxa"/>
          <w:right w:w="0" w:type="dxa"/>
        </w:tblCellMar>
      </w:tblPr>
      <w:tblGrid>
        <w:gridCol w:w="120"/>
        <w:gridCol w:w="8735"/>
        <w:gridCol w:w="120"/>
      </w:tblGrid>
      <w:tr>
        <w:trPr/>
        <w:tc>
          <w:tcPr>
            <w:tcW w:w="120" w:type="dxa"/>
            <w:tcBorders>
              <w:top w:val="single" w:sz="12" w:space="0" w:color="959595"/>
              <w:left w:val="single" w:sz="12" w:space="0" w:color="959595"/>
            </w:tcBorders>
            <w:shd w:fill="auto" w:val="clear"/>
            <w:vAlign w:val="center"/>
          </w:tcPr>
          <w:p>
            <w:pPr>
              <w:pStyle w:val="TableContents"/>
              <w:spacing w:before="0" w:after="283"/>
              <w:rPr>
                <w:sz w:val="4"/>
                <w:szCs w:val="4"/>
              </w:rPr>
            </w:pPr>
            <w:r>
              <w:rPr>
                <w:sz w:val="4"/>
                <w:szCs w:val="4"/>
              </w:rPr>
            </w:r>
          </w:p>
        </w:tc>
        <w:tc>
          <w:tcPr>
            <w:tcW w:w="8735" w:type="dxa"/>
            <w:tcBorders>
              <w:top w:val="single" w:sz="12" w:space="0" w:color="959595"/>
            </w:tcBorders>
            <w:shd w:fill="auto" w:val="clear"/>
            <w:tcMar>
              <w:left w:w="0" w:type="dxa"/>
            </w:tcMar>
            <w:vAlign w:val="center"/>
          </w:tcPr>
          <w:p>
            <w:pPr>
              <w:pStyle w:val="TableContents"/>
              <w:spacing w:before="0" w:after="283"/>
              <w:jc w:val="center"/>
              <w:rPr/>
            </w:pPr>
            <w:r>
              <w:rPr/>
              <w:t> </w:t>
            </w:r>
          </w:p>
        </w:tc>
        <w:tc>
          <w:tcPr>
            <w:tcW w:w="120" w:type="dxa"/>
            <w:tcBorders>
              <w:top w:val="single" w:sz="12" w:space="0" w:color="959595"/>
              <w:right w:val="single" w:sz="12" w:space="0" w:color="959595"/>
            </w:tcBorders>
            <w:shd w:fill="auto" w:val="clear"/>
            <w:tcMar>
              <w:left w:w="0" w:type="dxa"/>
              <w:right w:w="28" w:type="dxa"/>
            </w:tcMar>
            <w:vAlign w:val="center"/>
          </w:tcPr>
          <w:p>
            <w:pPr>
              <w:pStyle w:val="TableContents"/>
              <w:spacing w:before="0" w:after="283"/>
              <w:rPr>
                <w:sz w:val="4"/>
                <w:szCs w:val="4"/>
              </w:rPr>
            </w:pPr>
            <w:r>
              <w:rPr>
                <w:sz w:val="4"/>
                <w:szCs w:val="4"/>
              </w:rPr>
            </w:r>
          </w:p>
        </w:tc>
      </w:tr>
      <w:tr>
        <w:trPr/>
        <w:tc>
          <w:tcPr>
            <w:tcW w:w="120" w:type="dxa"/>
            <w:tcBorders>
              <w:left w:val="single" w:sz="12" w:space="0" w:color="959595"/>
            </w:tcBorders>
            <w:shd w:fill="auto" w:val="clear"/>
            <w:tcMar>
              <w:top w:w="0" w:type="dxa"/>
            </w:tcMar>
            <w:vAlign w:val="center"/>
          </w:tcPr>
          <w:p>
            <w:pPr>
              <w:pStyle w:val="TableContents"/>
              <w:spacing w:before="0" w:after="283"/>
              <w:jc w:val="center"/>
              <w:rPr/>
            </w:pPr>
            <w:r>
              <w:rPr/>
              <w:t>  </w:t>
            </w:r>
          </w:p>
        </w:tc>
        <w:tc>
          <w:tcPr>
            <w:tcW w:w="8735" w:type="dxa"/>
            <w:tcBorders/>
            <w:shd w:fill="ECF6FA" w:val="clear"/>
            <w:tcMar>
              <w:top w:w="0" w:type="dxa"/>
              <w:left w:w="0" w:type="dxa"/>
            </w:tcMar>
            <w:vAlign w:val="center"/>
          </w:tcPr>
          <w:p>
            <w:pPr>
              <w:pStyle w:val="TableContents"/>
              <w:spacing w:before="0" w:after="283"/>
              <w:jc w:val="center"/>
              <w:rPr>
                <w:rFonts w:ascii="Arial" w:hAnsi="Arial"/>
                <w:sz w:val="20"/>
              </w:rPr>
            </w:pPr>
            <w:r>
              <w:rPr>
                <w:rFonts w:ascii="Arial" w:hAnsi="Arial"/>
                <w:sz w:val="20"/>
              </w:rPr>
              <w:t>Over past year, reached out to over 50 investors and met with over 40 investors owning over 50% of</w:t>
              <w:br/>
              <w:t>Class A common stock on governance, compensation and E&amp;S matters.</w:t>
            </w:r>
          </w:p>
        </w:tc>
        <w:tc>
          <w:tcPr>
            <w:tcW w:w="120" w:type="dxa"/>
            <w:tcBorders>
              <w:right w:val="single" w:sz="12" w:space="0" w:color="959595"/>
            </w:tcBorders>
            <w:shd w:fill="auto" w:val="clear"/>
            <w:tcMar>
              <w:top w:w="0" w:type="dxa"/>
              <w:left w:w="0" w:type="dxa"/>
              <w:right w:w="28" w:type="dxa"/>
            </w:tcMar>
            <w:vAlign w:val="center"/>
          </w:tcPr>
          <w:p>
            <w:pPr>
              <w:pStyle w:val="TableContents"/>
              <w:spacing w:before="0" w:after="283"/>
              <w:jc w:val="center"/>
              <w:rPr/>
            </w:pPr>
            <w:r>
              <w:rPr/>
              <w:t>  </w:t>
            </w:r>
          </w:p>
        </w:tc>
      </w:tr>
      <w:tr>
        <w:trPr/>
        <w:tc>
          <w:tcPr>
            <w:tcW w:w="120" w:type="dxa"/>
            <w:tcBorders>
              <w:left w:val="single" w:sz="12" w:space="0" w:color="959595"/>
              <w:bottom w:val="single" w:sz="12" w:space="0" w:color="959595"/>
            </w:tcBorders>
            <w:shd w:fill="auto" w:val="clear"/>
            <w:tcMar>
              <w:top w:w="0" w:type="dxa"/>
              <w:bottom w:w="28" w:type="dxa"/>
            </w:tcMar>
            <w:vAlign w:val="center"/>
          </w:tcPr>
          <w:p>
            <w:pPr>
              <w:pStyle w:val="TableContents"/>
              <w:spacing w:before="0" w:after="283"/>
              <w:rPr>
                <w:sz w:val="4"/>
                <w:szCs w:val="4"/>
              </w:rPr>
            </w:pPr>
            <w:r>
              <w:rPr>
                <w:sz w:val="4"/>
                <w:szCs w:val="4"/>
              </w:rPr>
            </w:r>
          </w:p>
        </w:tc>
        <w:tc>
          <w:tcPr>
            <w:tcW w:w="8735" w:type="dxa"/>
            <w:tcBorders>
              <w:bottom w:val="single" w:sz="12" w:space="0" w:color="959595"/>
            </w:tcBorders>
            <w:shd w:fill="auto" w:val="clear"/>
            <w:tcMar>
              <w:top w:w="0" w:type="dxa"/>
              <w:left w:w="0" w:type="dxa"/>
              <w:bottom w:w="28" w:type="dxa"/>
            </w:tcMar>
            <w:vAlign w:val="center"/>
          </w:tcPr>
          <w:p>
            <w:pPr>
              <w:pStyle w:val="TableContents"/>
              <w:spacing w:before="0" w:after="283"/>
              <w:jc w:val="center"/>
              <w:rPr/>
            </w:pPr>
            <w:r>
              <w:rPr/>
              <w:t> </w:t>
            </w:r>
          </w:p>
        </w:tc>
        <w:tc>
          <w:tcPr>
            <w:tcW w:w="120" w:type="dxa"/>
            <w:tcBorders>
              <w:bottom w:val="single" w:sz="12" w:space="0" w:color="959595"/>
              <w:right w:val="single" w:sz="12" w:space="0" w:color="959595"/>
            </w:tcBorders>
            <w:shd w:fill="auto" w:val="clear"/>
            <w:tcMar>
              <w:top w:w="0" w:type="dxa"/>
              <w:left w:w="0" w:type="dxa"/>
              <w:bottom w:w="28" w:type="dxa"/>
              <w:right w:w="28" w:type="dxa"/>
            </w:tcMar>
            <w:vAlign w:val="center"/>
          </w:tcPr>
          <w:p>
            <w:pPr>
              <w:pStyle w:val="TableContents"/>
              <w:spacing w:before="0" w:after="283"/>
              <w:rPr>
                <w:sz w:val="4"/>
                <w:szCs w:val="4"/>
              </w:rPr>
            </w:pPr>
            <w:r>
              <w:rPr>
                <w:sz w:val="4"/>
                <w:szCs w:val="4"/>
              </w:rPr>
            </w:r>
          </w:p>
        </w:tc>
      </w:tr>
    </w:tbl>
    <w:p>
      <w:pPr>
        <w:pStyle w:val="TextBody"/>
        <w:spacing w:before="240" w:after="283"/>
        <w:ind w:left="0" w:right="0" w:hanging="0"/>
        <w:jc w:val="left"/>
        <w:rPr>
          <w:rFonts w:ascii="Arial" w:hAnsi="Arial"/>
          <w:sz w:val="20"/>
        </w:rPr>
      </w:pPr>
      <w:r>
        <w:rPr>
          <w:rFonts w:ascii="Arial" w:hAnsi="Arial"/>
          <w:sz w:val="20"/>
        </w:rPr>
        <w:t>Our Board has established a process for shareholders and other interested parties to communicate with its members. Correspondence may be addressed to the Board, the Lead Independent Director, any other particular director, any committee of the Board or any other group of directors, in care of Thomas J. Reid, Secretary, Comcast Corporation, at the mailing address provided on page 90 or the following e-mail address: audit_committee_chair@comcast.com. The Secretary, or his designee, promptly reviews all such correspondence and, as appropriate, forwards it to the Board or other addressee based on the subject matter of the correspondence. Any such correspondence relating to accounting, internal accounting controls or auditing matters is handled in accordance with procedures established by the Audit Committee.</w:t>
      </w:r>
    </w:p>
    <w:tbl>
      <w:tblPr>
        <w:tblW w:w="223" w:type="dxa"/>
        <w:jc w:val="left"/>
        <w:tblInd w:w="0" w:type="dxa"/>
        <w:tblCellMar>
          <w:top w:w="0" w:type="dxa"/>
          <w:left w:w="0" w:type="dxa"/>
          <w:bottom w:w="0" w:type="dxa"/>
          <w:right w:w="0" w:type="dxa"/>
        </w:tblCellMar>
      </w:tblPr>
      <w:tblGrid>
        <w:gridCol w:w="200"/>
        <w:gridCol w:w="23"/>
      </w:tblGrid>
      <w:tr>
        <w:trPr/>
        <w:tc>
          <w:tcPr>
            <w:tcW w:w="200" w:type="dxa"/>
            <w:tcBorders/>
            <w:shd w:fill="auto" w:val="clear"/>
            <w:vAlign w:val="center"/>
          </w:tcPr>
          <w:p>
            <w:pPr>
              <w:pStyle w:val="TableContents"/>
              <w:spacing w:before="0" w:after="283"/>
              <w:jc w:val="left"/>
              <w:rPr>
                <w:rFonts w:ascii="Arial" w:hAnsi="Arial"/>
                <w:b/>
                <w:sz w:val="15"/>
              </w:rPr>
            </w:pPr>
            <w:r>
              <w:rPr>
                <w:rFonts w:ascii="Arial" w:hAnsi="Arial"/>
                <w:b/>
                <w:sz w:val="15"/>
              </w:rPr>
              <w:t>28</w:t>
            </w:r>
          </w:p>
        </w:tc>
        <w:tc>
          <w:tcPr>
            <w:tcW w:w="2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p>
      <w:pPr>
        <w:pStyle w:val="TextBody"/>
        <w:jc w:val="left"/>
        <w:rPr>
          <w:rFonts w:ascii="Arial" w:hAnsi="Arial"/>
          <w:b/>
          <w:sz w:val="36"/>
        </w:rPr>
      </w:pPr>
      <w:bookmarkStart w:id="14" w:name="auditcommittee"/>
      <w:bookmarkEnd w:id="14"/>
      <w:r>
        <w:rPr>
          <w:rFonts w:ascii="Arial" w:hAnsi="Arial"/>
          <w:b/>
          <w:sz w:val="36"/>
        </w:rPr>
        <w:t>Audit Committee Matters</w:t>
      </w:r>
    </w:p>
    <w:tbl>
      <w:tblPr>
        <w:tblW w:w="10205" w:type="dxa"/>
        <w:jc w:val="left"/>
        <w:tblInd w:w="0" w:type="dxa"/>
        <w:tblCellMar>
          <w:top w:w="28" w:type="dxa"/>
          <w:left w:w="28" w:type="dxa"/>
          <w:bottom w:w="0" w:type="dxa"/>
          <w:right w:w="0" w:type="dxa"/>
        </w:tblCellMar>
      </w:tblPr>
      <w:tblGrid>
        <w:gridCol w:w="120"/>
        <w:gridCol w:w="639"/>
        <w:gridCol w:w="799"/>
        <w:gridCol w:w="423"/>
        <w:gridCol w:w="8103"/>
        <w:gridCol w:w="121"/>
      </w:tblGrid>
      <w:tr>
        <w:trPr/>
        <w:tc>
          <w:tcPr>
            <w:tcW w:w="120" w:type="dxa"/>
            <w:tcBorders>
              <w:top w:val="single" w:sz="8" w:space="0" w:color="959595"/>
              <w:left w:val="single" w:sz="8" w:space="0" w:color="959595"/>
            </w:tcBorders>
            <w:shd w:fill="auto" w:val="clear"/>
            <w:vAlign w:val="center"/>
          </w:tcPr>
          <w:p>
            <w:pPr>
              <w:pStyle w:val="TableContents"/>
              <w:spacing w:before="0" w:after="283"/>
              <w:jc w:val="left"/>
              <w:rPr/>
            </w:pPr>
            <w:r>
              <w:rPr/>
              <w:t>  </w:t>
            </w:r>
          </w:p>
        </w:tc>
        <w:tc>
          <w:tcPr>
            <w:tcW w:w="639" w:type="dxa"/>
            <w:tcBorders>
              <w:top w:val="single" w:sz="8" w:space="0" w:color="959595"/>
            </w:tcBorders>
            <w:shd w:fill="auto" w:val="clear"/>
            <w:tcMar>
              <w:left w:w="0" w:type="dxa"/>
            </w:tcMar>
            <w:vAlign w:val="center"/>
          </w:tcPr>
          <w:p>
            <w:pPr>
              <w:pStyle w:val="TableContents"/>
              <w:spacing w:before="0" w:after="283"/>
              <w:rPr>
                <w:sz w:val="4"/>
                <w:szCs w:val="4"/>
              </w:rPr>
            </w:pPr>
            <w:r>
              <w:rPr>
                <w:sz w:val="4"/>
                <w:szCs w:val="4"/>
              </w:rPr>
            </w:r>
          </w:p>
        </w:tc>
        <w:tc>
          <w:tcPr>
            <w:tcW w:w="799" w:type="dxa"/>
            <w:tcBorders>
              <w:top w:val="single" w:sz="8" w:space="0" w:color="959595"/>
            </w:tcBorders>
            <w:shd w:fill="auto" w:val="clear"/>
            <w:tcMar>
              <w:left w:w="0" w:type="dxa"/>
            </w:tcMar>
            <w:vAlign w:val="center"/>
          </w:tcPr>
          <w:p>
            <w:pPr>
              <w:pStyle w:val="TableContents"/>
              <w:spacing w:before="0" w:after="283"/>
              <w:rPr/>
            </w:pPr>
            <w:r>
              <w:rPr/>
              <w:t> </w:t>
            </w:r>
          </w:p>
        </w:tc>
        <w:tc>
          <w:tcPr>
            <w:tcW w:w="423" w:type="dxa"/>
            <w:tcBorders>
              <w:top w:val="single" w:sz="8" w:space="0" w:color="959595"/>
            </w:tcBorders>
            <w:shd w:fill="auto" w:val="clear"/>
            <w:tcMar>
              <w:left w:w="0" w:type="dxa"/>
            </w:tcMar>
            <w:vAlign w:val="center"/>
          </w:tcPr>
          <w:p>
            <w:pPr>
              <w:pStyle w:val="TableContents"/>
              <w:spacing w:before="0" w:after="283"/>
              <w:rPr/>
            </w:pPr>
            <w:r>
              <w:rPr/>
              <w:t> </w:t>
            </w:r>
          </w:p>
        </w:tc>
        <w:tc>
          <w:tcPr>
            <w:tcW w:w="8103" w:type="dxa"/>
            <w:tcBorders>
              <w:top w:val="single" w:sz="8" w:space="0" w:color="959595"/>
            </w:tcBorders>
            <w:shd w:fill="auto" w:val="clear"/>
            <w:tcMar>
              <w:left w:w="0" w:type="dxa"/>
            </w:tcMar>
            <w:vAlign w:val="center"/>
          </w:tcPr>
          <w:p>
            <w:pPr>
              <w:pStyle w:val="TableContents"/>
              <w:spacing w:before="0" w:after="283"/>
              <w:jc w:val="left"/>
              <w:rPr/>
            </w:pPr>
            <w:r>
              <w:rPr/>
              <w:t>                              </w:t>
            </w:r>
          </w:p>
        </w:tc>
        <w:tc>
          <w:tcPr>
            <w:tcW w:w="121" w:type="dxa"/>
            <w:tcBorders>
              <w:top w:val="single" w:sz="8" w:space="0" w:color="959595"/>
              <w:right w:val="single" w:sz="8" w:space="0" w:color="959595"/>
            </w:tcBorders>
            <w:shd w:fill="auto" w:val="clear"/>
            <w:tcMar>
              <w:left w:w="0" w:type="dxa"/>
              <w:right w:w="28" w:type="dxa"/>
            </w:tcMar>
            <w:vAlign w:val="center"/>
          </w:tcPr>
          <w:p>
            <w:pPr>
              <w:pStyle w:val="TableContents"/>
              <w:spacing w:before="0" w:after="283"/>
              <w:jc w:val="left"/>
              <w:rPr/>
            </w:pPr>
            <w:r>
              <w:rPr/>
              <w:t>  </w:t>
            </w:r>
          </w:p>
        </w:tc>
      </w:tr>
      <w:tr>
        <w:trPr/>
        <w:tc>
          <w:tcPr>
            <w:tcW w:w="120" w:type="dxa"/>
            <w:tcBorders>
              <w:left w:val="single" w:sz="8" w:space="0" w:color="959595"/>
            </w:tcBorders>
            <w:shd w:fill="auto" w:val="clear"/>
            <w:tcMar>
              <w:top w:w="0" w:type="dxa"/>
            </w:tcMar>
            <w:vAlign w:val="center"/>
          </w:tcPr>
          <w:p>
            <w:pPr>
              <w:pStyle w:val="TableContents"/>
              <w:spacing w:before="0" w:after="283"/>
              <w:rPr>
                <w:sz w:val="4"/>
                <w:szCs w:val="4"/>
              </w:rPr>
            </w:pPr>
            <w:r>
              <w:rPr>
                <w:sz w:val="4"/>
                <w:szCs w:val="4"/>
              </w:rPr>
            </w:r>
          </w:p>
        </w:tc>
        <w:tc>
          <w:tcPr>
            <w:tcW w:w="1438" w:type="dxa"/>
            <w:gridSpan w:val="2"/>
            <w:tcBorders/>
            <w:shd w:fill="ECF6FA" w:val="clear"/>
            <w:tcMar>
              <w:top w:w="0" w:type="dxa"/>
              <w:left w:w="0" w:type="dxa"/>
            </w:tcMar>
            <w:vAlign w:val="center"/>
          </w:tcPr>
          <w:p>
            <w:pPr>
              <w:pStyle w:val="TableContents"/>
              <w:spacing w:before="0" w:after="283"/>
              <w:jc w:val="left"/>
              <w:rPr>
                <w:rFonts w:ascii="Arial" w:hAnsi="Arial"/>
                <w:color w:val="00A1E0"/>
                <w:sz w:val="24"/>
              </w:rPr>
            </w:pPr>
            <w:bookmarkStart w:id="15" w:name="proposal2"/>
            <w:bookmarkEnd w:id="15"/>
            <w:r>
              <w:rPr>
                <w:rFonts w:ascii="Arial" w:hAnsi="Arial"/>
                <w:color w:val="00A1E0"/>
                <w:sz w:val="24"/>
              </w:rPr>
              <w:t>Proposal 2:</w:t>
            </w:r>
          </w:p>
        </w:tc>
        <w:tc>
          <w:tcPr>
            <w:tcW w:w="423" w:type="dxa"/>
            <w:tcBorders/>
            <w:shd w:fill="ECF6FA" w:val="clear"/>
            <w:tcMar>
              <w:top w:w="0" w:type="dxa"/>
              <w:left w:w="0" w:type="dxa"/>
            </w:tcMar>
            <w:vAlign w:val="center"/>
          </w:tcPr>
          <w:p>
            <w:pPr>
              <w:pStyle w:val="TableContents"/>
              <w:spacing w:before="0" w:after="283"/>
              <w:rPr/>
            </w:pPr>
            <w:r>
              <w:rPr/>
              <w:t>     </w:t>
            </w:r>
          </w:p>
        </w:tc>
        <w:tc>
          <w:tcPr>
            <w:tcW w:w="8103" w:type="dxa"/>
            <w:tcBorders/>
            <w:shd w:fill="ECF6FA" w:val="clear"/>
            <w:tcMar>
              <w:top w:w="0" w:type="dxa"/>
              <w:left w:w="0" w:type="dxa"/>
            </w:tcMar>
            <w:vAlign w:val="center"/>
          </w:tcPr>
          <w:p>
            <w:pPr>
              <w:pStyle w:val="TableContents"/>
              <w:spacing w:before="0" w:after="283"/>
              <w:jc w:val="left"/>
              <w:rPr>
                <w:rFonts w:ascii="Arial" w:hAnsi="Arial"/>
                <w:color w:val="00A1E0"/>
                <w:sz w:val="24"/>
              </w:rPr>
            </w:pPr>
            <w:r>
              <w:rPr>
                <w:rFonts w:ascii="Arial" w:hAnsi="Arial"/>
                <w:color w:val="00A1E0"/>
                <w:sz w:val="24"/>
              </w:rPr>
              <w:t>RATIFICATION OF APPOINTMENT OF INDEPENDENT AUDITORS</w:t>
            </w:r>
          </w:p>
        </w:tc>
        <w:tc>
          <w:tcPr>
            <w:tcW w:w="121" w:type="dxa"/>
            <w:tcBorders>
              <w:right w:val="single" w:sz="8" w:space="0" w:color="959595"/>
            </w:tcBorders>
            <w:shd w:fill="auto" w:val="clear"/>
            <w:tcMar>
              <w:top w:w="0" w:type="dxa"/>
              <w:left w:w="0" w:type="dxa"/>
              <w:right w:w="28" w:type="dxa"/>
            </w:tcMar>
            <w:vAlign w:val="center"/>
          </w:tcPr>
          <w:p>
            <w:pPr>
              <w:pStyle w:val="TableContents"/>
              <w:spacing w:before="0" w:after="283"/>
              <w:rPr>
                <w:sz w:val="4"/>
                <w:szCs w:val="4"/>
              </w:rPr>
            </w:pPr>
            <w:r>
              <w:rPr>
                <w:sz w:val="4"/>
                <w:szCs w:val="4"/>
              </w:rPr>
            </w:r>
          </w:p>
        </w:tc>
      </w:tr>
      <w:tr>
        <w:trPr/>
        <w:tc>
          <w:tcPr>
            <w:tcW w:w="120" w:type="dxa"/>
            <w:tcBorders>
              <w:left w:val="single" w:sz="8" w:space="0" w:color="959595"/>
            </w:tcBorders>
            <w:shd w:fill="auto" w:val="clear"/>
            <w:tcMar>
              <w:top w:w="0" w:type="dxa"/>
            </w:tcMar>
            <w:vAlign w:val="center"/>
          </w:tcPr>
          <w:p>
            <w:pPr>
              <w:pStyle w:val="TableContents"/>
              <w:spacing w:before="0" w:after="283"/>
              <w:jc w:val="left"/>
              <w:rPr/>
            </w:pPr>
            <w:r>
              <w:rPr/>
              <w:t> </w:t>
            </w:r>
          </w:p>
        </w:tc>
        <w:tc>
          <w:tcPr>
            <w:tcW w:w="639" w:type="dxa"/>
            <w:tcBorders/>
            <w:shd w:fill="auto" w:val="clear"/>
            <w:tcMar>
              <w:top w:w="0" w:type="dxa"/>
              <w:left w:w="0" w:type="dxa"/>
            </w:tcMar>
            <w:vAlign w:val="center"/>
          </w:tcPr>
          <w:p>
            <w:pPr>
              <w:pStyle w:val="TableContents"/>
              <w:spacing w:before="0" w:after="283"/>
              <w:rPr>
                <w:sz w:val="4"/>
                <w:szCs w:val="4"/>
              </w:rPr>
            </w:pPr>
            <w:r>
              <w:rPr>
                <w:sz w:val="4"/>
                <w:szCs w:val="4"/>
              </w:rPr>
            </w:r>
          </w:p>
        </w:tc>
        <w:tc>
          <w:tcPr>
            <w:tcW w:w="799" w:type="dxa"/>
            <w:tcBorders/>
            <w:shd w:fill="auto" w:val="clear"/>
            <w:tcMar>
              <w:top w:w="0" w:type="dxa"/>
              <w:left w:w="0" w:type="dxa"/>
            </w:tcMar>
            <w:vAlign w:val="center"/>
          </w:tcPr>
          <w:p>
            <w:pPr>
              <w:pStyle w:val="TableContents"/>
              <w:spacing w:before="0" w:after="283"/>
              <w:rPr/>
            </w:pPr>
            <w:r>
              <w:rPr/>
              <w:t>         </w:t>
            </w:r>
          </w:p>
        </w:tc>
        <w:tc>
          <w:tcPr>
            <w:tcW w:w="423" w:type="dxa"/>
            <w:tcBorders/>
            <w:shd w:fill="auto" w:val="clear"/>
            <w:tcMar>
              <w:top w:w="0" w:type="dxa"/>
              <w:left w:w="0" w:type="dxa"/>
            </w:tcMar>
            <w:vAlign w:val="center"/>
          </w:tcPr>
          <w:p>
            <w:pPr>
              <w:pStyle w:val="TableContents"/>
              <w:spacing w:before="0" w:after="283"/>
              <w:rPr/>
            </w:pPr>
            <w:r>
              <w:rPr/>
              <w:t> </w:t>
            </w:r>
          </w:p>
        </w:tc>
        <w:tc>
          <w:tcPr>
            <w:tcW w:w="8103" w:type="dxa"/>
            <w:tcBorders/>
            <w:shd w:fill="auto" w:val="clear"/>
            <w:tcMar>
              <w:top w:w="0" w:type="dxa"/>
              <w:left w:w="0" w:type="dxa"/>
            </w:tcMar>
            <w:vAlign w:val="center"/>
          </w:tcPr>
          <w:p>
            <w:pPr>
              <w:pStyle w:val="TableContents"/>
              <w:spacing w:before="0" w:after="283"/>
              <w:rPr>
                <w:sz w:val="4"/>
                <w:szCs w:val="4"/>
              </w:rPr>
            </w:pPr>
            <w:r>
              <w:rPr>
                <w:sz w:val="4"/>
                <w:szCs w:val="4"/>
              </w:rPr>
            </w:r>
          </w:p>
        </w:tc>
        <w:tc>
          <w:tcPr>
            <w:tcW w:w="121" w:type="dxa"/>
            <w:tcBorders>
              <w:right w:val="single" w:sz="8" w:space="0" w:color="959595"/>
            </w:tcBorders>
            <w:shd w:fill="auto" w:val="clear"/>
            <w:tcMar>
              <w:top w:w="0" w:type="dxa"/>
              <w:left w:w="0" w:type="dxa"/>
              <w:right w:w="28" w:type="dxa"/>
            </w:tcMar>
            <w:vAlign w:val="center"/>
          </w:tcPr>
          <w:p>
            <w:pPr>
              <w:pStyle w:val="TableContents"/>
              <w:spacing w:before="0" w:after="283"/>
              <w:rPr>
                <w:sz w:val="4"/>
                <w:szCs w:val="4"/>
              </w:rPr>
            </w:pPr>
            <w:r>
              <w:rPr>
                <w:sz w:val="4"/>
                <w:szCs w:val="4"/>
              </w:rPr>
            </w:r>
          </w:p>
        </w:tc>
      </w:tr>
      <w:tr>
        <w:trPr/>
        <w:tc>
          <w:tcPr>
            <w:tcW w:w="120" w:type="dxa"/>
            <w:tcBorders>
              <w:left w:val="single" w:sz="8" w:space="0" w:color="959595"/>
            </w:tcBorders>
            <w:shd w:fill="auto" w:val="clear"/>
            <w:tcMar>
              <w:top w:w="0" w:type="dxa"/>
            </w:tcMar>
            <w:vAlign w:val="center"/>
          </w:tcPr>
          <w:p>
            <w:pPr>
              <w:pStyle w:val="TableContents"/>
              <w:spacing w:before="0" w:after="283"/>
              <w:rPr>
                <w:sz w:val="4"/>
                <w:szCs w:val="4"/>
              </w:rPr>
            </w:pPr>
            <w:r>
              <w:rPr>
                <w:sz w:val="4"/>
                <w:szCs w:val="4"/>
              </w:rPr>
            </w:r>
          </w:p>
        </w:tc>
        <w:tc>
          <w:tcPr>
            <w:tcW w:w="639" w:type="dxa"/>
            <w:tcBorders/>
            <w:shd w:fill="auto" w:val="clear"/>
            <w:tcMar>
              <w:top w:w="0" w:type="dxa"/>
              <w:left w:w="0" w:type="dxa"/>
            </w:tcMar>
            <w:vAlign w:val="center"/>
          </w:tcPr>
          <w:p>
            <w:pPr>
              <w:pStyle w:val="TableContents"/>
              <w:spacing w:before="0" w:after="283"/>
              <w:jc w:val="left"/>
              <w:rPr/>
            </w:pPr>
            <w:r>
              <w:rPr/>
              <w:drawing>
                <wp:inline distT="0" distB="0" distL="0" distR="0">
                  <wp:extent cx="390525" cy="266700"/>
                  <wp:effectExtent l="0" t="0" r="0" b="0"/>
                  <wp:docPr id="186"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12" descr=""/>
                          <pic:cNvPicPr>
                            <a:picLocks noChangeAspect="1" noChangeArrowheads="1"/>
                          </pic:cNvPicPr>
                        </pic:nvPicPr>
                        <pic:blipFill>
                          <a:blip r:embed="rId113"/>
                          <a:srcRect l="-2580" t="-3650" r="-2580" b="-3650"/>
                          <a:stretch>
                            <a:fillRect/>
                          </a:stretch>
                        </pic:blipFill>
                        <pic:spPr bwMode="auto">
                          <a:xfrm>
                            <a:off x="0" y="0"/>
                            <a:ext cx="390525" cy="266700"/>
                          </a:xfrm>
                          <a:prstGeom prst="rect">
                            <a:avLst/>
                          </a:prstGeom>
                          <a:ln w="635">
                            <a:solidFill>
                              <a:srgbClr val="000000"/>
                            </a:solidFill>
                          </a:ln>
                        </pic:spPr>
                      </pic:pic>
                    </a:graphicData>
                  </a:graphic>
                </wp:inline>
              </w:drawing>
            </w:r>
          </w:p>
        </w:tc>
        <w:tc>
          <w:tcPr>
            <w:tcW w:w="9325" w:type="dxa"/>
            <w:gridSpan w:val="3"/>
            <w:tcBorders/>
            <w:shd w:fill="auto" w:val="clear"/>
            <w:tcMar>
              <w:top w:w="0" w:type="dxa"/>
              <w:left w:w="0" w:type="dxa"/>
            </w:tcMar>
            <w:vAlign w:val="center"/>
          </w:tcPr>
          <w:p>
            <w:pPr>
              <w:pStyle w:val="TableContents"/>
              <w:spacing w:before="0" w:after="0"/>
              <w:jc w:val="left"/>
              <w:rPr>
                <w:rFonts w:ascii="Arial" w:hAnsi="Arial"/>
                <w:b/>
                <w:sz w:val="20"/>
              </w:rPr>
            </w:pPr>
            <w:r>
              <w:rPr>
                <w:rFonts w:ascii="Arial" w:hAnsi="Arial"/>
                <w:b/>
                <w:sz w:val="20"/>
              </w:rPr>
              <w:t>Our Board unanimously recommends that shareholders vote “</w:t>
            </w:r>
            <w:r>
              <w:rPr>
                <w:rFonts w:ascii="Arial" w:hAnsi="Arial"/>
                <w:b/>
                <w:color w:val="00A1E0"/>
                <w:sz w:val="20"/>
              </w:rPr>
              <w:t>FOR</w:t>
            </w:r>
            <w:r>
              <w:rPr>
                <w:rFonts w:ascii="Arial" w:hAnsi="Arial"/>
                <w:b/>
                <w:sz w:val="20"/>
              </w:rPr>
              <w:t>” ratification of the appointment of Deloitte &amp; Touche LLP as our independent auditors.</w:t>
            </w:r>
          </w:p>
        </w:tc>
        <w:tc>
          <w:tcPr>
            <w:tcW w:w="121" w:type="dxa"/>
            <w:tcBorders>
              <w:right w:val="single" w:sz="8" w:space="0" w:color="959595"/>
            </w:tcBorders>
            <w:shd w:fill="auto" w:val="clear"/>
            <w:tcMar>
              <w:top w:w="0" w:type="dxa"/>
              <w:left w:w="0" w:type="dxa"/>
              <w:right w:w="28" w:type="dxa"/>
            </w:tcMar>
            <w:vAlign w:val="center"/>
          </w:tcPr>
          <w:p>
            <w:pPr>
              <w:pStyle w:val="TableContents"/>
              <w:spacing w:before="0" w:after="283"/>
              <w:rPr>
                <w:sz w:val="4"/>
                <w:szCs w:val="4"/>
              </w:rPr>
            </w:pPr>
            <w:r>
              <w:rPr>
                <w:sz w:val="4"/>
                <w:szCs w:val="4"/>
              </w:rPr>
            </w:r>
          </w:p>
        </w:tc>
      </w:tr>
      <w:tr>
        <w:trPr/>
        <w:tc>
          <w:tcPr>
            <w:tcW w:w="120" w:type="dxa"/>
            <w:tcBorders>
              <w:left w:val="single" w:sz="8" w:space="0" w:color="959595"/>
              <w:bottom w:val="single" w:sz="8" w:space="0" w:color="959595"/>
            </w:tcBorders>
            <w:shd w:fill="auto" w:val="clear"/>
            <w:tcMar>
              <w:top w:w="0" w:type="dxa"/>
              <w:bottom w:w="28" w:type="dxa"/>
            </w:tcMar>
            <w:vAlign w:val="center"/>
          </w:tcPr>
          <w:p>
            <w:pPr>
              <w:pStyle w:val="TableContents"/>
              <w:spacing w:before="0" w:after="283"/>
              <w:jc w:val="left"/>
              <w:rPr/>
            </w:pPr>
            <w:r>
              <w:rPr/>
              <w:t> </w:t>
            </w:r>
          </w:p>
        </w:tc>
        <w:tc>
          <w:tcPr>
            <w:tcW w:w="639" w:type="dxa"/>
            <w:tcBorders>
              <w:bottom w:val="single" w:sz="8" w:space="0" w:color="959595"/>
            </w:tcBorders>
            <w:shd w:fill="auto" w:val="clear"/>
            <w:tcMar>
              <w:top w:w="0" w:type="dxa"/>
              <w:left w:w="0" w:type="dxa"/>
              <w:bottom w:w="28" w:type="dxa"/>
            </w:tcMar>
            <w:vAlign w:val="center"/>
          </w:tcPr>
          <w:p>
            <w:pPr>
              <w:pStyle w:val="TableContents"/>
              <w:spacing w:before="0" w:after="283"/>
              <w:rPr>
                <w:sz w:val="4"/>
                <w:szCs w:val="4"/>
              </w:rPr>
            </w:pPr>
            <w:r>
              <w:rPr>
                <w:sz w:val="4"/>
                <w:szCs w:val="4"/>
              </w:rPr>
            </w:r>
          </w:p>
        </w:tc>
        <w:tc>
          <w:tcPr>
            <w:tcW w:w="799" w:type="dxa"/>
            <w:tcBorders>
              <w:bottom w:val="single" w:sz="8" w:space="0" w:color="959595"/>
            </w:tcBorders>
            <w:shd w:fill="auto" w:val="clear"/>
            <w:tcMar>
              <w:top w:w="0" w:type="dxa"/>
              <w:left w:w="0" w:type="dxa"/>
              <w:bottom w:w="28" w:type="dxa"/>
            </w:tcMar>
            <w:vAlign w:val="center"/>
          </w:tcPr>
          <w:p>
            <w:pPr>
              <w:pStyle w:val="TableContents"/>
              <w:spacing w:before="0" w:after="283"/>
              <w:rPr/>
            </w:pPr>
            <w:r>
              <w:rPr/>
              <w:t> </w:t>
            </w:r>
          </w:p>
        </w:tc>
        <w:tc>
          <w:tcPr>
            <w:tcW w:w="423" w:type="dxa"/>
            <w:tcBorders>
              <w:bottom w:val="single" w:sz="8" w:space="0" w:color="959595"/>
            </w:tcBorders>
            <w:shd w:fill="auto" w:val="clear"/>
            <w:tcMar>
              <w:top w:w="0" w:type="dxa"/>
              <w:left w:w="0" w:type="dxa"/>
              <w:bottom w:w="28" w:type="dxa"/>
            </w:tcMar>
            <w:vAlign w:val="center"/>
          </w:tcPr>
          <w:p>
            <w:pPr>
              <w:pStyle w:val="TableContents"/>
              <w:spacing w:before="0" w:after="283"/>
              <w:rPr/>
            </w:pPr>
            <w:r>
              <w:rPr/>
              <w:t> </w:t>
            </w:r>
          </w:p>
        </w:tc>
        <w:tc>
          <w:tcPr>
            <w:tcW w:w="8103" w:type="dxa"/>
            <w:tcBorders>
              <w:bottom w:val="single" w:sz="8" w:space="0" w:color="959595"/>
            </w:tcBorders>
            <w:shd w:fill="auto" w:val="clear"/>
            <w:tcMar>
              <w:top w:w="0" w:type="dxa"/>
              <w:left w:w="0" w:type="dxa"/>
              <w:bottom w:w="28" w:type="dxa"/>
            </w:tcMar>
            <w:vAlign w:val="center"/>
          </w:tcPr>
          <w:p>
            <w:pPr>
              <w:pStyle w:val="TableContents"/>
              <w:spacing w:before="0" w:after="283"/>
              <w:rPr>
                <w:sz w:val="4"/>
                <w:szCs w:val="4"/>
              </w:rPr>
            </w:pPr>
            <w:r>
              <w:rPr>
                <w:sz w:val="4"/>
                <w:szCs w:val="4"/>
              </w:rPr>
            </w:r>
          </w:p>
        </w:tc>
        <w:tc>
          <w:tcPr>
            <w:tcW w:w="121" w:type="dxa"/>
            <w:tcBorders>
              <w:bottom w:val="single" w:sz="8" w:space="0" w:color="959595"/>
              <w:right w:val="single" w:sz="8" w:space="0" w:color="959595"/>
            </w:tcBorders>
            <w:shd w:fill="auto" w:val="clear"/>
            <w:tcMar>
              <w:top w:w="0" w:type="dxa"/>
              <w:left w:w="0" w:type="dxa"/>
              <w:bottom w:w="28" w:type="dxa"/>
              <w:right w:w="28" w:type="dxa"/>
            </w:tcMar>
            <w:vAlign w:val="center"/>
          </w:tcPr>
          <w:p>
            <w:pPr>
              <w:pStyle w:val="TableContents"/>
              <w:spacing w:before="0" w:after="283"/>
              <w:rPr>
                <w:sz w:val="4"/>
                <w:szCs w:val="4"/>
              </w:rPr>
            </w:pPr>
            <w:r>
              <w:rPr>
                <w:sz w:val="4"/>
                <w:szCs w:val="4"/>
              </w:rPr>
            </w:r>
          </w:p>
        </w:tc>
      </w:tr>
    </w:tbl>
    <w:p>
      <w:pPr>
        <w:pStyle w:val="TextBody"/>
        <w:spacing w:before="240" w:after="283"/>
        <w:jc w:val="left"/>
        <w:rPr>
          <w:rFonts w:ascii="Arial" w:hAnsi="Arial"/>
          <w:sz w:val="28"/>
        </w:rPr>
      </w:pPr>
      <w:r>
        <w:rPr>
          <w:rFonts w:ascii="Arial" w:hAnsi="Arial"/>
          <w:sz w:val="28"/>
        </w:rPr>
        <w:t>Selection of Independent Registered Public Accounting Firm</w:t>
      </w:r>
    </w:p>
    <w:p>
      <w:pPr>
        <w:pStyle w:val="TextBody"/>
        <w:jc w:val="left"/>
        <w:rPr>
          <w:rFonts w:ascii="Arial" w:hAnsi="Arial"/>
          <w:sz w:val="20"/>
        </w:rPr>
      </w:pPr>
      <w:r>
        <w:rPr>
          <w:rFonts w:ascii="Arial" w:hAnsi="Arial"/>
          <w:sz w:val="20"/>
        </w:rPr>
        <w:t>The Audit Committee is directly responsible for the appointment, compensation, retention and oversight of our independent auditors, Deloitte &amp; Touche LLP (“Deloitte”). Deloitte, together with its predecessors, has served as our independent auditors since 1963. The lead engagement partner from Deloitte is required to be rotated every five years. The process for selection of a new lead engagement partner includes a meeting between the Chair of the Audit Committee and the candidate for this role, as well as discussion by the full Audit Committee and meetings with senior management.</w:t>
      </w:r>
    </w:p>
    <w:p>
      <w:pPr>
        <w:pStyle w:val="TextBody"/>
        <w:jc w:val="left"/>
        <w:rPr>
          <w:rFonts w:ascii="Arial" w:hAnsi="Arial"/>
          <w:sz w:val="20"/>
        </w:rPr>
      </w:pPr>
      <w:r>
        <w:rPr>
          <w:rFonts w:ascii="Arial" w:hAnsi="Arial"/>
          <w:sz w:val="20"/>
        </w:rPr>
        <w:t>Each year, the Audit Committee, along with our management and internal auditors, reviews Deloitte’s performance as part of the Audit Committee’s consideration of whether to reappoint the firm as our independent auditors. As part of this review, the Audit Committee considers (i) the continued independence of Deloitte, (ii) its quality of service provided on prior audits, (iii) evaluations of Deloitte by our management and internal auditors, (iv) Deloitte’s effectiveness of communications and working relationships with the Audit Committee and our management and internal auditors, (v) the length of time Deloitte has served as our independent auditors and (vi) the quality and depth of Deloitte and the audit team’s expertise and experience in our industries in light of the breadth, complexity and global reach of our businesses.</w:t>
      </w:r>
    </w:p>
    <w:p>
      <w:pPr>
        <w:pStyle w:val="TextBody"/>
        <w:jc w:val="left"/>
        <w:rPr>
          <w:rFonts w:ascii="Arial" w:hAnsi="Arial"/>
          <w:sz w:val="20"/>
        </w:rPr>
      </w:pPr>
      <w:r>
        <w:rPr>
          <w:rFonts w:ascii="Arial" w:hAnsi="Arial"/>
          <w:sz w:val="20"/>
        </w:rPr>
        <w:t>Following the Audit Committee’s review of Deloitte’s performance, the Audit Committee appointed Deloitte to serve as our independent auditors for the year ending December 31, 2023. The Audit Committee and our Board recommend that you ratify this appointment, although your ratification is not required. A partner of Deloitte will be present at the annual meeting and will be available to respond to appropriate questions.</w:t>
      </w:r>
    </w:p>
    <w:p>
      <w:pPr>
        <w:pStyle w:val="TextBody"/>
        <w:jc w:val="left"/>
        <w:rPr>
          <w:rFonts w:ascii="Arial" w:hAnsi="Arial"/>
          <w:sz w:val="28"/>
        </w:rPr>
      </w:pPr>
      <w:r>
        <w:rPr>
          <w:rFonts w:ascii="Arial" w:hAnsi="Arial"/>
          <w:sz w:val="28"/>
        </w:rPr>
        <w:t>Fees of Independent Registered Public Accounting Firm</w:t>
      </w:r>
    </w:p>
    <w:p>
      <w:pPr>
        <w:pStyle w:val="TextBody"/>
        <w:jc w:val="left"/>
        <w:rPr>
          <w:rFonts w:ascii="Arial" w:hAnsi="Arial"/>
          <w:sz w:val="20"/>
        </w:rPr>
      </w:pPr>
      <w:r>
        <w:rPr>
          <w:rFonts w:ascii="Arial" w:hAnsi="Arial"/>
          <w:sz w:val="20"/>
        </w:rPr>
        <w:t>Set forth below are the fees paid or accrued for the services of Deloitte, the member firms of Deloitte Touche Tohmatsu and their respective affiliates in 2022 and 2021.</w:t>
      </w:r>
    </w:p>
    <w:tbl>
      <w:tblPr>
        <w:tblW w:w="3099" w:type="dxa"/>
        <w:jc w:val="left"/>
        <w:tblInd w:w="0" w:type="dxa"/>
        <w:tblCellMar>
          <w:top w:w="0" w:type="dxa"/>
          <w:left w:w="0" w:type="dxa"/>
          <w:bottom w:w="0" w:type="dxa"/>
          <w:right w:w="0" w:type="dxa"/>
        </w:tblCellMar>
      </w:tblPr>
      <w:tblGrid>
        <w:gridCol w:w="1640"/>
        <w:gridCol w:w="300"/>
        <w:gridCol w:w="420"/>
        <w:gridCol w:w="319"/>
        <w:gridCol w:w="420"/>
      </w:tblGrid>
      <w:tr>
        <w:trPr/>
        <w:tc>
          <w:tcPr>
            <w:tcW w:w="1640"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jc w:val="left"/>
              <w:rPr/>
            </w:pPr>
            <w:r>
              <w:rPr/>
              <w:t>     </w:t>
            </w:r>
          </w:p>
        </w:tc>
        <w:tc>
          <w:tcPr>
            <w:tcW w:w="420" w:type="dxa"/>
            <w:tcBorders>
              <w:bottom w:val="single" w:sz="8" w:space="0" w:color="000000"/>
            </w:tcBorders>
            <w:shd w:fill="auto" w:val="clear"/>
            <w:tcMar>
              <w:bottom w:w="28" w:type="dxa"/>
            </w:tcMar>
            <w:vAlign w:val="center"/>
          </w:tcPr>
          <w:p>
            <w:pPr>
              <w:pStyle w:val="TableContents"/>
              <w:spacing w:before="0" w:after="283"/>
              <w:jc w:val="right"/>
              <w:rPr>
                <w:rFonts w:ascii="Arial" w:hAnsi="Arial"/>
                <w:b/>
                <w:sz w:val="15"/>
              </w:rPr>
            </w:pPr>
            <w:r>
              <w:rPr>
                <w:rFonts w:ascii="Arial" w:hAnsi="Arial"/>
                <w:b/>
                <w:sz w:val="15"/>
              </w:rPr>
              <w:t>2022</w:t>
            </w:r>
          </w:p>
        </w:tc>
        <w:tc>
          <w:tcPr>
            <w:tcW w:w="319" w:type="dxa"/>
            <w:tcBorders>
              <w:bottom w:val="single" w:sz="8" w:space="0" w:color="000000"/>
            </w:tcBorders>
            <w:shd w:fill="auto" w:val="clear"/>
            <w:tcMar>
              <w:bottom w:w="28" w:type="dxa"/>
            </w:tcMar>
            <w:vAlign w:val="center"/>
          </w:tcPr>
          <w:p>
            <w:pPr>
              <w:pStyle w:val="TableContents"/>
              <w:spacing w:before="0" w:after="283"/>
              <w:jc w:val="right"/>
              <w:rPr/>
            </w:pPr>
            <w:r>
              <w:rPr/>
              <w:t>     </w:t>
            </w:r>
          </w:p>
        </w:tc>
        <w:tc>
          <w:tcPr>
            <w:tcW w:w="420" w:type="dxa"/>
            <w:tcBorders>
              <w:bottom w:val="single" w:sz="8" w:space="0" w:color="000000"/>
            </w:tcBorders>
            <w:shd w:fill="auto" w:val="clear"/>
            <w:tcMar>
              <w:bottom w:w="28" w:type="dxa"/>
            </w:tcMar>
            <w:vAlign w:val="center"/>
          </w:tcPr>
          <w:p>
            <w:pPr>
              <w:pStyle w:val="TableContents"/>
              <w:spacing w:before="0" w:after="283"/>
              <w:jc w:val="right"/>
              <w:rPr>
                <w:rFonts w:ascii="Arial" w:hAnsi="Arial"/>
                <w:b/>
                <w:sz w:val="15"/>
              </w:rPr>
            </w:pPr>
            <w:r>
              <w:rPr>
                <w:rFonts w:ascii="Arial" w:hAnsi="Arial"/>
                <w:b/>
                <w:sz w:val="15"/>
              </w:rPr>
              <w:t>2021</w:t>
            </w:r>
          </w:p>
        </w:tc>
      </w:tr>
      <w:tr>
        <w:trPr/>
        <w:tc>
          <w:tcPr>
            <w:tcW w:w="1640" w:type="dxa"/>
            <w:tcBorders>
              <w:bottom w:val="single" w:sz="12"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300" w:type="dxa"/>
            <w:tcBorders>
              <w:bottom w:val="single" w:sz="12"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59" w:type="dxa"/>
            <w:gridSpan w:val="3"/>
            <w:tcBorders>
              <w:bottom w:val="single" w:sz="12" w:space="0" w:color="000000"/>
            </w:tcBorders>
            <w:shd w:fill="auto" w:val="clear"/>
            <w:tcMar>
              <w:bottom w:w="28" w:type="dxa"/>
            </w:tcMar>
            <w:vAlign w:val="center"/>
          </w:tcPr>
          <w:p>
            <w:pPr>
              <w:pStyle w:val="TableContents"/>
              <w:spacing w:before="0" w:after="283"/>
              <w:jc w:val="center"/>
              <w:rPr>
                <w:rFonts w:ascii="Arial" w:hAnsi="Arial"/>
                <w:b/>
                <w:sz w:val="15"/>
              </w:rPr>
            </w:pPr>
            <w:r>
              <w:rPr>
                <w:rFonts w:ascii="Arial" w:hAnsi="Arial"/>
                <w:b/>
                <w:sz w:val="15"/>
              </w:rPr>
              <w:t>($ IN MILLIONS)</w:t>
            </w:r>
          </w:p>
        </w:tc>
      </w:tr>
      <w:tr>
        <w:trPr/>
        <w:tc>
          <w:tcPr>
            <w:tcW w:w="1640" w:type="dxa"/>
            <w:tcBorders>
              <w:bottom w:val="single" w:sz="8" w:space="0" w:color="000000"/>
            </w:tcBorders>
            <w:shd w:fill="auto" w:val="clear"/>
            <w:tcMar>
              <w:bottom w:w="28" w:type="dxa"/>
            </w:tcMar>
            <w:vAlign w:val="center"/>
          </w:tcPr>
          <w:p>
            <w:pPr>
              <w:pStyle w:val="TableContents"/>
              <w:spacing w:before="0" w:after="283"/>
              <w:jc w:val="left"/>
              <w:rPr>
                <w:rFonts w:ascii="Arial" w:hAnsi="Arial"/>
                <w:b/>
                <w:sz w:val="20"/>
              </w:rPr>
            </w:pPr>
            <w:r>
              <w:rPr>
                <w:rFonts w:ascii="Arial" w:hAnsi="Arial"/>
                <w:b/>
                <w:sz w:val="20"/>
              </w:rPr>
              <w:t>Audit fees</w:t>
            </w:r>
          </w:p>
        </w:tc>
        <w:tc>
          <w:tcPr>
            <w:tcW w:w="3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42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26.1</w:t>
            </w:r>
          </w:p>
        </w:tc>
        <w:tc>
          <w:tcPr>
            <w:tcW w:w="319"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42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25.1</w:t>
            </w:r>
          </w:p>
        </w:tc>
      </w:tr>
      <w:tr>
        <w:trPr/>
        <w:tc>
          <w:tcPr>
            <w:tcW w:w="1640" w:type="dxa"/>
            <w:tcBorders>
              <w:bottom w:val="single" w:sz="8" w:space="0" w:color="000000"/>
            </w:tcBorders>
            <w:shd w:fill="auto" w:val="clear"/>
            <w:tcMar>
              <w:bottom w:w="28" w:type="dxa"/>
            </w:tcMar>
            <w:vAlign w:val="center"/>
          </w:tcPr>
          <w:p>
            <w:pPr>
              <w:pStyle w:val="TableContents"/>
              <w:spacing w:before="0" w:after="283"/>
              <w:jc w:val="left"/>
              <w:rPr>
                <w:rFonts w:ascii="Arial" w:hAnsi="Arial"/>
                <w:b/>
                <w:sz w:val="20"/>
              </w:rPr>
            </w:pPr>
            <w:r>
              <w:rPr>
                <w:rFonts w:ascii="Arial" w:hAnsi="Arial"/>
                <w:b/>
                <w:sz w:val="20"/>
              </w:rPr>
              <w:t>Audit-related fees</w:t>
            </w:r>
          </w:p>
        </w:tc>
        <w:tc>
          <w:tcPr>
            <w:tcW w:w="3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42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1.0</w:t>
            </w:r>
          </w:p>
        </w:tc>
        <w:tc>
          <w:tcPr>
            <w:tcW w:w="319"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42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1.1</w:t>
            </w:r>
          </w:p>
        </w:tc>
      </w:tr>
      <w:tr>
        <w:trPr/>
        <w:tc>
          <w:tcPr>
            <w:tcW w:w="1640" w:type="dxa"/>
            <w:tcBorders>
              <w:bottom w:val="single" w:sz="8" w:space="0" w:color="000000"/>
            </w:tcBorders>
            <w:shd w:fill="auto" w:val="clear"/>
            <w:tcMar>
              <w:bottom w:w="28" w:type="dxa"/>
            </w:tcMar>
            <w:vAlign w:val="center"/>
          </w:tcPr>
          <w:p>
            <w:pPr>
              <w:pStyle w:val="TableContents"/>
              <w:spacing w:before="0" w:after="283"/>
              <w:jc w:val="left"/>
              <w:rPr>
                <w:rFonts w:ascii="Arial" w:hAnsi="Arial"/>
                <w:b/>
                <w:sz w:val="20"/>
              </w:rPr>
            </w:pPr>
            <w:r>
              <w:rPr>
                <w:rFonts w:ascii="Arial" w:hAnsi="Arial"/>
                <w:b/>
                <w:sz w:val="20"/>
              </w:rPr>
              <w:t>Tax fees</w:t>
            </w:r>
          </w:p>
        </w:tc>
        <w:tc>
          <w:tcPr>
            <w:tcW w:w="3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42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0.6</w:t>
            </w:r>
          </w:p>
        </w:tc>
        <w:tc>
          <w:tcPr>
            <w:tcW w:w="319"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42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1.1</w:t>
            </w:r>
          </w:p>
        </w:tc>
      </w:tr>
      <w:tr>
        <w:trPr/>
        <w:tc>
          <w:tcPr>
            <w:tcW w:w="1640" w:type="dxa"/>
            <w:tcBorders>
              <w:bottom w:val="single" w:sz="8" w:space="0" w:color="000000"/>
            </w:tcBorders>
            <w:shd w:fill="auto" w:val="clear"/>
            <w:tcMar>
              <w:bottom w:w="28" w:type="dxa"/>
            </w:tcMar>
            <w:vAlign w:val="center"/>
          </w:tcPr>
          <w:p>
            <w:pPr>
              <w:pStyle w:val="TableContents"/>
              <w:spacing w:before="0" w:after="283"/>
              <w:jc w:val="left"/>
              <w:rPr>
                <w:rFonts w:ascii="Arial" w:hAnsi="Arial"/>
                <w:b/>
                <w:sz w:val="20"/>
              </w:rPr>
            </w:pPr>
            <w:r>
              <w:rPr>
                <w:rFonts w:ascii="Arial" w:hAnsi="Arial"/>
                <w:b/>
                <w:sz w:val="20"/>
              </w:rPr>
              <w:t>All other fees</w:t>
            </w:r>
          </w:p>
        </w:tc>
        <w:tc>
          <w:tcPr>
            <w:tcW w:w="3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420"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319"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420" w:type="dxa"/>
            <w:tcBorders>
              <w:bottom w:val="single" w:sz="8" w:space="0" w:color="000000"/>
            </w:tcBorders>
            <w:shd w:fill="auto" w:val="clear"/>
            <w:tcMar>
              <w:bottom w:w="28" w:type="dxa"/>
            </w:tcMar>
            <w:vAlign w:val="center"/>
          </w:tcPr>
          <w:p>
            <w:pPr>
              <w:pStyle w:val="TableContents"/>
              <w:spacing w:before="0" w:after="283"/>
              <w:jc w:val="right"/>
              <w:rPr/>
            </w:pPr>
            <w:r>
              <w:rPr/>
              <w:t>—</w:t>
            </w:r>
          </w:p>
        </w:tc>
      </w:tr>
      <w:tr>
        <w:trPr/>
        <w:tc>
          <w:tcPr>
            <w:tcW w:w="1640" w:type="dxa"/>
            <w:tcBorders>
              <w:bottom w:val="single" w:sz="8" w:space="0" w:color="000000"/>
            </w:tcBorders>
            <w:shd w:fill="auto" w:val="clear"/>
            <w:tcMar>
              <w:bottom w:w="28" w:type="dxa"/>
            </w:tcMar>
            <w:vAlign w:val="center"/>
          </w:tcPr>
          <w:p>
            <w:pPr>
              <w:pStyle w:val="TableContents"/>
              <w:spacing w:before="0" w:after="283"/>
              <w:jc w:val="left"/>
              <w:rPr>
                <w:rFonts w:ascii="Arial" w:hAnsi="Arial"/>
                <w:b/>
                <w:sz w:val="20"/>
              </w:rPr>
            </w:pPr>
            <w:r>
              <w:rPr>
                <w:rFonts w:ascii="Arial" w:hAnsi="Arial"/>
                <w:b/>
                <w:sz w:val="20"/>
              </w:rPr>
              <w:t>Total</w:t>
            </w:r>
          </w:p>
        </w:tc>
        <w:tc>
          <w:tcPr>
            <w:tcW w:w="3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42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27.7</w:t>
            </w:r>
          </w:p>
        </w:tc>
        <w:tc>
          <w:tcPr>
            <w:tcW w:w="319"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42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27.4</w:t>
            </w:r>
          </w:p>
        </w:tc>
      </w:tr>
    </w:tbl>
    <w:p>
      <w:pPr>
        <w:pStyle w:val="TextBody"/>
        <w:spacing w:before="240" w:after="283"/>
        <w:ind w:left="0" w:right="0" w:hanging="0"/>
        <w:jc w:val="left"/>
        <w:rPr>
          <w:rFonts w:ascii="Arial" w:hAnsi="Arial"/>
          <w:sz w:val="20"/>
        </w:rPr>
      </w:pPr>
      <w:r>
        <w:rPr>
          <w:rFonts w:ascii="Arial" w:hAnsi="Arial"/>
          <w:sz w:val="20"/>
        </w:rPr>
        <w:t>Audit fees consisted of fees paid or accrued for services rendered to us and our subsidiaries for the audits of our annual financial statements, audits of our internal control over financial reporting (as required by Section 404 of the Sarbanes-Oxley Act of 2002), reviews of our quarterly financial statements and audit services provided in connection with other statutory, regulatory or contractual requirements.</w:t>
      </w:r>
    </w:p>
    <w:p>
      <w:pPr>
        <w:pStyle w:val="TextBody"/>
        <w:jc w:val="left"/>
        <w:rPr>
          <w:rFonts w:ascii="Arial" w:hAnsi="Arial"/>
          <w:sz w:val="20"/>
        </w:rPr>
      </w:pPr>
      <w:r>
        <w:rPr>
          <w:rFonts w:ascii="Arial" w:hAnsi="Arial"/>
          <w:sz w:val="20"/>
        </w:rPr>
        <w:t>Audit-related fees consisted of fees paid or accrued for financial due diligence services and attestation services.</w:t>
      </w:r>
    </w:p>
    <w:p>
      <w:pPr>
        <w:pStyle w:val="TextBody"/>
        <w:jc w:val="left"/>
        <w:rPr>
          <w:rFonts w:ascii="Arial" w:hAnsi="Arial"/>
          <w:sz w:val="20"/>
        </w:rPr>
      </w:pPr>
      <w:r>
        <w:rPr>
          <w:rFonts w:ascii="Arial" w:hAnsi="Arial"/>
          <w:sz w:val="20"/>
        </w:rPr>
        <w:t>Tax fees consisted of fees paid or accrued for domestic and foreign tax compliance services, including review of tax returns and tax examination assistance. There were no fees paid or accrued in 2022 and 2021 for tax planning.</w:t>
      </w:r>
    </w:p>
    <w:p>
      <w:pPr>
        <w:pStyle w:val="TextBody"/>
        <w:jc w:val="left"/>
        <w:rPr>
          <w:rFonts w:ascii="Arial" w:hAnsi="Arial"/>
          <w:sz w:val="20"/>
        </w:rPr>
      </w:pPr>
      <w:r>
        <w:rPr>
          <w:rFonts w:ascii="Arial" w:hAnsi="Arial"/>
          <w:sz w:val="20"/>
        </w:rPr>
        <w:t>Other fees included fees paid or accrued for subscription services.</w:t>
      </w:r>
    </w:p>
    <w:p>
      <w:pPr>
        <w:pStyle w:val="TextBody"/>
        <w:jc w:val="left"/>
        <w:rPr>
          <w:rFonts w:ascii="Arial" w:hAnsi="Arial"/>
          <w:sz w:val="28"/>
        </w:rPr>
      </w:pPr>
      <w:r>
        <w:rPr>
          <w:rFonts w:ascii="Arial" w:hAnsi="Arial"/>
          <w:sz w:val="28"/>
        </w:rPr>
        <w:t>Preapproval Policy of Audit Committee of Services Performed by Independent Auditors</w:t>
      </w:r>
    </w:p>
    <w:p>
      <w:pPr>
        <w:pStyle w:val="TextBody"/>
        <w:jc w:val="left"/>
        <w:rPr>
          <w:rFonts w:ascii="Arial" w:hAnsi="Arial"/>
          <w:sz w:val="20"/>
        </w:rPr>
      </w:pPr>
      <w:r>
        <w:rPr>
          <w:rFonts w:ascii="Arial" w:hAnsi="Arial"/>
          <w:sz w:val="20"/>
        </w:rPr>
        <w:t>The Audit Committee’s policy requires that the Committee preapprove all audit and non-audit services performed by the independent auditors to assure that the services do not impair the auditors’ independence. Unless a type of service has received general preapproval, it requires separate preapproval by the Audit Committee. Even if a service has received general preapproval, if the fee associated with the service exceeds $1 million in a single engagement or series of related engagements, it requires separate preapproval. The Audit Committee has delegated its preapproval authority to its Chair.</w:t>
      </w:r>
    </w:p>
    <w:tbl>
      <w:tblPr>
        <w:tblW w:w="2200" w:type="dxa"/>
        <w:jc w:val="left"/>
        <w:tblInd w:w="0" w:type="dxa"/>
        <w:tblCellMar>
          <w:top w:w="0" w:type="dxa"/>
          <w:left w:w="0" w:type="dxa"/>
          <w:bottom w:w="0" w:type="dxa"/>
          <w:right w:w="0" w:type="dxa"/>
        </w:tblCellMar>
      </w:tblPr>
      <w:tblGrid>
        <w:gridCol w:w="1580"/>
        <w:gridCol w:w="620"/>
      </w:tblGrid>
      <w:tr>
        <w:trPr/>
        <w:tc>
          <w:tcPr>
            <w:tcW w:w="1580" w:type="dxa"/>
            <w:tcBorders/>
            <w:shd w:fill="auto" w:val="clear"/>
            <w:vAlign w:val="center"/>
          </w:tcPr>
          <w:p>
            <w:pPr>
              <w:pStyle w:val="TableContents"/>
              <w:spacing w:before="0" w:after="283"/>
              <w:jc w:val="right"/>
              <w:rPr>
                <w:rFonts w:ascii="Arial" w:hAnsi="Arial"/>
                <w:sz w:val="15"/>
              </w:rPr>
            </w:pPr>
            <w:r>
              <w:rPr>
                <w:rFonts w:ascii="Arial" w:hAnsi="Arial"/>
                <w:sz w:val="15"/>
              </w:rPr>
              <w:t>2023 Proxy Statement</w:t>
            </w:r>
          </w:p>
        </w:tc>
        <w:tc>
          <w:tcPr>
            <w:tcW w:w="620" w:type="dxa"/>
            <w:tcBorders/>
            <w:shd w:fill="auto" w:val="clear"/>
            <w:vAlign w:val="center"/>
          </w:tcPr>
          <w:p>
            <w:pPr>
              <w:pStyle w:val="TableContents"/>
              <w:spacing w:before="0" w:after="283"/>
              <w:jc w:val="right"/>
              <w:rPr/>
            </w:pPr>
            <w:r>
              <w:rPr/>
              <w:t>       </w:t>
            </w:r>
            <w:r>
              <w:rPr>
                <w:rFonts w:ascii="Arial" w:hAnsi="Arial"/>
                <w:b/>
                <w:sz w:val="15"/>
              </w:rPr>
              <w:t>29</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p>
      <w:pPr>
        <w:pStyle w:val="TextBody"/>
        <w:jc w:val="left"/>
        <w:rPr>
          <w:rFonts w:ascii="Arial" w:hAnsi="Arial"/>
          <w:b/>
          <w:color w:val="00A1E0"/>
          <w:sz w:val="32"/>
        </w:rPr>
      </w:pPr>
      <w:bookmarkStart w:id="16" w:name="reportofauditcomm"/>
      <w:bookmarkEnd w:id="16"/>
      <w:r>
        <w:rPr>
          <w:rFonts w:ascii="Arial" w:hAnsi="Arial"/>
          <w:b/>
          <w:color w:val="00A1E0"/>
          <w:sz w:val="32"/>
        </w:rPr>
        <w:t>Report of the Audit Committee</w:t>
      </w:r>
    </w:p>
    <w:p>
      <w:pPr>
        <w:pStyle w:val="TextBody"/>
        <w:jc w:val="left"/>
        <w:rPr/>
      </w:pPr>
      <w:r>
        <w:rPr>
          <w:rFonts w:ascii="Arial" w:hAnsi="Arial"/>
          <w:sz w:val="20"/>
        </w:rPr>
        <w:t xml:space="preserve">The Audit Committee (as used in this section, “we” or “our”) is composed solely of independent directors meeting the requirements of the applicable rules of the SEC and The Nasdaq Stock Market LLC. Each member also is financially literate for audit committee purposes under the Nasdaq rules, and the Board has concluded that Jeffrey A. Honickman and Maritza G. Montiel qualify as audit committee financial experts. The key responsibilities of our committee are set forth in our charter, which was adopted by us and approved by the Board and is posted under “Corporate Governance” in the Investors section of Comcast’s website at </w:t>
      </w:r>
      <w:r>
        <w:rPr>
          <w:rFonts w:ascii="Arial" w:hAnsi="Arial"/>
          <w:i/>
          <w:sz w:val="20"/>
        </w:rPr>
        <w:t>www.cmcsa.com</w:t>
      </w:r>
      <w:r>
        <w:rPr>
          <w:rFonts w:ascii="Arial" w:hAnsi="Arial"/>
          <w:sz w:val="20"/>
        </w:rPr>
        <w:t>.</w:t>
      </w:r>
    </w:p>
    <w:p>
      <w:pPr>
        <w:pStyle w:val="TextBody"/>
        <w:jc w:val="left"/>
        <w:rPr>
          <w:rFonts w:ascii="Arial" w:hAnsi="Arial"/>
          <w:sz w:val="20"/>
        </w:rPr>
      </w:pPr>
      <w:r>
        <w:rPr>
          <w:rFonts w:ascii="Arial" w:hAnsi="Arial"/>
          <w:sz w:val="20"/>
        </w:rPr>
        <w:t>We serve in an oversight capacity and are not intended to be part of Comcast’s operational or managerial decision-making process. Comcast’s management is responsible for the preparation, integrity and fair presentation of information in Comcast’s consolidated financial statements, the financial reporting process and internal control over financial reporting. Deloitte, Comcast’s independent auditors, is responsible for auditing Comcast’s consolidated financial statements and internal control over financial reporting. Our principal purpose is to monitor these processes.</w:t>
      </w:r>
    </w:p>
    <w:p>
      <w:pPr>
        <w:pStyle w:val="TextBody"/>
        <w:jc w:val="left"/>
        <w:rPr>
          <w:rFonts w:ascii="Arial" w:hAnsi="Arial"/>
          <w:sz w:val="20"/>
        </w:rPr>
      </w:pPr>
      <w:r>
        <w:rPr>
          <w:rFonts w:ascii="Arial" w:hAnsi="Arial"/>
          <w:sz w:val="20"/>
        </w:rPr>
        <w:t>In this context, at each regularly scheduled in-person meeting, we met and held discussions with management, Comcast’s internal auditors and the independent auditors. Management represented to us that Comcast’s consolidated financial statements were prepared in accordance with generally accepted accounting principles applied on a consistent basis.</w:t>
      </w:r>
    </w:p>
    <w:p>
      <w:pPr>
        <w:pStyle w:val="TextBody"/>
        <w:jc w:val="left"/>
        <w:rPr>
          <w:rFonts w:ascii="Arial" w:hAnsi="Arial"/>
          <w:sz w:val="20"/>
        </w:rPr>
      </w:pPr>
      <w:r>
        <w:rPr>
          <w:rFonts w:ascii="Arial" w:hAnsi="Arial"/>
          <w:sz w:val="20"/>
        </w:rPr>
        <w:t>Prior to their issuance, we reviewed and discussed the quarterly and annual earnings press releases, consolidated financial statements and disclosures under “Management’s Discussion and Analysis of Financial Condition and Results of Operations” (including the presentation of non-GAAP financial information and critical accounting judgments and estimates) with management, Comcast’s internal auditors and the independent auditors. We also reviewed Comcast’s policies, practices and assessments with respect to significant financial risks and significant business risks, including cybersecurity, as well as its processes and practices with respect to enterprise risk assessment and management. We discussed with the independent auditors critical audit matters identified during the course of the audit and other matters required to be discussed by applicable Public Company Accounting Oversight Board (“PCAOB”) and SEC rules.</w:t>
      </w:r>
    </w:p>
    <w:p>
      <w:pPr>
        <w:pStyle w:val="TextBody"/>
        <w:jc w:val="left"/>
        <w:rPr>
          <w:rFonts w:ascii="Arial" w:hAnsi="Arial"/>
          <w:sz w:val="20"/>
        </w:rPr>
      </w:pPr>
      <w:r>
        <w:rPr>
          <w:rFonts w:ascii="Arial" w:hAnsi="Arial"/>
          <w:sz w:val="20"/>
        </w:rPr>
        <w:t>We discussed with the independent auditors the overall scope and plans for their audit and approved the terms of their engagement letter. We also reviewed Comcast’s internal audit plan. We met with the independent auditors and with Comcast’s internal auditors, in each case with and without other members of management present, to discuss the results of their respective examinations, the evaluations of Comcast’s internal controls and the overall quality and integrity of Comcast’s financial reporting. Among other things, in our discussions with the independent auditors, we sought their perspectives on the appropriateness of the accounting principles selected by management and their assessment of risk in financial reporting.</w:t>
      </w:r>
    </w:p>
    <w:p>
      <w:pPr>
        <w:pStyle w:val="TextBody"/>
        <w:jc w:val="left"/>
        <w:rPr>
          <w:rFonts w:ascii="Arial" w:hAnsi="Arial"/>
          <w:sz w:val="20"/>
        </w:rPr>
      </w:pPr>
      <w:r>
        <w:rPr>
          <w:rFonts w:ascii="Arial" w:hAnsi="Arial"/>
          <w:sz w:val="20"/>
        </w:rPr>
        <w:t>Additionally, we reviewed the performance, responsibilities, budget and staffing of Comcast’s internal auditors. We also have established, and oversaw compliance with, procedures for Comcast’s receipt, retention and treatment of complaints regarding accounting, internal accounting controls or auditing matters and its employees’ confidential and anonymous submissions of concerns regarding questionable accounting or auditing matters.</w:t>
      </w:r>
    </w:p>
    <w:p>
      <w:pPr>
        <w:pStyle w:val="TextBody"/>
        <w:jc w:val="left"/>
        <w:rPr>
          <w:rFonts w:ascii="Arial" w:hAnsi="Arial"/>
          <w:sz w:val="20"/>
        </w:rPr>
      </w:pPr>
      <w:r>
        <w:rPr>
          <w:rFonts w:ascii="Arial" w:hAnsi="Arial"/>
          <w:sz w:val="20"/>
        </w:rPr>
        <w:t>We discussed with the independent auditors the auditors’ independence from Comcast and its management, including the matters required to be discussed by the applicable requirements of the PCAOB and SEC, and received written disclosures from the independent auditors required by applicable PCAOB rules regarding their independence. We also reviewed Comcast’s hiring policies and practices with respect to current and former employees of the independent auditors. We preapproved, in accordance with our preapproval policy described above, all services provided by the independent auditors and considered whether their provision of such services to Comcast is compatible with maintaining the auditors’ independence.</w:t>
      </w:r>
    </w:p>
    <w:p>
      <w:pPr>
        <w:pStyle w:val="TextBody"/>
        <w:jc w:val="left"/>
        <w:rPr>
          <w:rFonts w:ascii="Arial" w:hAnsi="Arial"/>
          <w:sz w:val="20"/>
        </w:rPr>
      </w:pPr>
      <w:r>
        <w:rPr>
          <w:rFonts w:ascii="Arial" w:hAnsi="Arial"/>
          <w:sz w:val="20"/>
        </w:rPr>
        <w:t>Based on the reviews and discussions referred to above, we recommended to the Board, and the Board approved, that the audited consolidated financial statements be included in Comcast’s Annual Report on Form 10-K for the year ended December 31, 2022, filed with the SEC.</w:t>
      </w:r>
    </w:p>
    <w:p>
      <w:pPr>
        <w:pStyle w:val="TextBody"/>
        <w:jc w:val="left"/>
        <w:rPr>
          <w:rFonts w:ascii="Arial" w:hAnsi="Arial"/>
          <w:sz w:val="20"/>
        </w:rPr>
      </w:pPr>
      <w:r>
        <w:rPr>
          <w:rFonts w:ascii="Arial" w:hAnsi="Arial"/>
          <w:sz w:val="20"/>
        </w:rPr>
        <w:t>In addition, as in prior years, we, along with Comcast’s management and internal auditors, reviewed Deloitte’s performance as part of our consideration of whether to appoint the firm as independent auditors for 2023 and recommend that shareholders ratify this appointment. As part of this review, we considered the continued independence of Deloitte, the quality of service provided on prior audits, the results of an evaluation of Deloitte by Comcast’s management and internal auditors and Deloitte’s effectiveness of communications and working relationships with us, management and the internal auditors. We also considered the period of time that Deloitte has served as Comcast’s independent auditors and evaluated the quality and depth of the firm and the audit team’s expertise and experience in our industries in light of the breadth, complexity and global reach of Comcast’s businesses. Following this review, we have appointed Deloitte as Comcast’s independent auditors for 2023 and are recommending that Comcast’s shareholders ratify this appointment.</w:t>
      </w:r>
    </w:p>
    <w:p>
      <w:pPr>
        <w:pStyle w:val="TextBody"/>
        <w:jc w:val="left"/>
        <w:rPr>
          <w:rFonts w:ascii="Arial" w:hAnsi="Arial"/>
          <w:b/>
          <w:color w:val="00A1E0"/>
          <w:sz w:val="20"/>
        </w:rPr>
      </w:pPr>
      <w:r>
        <w:rPr>
          <w:rFonts w:ascii="Arial" w:hAnsi="Arial"/>
          <w:b/>
          <w:color w:val="00A1E0"/>
          <w:sz w:val="20"/>
        </w:rPr>
        <w:t>Members of the Audit Committee</w:t>
      </w:r>
    </w:p>
    <w:p>
      <w:pPr>
        <w:pStyle w:val="TextBody"/>
        <w:jc w:val="left"/>
        <w:rPr>
          <w:rFonts w:ascii="Arial" w:hAnsi="Arial"/>
          <w:sz w:val="20"/>
        </w:rPr>
      </w:pPr>
      <w:r>
        <w:rPr>
          <w:rFonts w:ascii="Arial" w:hAnsi="Arial"/>
          <w:sz w:val="20"/>
        </w:rPr>
        <w:t>Jeffrey A. Honickman (Chair)</w:t>
        <w:br/>
        <w:t>Maritza G. Montiel</w:t>
        <w:br/>
        <w:t>Asuka Nakahara</w:t>
      </w:r>
    </w:p>
    <w:tbl>
      <w:tblPr>
        <w:tblW w:w="223" w:type="dxa"/>
        <w:jc w:val="left"/>
        <w:tblInd w:w="0" w:type="dxa"/>
        <w:tblCellMar>
          <w:top w:w="0" w:type="dxa"/>
          <w:left w:w="0" w:type="dxa"/>
          <w:bottom w:w="0" w:type="dxa"/>
          <w:right w:w="0" w:type="dxa"/>
        </w:tblCellMar>
      </w:tblPr>
      <w:tblGrid>
        <w:gridCol w:w="200"/>
        <w:gridCol w:w="23"/>
      </w:tblGrid>
      <w:tr>
        <w:trPr/>
        <w:tc>
          <w:tcPr>
            <w:tcW w:w="200" w:type="dxa"/>
            <w:tcBorders/>
            <w:shd w:fill="auto" w:val="clear"/>
            <w:vAlign w:val="center"/>
          </w:tcPr>
          <w:p>
            <w:pPr>
              <w:pStyle w:val="TableContents"/>
              <w:spacing w:before="0" w:after="283"/>
              <w:jc w:val="left"/>
              <w:rPr>
                <w:rFonts w:ascii="Arial" w:hAnsi="Arial"/>
                <w:b/>
                <w:sz w:val="15"/>
              </w:rPr>
            </w:pPr>
            <w:r>
              <w:rPr>
                <w:rFonts w:ascii="Arial" w:hAnsi="Arial"/>
                <w:b/>
                <w:sz w:val="15"/>
              </w:rPr>
              <w:t>30</w:t>
            </w:r>
          </w:p>
        </w:tc>
        <w:tc>
          <w:tcPr>
            <w:tcW w:w="2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10205" w:type="dxa"/>
        <w:jc w:val="left"/>
        <w:tblInd w:w="0" w:type="dxa"/>
        <w:tblCellMar>
          <w:top w:w="28" w:type="dxa"/>
          <w:left w:w="28" w:type="dxa"/>
          <w:bottom w:w="0" w:type="dxa"/>
          <w:right w:w="0" w:type="dxa"/>
        </w:tblCellMar>
      </w:tblPr>
      <w:tblGrid>
        <w:gridCol w:w="120"/>
        <w:gridCol w:w="641"/>
        <w:gridCol w:w="657"/>
        <w:gridCol w:w="348"/>
        <w:gridCol w:w="8317"/>
        <w:gridCol w:w="122"/>
      </w:tblGrid>
      <w:tr>
        <w:trPr/>
        <w:tc>
          <w:tcPr>
            <w:tcW w:w="120" w:type="dxa"/>
            <w:tcBorders>
              <w:top w:val="single" w:sz="8" w:space="0" w:color="959595"/>
              <w:left w:val="single" w:sz="8" w:space="0" w:color="959595"/>
            </w:tcBorders>
            <w:shd w:fill="auto" w:val="clear"/>
            <w:vAlign w:val="center"/>
          </w:tcPr>
          <w:p>
            <w:pPr>
              <w:pStyle w:val="TableContents"/>
              <w:spacing w:before="0" w:after="283"/>
              <w:jc w:val="left"/>
              <w:rPr/>
            </w:pPr>
            <w:r>
              <w:rPr/>
              <w:t>  </w:t>
            </w:r>
          </w:p>
        </w:tc>
        <w:tc>
          <w:tcPr>
            <w:tcW w:w="641" w:type="dxa"/>
            <w:tcBorders>
              <w:top w:val="single" w:sz="8" w:space="0" w:color="959595"/>
            </w:tcBorders>
            <w:shd w:fill="auto" w:val="clear"/>
            <w:tcMar>
              <w:left w:w="0" w:type="dxa"/>
            </w:tcMar>
            <w:vAlign w:val="center"/>
          </w:tcPr>
          <w:p>
            <w:pPr>
              <w:pStyle w:val="TableContents"/>
              <w:spacing w:before="0" w:after="283"/>
              <w:rPr>
                <w:sz w:val="4"/>
                <w:szCs w:val="4"/>
              </w:rPr>
            </w:pPr>
            <w:r>
              <w:rPr>
                <w:sz w:val="4"/>
                <w:szCs w:val="4"/>
              </w:rPr>
            </w:r>
          </w:p>
        </w:tc>
        <w:tc>
          <w:tcPr>
            <w:tcW w:w="657" w:type="dxa"/>
            <w:tcBorders>
              <w:top w:val="single" w:sz="8" w:space="0" w:color="959595"/>
            </w:tcBorders>
            <w:shd w:fill="auto" w:val="clear"/>
            <w:tcMar>
              <w:left w:w="0" w:type="dxa"/>
            </w:tcMar>
            <w:vAlign w:val="center"/>
          </w:tcPr>
          <w:p>
            <w:pPr>
              <w:pStyle w:val="TableContents"/>
              <w:spacing w:before="0" w:after="283"/>
              <w:rPr/>
            </w:pPr>
            <w:r>
              <w:rPr/>
              <w:t> </w:t>
            </w:r>
          </w:p>
        </w:tc>
        <w:tc>
          <w:tcPr>
            <w:tcW w:w="348" w:type="dxa"/>
            <w:tcBorders>
              <w:top w:val="single" w:sz="8" w:space="0" w:color="959595"/>
            </w:tcBorders>
            <w:shd w:fill="auto" w:val="clear"/>
            <w:tcMar>
              <w:left w:w="0" w:type="dxa"/>
            </w:tcMar>
            <w:vAlign w:val="center"/>
          </w:tcPr>
          <w:p>
            <w:pPr>
              <w:pStyle w:val="TableContents"/>
              <w:spacing w:before="0" w:after="283"/>
              <w:rPr/>
            </w:pPr>
            <w:r>
              <w:rPr/>
              <w:t> </w:t>
            </w:r>
          </w:p>
        </w:tc>
        <w:tc>
          <w:tcPr>
            <w:tcW w:w="8317" w:type="dxa"/>
            <w:tcBorders>
              <w:top w:val="single" w:sz="8" w:space="0" w:color="959595"/>
            </w:tcBorders>
            <w:shd w:fill="auto" w:val="clear"/>
            <w:tcMar>
              <w:left w:w="0" w:type="dxa"/>
            </w:tcMar>
            <w:vAlign w:val="center"/>
          </w:tcPr>
          <w:p>
            <w:pPr>
              <w:pStyle w:val="TableContents"/>
              <w:spacing w:before="0" w:after="283"/>
              <w:jc w:val="left"/>
              <w:rPr/>
            </w:pPr>
            <w:r>
              <w:rPr/>
              <w:t>                              </w:t>
            </w:r>
          </w:p>
        </w:tc>
        <w:tc>
          <w:tcPr>
            <w:tcW w:w="122" w:type="dxa"/>
            <w:tcBorders>
              <w:top w:val="single" w:sz="8" w:space="0" w:color="959595"/>
              <w:right w:val="single" w:sz="8" w:space="0" w:color="959595"/>
            </w:tcBorders>
            <w:shd w:fill="auto" w:val="clear"/>
            <w:tcMar>
              <w:left w:w="0" w:type="dxa"/>
              <w:right w:w="28" w:type="dxa"/>
            </w:tcMar>
            <w:vAlign w:val="center"/>
          </w:tcPr>
          <w:p>
            <w:pPr>
              <w:pStyle w:val="TableContents"/>
              <w:spacing w:before="0" w:after="283"/>
              <w:jc w:val="left"/>
              <w:rPr/>
            </w:pPr>
            <w:r>
              <w:rPr/>
              <w:t>  </w:t>
            </w:r>
          </w:p>
        </w:tc>
      </w:tr>
      <w:tr>
        <w:trPr/>
        <w:tc>
          <w:tcPr>
            <w:tcW w:w="120" w:type="dxa"/>
            <w:tcBorders>
              <w:left w:val="single" w:sz="8" w:space="0" w:color="959595"/>
            </w:tcBorders>
            <w:shd w:fill="auto" w:val="clear"/>
            <w:tcMar>
              <w:top w:w="0" w:type="dxa"/>
            </w:tcMar>
            <w:vAlign w:val="center"/>
          </w:tcPr>
          <w:p>
            <w:pPr>
              <w:pStyle w:val="TableContents"/>
              <w:spacing w:before="0" w:after="283"/>
              <w:rPr>
                <w:sz w:val="4"/>
                <w:szCs w:val="4"/>
              </w:rPr>
            </w:pPr>
            <w:r>
              <w:rPr>
                <w:sz w:val="4"/>
                <w:szCs w:val="4"/>
              </w:rPr>
            </w:r>
          </w:p>
        </w:tc>
        <w:tc>
          <w:tcPr>
            <w:tcW w:w="1298" w:type="dxa"/>
            <w:gridSpan w:val="2"/>
            <w:tcBorders/>
            <w:shd w:fill="ECF6FA" w:val="clear"/>
            <w:tcMar>
              <w:top w:w="0" w:type="dxa"/>
              <w:left w:w="0" w:type="dxa"/>
            </w:tcMar>
            <w:vAlign w:val="center"/>
          </w:tcPr>
          <w:p>
            <w:pPr>
              <w:pStyle w:val="TableContents"/>
              <w:spacing w:before="0" w:after="283"/>
              <w:jc w:val="left"/>
              <w:rPr>
                <w:rFonts w:ascii="Arial" w:hAnsi="Arial"/>
                <w:color w:val="00A1E0"/>
                <w:sz w:val="24"/>
              </w:rPr>
            </w:pPr>
            <w:bookmarkStart w:id="17" w:name="proposal3"/>
            <w:bookmarkEnd w:id="17"/>
            <w:r>
              <w:rPr>
                <w:rFonts w:ascii="Arial" w:hAnsi="Arial"/>
                <w:color w:val="00A1E0"/>
                <w:sz w:val="24"/>
              </w:rPr>
              <w:t>Proposal 3:</w:t>
            </w:r>
          </w:p>
        </w:tc>
        <w:tc>
          <w:tcPr>
            <w:tcW w:w="348" w:type="dxa"/>
            <w:tcBorders/>
            <w:shd w:fill="ECF6FA" w:val="clear"/>
            <w:tcMar>
              <w:top w:w="0" w:type="dxa"/>
              <w:left w:w="0" w:type="dxa"/>
            </w:tcMar>
            <w:vAlign w:val="center"/>
          </w:tcPr>
          <w:p>
            <w:pPr>
              <w:pStyle w:val="TableContents"/>
              <w:spacing w:before="0" w:after="283"/>
              <w:rPr/>
            </w:pPr>
            <w:r>
              <w:rPr/>
              <w:t>     </w:t>
            </w:r>
          </w:p>
        </w:tc>
        <w:tc>
          <w:tcPr>
            <w:tcW w:w="8317" w:type="dxa"/>
            <w:tcBorders/>
            <w:shd w:fill="ECF6FA" w:val="clear"/>
            <w:tcMar>
              <w:top w:w="0" w:type="dxa"/>
              <w:left w:w="0" w:type="dxa"/>
            </w:tcMar>
            <w:vAlign w:val="center"/>
          </w:tcPr>
          <w:p>
            <w:pPr>
              <w:pStyle w:val="TableContents"/>
              <w:spacing w:before="0" w:after="283"/>
              <w:jc w:val="left"/>
              <w:rPr>
                <w:rFonts w:ascii="Arial" w:hAnsi="Arial"/>
                <w:color w:val="00A1E0"/>
                <w:sz w:val="24"/>
              </w:rPr>
            </w:pPr>
            <w:r>
              <w:rPr>
                <w:rFonts w:ascii="Arial" w:hAnsi="Arial"/>
                <w:color w:val="00A1E0"/>
                <w:sz w:val="24"/>
              </w:rPr>
              <w:t>APPROVAL OF COMCAST CORPORATION 2023 OMNIBUS EQUITY INCENTIVE PLAN</w:t>
            </w:r>
          </w:p>
        </w:tc>
        <w:tc>
          <w:tcPr>
            <w:tcW w:w="122" w:type="dxa"/>
            <w:tcBorders>
              <w:right w:val="single" w:sz="8" w:space="0" w:color="959595"/>
            </w:tcBorders>
            <w:shd w:fill="auto" w:val="clear"/>
            <w:tcMar>
              <w:top w:w="0" w:type="dxa"/>
              <w:left w:w="0" w:type="dxa"/>
              <w:right w:w="28" w:type="dxa"/>
            </w:tcMar>
            <w:vAlign w:val="center"/>
          </w:tcPr>
          <w:p>
            <w:pPr>
              <w:pStyle w:val="TableContents"/>
              <w:spacing w:before="0" w:after="283"/>
              <w:rPr>
                <w:sz w:val="4"/>
                <w:szCs w:val="4"/>
              </w:rPr>
            </w:pPr>
            <w:r>
              <w:rPr>
                <w:sz w:val="4"/>
                <w:szCs w:val="4"/>
              </w:rPr>
            </w:r>
          </w:p>
        </w:tc>
      </w:tr>
      <w:tr>
        <w:trPr/>
        <w:tc>
          <w:tcPr>
            <w:tcW w:w="120" w:type="dxa"/>
            <w:tcBorders>
              <w:left w:val="single" w:sz="8" w:space="0" w:color="959595"/>
            </w:tcBorders>
            <w:shd w:fill="auto" w:val="clear"/>
            <w:tcMar>
              <w:top w:w="0" w:type="dxa"/>
            </w:tcMar>
            <w:vAlign w:val="center"/>
          </w:tcPr>
          <w:p>
            <w:pPr>
              <w:pStyle w:val="TableContents"/>
              <w:spacing w:before="0" w:after="283"/>
              <w:jc w:val="left"/>
              <w:rPr/>
            </w:pPr>
            <w:r>
              <w:rPr/>
              <w:t> </w:t>
            </w:r>
          </w:p>
        </w:tc>
        <w:tc>
          <w:tcPr>
            <w:tcW w:w="641" w:type="dxa"/>
            <w:tcBorders/>
            <w:shd w:fill="auto" w:val="clear"/>
            <w:tcMar>
              <w:top w:w="0" w:type="dxa"/>
              <w:left w:w="0" w:type="dxa"/>
            </w:tcMar>
            <w:vAlign w:val="center"/>
          </w:tcPr>
          <w:p>
            <w:pPr>
              <w:pStyle w:val="TableContents"/>
              <w:spacing w:before="0" w:after="283"/>
              <w:rPr>
                <w:sz w:val="4"/>
                <w:szCs w:val="4"/>
              </w:rPr>
            </w:pPr>
            <w:r>
              <w:rPr>
                <w:sz w:val="4"/>
                <w:szCs w:val="4"/>
              </w:rPr>
            </w:r>
          </w:p>
        </w:tc>
        <w:tc>
          <w:tcPr>
            <w:tcW w:w="657" w:type="dxa"/>
            <w:tcBorders/>
            <w:shd w:fill="auto" w:val="clear"/>
            <w:tcMar>
              <w:top w:w="0" w:type="dxa"/>
              <w:left w:w="0" w:type="dxa"/>
            </w:tcMar>
            <w:vAlign w:val="center"/>
          </w:tcPr>
          <w:p>
            <w:pPr>
              <w:pStyle w:val="TableContents"/>
              <w:spacing w:before="0" w:after="283"/>
              <w:rPr/>
            </w:pPr>
            <w:r>
              <w:rPr/>
              <w:t>         </w:t>
            </w:r>
          </w:p>
        </w:tc>
        <w:tc>
          <w:tcPr>
            <w:tcW w:w="348" w:type="dxa"/>
            <w:tcBorders/>
            <w:shd w:fill="auto" w:val="clear"/>
            <w:tcMar>
              <w:top w:w="0" w:type="dxa"/>
              <w:left w:w="0" w:type="dxa"/>
            </w:tcMar>
            <w:vAlign w:val="center"/>
          </w:tcPr>
          <w:p>
            <w:pPr>
              <w:pStyle w:val="TableContents"/>
              <w:spacing w:before="0" w:after="283"/>
              <w:rPr/>
            </w:pPr>
            <w:r>
              <w:rPr/>
              <w:t> </w:t>
            </w:r>
          </w:p>
        </w:tc>
        <w:tc>
          <w:tcPr>
            <w:tcW w:w="8317" w:type="dxa"/>
            <w:tcBorders/>
            <w:shd w:fill="auto" w:val="clear"/>
            <w:tcMar>
              <w:top w:w="0" w:type="dxa"/>
              <w:left w:w="0" w:type="dxa"/>
            </w:tcMar>
            <w:vAlign w:val="center"/>
          </w:tcPr>
          <w:p>
            <w:pPr>
              <w:pStyle w:val="TableContents"/>
              <w:spacing w:before="0" w:after="283"/>
              <w:rPr>
                <w:sz w:val="4"/>
                <w:szCs w:val="4"/>
              </w:rPr>
            </w:pPr>
            <w:r>
              <w:rPr>
                <w:sz w:val="4"/>
                <w:szCs w:val="4"/>
              </w:rPr>
            </w:r>
          </w:p>
        </w:tc>
        <w:tc>
          <w:tcPr>
            <w:tcW w:w="122" w:type="dxa"/>
            <w:tcBorders>
              <w:right w:val="single" w:sz="8" w:space="0" w:color="959595"/>
            </w:tcBorders>
            <w:shd w:fill="auto" w:val="clear"/>
            <w:tcMar>
              <w:top w:w="0" w:type="dxa"/>
              <w:left w:w="0" w:type="dxa"/>
              <w:right w:w="28" w:type="dxa"/>
            </w:tcMar>
            <w:vAlign w:val="center"/>
          </w:tcPr>
          <w:p>
            <w:pPr>
              <w:pStyle w:val="TableContents"/>
              <w:spacing w:before="0" w:after="283"/>
              <w:rPr>
                <w:sz w:val="4"/>
                <w:szCs w:val="4"/>
              </w:rPr>
            </w:pPr>
            <w:r>
              <w:rPr>
                <w:sz w:val="4"/>
                <w:szCs w:val="4"/>
              </w:rPr>
            </w:r>
          </w:p>
        </w:tc>
      </w:tr>
      <w:tr>
        <w:trPr/>
        <w:tc>
          <w:tcPr>
            <w:tcW w:w="120" w:type="dxa"/>
            <w:tcBorders>
              <w:left w:val="single" w:sz="8" w:space="0" w:color="959595"/>
            </w:tcBorders>
            <w:shd w:fill="auto" w:val="clear"/>
            <w:tcMar>
              <w:top w:w="0" w:type="dxa"/>
            </w:tcMar>
            <w:vAlign w:val="center"/>
          </w:tcPr>
          <w:p>
            <w:pPr>
              <w:pStyle w:val="TableContents"/>
              <w:spacing w:before="0" w:after="283"/>
              <w:rPr>
                <w:sz w:val="4"/>
                <w:szCs w:val="4"/>
              </w:rPr>
            </w:pPr>
            <w:r>
              <w:rPr>
                <w:sz w:val="4"/>
                <w:szCs w:val="4"/>
              </w:rPr>
            </w:r>
          </w:p>
        </w:tc>
        <w:tc>
          <w:tcPr>
            <w:tcW w:w="641" w:type="dxa"/>
            <w:tcBorders/>
            <w:shd w:fill="auto" w:val="clear"/>
            <w:tcMar>
              <w:top w:w="0" w:type="dxa"/>
              <w:left w:w="0" w:type="dxa"/>
            </w:tcMar>
            <w:vAlign w:val="center"/>
          </w:tcPr>
          <w:p>
            <w:pPr>
              <w:pStyle w:val="TableContents"/>
              <w:spacing w:before="0" w:after="283"/>
              <w:jc w:val="left"/>
              <w:rPr/>
            </w:pPr>
            <w:r>
              <w:rPr/>
              <w:drawing>
                <wp:inline distT="0" distB="0" distL="0" distR="0">
                  <wp:extent cx="390525" cy="266700"/>
                  <wp:effectExtent l="0" t="0" r="0" b="0"/>
                  <wp:docPr id="187"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13" descr=""/>
                          <pic:cNvPicPr>
                            <a:picLocks noChangeAspect="1" noChangeArrowheads="1"/>
                          </pic:cNvPicPr>
                        </pic:nvPicPr>
                        <pic:blipFill>
                          <a:blip r:embed="rId114"/>
                          <a:srcRect l="-2580" t="-3650" r="-2580" b="-3650"/>
                          <a:stretch>
                            <a:fillRect/>
                          </a:stretch>
                        </pic:blipFill>
                        <pic:spPr bwMode="auto">
                          <a:xfrm>
                            <a:off x="0" y="0"/>
                            <a:ext cx="390525" cy="266700"/>
                          </a:xfrm>
                          <a:prstGeom prst="rect">
                            <a:avLst/>
                          </a:prstGeom>
                          <a:ln w="635">
                            <a:solidFill>
                              <a:srgbClr val="000000"/>
                            </a:solidFill>
                          </a:ln>
                        </pic:spPr>
                      </pic:pic>
                    </a:graphicData>
                  </a:graphic>
                </wp:inline>
              </w:drawing>
            </w:r>
          </w:p>
        </w:tc>
        <w:tc>
          <w:tcPr>
            <w:tcW w:w="9322" w:type="dxa"/>
            <w:gridSpan w:val="3"/>
            <w:tcBorders/>
            <w:shd w:fill="auto" w:val="clear"/>
            <w:tcMar>
              <w:top w:w="0" w:type="dxa"/>
              <w:left w:w="0" w:type="dxa"/>
            </w:tcMar>
            <w:vAlign w:val="center"/>
          </w:tcPr>
          <w:p>
            <w:pPr>
              <w:pStyle w:val="TableContents"/>
              <w:spacing w:before="0" w:after="0"/>
              <w:jc w:val="left"/>
              <w:rPr>
                <w:rFonts w:ascii="Arial" w:hAnsi="Arial"/>
                <w:b/>
                <w:sz w:val="20"/>
              </w:rPr>
            </w:pPr>
            <w:r>
              <w:rPr>
                <w:rFonts w:ascii="Arial" w:hAnsi="Arial"/>
                <w:b/>
                <w:sz w:val="20"/>
              </w:rPr>
              <w:t>Our Board unanimously recommends that shareholders vote “</w:t>
            </w:r>
            <w:r>
              <w:rPr>
                <w:rFonts w:ascii="Arial" w:hAnsi="Arial"/>
                <w:b/>
                <w:color w:val="00A1E0"/>
                <w:sz w:val="20"/>
              </w:rPr>
              <w:t>FOR</w:t>
            </w:r>
            <w:r>
              <w:rPr>
                <w:rFonts w:ascii="Arial" w:hAnsi="Arial"/>
                <w:b/>
                <w:sz w:val="20"/>
              </w:rPr>
              <w:t>” approval of the Comcast Corporation 2023 Omnibus Equity Incentive Plan.</w:t>
            </w:r>
          </w:p>
        </w:tc>
        <w:tc>
          <w:tcPr>
            <w:tcW w:w="122" w:type="dxa"/>
            <w:tcBorders>
              <w:right w:val="single" w:sz="8" w:space="0" w:color="959595"/>
            </w:tcBorders>
            <w:shd w:fill="auto" w:val="clear"/>
            <w:tcMar>
              <w:top w:w="0" w:type="dxa"/>
              <w:left w:w="0" w:type="dxa"/>
              <w:right w:w="28" w:type="dxa"/>
            </w:tcMar>
            <w:vAlign w:val="center"/>
          </w:tcPr>
          <w:p>
            <w:pPr>
              <w:pStyle w:val="TableContents"/>
              <w:spacing w:before="0" w:after="283"/>
              <w:rPr>
                <w:sz w:val="4"/>
                <w:szCs w:val="4"/>
              </w:rPr>
            </w:pPr>
            <w:r>
              <w:rPr>
                <w:sz w:val="4"/>
                <w:szCs w:val="4"/>
              </w:rPr>
            </w:r>
          </w:p>
        </w:tc>
      </w:tr>
      <w:tr>
        <w:trPr/>
        <w:tc>
          <w:tcPr>
            <w:tcW w:w="120" w:type="dxa"/>
            <w:tcBorders>
              <w:left w:val="single" w:sz="8" w:space="0" w:color="959595"/>
              <w:bottom w:val="single" w:sz="8" w:space="0" w:color="959595"/>
            </w:tcBorders>
            <w:shd w:fill="auto" w:val="clear"/>
            <w:tcMar>
              <w:top w:w="0" w:type="dxa"/>
              <w:bottom w:w="28" w:type="dxa"/>
            </w:tcMar>
            <w:vAlign w:val="center"/>
          </w:tcPr>
          <w:p>
            <w:pPr>
              <w:pStyle w:val="TableContents"/>
              <w:spacing w:before="0" w:after="283"/>
              <w:jc w:val="left"/>
              <w:rPr/>
            </w:pPr>
            <w:r>
              <w:rPr/>
              <w:t> </w:t>
            </w:r>
          </w:p>
        </w:tc>
        <w:tc>
          <w:tcPr>
            <w:tcW w:w="641" w:type="dxa"/>
            <w:tcBorders>
              <w:bottom w:val="single" w:sz="8" w:space="0" w:color="959595"/>
            </w:tcBorders>
            <w:shd w:fill="auto" w:val="clear"/>
            <w:tcMar>
              <w:top w:w="0" w:type="dxa"/>
              <w:left w:w="0" w:type="dxa"/>
              <w:bottom w:w="28" w:type="dxa"/>
            </w:tcMar>
            <w:vAlign w:val="center"/>
          </w:tcPr>
          <w:p>
            <w:pPr>
              <w:pStyle w:val="TableContents"/>
              <w:spacing w:before="0" w:after="283"/>
              <w:rPr>
                <w:sz w:val="4"/>
                <w:szCs w:val="4"/>
              </w:rPr>
            </w:pPr>
            <w:r>
              <w:rPr>
                <w:sz w:val="4"/>
                <w:szCs w:val="4"/>
              </w:rPr>
            </w:r>
          </w:p>
        </w:tc>
        <w:tc>
          <w:tcPr>
            <w:tcW w:w="657" w:type="dxa"/>
            <w:tcBorders>
              <w:bottom w:val="single" w:sz="8" w:space="0" w:color="959595"/>
            </w:tcBorders>
            <w:shd w:fill="auto" w:val="clear"/>
            <w:tcMar>
              <w:top w:w="0" w:type="dxa"/>
              <w:left w:w="0" w:type="dxa"/>
              <w:bottom w:w="28" w:type="dxa"/>
            </w:tcMar>
            <w:vAlign w:val="center"/>
          </w:tcPr>
          <w:p>
            <w:pPr>
              <w:pStyle w:val="TableContents"/>
              <w:spacing w:before="0" w:after="283"/>
              <w:rPr/>
            </w:pPr>
            <w:r>
              <w:rPr/>
              <w:t> </w:t>
            </w:r>
          </w:p>
        </w:tc>
        <w:tc>
          <w:tcPr>
            <w:tcW w:w="348" w:type="dxa"/>
            <w:tcBorders>
              <w:bottom w:val="single" w:sz="8" w:space="0" w:color="959595"/>
            </w:tcBorders>
            <w:shd w:fill="auto" w:val="clear"/>
            <w:tcMar>
              <w:top w:w="0" w:type="dxa"/>
              <w:left w:w="0" w:type="dxa"/>
              <w:bottom w:w="28" w:type="dxa"/>
            </w:tcMar>
            <w:vAlign w:val="center"/>
          </w:tcPr>
          <w:p>
            <w:pPr>
              <w:pStyle w:val="TableContents"/>
              <w:spacing w:before="0" w:after="283"/>
              <w:rPr/>
            </w:pPr>
            <w:r>
              <w:rPr/>
              <w:t> </w:t>
            </w:r>
          </w:p>
        </w:tc>
        <w:tc>
          <w:tcPr>
            <w:tcW w:w="8317" w:type="dxa"/>
            <w:tcBorders>
              <w:bottom w:val="single" w:sz="8" w:space="0" w:color="959595"/>
            </w:tcBorders>
            <w:shd w:fill="auto" w:val="clear"/>
            <w:tcMar>
              <w:top w:w="0" w:type="dxa"/>
              <w:left w:w="0" w:type="dxa"/>
              <w:bottom w:w="28" w:type="dxa"/>
            </w:tcMar>
            <w:vAlign w:val="center"/>
          </w:tcPr>
          <w:p>
            <w:pPr>
              <w:pStyle w:val="TableContents"/>
              <w:spacing w:before="0" w:after="283"/>
              <w:rPr>
                <w:sz w:val="4"/>
                <w:szCs w:val="4"/>
              </w:rPr>
            </w:pPr>
            <w:r>
              <w:rPr>
                <w:sz w:val="4"/>
                <w:szCs w:val="4"/>
              </w:rPr>
            </w:r>
          </w:p>
        </w:tc>
        <w:tc>
          <w:tcPr>
            <w:tcW w:w="122" w:type="dxa"/>
            <w:tcBorders>
              <w:bottom w:val="single" w:sz="8" w:space="0" w:color="959595"/>
              <w:right w:val="single" w:sz="8" w:space="0" w:color="959595"/>
            </w:tcBorders>
            <w:shd w:fill="auto" w:val="clear"/>
            <w:tcMar>
              <w:top w:w="0" w:type="dxa"/>
              <w:left w:w="0" w:type="dxa"/>
              <w:bottom w:w="28" w:type="dxa"/>
              <w:right w:w="28" w:type="dxa"/>
            </w:tcMar>
            <w:vAlign w:val="center"/>
          </w:tcPr>
          <w:p>
            <w:pPr>
              <w:pStyle w:val="TableContents"/>
              <w:spacing w:before="0" w:after="283"/>
              <w:rPr>
                <w:sz w:val="4"/>
                <w:szCs w:val="4"/>
              </w:rPr>
            </w:pPr>
            <w:r>
              <w:rPr>
                <w:sz w:val="4"/>
                <w:szCs w:val="4"/>
              </w:rPr>
            </w:r>
          </w:p>
        </w:tc>
      </w:tr>
    </w:tbl>
    <w:p>
      <w:pPr>
        <w:pStyle w:val="TextBody"/>
        <w:spacing w:before="240" w:after="283"/>
        <w:jc w:val="left"/>
        <w:rPr>
          <w:rFonts w:ascii="Arial" w:hAnsi="Arial"/>
          <w:sz w:val="20"/>
        </w:rPr>
      </w:pPr>
      <w:r>
        <w:rPr>
          <w:rFonts w:ascii="Arial" w:hAnsi="Arial"/>
          <w:sz w:val="20"/>
        </w:rPr>
        <w:t>The Board is requesting that shareholders vote in favor of adopting the 2023 Comcast Corporation Omnibus Equity Incentive Plan (the “Omnibus Plan”), which was approved by the CHC Committee and the Board on February 28, 2023 and March 1, 2023, respectively, subject to shareholder approval. The Omnibus Plan has been established to replace, on a prospective basis, the Comcast Corporation 2002 Restricted Stock Plan (the “RS Plan”) and the Comcast Corporation 2003 Stock Option Plan (the “Option Plan” and, together with the RS Plan, the “Prior Plans”), each of which were last previously approved by our shareholders at our 2020 annual meeting of shareholders.</w:t>
      </w:r>
    </w:p>
    <w:p>
      <w:pPr>
        <w:pStyle w:val="TextBody"/>
        <w:jc w:val="left"/>
        <w:rPr>
          <w:rFonts w:ascii="Arial" w:hAnsi="Arial"/>
          <w:color w:val="00A1E0"/>
          <w:sz w:val="26"/>
        </w:rPr>
      </w:pPr>
      <w:r>
        <w:rPr>
          <w:rFonts w:ascii="Arial" w:hAnsi="Arial"/>
          <w:color w:val="00A1E0"/>
          <w:sz w:val="26"/>
        </w:rPr>
        <w:t>Background</w:t>
      </w:r>
    </w:p>
    <w:p>
      <w:pPr>
        <w:pStyle w:val="TextBody"/>
        <w:jc w:val="left"/>
        <w:rPr>
          <w:rFonts w:ascii="Arial" w:hAnsi="Arial"/>
          <w:sz w:val="20"/>
        </w:rPr>
      </w:pPr>
      <w:r>
        <w:rPr>
          <w:rFonts w:ascii="Arial" w:hAnsi="Arial"/>
          <w:sz w:val="20"/>
        </w:rPr>
        <w:t>In connection with the CHC Committee’s periodic evaluation of our equity incentive plans and the Board’s approval of the Omnibus Plan, the Board and the CHC Committee have considered our anticipated future equity needs, our historical equity incentive compensation practices and the advice of the CHC Committee’s independent compensation consultant. We expect that the aggregate remaining share capacity under the RS Plan will be exhausted within the next year. The Omnibus Plan, which would replace both Prior Plans and their aggregate remaining share capacity, authorizes the issuance of equity-based incentive awards to encourage strong performance by those individuals who are and will be responsible for our future growth and continued success. The Omnibus Plan would allow us to continue awarding equity incentives, which are an important component both of our executive compensation program as discussed below in “Executive Compensation – Compensation Discussion and Analysis – Elements of Our Compensation Program” and our broader-based compensation program that incentivizes approximately 20,300 of our employees with annual equity awards.</w:t>
      </w:r>
    </w:p>
    <w:p>
      <w:pPr>
        <w:pStyle w:val="TextBody"/>
        <w:jc w:val="left"/>
        <w:rPr>
          <w:rFonts w:ascii="Arial" w:hAnsi="Arial"/>
          <w:sz w:val="20"/>
        </w:rPr>
      </w:pPr>
      <w:r>
        <w:rPr>
          <w:rFonts w:ascii="Arial" w:hAnsi="Arial"/>
          <w:sz w:val="20"/>
        </w:rPr>
        <w:t>Subject to adjustment upon the occurrence of various corporate events as described in the Omnibus Plan, the aggregate number of shares reserved for issuance under the Omnibus Plan is 275 million shares minus the number of shares subject to any award granted under the Prior Plans after March 31, 2023, and prior to the date on which we register the offering of shares available under the Omnibus Plan, which registration we expect to occur in the middle of June. If the Omnibus Plan is approved by our shareholders, no further awards will be granted under the Prior Plans and the remaining share reserve will be canceled once we have registered the offering of shares under the Omnibus Plan on Form S-8. Any awards previously granted under either of the Prior Plans will continue to remain outstanding and vest and/or be exercisable in accordance with their original terms and conditions. If the Omnibus Plan is approved by shareholders, based on our historic grant practices, we anticipate that the requested share authorization under the proposed Omnibus Plan will last for approximately two to three years. The number of shares used in any fiscal year is subject to variance based on many factors, including our CHC Committee’s decisions on program design and performance, the market price of our common stock and the possibility of an increase in eligible employees due to corporate acquisitions. Our Board believes that the Omnibus Plan, including the increased number of shares available for issuance thereunder, represents a reasonable amount of potential additional equity dilution.</w:t>
      </w:r>
    </w:p>
    <w:p>
      <w:pPr>
        <w:pStyle w:val="TextBody"/>
        <w:jc w:val="left"/>
        <w:rPr>
          <w:rFonts w:ascii="Arial" w:hAnsi="Arial"/>
          <w:sz w:val="20"/>
        </w:rPr>
      </w:pPr>
      <w:r>
        <w:rPr>
          <w:rFonts w:ascii="Arial" w:hAnsi="Arial"/>
          <w:sz w:val="20"/>
        </w:rPr>
        <w:t>If the Omnibus Plan is not approved by our shareholders, the Prior Plans will remain in effect in their current form, and we will continue to grant equity incentive awards under the Prior Plans until the earlier of their expiration on May 19, 2026 or the date on which there ceases to be any shares remaining available for issuance under the Prior Plans. Once we are no longer able to issue awards under the Prior Plans, we will be unable to maintain our current equity grant practices and will be at a significant competitive disadvantage in attracting, retaining and motivating talented individuals who contribute to our success. We may also be compelled to replace equity incentive awards with cash awards, which may not align the interests of our executives and employees with those of our shareholders as effectively as equity incentive awards.</w:t>
      </w:r>
    </w:p>
    <w:tbl>
      <w:tblPr>
        <w:tblW w:w="2200" w:type="dxa"/>
        <w:jc w:val="left"/>
        <w:tblInd w:w="0" w:type="dxa"/>
        <w:tblCellMar>
          <w:top w:w="0" w:type="dxa"/>
          <w:left w:w="0" w:type="dxa"/>
          <w:bottom w:w="0" w:type="dxa"/>
          <w:right w:w="0" w:type="dxa"/>
        </w:tblCellMar>
      </w:tblPr>
      <w:tblGrid>
        <w:gridCol w:w="1580"/>
        <w:gridCol w:w="620"/>
      </w:tblGrid>
      <w:tr>
        <w:trPr/>
        <w:tc>
          <w:tcPr>
            <w:tcW w:w="1580" w:type="dxa"/>
            <w:tcBorders/>
            <w:shd w:fill="auto" w:val="clear"/>
            <w:vAlign w:val="center"/>
          </w:tcPr>
          <w:p>
            <w:pPr>
              <w:pStyle w:val="TableContents"/>
              <w:spacing w:before="0" w:after="283"/>
              <w:jc w:val="right"/>
              <w:rPr>
                <w:rFonts w:ascii="Arial" w:hAnsi="Arial"/>
                <w:sz w:val="15"/>
              </w:rPr>
            </w:pPr>
            <w:r>
              <w:rPr>
                <w:rFonts w:ascii="Arial" w:hAnsi="Arial"/>
                <w:sz w:val="15"/>
              </w:rPr>
              <w:t>2023 Proxy Statement</w:t>
            </w:r>
          </w:p>
        </w:tc>
        <w:tc>
          <w:tcPr>
            <w:tcW w:w="620" w:type="dxa"/>
            <w:tcBorders/>
            <w:shd w:fill="auto" w:val="clear"/>
            <w:vAlign w:val="center"/>
          </w:tcPr>
          <w:p>
            <w:pPr>
              <w:pStyle w:val="TableContents"/>
              <w:spacing w:before="0" w:after="283"/>
              <w:jc w:val="right"/>
              <w:rPr/>
            </w:pPr>
            <w:r>
              <w:rPr/>
              <w:t>       </w:t>
            </w:r>
            <w:r>
              <w:rPr>
                <w:rFonts w:ascii="Arial" w:hAnsi="Arial"/>
                <w:b/>
                <w:sz w:val="15"/>
              </w:rPr>
              <w:t>31</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p>
      <w:pPr>
        <w:pStyle w:val="TextBody"/>
        <w:jc w:val="left"/>
        <w:rPr>
          <w:rFonts w:ascii="Arial" w:hAnsi="Arial"/>
          <w:color w:val="00A1E0"/>
          <w:sz w:val="26"/>
        </w:rPr>
      </w:pPr>
      <w:r>
        <w:rPr>
          <w:rFonts w:ascii="Arial" w:hAnsi="Arial"/>
          <w:color w:val="00A1E0"/>
          <w:sz w:val="26"/>
        </w:rPr>
        <w:t>Compensation and Governance Best Practices</w:t>
      </w:r>
    </w:p>
    <w:p>
      <w:pPr>
        <w:pStyle w:val="TextBody"/>
        <w:jc w:val="left"/>
        <w:rPr>
          <w:rFonts w:ascii="Arial" w:hAnsi="Arial"/>
          <w:sz w:val="20"/>
        </w:rPr>
      </w:pPr>
      <w:r>
        <w:rPr>
          <w:rFonts w:ascii="Arial" w:hAnsi="Arial"/>
          <w:sz w:val="20"/>
        </w:rPr>
        <w:t>The Omnibus Plan includes various compensation and governance best practices, with some of the key features as follows:</w:t>
      </w:r>
    </w:p>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rFonts w:ascii="Arial" w:hAnsi="Arial"/>
                <w:b/>
                <w:i/>
                <w:sz w:val="20"/>
              </w:rPr>
              <w:t xml:space="preserve">Independent Committee Administration. </w:t>
            </w:r>
            <w:r>
              <w:rPr>
                <w:rFonts w:ascii="Arial" w:hAnsi="Arial"/>
                <w:sz w:val="20"/>
              </w:rPr>
              <w:t>The Omnibus Plan is generally administered by our CHC Committee, which is composed entirely of independent directors.</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rFonts w:ascii="Arial" w:hAnsi="Arial"/>
                <w:b/>
                <w:i/>
                <w:sz w:val="20"/>
              </w:rPr>
              <w:t xml:space="preserve">No Evergreen. </w:t>
            </w:r>
            <w:r>
              <w:rPr>
                <w:rFonts w:ascii="Arial" w:hAnsi="Arial"/>
                <w:sz w:val="20"/>
              </w:rPr>
              <w:t>The Omnibus Plan does not contain an “evergreen” feature pursuant to which the shares authorized for issuance under the plan can be increased automatically without shareholder approval.</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rFonts w:ascii="Arial" w:hAnsi="Arial"/>
                <w:b/>
                <w:i/>
                <w:sz w:val="20"/>
              </w:rPr>
              <w:t xml:space="preserve">No tax gross-ups. </w:t>
            </w:r>
            <w:r>
              <w:rPr>
                <w:rFonts w:ascii="Arial" w:hAnsi="Arial"/>
                <w:sz w:val="20"/>
              </w:rPr>
              <w:t>No participant is entitled under the Omnibus Plan to any tax gross-up payments for any excise tax pursuant to Sections 280G or 4999 of the Internal Revenue Code that may be incurred in connection with awards under the plan.</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rFonts w:ascii="Arial" w:hAnsi="Arial"/>
                <w:b/>
                <w:i/>
                <w:sz w:val="20"/>
              </w:rPr>
              <w:t xml:space="preserve">No Dividend Equivalents on Unvested Awards. </w:t>
            </w:r>
            <w:r>
              <w:rPr>
                <w:rFonts w:ascii="Arial" w:hAnsi="Arial"/>
                <w:sz w:val="20"/>
              </w:rPr>
              <w:t>Any dividend or dividend equivalents with respect to any shares underlying full-value awards will not be paid until the award has vested and been earned.</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rFonts w:ascii="Arial" w:hAnsi="Arial"/>
                <w:b/>
                <w:i/>
                <w:sz w:val="20"/>
              </w:rPr>
              <w:t xml:space="preserve">No “Liberal” Share Recycling. </w:t>
            </w:r>
            <w:r>
              <w:rPr>
                <w:rFonts w:ascii="Arial" w:hAnsi="Arial"/>
                <w:sz w:val="20"/>
              </w:rPr>
              <w:t>Any shares withheld to satisfy tax withholding obligations or an exercise price (i.e., via a cashless exercise) will not again be available for issuance under the Omnibus Plan, and no stock options may be granted covering shares repurchased by the Company on the open market with proceeds, if any, received by the Company on account of payment of the exercise price for a stock option.</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rFonts w:ascii="Arial" w:hAnsi="Arial"/>
                <w:b/>
                <w:i/>
                <w:sz w:val="20"/>
              </w:rPr>
              <w:t xml:space="preserve">Prohibition on Repricing. </w:t>
            </w:r>
            <w:r>
              <w:rPr>
                <w:rFonts w:ascii="Arial" w:hAnsi="Arial"/>
                <w:sz w:val="20"/>
              </w:rPr>
              <w:t>The Omnibus Plan expressly states that stock options and stock appreciation rights (“SARs”) may not be “repriced” without shareholder approval.</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rFonts w:ascii="Arial" w:hAnsi="Arial"/>
                <w:b/>
                <w:i/>
                <w:sz w:val="20"/>
              </w:rPr>
              <w:t xml:space="preserve">No “Liberal” Change in Control Definition. </w:t>
            </w:r>
            <w:r>
              <w:rPr>
                <w:rFonts w:ascii="Arial" w:hAnsi="Arial"/>
                <w:sz w:val="20"/>
              </w:rPr>
              <w:t>Our change in control definition does not permit acceleration of equity awards unless an actual change in control occurs (see “Change in Control” below for the definition of a change in control under the Omnibus Plan).</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rFonts w:ascii="Arial" w:hAnsi="Arial"/>
                <w:b/>
                <w:i/>
                <w:sz w:val="20"/>
              </w:rPr>
              <w:t xml:space="preserve">Clawback Provisions. </w:t>
            </w:r>
            <w:r>
              <w:rPr>
                <w:rFonts w:ascii="Arial" w:hAnsi="Arial"/>
                <w:sz w:val="20"/>
              </w:rPr>
              <w:t>We have a clawback policy that provides for clawback of vested and unvested awards, including under the Omnibus Plan, as described in more detail on page 53 in “Executive Compensation – Compensation Discussion and Analysis – Other Compensation Policies and Considerations – Recoupment (or “Clawback”) Policy.”</w:t>
            </w:r>
          </w:p>
        </w:tc>
      </w:tr>
    </w:tbl>
    <w:p>
      <w:pPr>
        <w:pStyle w:val="TextBody"/>
        <w:spacing w:before="240" w:after="283"/>
        <w:jc w:val="left"/>
        <w:rPr>
          <w:rFonts w:ascii="Arial" w:hAnsi="Arial"/>
          <w:sz w:val="20"/>
        </w:rPr>
      </w:pPr>
      <w:r>
        <w:rPr>
          <w:rFonts w:ascii="Arial" w:hAnsi="Arial"/>
          <w:sz w:val="20"/>
        </w:rPr>
        <w:t>We also have a robust stock ownership policy for our executive officers and other key executives, as well as nonemployee directors. This policy is designed to increase the executives’ ownership stakes in our company and thereby align their interests with the interests of our shareholders. A person who is not in compliance with these guidelines cannot sell or otherwise dispose of any stock until he or she meets the applicable ownership requirement. Information on our stock ownership policy can be found, for our executive officers, on page 52 in “Executive Compensation – Compensation Discussion and Analysis – Other Compensation Policies and Considerations – Executive Stock Ownership Policy” and for our nonemployee directors on page 86 in “Compensation of Directors – Director Stock Ownership Policy.”</w:t>
      </w:r>
    </w:p>
    <w:p>
      <w:pPr>
        <w:pStyle w:val="TextBody"/>
        <w:jc w:val="left"/>
        <w:rPr>
          <w:rFonts w:ascii="Arial" w:hAnsi="Arial"/>
          <w:color w:val="00A1E0"/>
          <w:sz w:val="26"/>
        </w:rPr>
      </w:pPr>
      <w:r>
        <w:rPr>
          <w:rFonts w:ascii="Arial" w:hAnsi="Arial"/>
          <w:color w:val="00A1E0"/>
          <w:sz w:val="26"/>
        </w:rPr>
        <w:t>Information on the Omnibus Plan and Shares Outstanding under the Prior Plans</w:t>
      </w:r>
    </w:p>
    <w:p>
      <w:pPr>
        <w:pStyle w:val="TextBody"/>
        <w:jc w:val="left"/>
        <w:rPr>
          <w:rFonts w:ascii="Arial" w:hAnsi="Arial"/>
          <w:sz w:val="20"/>
        </w:rPr>
      </w:pPr>
      <w:r>
        <w:rPr>
          <w:rFonts w:ascii="Arial" w:hAnsi="Arial"/>
          <w:sz w:val="20"/>
        </w:rPr>
        <w:t>The following table sets forth certain information about the Omnibus Plan and equity awards that are outstanding under the Prior Plans as of March 31, 2023, assuming, in the case of performance-based awards whose performance periods have not ended, target performance.</w:t>
      </w:r>
    </w:p>
    <w:tbl>
      <w:tblPr>
        <w:tblW w:w="10205" w:type="dxa"/>
        <w:jc w:val="left"/>
        <w:tblInd w:w="0" w:type="dxa"/>
        <w:tblCellMar>
          <w:top w:w="28" w:type="dxa"/>
          <w:left w:w="0" w:type="dxa"/>
          <w:bottom w:w="28" w:type="dxa"/>
          <w:right w:w="0" w:type="dxa"/>
        </w:tblCellMar>
      </w:tblPr>
      <w:tblGrid>
        <w:gridCol w:w="8820"/>
        <w:gridCol w:w="300"/>
        <w:gridCol w:w="1085"/>
      </w:tblGrid>
      <w:tr>
        <w:trPr/>
        <w:tc>
          <w:tcPr>
            <w:tcW w:w="8820" w:type="dxa"/>
            <w:tcBorders>
              <w:top w:val="single" w:sz="12" w:space="0" w:color="000000"/>
              <w:bottom w:val="single" w:sz="8" w:space="0" w:color="000000"/>
            </w:tcBorders>
            <w:shd w:fill="auto" w:val="clear"/>
            <w:vAlign w:val="center"/>
          </w:tcPr>
          <w:p>
            <w:pPr>
              <w:pStyle w:val="TableContents"/>
              <w:spacing w:before="0" w:after="283"/>
              <w:jc w:val="left"/>
              <w:rPr>
                <w:rFonts w:ascii="Arial" w:hAnsi="Arial"/>
                <w:sz w:val="20"/>
              </w:rPr>
            </w:pPr>
            <w:r>
              <w:rPr>
                <w:rFonts w:ascii="Arial" w:hAnsi="Arial"/>
                <w:sz w:val="20"/>
              </w:rPr>
              <w:t>Total number of shares that would be authorized for future grants upon shareholder approval of the Omnibus Plan</w:t>
            </w:r>
          </w:p>
        </w:tc>
        <w:tc>
          <w:tcPr>
            <w:tcW w:w="300" w:type="dxa"/>
            <w:tcBorders>
              <w:top w:val="single" w:sz="12" w:space="0" w:color="000000"/>
              <w:bottom w:val="single" w:sz="8" w:space="0" w:color="000000"/>
            </w:tcBorders>
            <w:shd w:fill="auto" w:val="clear"/>
            <w:vAlign w:val="center"/>
          </w:tcPr>
          <w:p>
            <w:pPr>
              <w:pStyle w:val="TableContents"/>
              <w:spacing w:before="0" w:after="283"/>
              <w:jc w:val="left"/>
              <w:rPr/>
            </w:pPr>
            <w:r>
              <w:rPr/>
              <w:t>     </w:t>
            </w:r>
          </w:p>
        </w:tc>
        <w:tc>
          <w:tcPr>
            <w:tcW w:w="1085" w:type="dxa"/>
            <w:tcBorders>
              <w:top w:val="single" w:sz="12" w:space="0" w:color="000000"/>
              <w:bottom w:val="single" w:sz="8" w:space="0" w:color="000000"/>
            </w:tcBorders>
            <w:shd w:fill="auto" w:val="clear"/>
            <w:vAlign w:val="center"/>
          </w:tcPr>
          <w:p>
            <w:pPr>
              <w:pStyle w:val="TableContents"/>
              <w:spacing w:before="0" w:after="283"/>
              <w:jc w:val="right"/>
              <w:rPr>
                <w:rFonts w:ascii="Arial" w:hAnsi="Arial"/>
                <w:sz w:val="20"/>
              </w:rPr>
            </w:pPr>
            <w:r>
              <w:rPr>
                <w:rFonts w:ascii="Arial" w:hAnsi="Arial"/>
                <w:sz w:val="20"/>
              </w:rPr>
              <w:t>275,000,000</w:t>
            </w:r>
          </w:p>
        </w:tc>
      </w:tr>
      <w:tr>
        <w:trPr/>
        <w:tc>
          <w:tcPr>
            <w:tcW w:w="8820" w:type="dxa"/>
            <w:tcBorders>
              <w:bottom w:val="single" w:sz="8" w:space="0" w:color="000000"/>
            </w:tcBorders>
            <w:shd w:fill="auto" w:val="clear"/>
            <w:tcMar>
              <w:top w:w="0" w:type="dxa"/>
            </w:tcMar>
            <w:vAlign w:val="center"/>
          </w:tcPr>
          <w:p>
            <w:pPr>
              <w:pStyle w:val="TableContents"/>
              <w:spacing w:before="0" w:after="283"/>
              <w:jc w:val="left"/>
              <w:rPr>
                <w:rFonts w:ascii="Arial" w:hAnsi="Arial"/>
                <w:sz w:val="20"/>
              </w:rPr>
            </w:pPr>
            <w:r>
              <w:rPr>
                <w:rFonts w:ascii="Arial" w:hAnsi="Arial"/>
                <w:sz w:val="20"/>
              </w:rPr>
              <w:t>Number of shares relating to outstanding stock options under the Option Plan</w:t>
            </w:r>
          </w:p>
        </w:tc>
        <w:tc>
          <w:tcPr>
            <w:tcW w:w="300" w:type="dxa"/>
            <w:tcBorders>
              <w:bottom w:val="single" w:sz="8" w:space="0" w:color="000000"/>
            </w:tcBorders>
            <w:shd w:fill="auto" w:val="clear"/>
            <w:tcMar>
              <w:top w:w="0" w:type="dxa"/>
            </w:tcMar>
            <w:vAlign w:val="center"/>
          </w:tcPr>
          <w:p>
            <w:pPr>
              <w:pStyle w:val="TableContents"/>
              <w:spacing w:before="0" w:after="283"/>
              <w:rPr>
                <w:sz w:val="4"/>
                <w:szCs w:val="4"/>
              </w:rPr>
            </w:pPr>
            <w:r>
              <w:rPr>
                <w:sz w:val="4"/>
                <w:szCs w:val="4"/>
              </w:rPr>
            </w:r>
          </w:p>
        </w:tc>
        <w:tc>
          <w:tcPr>
            <w:tcW w:w="1085" w:type="dxa"/>
            <w:tcBorders>
              <w:bottom w:val="single" w:sz="8" w:space="0" w:color="000000"/>
            </w:tcBorders>
            <w:shd w:fill="auto" w:val="clear"/>
            <w:tcMar>
              <w:top w:w="0" w:type="dxa"/>
            </w:tcMar>
            <w:vAlign w:val="center"/>
          </w:tcPr>
          <w:p>
            <w:pPr>
              <w:pStyle w:val="TableContents"/>
              <w:spacing w:before="0" w:after="283"/>
              <w:jc w:val="right"/>
              <w:rPr>
                <w:rFonts w:ascii="Arial" w:hAnsi="Arial"/>
                <w:sz w:val="20"/>
              </w:rPr>
            </w:pPr>
            <w:r>
              <w:rPr>
                <w:rFonts w:ascii="Arial" w:hAnsi="Arial"/>
                <w:sz w:val="20"/>
              </w:rPr>
              <w:t>280,697,147</w:t>
            </w:r>
          </w:p>
        </w:tc>
      </w:tr>
      <w:tr>
        <w:trPr/>
        <w:tc>
          <w:tcPr>
            <w:tcW w:w="8820" w:type="dxa"/>
            <w:tcBorders>
              <w:bottom w:val="single" w:sz="8" w:space="0" w:color="000000"/>
            </w:tcBorders>
            <w:shd w:fill="auto" w:val="clear"/>
            <w:tcMar>
              <w:top w:w="0" w:type="dxa"/>
            </w:tcMar>
            <w:vAlign w:val="center"/>
          </w:tcPr>
          <w:p>
            <w:pPr>
              <w:pStyle w:val="TableContents"/>
              <w:spacing w:before="0" w:after="283"/>
              <w:jc w:val="left"/>
              <w:rPr>
                <w:rFonts w:ascii="Arial" w:hAnsi="Arial"/>
                <w:sz w:val="20"/>
              </w:rPr>
            </w:pPr>
            <w:r>
              <w:rPr>
                <w:rFonts w:ascii="Arial" w:hAnsi="Arial"/>
                <w:sz w:val="20"/>
              </w:rPr>
              <w:t>Weighted average remaining term of outstanding options under the Option Plan</w:t>
            </w:r>
          </w:p>
        </w:tc>
        <w:tc>
          <w:tcPr>
            <w:tcW w:w="300" w:type="dxa"/>
            <w:tcBorders>
              <w:bottom w:val="single" w:sz="8" w:space="0" w:color="000000"/>
            </w:tcBorders>
            <w:shd w:fill="auto" w:val="clear"/>
            <w:tcMar>
              <w:top w:w="0" w:type="dxa"/>
            </w:tcMar>
            <w:vAlign w:val="center"/>
          </w:tcPr>
          <w:p>
            <w:pPr>
              <w:pStyle w:val="TableContents"/>
              <w:spacing w:before="0" w:after="283"/>
              <w:rPr>
                <w:sz w:val="4"/>
                <w:szCs w:val="4"/>
              </w:rPr>
            </w:pPr>
            <w:r>
              <w:rPr>
                <w:sz w:val="4"/>
                <w:szCs w:val="4"/>
              </w:rPr>
            </w:r>
          </w:p>
        </w:tc>
        <w:tc>
          <w:tcPr>
            <w:tcW w:w="1085" w:type="dxa"/>
            <w:tcBorders>
              <w:bottom w:val="single" w:sz="8" w:space="0" w:color="000000"/>
            </w:tcBorders>
            <w:shd w:fill="auto" w:val="clear"/>
            <w:tcMar>
              <w:top w:w="0" w:type="dxa"/>
            </w:tcMar>
            <w:vAlign w:val="center"/>
          </w:tcPr>
          <w:p>
            <w:pPr>
              <w:pStyle w:val="TableContents"/>
              <w:spacing w:before="0" w:after="283"/>
              <w:jc w:val="right"/>
              <w:rPr>
                <w:rFonts w:ascii="Arial" w:hAnsi="Arial"/>
                <w:sz w:val="20"/>
              </w:rPr>
            </w:pPr>
            <w:r>
              <w:rPr>
                <w:rFonts w:ascii="Arial" w:hAnsi="Arial"/>
                <w:sz w:val="20"/>
              </w:rPr>
              <w:t>6.98 years</w:t>
            </w:r>
          </w:p>
        </w:tc>
      </w:tr>
      <w:tr>
        <w:trPr/>
        <w:tc>
          <w:tcPr>
            <w:tcW w:w="8820" w:type="dxa"/>
            <w:tcBorders>
              <w:bottom w:val="single" w:sz="8" w:space="0" w:color="000000"/>
            </w:tcBorders>
            <w:shd w:fill="auto" w:val="clear"/>
            <w:tcMar>
              <w:top w:w="0" w:type="dxa"/>
            </w:tcMar>
            <w:vAlign w:val="center"/>
          </w:tcPr>
          <w:p>
            <w:pPr>
              <w:pStyle w:val="TableContents"/>
              <w:spacing w:before="0" w:after="283"/>
              <w:jc w:val="left"/>
              <w:rPr>
                <w:rFonts w:ascii="Arial" w:hAnsi="Arial"/>
                <w:sz w:val="20"/>
              </w:rPr>
            </w:pPr>
            <w:r>
              <w:rPr>
                <w:rFonts w:ascii="Arial" w:hAnsi="Arial"/>
                <w:sz w:val="20"/>
              </w:rPr>
              <w:t>Number of shares relating to awards of RSUs and performance stock units (“PSUs”) under the RS Plan</w:t>
            </w:r>
          </w:p>
        </w:tc>
        <w:tc>
          <w:tcPr>
            <w:tcW w:w="300" w:type="dxa"/>
            <w:tcBorders>
              <w:bottom w:val="single" w:sz="8" w:space="0" w:color="000000"/>
            </w:tcBorders>
            <w:shd w:fill="auto" w:val="clear"/>
            <w:tcMar>
              <w:top w:w="0" w:type="dxa"/>
            </w:tcMar>
            <w:vAlign w:val="center"/>
          </w:tcPr>
          <w:p>
            <w:pPr>
              <w:pStyle w:val="TableContents"/>
              <w:spacing w:before="0" w:after="283"/>
              <w:rPr>
                <w:sz w:val="4"/>
                <w:szCs w:val="4"/>
              </w:rPr>
            </w:pPr>
            <w:r>
              <w:rPr>
                <w:sz w:val="4"/>
                <w:szCs w:val="4"/>
              </w:rPr>
            </w:r>
          </w:p>
        </w:tc>
        <w:tc>
          <w:tcPr>
            <w:tcW w:w="1085" w:type="dxa"/>
            <w:tcBorders>
              <w:bottom w:val="single" w:sz="8" w:space="0" w:color="000000"/>
            </w:tcBorders>
            <w:shd w:fill="auto" w:val="clear"/>
            <w:tcMar>
              <w:top w:w="0" w:type="dxa"/>
            </w:tcMar>
            <w:vAlign w:val="center"/>
          </w:tcPr>
          <w:p>
            <w:pPr>
              <w:pStyle w:val="TableContents"/>
              <w:spacing w:before="0" w:after="283"/>
              <w:jc w:val="right"/>
              <w:rPr>
                <w:rFonts w:ascii="Arial" w:hAnsi="Arial"/>
                <w:sz w:val="20"/>
              </w:rPr>
            </w:pPr>
            <w:r>
              <w:rPr>
                <w:rFonts w:ascii="Arial" w:hAnsi="Arial"/>
                <w:sz w:val="20"/>
              </w:rPr>
              <w:t>57,839,736</w:t>
            </w:r>
          </w:p>
        </w:tc>
      </w:tr>
    </w:tbl>
    <w:p>
      <w:pPr>
        <w:pStyle w:val="TextBody"/>
        <w:spacing w:before="240" w:after="283"/>
        <w:ind w:left="0" w:right="0" w:hanging="0"/>
        <w:jc w:val="left"/>
        <w:rPr>
          <w:rFonts w:ascii="Arial" w:hAnsi="Arial"/>
          <w:color w:val="00A1E0"/>
          <w:sz w:val="26"/>
        </w:rPr>
      </w:pPr>
      <w:r>
        <w:rPr>
          <w:rFonts w:ascii="Arial" w:hAnsi="Arial"/>
          <w:color w:val="00A1E0"/>
          <w:sz w:val="26"/>
        </w:rPr>
        <w:t>Potential Dilution; Burn Rate</w:t>
      </w:r>
    </w:p>
    <w:p>
      <w:pPr>
        <w:pStyle w:val="TextBody"/>
        <w:jc w:val="left"/>
        <w:rPr>
          <w:rFonts w:ascii="Arial" w:hAnsi="Arial"/>
          <w:sz w:val="20"/>
        </w:rPr>
      </w:pPr>
      <w:r>
        <w:rPr>
          <w:rFonts w:ascii="Arial" w:hAnsi="Arial"/>
          <w:sz w:val="20"/>
        </w:rPr>
        <w:t>When considering the number of shares proposed to be made available for grant under the Omnibus Plan, the CHC Committee and the Board reviewed, among other things, the potential dilution to our shareholders as measured by the burn rate. The following table sets forth information regarding the three-year average for equity awards granted and the corresponding three-year average burn rate, which is defined as the three-year average number of equity awards granted in a year, divided by the three-year weighted-average number of common shares outstanding.</w:t>
      </w:r>
    </w:p>
    <w:tbl>
      <w:tblPr>
        <w:tblW w:w="223" w:type="dxa"/>
        <w:jc w:val="left"/>
        <w:tblInd w:w="0" w:type="dxa"/>
        <w:tblCellMar>
          <w:top w:w="0" w:type="dxa"/>
          <w:left w:w="0" w:type="dxa"/>
          <w:bottom w:w="0" w:type="dxa"/>
          <w:right w:w="0" w:type="dxa"/>
        </w:tblCellMar>
      </w:tblPr>
      <w:tblGrid>
        <w:gridCol w:w="200"/>
        <w:gridCol w:w="23"/>
      </w:tblGrid>
      <w:tr>
        <w:trPr/>
        <w:tc>
          <w:tcPr>
            <w:tcW w:w="200" w:type="dxa"/>
            <w:tcBorders/>
            <w:shd w:fill="auto" w:val="clear"/>
            <w:vAlign w:val="center"/>
          </w:tcPr>
          <w:p>
            <w:pPr>
              <w:pStyle w:val="TableContents"/>
              <w:spacing w:before="0" w:after="283"/>
              <w:jc w:val="left"/>
              <w:rPr>
                <w:rFonts w:ascii="Arial" w:hAnsi="Arial"/>
                <w:b/>
                <w:sz w:val="15"/>
              </w:rPr>
            </w:pPr>
            <w:r>
              <w:rPr>
                <w:rFonts w:ascii="Arial" w:hAnsi="Arial"/>
                <w:b/>
                <w:sz w:val="15"/>
              </w:rPr>
              <w:t>32</w:t>
            </w:r>
          </w:p>
        </w:tc>
        <w:tc>
          <w:tcPr>
            <w:tcW w:w="2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6984" w:type="dxa"/>
        <w:jc w:val="left"/>
        <w:tblInd w:w="0" w:type="dxa"/>
        <w:tblCellMar>
          <w:top w:w="0" w:type="dxa"/>
          <w:left w:w="0" w:type="dxa"/>
          <w:bottom w:w="40" w:type="dxa"/>
          <w:right w:w="0" w:type="dxa"/>
        </w:tblCellMar>
      </w:tblPr>
      <w:tblGrid>
        <w:gridCol w:w="5255"/>
        <w:gridCol w:w="300"/>
        <w:gridCol w:w="1187"/>
        <w:gridCol w:w="242"/>
      </w:tblGrid>
      <w:tr>
        <w:trPr/>
        <w:tc>
          <w:tcPr>
            <w:tcW w:w="5255" w:type="dxa"/>
            <w:tcBorders>
              <w:bottom w:val="single" w:sz="12" w:space="0" w:color="000000"/>
            </w:tcBorders>
            <w:shd w:fill="auto" w:val="clear"/>
            <w:vAlign w:val="center"/>
          </w:tcPr>
          <w:p>
            <w:pPr>
              <w:pStyle w:val="TableContents"/>
              <w:spacing w:before="0" w:after="283"/>
              <w:rPr>
                <w:sz w:val="4"/>
                <w:szCs w:val="4"/>
              </w:rPr>
            </w:pPr>
            <w:r>
              <w:rPr>
                <w:sz w:val="4"/>
                <w:szCs w:val="4"/>
              </w:rPr>
            </w:r>
          </w:p>
        </w:tc>
        <w:tc>
          <w:tcPr>
            <w:tcW w:w="300" w:type="dxa"/>
            <w:tcBorders>
              <w:bottom w:val="single" w:sz="12" w:space="0" w:color="000000"/>
            </w:tcBorders>
            <w:shd w:fill="auto" w:val="clear"/>
            <w:vAlign w:val="center"/>
          </w:tcPr>
          <w:p>
            <w:pPr>
              <w:pStyle w:val="TableContents"/>
              <w:spacing w:before="0" w:after="283"/>
              <w:jc w:val="left"/>
              <w:rPr/>
            </w:pPr>
            <w:r>
              <w:rPr/>
              <w:t>     </w:t>
            </w:r>
          </w:p>
        </w:tc>
        <w:tc>
          <w:tcPr>
            <w:tcW w:w="1429" w:type="dxa"/>
            <w:gridSpan w:val="2"/>
            <w:tcBorders>
              <w:bottom w:val="single" w:sz="12" w:space="0" w:color="000000"/>
            </w:tcBorders>
            <w:shd w:fill="auto" w:val="clear"/>
            <w:vAlign w:val="center"/>
          </w:tcPr>
          <w:p>
            <w:pPr>
              <w:pStyle w:val="TableContents"/>
              <w:spacing w:before="0" w:after="283"/>
              <w:jc w:val="right"/>
              <w:rPr/>
            </w:pPr>
            <w:r>
              <w:rPr>
                <w:rStyle w:val="StrongEmphasis"/>
                <w:rFonts w:ascii="Arial" w:hAnsi="Arial"/>
                <w:sz w:val="15"/>
              </w:rPr>
              <w:t>3-YEAR AVERAGE</w:t>
              <w:br/>
              <w:t>(AS OF 12/31/2022)</w:t>
            </w:r>
          </w:p>
        </w:tc>
      </w:tr>
      <w:tr>
        <w:trPr/>
        <w:tc>
          <w:tcPr>
            <w:tcW w:w="5255" w:type="dxa"/>
            <w:tcBorders>
              <w:bottom w:val="single" w:sz="8" w:space="0" w:color="000000"/>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Stock-Settled Time-Vested Restricted Shares/Units Granted</w:t>
            </w:r>
          </w:p>
        </w:tc>
        <w:tc>
          <w:tcPr>
            <w:tcW w:w="3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87"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17,363,723</w:t>
            </w:r>
          </w:p>
        </w:tc>
        <w:tc>
          <w:tcPr>
            <w:tcW w:w="242"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5255" w:type="dxa"/>
            <w:tcBorders>
              <w:bottom w:val="single" w:sz="8" w:space="0" w:color="000000"/>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Stock-Settled Performance-Based Shares/Units Granted</w:t>
            </w:r>
          </w:p>
        </w:tc>
        <w:tc>
          <w:tcPr>
            <w:tcW w:w="3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87"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1,112,823</w:t>
            </w:r>
          </w:p>
        </w:tc>
        <w:tc>
          <w:tcPr>
            <w:tcW w:w="242"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5255" w:type="dxa"/>
            <w:tcBorders>
              <w:bottom w:val="single" w:sz="8" w:space="0" w:color="000000"/>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Time-Vested Stock Options/SARs Granted</w:t>
            </w:r>
          </w:p>
        </w:tc>
        <w:tc>
          <w:tcPr>
            <w:tcW w:w="3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87"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51,189,233</w:t>
            </w:r>
          </w:p>
        </w:tc>
        <w:tc>
          <w:tcPr>
            <w:tcW w:w="242"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5255" w:type="dxa"/>
            <w:tcBorders>
              <w:bottom w:val="single" w:sz="8" w:space="0" w:color="000000"/>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Performance-Based Stock Options/SARs Granted</w:t>
            </w:r>
          </w:p>
        </w:tc>
        <w:tc>
          <w:tcPr>
            <w:tcW w:w="3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87"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666,667</w:t>
            </w:r>
          </w:p>
        </w:tc>
        <w:tc>
          <w:tcPr>
            <w:tcW w:w="242"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5255" w:type="dxa"/>
            <w:tcBorders>
              <w:bottom w:val="single" w:sz="8" w:space="0" w:color="000000"/>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Weighted-Average Shares Outstanding (Diluted) (in millions)</w:t>
            </w:r>
          </w:p>
        </w:tc>
        <w:tc>
          <w:tcPr>
            <w:tcW w:w="3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87"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4,521</w:t>
            </w:r>
          </w:p>
        </w:tc>
        <w:tc>
          <w:tcPr>
            <w:tcW w:w="242"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5255" w:type="dxa"/>
            <w:tcBorders>
              <w:bottom w:val="single" w:sz="8" w:space="0" w:color="000000"/>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Unadjusted Burn Rate</w:t>
            </w:r>
          </w:p>
        </w:tc>
        <w:tc>
          <w:tcPr>
            <w:tcW w:w="3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87"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1.6</w:t>
            </w:r>
          </w:p>
        </w:tc>
        <w:tc>
          <w:tcPr>
            <w:tcW w:w="242" w:type="dxa"/>
            <w:tcBorders>
              <w:bottom w:val="single" w:sz="8" w:space="0" w:color="000000"/>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w:t>
            </w:r>
          </w:p>
        </w:tc>
      </w:tr>
    </w:tbl>
    <w:p>
      <w:pPr>
        <w:pStyle w:val="TextBody"/>
        <w:spacing w:before="240" w:after="283"/>
        <w:jc w:val="left"/>
        <w:rPr>
          <w:rFonts w:ascii="Arial" w:hAnsi="Arial"/>
          <w:color w:val="00A1E0"/>
          <w:sz w:val="26"/>
        </w:rPr>
      </w:pPr>
      <w:r>
        <w:rPr>
          <w:rFonts w:ascii="Arial" w:hAnsi="Arial"/>
          <w:color w:val="00A1E0"/>
          <w:sz w:val="26"/>
        </w:rPr>
        <w:t>Equity Compensation Plan Information</w:t>
      </w:r>
    </w:p>
    <w:p>
      <w:pPr>
        <w:pStyle w:val="TextBody"/>
        <w:jc w:val="left"/>
        <w:rPr>
          <w:rFonts w:ascii="Arial" w:hAnsi="Arial"/>
          <w:sz w:val="20"/>
        </w:rPr>
      </w:pPr>
      <w:r>
        <w:rPr>
          <w:rFonts w:ascii="Arial" w:hAnsi="Arial"/>
          <w:sz w:val="20"/>
        </w:rPr>
        <w:t>Please see our “Equity Compensation Plan Information” table on page 63 for a summary of our equity compensation plan information as of December 31, 2022.</w:t>
      </w:r>
    </w:p>
    <w:p>
      <w:pPr>
        <w:pStyle w:val="TextBody"/>
        <w:jc w:val="left"/>
        <w:rPr>
          <w:rFonts w:ascii="Arial" w:hAnsi="Arial"/>
          <w:color w:val="00A1E0"/>
          <w:sz w:val="26"/>
        </w:rPr>
      </w:pPr>
      <w:r>
        <w:rPr>
          <w:rFonts w:ascii="Arial" w:hAnsi="Arial"/>
          <w:color w:val="00A1E0"/>
          <w:sz w:val="26"/>
        </w:rPr>
        <w:t>Summary of the Omnibus Plan</w:t>
      </w:r>
    </w:p>
    <w:p>
      <w:pPr>
        <w:pStyle w:val="TextBody"/>
        <w:jc w:val="left"/>
        <w:rPr/>
      </w:pPr>
      <w:r>
        <w:rPr>
          <w:rFonts w:ascii="Arial" w:hAnsi="Arial"/>
          <w:sz w:val="20"/>
        </w:rPr>
        <w:t xml:space="preserve">A summary of the Omnibus Plan is set forth below. This summary does not purport to be complete and is qualified in its entirety by reference to the terms of the Omnibus Plan, which is attached as </w:t>
      </w:r>
      <w:r>
        <w:rPr>
          <w:rFonts w:ascii="Arial" w:hAnsi="Arial"/>
          <w:sz w:val="20"/>
          <w:u w:val="single"/>
        </w:rPr>
        <w:t>Appendix C</w:t>
      </w:r>
      <w:r>
        <w:rPr/>
        <w:t xml:space="preserve"> </w:t>
      </w:r>
      <w:r>
        <w:rPr>
          <w:rFonts w:ascii="Arial" w:hAnsi="Arial"/>
          <w:sz w:val="20"/>
        </w:rPr>
        <w:t>to this proxy statement. Capitalized terms used in this summary that are not otherwise defined have the respective meanings given such terms in the Omnibus Plan.</w:t>
      </w:r>
    </w:p>
    <w:p>
      <w:pPr>
        <w:pStyle w:val="TextBody"/>
        <w:jc w:val="left"/>
        <w:rPr/>
      </w:pPr>
      <w:r>
        <w:rPr>
          <w:rStyle w:val="Emphasis"/>
          <w:rFonts w:ascii="Arial" w:hAnsi="Arial"/>
          <w:sz w:val="20"/>
        </w:rPr>
        <w:t>Purpose.</w:t>
      </w:r>
      <w:r>
        <w:rPr>
          <w:rFonts w:ascii="Arial" w:hAnsi="Arial"/>
          <w:sz w:val="20"/>
        </w:rPr>
        <w:t xml:space="preserve"> The purpose of the Omnibus Plan is to promote our ability to recruit and retain employees and other eligible service providers and enhance the growth and profitability of the Company by providing the incentive of long-term awards for continued employment or other service and the attainment of performance objectives.</w:t>
      </w:r>
    </w:p>
    <w:p>
      <w:pPr>
        <w:pStyle w:val="TextBody"/>
        <w:jc w:val="left"/>
        <w:rPr/>
      </w:pPr>
      <w:r>
        <w:rPr>
          <w:rStyle w:val="Emphasis"/>
          <w:rFonts w:ascii="Arial" w:hAnsi="Arial"/>
          <w:sz w:val="20"/>
        </w:rPr>
        <w:t>Administration.</w:t>
      </w:r>
      <w:r>
        <w:rPr>
          <w:rFonts w:ascii="Arial" w:hAnsi="Arial"/>
          <w:sz w:val="20"/>
        </w:rPr>
        <w:t xml:space="preserve"> The Omnibus Plan will be administered by the CHC Committee or any other committee or subcommittee that may be designated by the Board (the “Administrator”). The Administrator will have full power, authority and discretion to administer the Omnibus Plan, subject to the provisions of the Omnibus Plan, including the authority to designate participants, grant awards and determine the terms thereof, amend the terms and conditions of outstanding Awards, interpret and administer the Omnibus Plan, and establish, amend, suspend or waive rules and regulations for the proper administration of the Omnibus Plan. All determinations made by the Administrator will be final and binding. The Administrator may delegate its authority under the Omnibus Plan to one or more persons or committees, subject to the terms of the Omnibus Plan and applicable law.</w:t>
      </w:r>
    </w:p>
    <w:p>
      <w:pPr>
        <w:pStyle w:val="TextBody"/>
        <w:jc w:val="left"/>
        <w:rPr/>
      </w:pPr>
      <w:r>
        <w:rPr>
          <w:rStyle w:val="Emphasis"/>
          <w:rFonts w:ascii="Arial" w:hAnsi="Arial"/>
          <w:sz w:val="20"/>
        </w:rPr>
        <w:t>Eligibility.</w:t>
      </w:r>
      <w:r>
        <w:rPr>
          <w:rFonts w:ascii="Arial" w:hAnsi="Arial"/>
          <w:sz w:val="20"/>
        </w:rPr>
        <w:t xml:space="preserve"> Employees (including prospective employees who have accepted offers of employment), nonemployee directors and other advisors and service providers of the Company and its subsidiaries will be eligible to receive awards under the Omnibus Plan, similar to the Prior Plans. From time to time, the Administrator will determine who will be granted awards, the number of shares subject to such grants and all other terms of awards.</w:t>
      </w:r>
    </w:p>
    <w:p>
      <w:pPr>
        <w:pStyle w:val="TextBody"/>
        <w:jc w:val="left"/>
        <w:rPr>
          <w:rFonts w:ascii="Arial" w:hAnsi="Arial"/>
          <w:sz w:val="20"/>
        </w:rPr>
      </w:pPr>
      <w:r>
        <w:rPr>
          <w:rFonts w:ascii="Arial" w:hAnsi="Arial"/>
          <w:sz w:val="20"/>
        </w:rPr>
        <w:t>Based on the CHC Committee’s current grant guidelines, the current number of employees, including our NEOs, eligible to receive annual equity awards under the Prior Plans, as of March 1, 2023, was approximately 20,300, which includes almost all exempt Comcast Corporate and Comcast Cable employees with base salaries of at least $99,000, and we expect a similar number of employees will be eligible to receive awards under the grant guidelines with respect to the Omnibus Plan. Our nonemployee directors are currently eligible as well. No other advisors or service providers of ours would receive equity awards under the Omnibus Plan were it currently effective based on current grant guidelines. The basis for participation in the Omnibus Plan is the Administrator’s (or its authorized delegate’s) decision, in its sole discretion, that an award to an eligible participant will further the Omnibus Plan’s purposes as described above. In exercising its discretion, the Administrator (or its delegate) will consider the recommendations of management and the purposes of the Omnibus Plan.</w:t>
      </w:r>
    </w:p>
    <w:p>
      <w:pPr>
        <w:pStyle w:val="TextBody"/>
        <w:jc w:val="left"/>
        <w:rPr/>
      </w:pPr>
      <w:r>
        <w:rPr>
          <w:rStyle w:val="Emphasis"/>
          <w:rFonts w:ascii="Arial" w:hAnsi="Arial"/>
          <w:sz w:val="20"/>
        </w:rPr>
        <w:t>Shares Available for Issuance.</w:t>
      </w:r>
      <w:r>
        <w:rPr>
          <w:rFonts w:ascii="Arial" w:hAnsi="Arial"/>
          <w:sz w:val="20"/>
        </w:rPr>
        <w:t xml:space="preserve"> Subject to adjustment as described below and except for substitute awards (i.e., awards granted in assumption or substitution of awards previously granted by an acquired company), the maximum number of shares available for issuance under the Omnibus Plan is 275 million shares, including the maximum number of shares available for issuance with respect to incentive stock options (“ISOs”), minus the number of shares subject to any award granted under the Prior Plans after the record date and prior to the date on which we register the offering of shares available under the Omnibus Plan, which registration we expect to occur in the middle of June.</w:t>
      </w:r>
    </w:p>
    <w:tbl>
      <w:tblPr>
        <w:tblW w:w="2200" w:type="dxa"/>
        <w:jc w:val="left"/>
        <w:tblInd w:w="0" w:type="dxa"/>
        <w:tblCellMar>
          <w:top w:w="0" w:type="dxa"/>
          <w:left w:w="0" w:type="dxa"/>
          <w:bottom w:w="0" w:type="dxa"/>
          <w:right w:w="0" w:type="dxa"/>
        </w:tblCellMar>
      </w:tblPr>
      <w:tblGrid>
        <w:gridCol w:w="1580"/>
        <w:gridCol w:w="620"/>
      </w:tblGrid>
      <w:tr>
        <w:trPr/>
        <w:tc>
          <w:tcPr>
            <w:tcW w:w="1580" w:type="dxa"/>
            <w:tcBorders/>
            <w:shd w:fill="auto" w:val="clear"/>
            <w:vAlign w:val="center"/>
          </w:tcPr>
          <w:p>
            <w:pPr>
              <w:pStyle w:val="TableContents"/>
              <w:spacing w:before="0" w:after="283"/>
              <w:jc w:val="right"/>
              <w:rPr>
                <w:rFonts w:ascii="Arial" w:hAnsi="Arial"/>
                <w:sz w:val="15"/>
              </w:rPr>
            </w:pPr>
            <w:r>
              <w:rPr>
                <w:rFonts w:ascii="Arial" w:hAnsi="Arial"/>
                <w:sz w:val="15"/>
              </w:rPr>
              <w:t>2023 Proxy Statement</w:t>
            </w:r>
          </w:p>
        </w:tc>
        <w:tc>
          <w:tcPr>
            <w:tcW w:w="620" w:type="dxa"/>
            <w:tcBorders/>
            <w:shd w:fill="auto" w:val="clear"/>
            <w:vAlign w:val="center"/>
          </w:tcPr>
          <w:p>
            <w:pPr>
              <w:pStyle w:val="TableContents"/>
              <w:spacing w:before="0" w:after="283"/>
              <w:jc w:val="right"/>
              <w:rPr/>
            </w:pPr>
            <w:r>
              <w:rPr/>
              <w:t>       </w:t>
            </w:r>
            <w:r>
              <w:rPr>
                <w:rFonts w:ascii="Arial" w:hAnsi="Arial"/>
                <w:b/>
                <w:sz w:val="15"/>
              </w:rPr>
              <w:t>33</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p>
      <w:pPr>
        <w:pStyle w:val="TextBody"/>
        <w:jc w:val="left"/>
        <w:rPr/>
      </w:pPr>
      <w:r>
        <w:rPr>
          <w:rFonts w:ascii="Arial" w:hAnsi="Arial"/>
          <w:sz w:val="20"/>
        </w:rPr>
        <w:t xml:space="preserve">Shares covered by awards which are forfeited, expired, terminated or lapsed will again be available for grant under the Omnibus Plan. </w:t>
      </w:r>
      <w:r>
        <w:rPr>
          <w:rStyle w:val="StrongEmphasis"/>
          <w:rFonts w:ascii="Arial" w:hAnsi="Arial"/>
          <w:sz w:val="20"/>
        </w:rPr>
        <w:t>The Omnibus Plan has no “liberal” share recycling.</w:t>
      </w:r>
      <w:r>
        <w:rPr>
          <w:rFonts w:ascii="Arial" w:hAnsi="Arial"/>
          <w:sz w:val="20"/>
        </w:rPr>
        <w:t xml:space="preserve"> This means that the following will not again become available for issuance: (i) Shares withheld to satisfy tax withholding obligations, (ii) Shares withheld via the cashless exercise of a stock option and (iii) Shares repurchased by us on the open market with proceeds, if any, received by us on account of payment of the exercise price of a stock option. As of March 31, 2023, the fair market value of a share of our Class A common stock was $37.91.</w:t>
      </w:r>
    </w:p>
    <w:p>
      <w:pPr>
        <w:pStyle w:val="TextBody"/>
        <w:jc w:val="left"/>
        <w:rPr/>
      </w:pPr>
      <w:r>
        <w:rPr>
          <w:rStyle w:val="Emphasis"/>
          <w:rFonts w:ascii="Arial" w:hAnsi="Arial"/>
          <w:sz w:val="20"/>
        </w:rPr>
        <w:t>Adjustments.</w:t>
      </w:r>
      <w:r>
        <w:rPr>
          <w:rFonts w:ascii="Arial" w:hAnsi="Arial"/>
          <w:sz w:val="20"/>
        </w:rPr>
        <w:t xml:space="preserve"> In the event of certain corporate transactions or events affecting the shares, or of changes in applicable laws, regulations or accounting principles where the Administrator determines, as a result of such circumstance, an adjustment is necessary in order to prevent dilution or enlargement of the benefits or potential benefits intended to be made available under the Omnibus Plan, then the Administrator will, subject to applicable law and so as to ensure no undue enrichment or harm (including by payment of cash), adjust equitably any or all of: (i) the number and type of shares (or other securities) which thereafter may be made the subject of awards, including the aggregate limits on shares and ISOs available for issuance under the Omnibus Plan; (ii) the number and type of shares (or other securities) subject to outstanding awards; (iii) the exercise price with respect to any stock option award; and (iv) the terms and conditions of any outstanding awards, including the performance criteria of any performance awards.</w:t>
      </w:r>
    </w:p>
    <w:p>
      <w:pPr>
        <w:pStyle w:val="TextBody"/>
        <w:jc w:val="left"/>
        <w:rPr/>
      </w:pPr>
      <w:r>
        <w:rPr>
          <w:rStyle w:val="Emphasis"/>
          <w:rFonts w:ascii="Arial" w:hAnsi="Arial"/>
          <w:sz w:val="20"/>
        </w:rPr>
        <w:t>Summary of Award Types.</w:t>
      </w:r>
      <w:r>
        <w:rPr>
          <w:rFonts w:ascii="Arial" w:hAnsi="Arial"/>
          <w:sz w:val="20"/>
        </w:rPr>
        <w:t xml:space="preserve"> The Omnibus Plan permits the grant of stock options (ISOs and nonqualified stock options (“NQSO”)), SARs, restricted stock, RSUs, performance awards and other stock-based awards.</w:t>
      </w:r>
    </w:p>
    <w:p>
      <w:pPr>
        <w:pStyle w:val="TextBody"/>
        <w:jc w:val="left"/>
        <w:rPr>
          <w:rFonts w:ascii="Arial" w:hAnsi="Arial"/>
          <w:sz w:val="20"/>
        </w:rPr>
      </w:pPr>
      <w:r>
        <w:rPr>
          <w:rFonts w:ascii="Arial" w:hAnsi="Arial"/>
          <w:sz w:val="20"/>
        </w:rPr>
        <w:t>The exercise price of stock options and SARs (other than with respect to substitute awards) may not be less than the fair market value of a Share on the grant date. Outstanding and vested stock options and SARs with an exercise or strike price that exceeds the fair market value of a Share will be automatically deemed exercised on the last day of the term of such stock option or SAR in accordance with the terms and conditions of the Omnibus Plan.</w:t>
      </w:r>
    </w:p>
    <w:p>
      <w:pPr>
        <w:pStyle w:val="TextBody"/>
        <w:jc w:val="left"/>
        <w:rPr>
          <w:rFonts w:ascii="Arial" w:hAnsi="Arial"/>
          <w:sz w:val="20"/>
        </w:rPr>
      </w:pPr>
      <w:r>
        <w:rPr>
          <w:rFonts w:ascii="Arial" w:hAnsi="Arial"/>
          <w:sz w:val="20"/>
        </w:rPr>
        <w:t>The Administrator may grant other share-based awards, subject to the provisions of the Omnibus Plan and limitations imposed under applicable law. Other share-based awards may include rights convertible into shares, purchase rights, dividend rights or dividend equivalents or awards with value and payment contingent upon performance.</w:t>
      </w:r>
    </w:p>
    <w:p>
      <w:pPr>
        <w:pStyle w:val="TextBody"/>
        <w:jc w:val="left"/>
        <w:rPr/>
      </w:pPr>
      <w:r>
        <w:rPr>
          <w:rStyle w:val="Emphasis"/>
          <w:rFonts w:ascii="Arial" w:hAnsi="Arial"/>
          <w:sz w:val="20"/>
        </w:rPr>
        <w:t>Dividends and Dividend Equivalents.</w:t>
      </w:r>
      <w:r>
        <w:rPr>
          <w:rFonts w:ascii="Arial" w:hAnsi="Arial"/>
          <w:sz w:val="20"/>
        </w:rPr>
        <w:t xml:space="preserve"> The Administrator may provide for the payment of dividends, dividend equivalents or other distributions on awards of restricted stock or RSUs, provided that no such distributions will be paid with respect to any award that has not vested. No stock option or SAR may be accompanied by an award of dividend equivalents or provide for the payment of dividends or dividend equivalents on such award.</w:t>
      </w:r>
    </w:p>
    <w:p>
      <w:pPr>
        <w:pStyle w:val="TextBody"/>
        <w:jc w:val="left"/>
        <w:rPr/>
      </w:pPr>
      <w:r>
        <w:rPr>
          <w:rStyle w:val="Emphasis"/>
          <w:rFonts w:ascii="Arial" w:hAnsi="Arial"/>
          <w:sz w:val="20"/>
        </w:rPr>
        <w:t>Change in Control.</w:t>
      </w:r>
      <w:r>
        <w:rPr>
          <w:rFonts w:ascii="Arial" w:hAnsi="Arial"/>
          <w:sz w:val="20"/>
        </w:rPr>
        <w:t xml:space="preserve"> Under the Omnibus Plan, in the event of a “change in control”, the Administrator may take any one or more of the following actions, as described in more detail in the Omnibus Plan:</w:t>
      </w:r>
    </w:p>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jc w:val="left"/>
              <w:rPr>
                <w:rFonts w:ascii="Arial" w:hAnsi="Arial"/>
                <w:sz w:val="20"/>
              </w:rPr>
            </w:pPr>
            <w:r>
              <w:rPr>
                <w:rFonts w:ascii="Arial" w:hAnsi="Arial"/>
                <w:sz w:val="20"/>
              </w:rPr>
              <w:t>Provide for the continuation, assumption, substitution or replacement of an award.</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jc w:val="left"/>
              <w:rPr>
                <w:rFonts w:ascii="Arial" w:hAnsi="Arial"/>
                <w:sz w:val="20"/>
              </w:rPr>
            </w:pPr>
            <w:r>
              <w:rPr>
                <w:rFonts w:ascii="Arial" w:hAnsi="Arial"/>
                <w:sz w:val="20"/>
              </w:rPr>
              <w:t>Accelerate the vesting of an award either (i) immediately prior to the date of the change in control, (ii) upon the participant’s involuntary termination of service within a specified period following the change in control, or (iii) upon the failure of the surviving entity to continue or assume such award.</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jc w:val="left"/>
              <w:rPr>
                <w:rFonts w:ascii="Arial" w:hAnsi="Arial"/>
                <w:sz w:val="20"/>
              </w:rPr>
            </w:pPr>
            <w:r>
              <w:rPr>
                <w:rFonts w:ascii="Arial" w:hAnsi="Arial"/>
                <w:sz w:val="20"/>
              </w:rPr>
              <w:t>In the case of awards subject to performance-related vesting conditions, determine the level of attainment of the applicable performance conditions.</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jc w:val="left"/>
              <w:rPr>
                <w:rFonts w:ascii="Arial" w:hAnsi="Arial"/>
                <w:sz w:val="20"/>
              </w:rPr>
            </w:pPr>
            <w:r>
              <w:rPr>
                <w:rFonts w:ascii="Arial" w:hAnsi="Arial"/>
                <w:sz w:val="20"/>
              </w:rPr>
              <w:t>Cancel such award in consideration for a payment (subject to the terms and conditions of the Omnibus Plan), including cancelling any underwater stock options or SARs for no consideration.</w:t>
            </w:r>
          </w:p>
        </w:tc>
      </w:tr>
    </w:tbl>
    <w:p>
      <w:pPr>
        <w:pStyle w:val="TextBody"/>
        <w:spacing w:before="240" w:after="283"/>
        <w:jc w:val="left"/>
        <w:rPr>
          <w:rFonts w:ascii="Arial" w:hAnsi="Arial"/>
          <w:sz w:val="20"/>
        </w:rPr>
      </w:pPr>
      <w:r>
        <w:rPr>
          <w:rFonts w:ascii="Arial" w:hAnsi="Arial"/>
          <w:sz w:val="20"/>
        </w:rPr>
        <w:t>A “change in control” under the Omnibus Plan is defined as follows:</w:t>
      </w:r>
    </w:p>
    <w:tbl>
      <w:tblPr>
        <w:tblW w:w="10205" w:type="dxa"/>
        <w:jc w:val="left"/>
        <w:tblInd w:w="0" w:type="dxa"/>
        <w:tblCellMar>
          <w:top w:w="0" w:type="dxa"/>
          <w:left w:w="0" w:type="dxa"/>
          <w:bottom w:w="0" w:type="dxa"/>
          <w:right w:w="0" w:type="dxa"/>
        </w:tblCellMar>
      </w:tblPr>
      <w:tblGrid>
        <w:gridCol w:w="360"/>
        <w:gridCol w:w="9845"/>
      </w:tblGrid>
      <w:tr>
        <w:trPr/>
        <w:tc>
          <w:tcPr>
            <w:tcW w:w="360" w:type="dxa"/>
            <w:tcBorders/>
            <w:shd w:fill="auto" w:val="clear"/>
            <w:vAlign w:val="center"/>
          </w:tcPr>
          <w:p>
            <w:pPr>
              <w:pStyle w:val="TableContents"/>
              <w:spacing w:before="0" w:after="283"/>
              <w:rPr>
                <w:rFonts w:ascii="Arial" w:hAnsi="Arial"/>
                <w:sz w:val="20"/>
              </w:rPr>
            </w:pPr>
            <w:r>
              <w:rPr>
                <w:rFonts w:ascii="Arial" w:hAnsi="Arial"/>
                <w:sz w:val="20"/>
              </w:rPr>
              <w:t xml:space="preserve">(i) </w:t>
            </w:r>
          </w:p>
        </w:tc>
        <w:tc>
          <w:tcPr>
            <w:tcW w:w="9845" w:type="dxa"/>
            <w:tcBorders/>
            <w:shd w:fill="auto" w:val="clear"/>
            <w:vAlign w:val="center"/>
          </w:tcPr>
          <w:p>
            <w:pPr>
              <w:pStyle w:val="TableContents"/>
              <w:spacing w:before="0" w:after="283"/>
              <w:jc w:val="left"/>
              <w:rPr>
                <w:rFonts w:ascii="Arial" w:hAnsi="Arial"/>
                <w:sz w:val="20"/>
              </w:rPr>
            </w:pPr>
            <w:r>
              <w:rPr>
                <w:rFonts w:ascii="Arial" w:hAnsi="Arial"/>
                <w:sz w:val="20"/>
              </w:rPr>
              <w:t>Except as provided in subsection (ii) below, “change in control” means the occurrence of any one or more of the following events:</w:t>
            </w:r>
          </w:p>
        </w:tc>
      </w:tr>
      <w:tr>
        <w:trPr/>
        <w:tc>
          <w:tcPr>
            <w:tcW w:w="360" w:type="dxa"/>
            <w:tcBorders/>
            <w:shd w:fill="auto" w:val="clear"/>
            <w:vAlign w:val="center"/>
          </w:tcPr>
          <w:p>
            <w:pPr>
              <w:pStyle w:val="TableContents"/>
              <w:spacing w:before="0" w:after="283"/>
              <w:rPr/>
            </w:pPr>
            <w:r>
              <w:rPr/>
              <w:t>      </w:t>
            </w:r>
          </w:p>
        </w:tc>
        <w:tc>
          <w:tcPr>
            <w:tcW w:w="9845" w:type="dxa"/>
            <w:tcBorders/>
            <w:shd w:fill="auto" w:val="clear"/>
            <w:vAlign w:val="center"/>
          </w:tcPr>
          <w:p>
            <w:pPr>
              <w:pStyle w:val="TableContents"/>
              <w:spacing w:before="0" w:after="283"/>
              <w:rPr/>
            </w:pPr>
            <w:r>
              <w:rPr/>
              <w:t> </w:t>
            </w:r>
          </w:p>
        </w:tc>
      </w:tr>
    </w:tbl>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jc w:val="left"/>
              <w:rPr>
                <w:rFonts w:ascii="Arial" w:hAnsi="Arial"/>
                <w:sz w:val="20"/>
              </w:rPr>
            </w:pPr>
            <w:r>
              <w:rPr>
                <w:rFonts w:ascii="Arial" w:hAnsi="Arial"/>
                <w:sz w:val="20"/>
              </w:rPr>
              <w:t>any person or “group” (as defined in Section 13(d) of the Exchange Act) (each, a “Person”), other than an employee benefit plan or trust maintained by the Company, becomes the “beneficial owner” (as defined in Rule 13d-3 under the Exchange Act), directly or indirectly, of securities of the Company representing 30% or more of the combined voting power of the Company’s outstanding securities entitled to vote generally in the election of directors, unless a majority of the directors of the Company in office immediately preceding the date on which such Person acquires such beneficial ownership, by resolution negates the effectiveness of this provision in a particular circumstance);</w:t>
            </w:r>
          </w:p>
        </w:tc>
      </w:tr>
    </w:tbl>
    <w:p>
      <w:pPr>
        <w:pStyle w:val="TextBody"/>
        <w:spacing w:before="0" w:after="0"/>
        <w:rPr/>
      </w:pPr>
      <w:r>
        <w:rPr/>
      </w:r>
    </w:p>
    <w:tbl>
      <w:tblPr>
        <w:tblW w:w="223" w:type="dxa"/>
        <w:jc w:val="left"/>
        <w:tblInd w:w="0" w:type="dxa"/>
        <w:tblCellMar>
          <w:top w:w="0" w:type="dxa"/>
          <w:left w:w="0" w:type="dxa"/>
          <w:bottom w:w="0" w:type="dxa"/>
          <w:right w:w="0" w:type="dxa"/>
        </w:tblCellMar>
      </w:tblPr>
      <w:tblGrid>
        <w:gridCol w:w="200"/>
        <w:gridCol w:w="23"/>
      </w:tblGrid>
      <w:tr>
        <w:trPr/>
        <w:tc>
          <w:tcPr>
            <w:tcW w:w="200" w:type="dxa"/>
            <w:tcBorders/>
            <w:shd w:fill="auto" w:val="clear"/>
            <w:vAlign w:val="center"/>
          </w:tcPr>
          <w:p>
            <w:pPr>
              <w:pStyle w:val="TableContents"/>
              <w:spacing w:before="0" w:after="283"/>
              <w:jc w:val="left"/>
              <w:rPr>
                <w:rFonts w:ascii="Arial" w:hAnsi="Arial"/>
                <w:b/>
                <w:sz w:val="15"/>
              </w:rPr>
            </w:pPr>
            <w:r>
              <w:rPr>
                <w:rFonts w:ascii="Arial" w:hAnsi="Arial"/>
                <w:b/>
                <w:sz w:val="15"/>
              </w:rPr>
              <w:t>34</w:t>
            </w:r>
          </w:p>
        </w:tc>
        <w:tc>
          <w:tcPr>
            <w:tcW w:w="2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jc w:val="left"/>
              <w:rPr>
                <w:rFonts w:ascii="Arial" w:hAnsi="Arial"/>
                <w:sz w:val="20"/>
              </w:rPr>
            </w:pPr>
            <w:r>
              <w:rPr>
                <w:rFonts w:ascii="Arial" w:hAnsi="Arial"/>
                <w:sz w:val="20"/>
              </w:rPr>
              <w:t>at any time during a period of 12 consecutive months, individuals who at the beginning of such period constituted the Board and any new member of the Board whose election or nomination for election was approved by a vote of at least a majority of the directors then still in office who either were directors at the beginning of such period or whose election or nomination for election was so approved, cease for any reason to constitute a majority of members of the Board;</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jc w:val="left"/>
              <w:rPr>
                <w:rFonts w:ascii="Arial" w:hAnsi="Arial"/>
                <w:sz w:val="20"/>
              </w:rPr>
            </w:pPr>
            <w:r>
              <w:rPr>
                <w:rFonts w:ascii="Arial" w:hAnsi="Arial"/>
                <w:sz w:val="20"/>
              </w:rPr>
              <w:t>the consummation of a merger, consolidation, amalgamation, reorganization or similar business transaction or series of related transactions involving the Company or any of its subsidiaries with any other corporation or entity, which would result in the combined voting power of the Company’s securities entitled to vote generally in the election of directors outstanding immediately prior to such transaction or series of related transactions representing (either by remaining outstanding or being converted into voting securities of the surviving entity or, if applicable, the ultimate parent thereof) less than a majority of the combined voting power of the Company or such surviving entity or parent outstanding immediately after such transaction or series of related transactions;</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jc w:val="left"/>
              <w:rPr>
                <w:rFonts w:ascii="Arial" w:hAnsi="Arial"/>
                <w:sz w:val="20"/>
              </w:rPr>
            </w:pPr>
            <w:r>
              <w:rPr>
                <w:rFonts w:ascii="Arial" w:hAnsi="Arial"/>
                <w:sz w:val="20"/>
              </w:rPr>
              <w:t>the consummation of any sale, lease, exchange or other transfer to any Person of all or substantially all of the assets of the Company, in one transaction or a series of related transactions; or</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jc w:val="left"/>
              <w:rPr>
                <w:rFonts w:ascii="Arial" w:hAnsi="Arial"/>
                <w:sz w:val="20"/>
              </w:rPr>
            </w:pPr>
            <w:r>
              <w:rPr>
                <w:rFonts w:ascii="Arial" w:hAnsi="Arial"/>
                <w:sz w:val="20"/>
              </w:rPr>
              <w:t>the approval by the shareholders of the Company of a liquidation or dissolution of the Company.</w:t>
            </w:r>
          </w:p>
        </w:tc>
      </w:tr>
    </w:tbl>
    <w:tbl>
      <w:tblPr>
        <w:tblW w:w="10205" w:type="dxa"/>
        <w:jc w:val="left"/>
        <w:tblInd w:w="0" w:type="dxa"/>
        <w:tblCellMar>
          <w:top w:w="0" w:type="dxa"/>
          <w:left w:w="0" w:type="dxa"/>
          <w:bottom w:w="0" w:type="dxa"/>
          <w:right w:w="0" w:type="dxa"/>
        </w:tblCellMar>
      </w:tblPr>
      <w:tblGrid>
        <w:gridCol w:w="360"/>
        <w:gridCol w:w="9845"/>
      </w:tblGrid>
      <w:tr>
        <w:trPr/>
        <w:tc>
          <w:tcPr>
            <w:tcW w:w="360" w:type="dxa"/>
            <w:tcBorders/>
            <w:shd w:fill="auto" w:val="clear"/>
            <w:vAlign w:val="center"/>
          </w:tcPr>
          <w:p>
            <w:pPr>
              <w:pStyle w:val="TableContents"/>
              <w:spacing w:before="0" w:after="283"/>
              <w:rPr/>
            </w:pPr>
            <w:r>
              <w:rPr/>
              <w:t>      </w:t>
            </w:r>
          </w:p>
        </w:tc>
        <w:tc>
          <w:tcPr>
            <w:tcW w:w="9845" w:type="dxa"/>
            <w:tcBorders/>
            <w:shd w:fill="auto" w:val="clear"/>
            <w:vAlign w:val="center"/>
          </w:tcPr>
          <w:p>
            <w:pPr>
              <w:pStyle w:val="TableContents"/>
              <w:spacing w:before="0" w:after="283"/>
              <w:jc w:val="left"/>
              <w:rPr/>
            </w:pPr>
            <w:r>
              <w:rPr/>
              <w:t> </w:t>
            </w:r>
          </w:p>
        </w:tc>
      </w:tr>
      <w:tr>
        <w:trPr/>
        <w:tc>
          <w:tcPr>
            <w:tcW w:w="360" w:type="dxa"/>
            <w:tcBorders/>
            <w:shd w:fill="auto" w:val="clear"/>
            <w:vAlign w:val="center"/>
          </w:tcPr>
          <w:p>
            <w:pPr>
              <w:pStyle w:val="TableContents"/>
              <w:spacing w:before="0" w:after="283"/>
              <w:rPr>
                <w:rFonts w:ascii="Arial" w:hAnsi="Arial"/>
                <w:sz w:val="20"/>
              </w:rPr>
            </w:pPr>
            <w:r>
              <w:rPr>
                <w:rFonts w:ascii="Arial" w:hAnsi="Arial"/>
                <w:sz w:val="20"/>
              </w:rPr>
              <w:t xml:space="preserve">(ii) </w:t>
            </w:r>
          </w:p>
        </w:tc>
        <w:tc>
          <w:tcPr>
            <w:tcW w:w="9845" w:type="dxa"/>
            <w:tcBorders/>
            <w:shd w:fill="auto" w:val="clear"/>
            <w:vAlign w:val="center"/>
          </w:tcPr>
          <w:p>
            <w:pPr>
              <w:pStyle w:val="TableContents"/>
              <w:spacing w:before="0" w:after="283"/>
              <w:jc w:val="left"/>
              <w:rPr>
                <w:rFonts w:ascii="Arial" w:hAnsi="Arial"/>
                <w:sz w:val="20"/>
              </w:rPr>
            </w:pPr>
            <w:r>
              <w:rPr>
                <w:rFonts w:ascii="Arial" w:hAnsi="Arial"/>
                <w:sz w:val="20"/>
              </w:rPr>
              <w:t>With respect to the distribution of amounts subject to an award that constitute “deferred compensation” (within the meaning of Section 409A of the Code), the term “change in control” means any transaction or series of transactions that constitutes a change in the ownership or effective control or a change in the ownership of a substantial portion of the assets of the Company, within the meaning of Section 409A of the Code.</w:t>
            </w:r>
          </w:p>
        </w:tc>
      </w:tr>
    </w:tbl>
    <w:p>
      <w:pPr>
        <w:pStyle w:val="TextBody"/>
        <w:spacing w:before="240" w:after="283"/>
        <w:jc w:val="left"/>
        <w:rPr/>
      </w:pPr>
      <w:r>
        <w:rPr>
          <w:rStyle w:val="Emphasis"/>
          <w:rFonts w:ascii="Arial" w:hAnsi="Arial"/>
          <w:sz w:val="20"/>
        </w:rPr>
        <w:t>Transferability of Awards.</w:t>
      </w:r>
      <w:r>
        <w:rPr>
          <w:rFonts w:ascii="Arial" w:hAnsi="Arial"/>
          <w:sz w:val="20"/>
        </w:rPr>
        <w:t xml:space="preserve"> No award will be transferable by a participant other than by will or to the participant’s designated beneficiaries, and during a participant’s lifetime each award will be exercisable only by such participant or, subject to applicable law, by such participant’s guardian or legal representative, provided that the Administrator may permit transfers of awards without consideration to a participant’s family members.</w:t>
      </w:r>
    </w:p>
    <w:p>
      <w:pPr>
        <w:pStyle w:val="TextBody"/>
        <w:jc w:val="left"/>
        <w:rPr/>
      </w:pPr>
      <w:r>
        <w:rPr>
          <w:rStyle w:val="Emphasis"/>
          <w:rFonts w:ascii="Arial" w:hAnsi="Arial"/>
          <w:sz w:val="20"/>
        </w:rPr>
        <w:t>Clawback.</w:t>
      </w:r>
      <w:r>
        <w:rPr>
          <w:rFonts w:ascii="Arial" w:hAnsi="Arial"/>
          <w:sz w:val="20"/>
        </w:rPr>
        <w:t xml:space="preserve"> Awards granted under the Omnibus Plan will be subject to any clawback or recoupment arrangement or policy we have in place, including any clawback policy adopted to comply with the SEC’s recent clawback rules implementing Section 10D of the Exchange Act and our clawback policy described on page 53 of this proxy statement. Our policy also provides for clawback in the event the Board determines that gross negligence, intentional misconduct or fraud of a current or former participant who is or was subject to Section 16 of the Exchange Act caused or partially caused us to restate all or a portion of our financial statements.</w:t>
      </w:r>
    </w:p>
    <w:p>
      <w:pPr>
        <w:pStyle w:val="TextBody"/>
        <w:jc w:val="left"/>
        <w:rPr/>
      </w:pPr>
      <w:r>
        <w:rPr>
          <w:rStyle w:val="Emphasis"/>
          <w:rFonts w:ascii="Arial" w:hAnsi="Arial"/>
          <w:sz w:val="20"/>
        </w:rPr>
        <w:t>No Repricing.</w:t>
      </w:r>
      <w:r>
        <w:rPr>
          <w:rFonts w:ascii="Arial" w:hAnsi="Arial"/>
          <w:sz w:val="20"/>
        </w:rPr>
        <w:t xml:space="preserve"> Except in the event of certain corporate transactions (as described above), the Administrator may not, without shareholder approval, reprice any previously granted “underwater” stock option, SAR or similar award, including by cancellation and regrant or any other method.</w:t>
      </w:r>
    </w:p>
    <w:p>
      <w:pPr>
        <w:pStyle w:val="TextBody"/>
        <w:jc w:val="left"/>
        <w:rPr/>
      </w:pPr>
      <w:r>
        <w:rPr>
          <w:rStyle w:val="Emphasis"/>
          <w:rFonts w:ascii="Arial" w:hAnsi="Arial"/>
          <w:sz w:val="20"/>
        </w:rPr>
        <w:t>Amendment and Termination of the Omnibus Plan.</w:t>
      </w:r>
      <w:r>
        <w:rPr>
          <w:rFonts w:ascii="Arial" w:hAnsi="Arial"/>
          <w:sz w:val="20"/>
        </w:rPr>
        <w:t xml:space="preserve"> Except to the extent prohibited by applicable law and unless otherwise expressly provided in an award agreement or in the Omnibus Plan, the Board or the CHC Committee may amend or terminate the Omnibus Plan or any portion thereof at any time. However, no such amendment or termination will be made without (i) shareholder approval if such approval is required by applicable law or the rules of an applicable stock market or exchange or (ii) subject to certain provisions of the Omnibus Plan, the consent of the affected participant if such action would materially adversely affect the rights of such participant under any outstanding award. The Administrator may waive any conditions or rights under, amend any terms of, or terminate any award without the consent of any relevant participant; provided, however, that, subject to certain provisions of the Omnibus Plan, no such action will materially adversely affect the rights of any affected participant under such award.</w:t>
      </w:r>
    </w:p>
    <w:p>
      <w:pPr>
        <w:pStyle w:val="TextBody"/>
        <w:jc w:val="left"/>
        <w:rPr/>
      </w:pPr>
      <w:r>
        <w:rPr>
          <w:rStyle w:val="Emphasis"/>
          <w:rFonts w:ascii="Arial" w:hAnsi="Arial"/>
          <w:sz w:val="20"/>
        </w:rPr>
        <w:t>Term of the Omnibus Plan.</w:t>
      </w:r>
      <w:r>
        <w:rPr>
          <w:rFonts w:ascii="Arial" w:hAnsi="Arial"/>
          <w:sz w:val="20"/>
        </w:rPr>
        <w:t xml:space="preserve"> The Omnibus Plan will terminate on the tenth anniversary of the effective date (i.e., June 7, 2033), unless earlier terminated by the Board.</w:t>
      </w:r>
    </w:p>
    <w:p>
      <w:pPr>
        <w:pStyle w:val="TextBody"/>
        <w:jc w:val="left"/>
        <w:rPr>
          <w:rFonts w:ascii="Arial" w:hAnsi="Arial"/>
          <w:color w:val="00A1E0"/>
          <w:sz w:val="26"/>
        </w:rPr>
      </w:pPr>
      <w:r>
        <w:rPr>
          <w:rFonts w:ascii="Arial" w:hAnsi="Arial"/>
          <w:color w:val="00A1E0"/>
          <w:sz w:val="26"/>
        </w:rPr>
        <w:t>Federal Income Tax Consequences</w:t>
      </w:r>
    </w:p>
    <w:p>
      <w:pPr>
        <w:pStyle w:val="TextBody"/>
        <w:jc w:val="left"/>
        <w:rPr>
          <w:rFonts w:ascii="Arial" w:hAnsi="Arial"/>
          <w:sz w:val="20"/>
        </w:rPr>
      </w:pPr>
      <w:r>
        <w:rPr>
          <w:rFonts w:ascii="Arial" w:hAnsi="Arial"/>
          <w:sz w:val="20"/>
        </w:rPr>
        <w:t>The following is a general summary under current law of certain U.S. federal income tax consequences applicable to awards granted under the Omnibus Plan. This summary deals with the general tax principles that apply to awards under the Omnibus Plan and is provided only for general information. Certain kinds of taxes, such as foreign taxes, state and local income taxes, payroll taxes and the alternative minimum tax, are not discussed. Because circumstances may vary, we advise participants to consult their own tax advisors under all circumstances.</w:t>
      </w:r>
    </w:p>
    <w:tbl>
      <w:tblPr>
        <w:tblW w:w="2200" w:type="dxa"/>
        <w:jc w:val="left"/>
        <w:tblInd w:w="0" w:type="dxa"/>
        <w:tblCellMar>
          <w:top w:w="0" w:type="dxa"/>
          <w:left w:w="0" w:type="dxa"/>
          <w:bottom w:w="0" w:type="dxa"/>
          <w:right w:w="0" w:type="dxa"/>
        </w:tblCellMar>
      </w:tblPr>
      <w:tblGrid>
        <w:gridCol w:w="1580"/>
        <w:gridCol w:w="620"/>
      </w:tblGrid>
      <w:tr>
        <w:trPr/>
        <w:tc>
          <w:tcPr>
            <w:tcW w:w="1580" w:type="dxa"/>
            <w:tcBorders/>
            <w:shd w:fill="auto" w:val="clear"/>
            <w:vAlign w:val="center"/>
          </w:tcPr>
          <w:p>
            <w:pPr>
              <w:pStyle w:val="TableContents"/>
              <w:spacing w:before="0" w:after="283"/>
              <w:jc w:val="right"/>
              <w:rPr>
                <w:rFonts w:ascii="Arial" w:hAnsi="Arial"/>
                <w:sz w:val="15"/>
              </w:rPr>
            </w:pPr>
            <w:r>
              <w:rPr>
                <w:rFonts w:ascii="Arial" w:hAnsi="Arial"/>
                <w:sz w:val="15"/>
              </w:rPr>
              <w:t>2023 Proxy Statement</w:t>
            </w:r>
          </w:p>
        </w:tc>
        <w:tc>
          <w:tcPr>
            <w:tcW w:w="620" w:type="dxa"/>
            <w:tcBorders/>
            <w:shd w:fill="auto" w:val="clear"/>
            <w:vAlign w:val="center"/>
          </w:tcPr>
          <w:p>
            <w:pPr>
              <w:pStyle w:val="TableContents"/>
              <w:spacing w:before="0" w:after="283"/>
              <w:jc w:val="right"/>
              <w:rPr/>
            </w:pPr>
            <w:r>
              <w:rPr/>
              <w:t>       </w:t>
            </w:r>
            <w:r>
              <w:rPr>
                <w:rFonts w:ascii="Arial" w:hAnsi="Arial"/>
                <w:b/>
                <w:sz w:val="15"/>
              </w:rPr>
              <w:t>35</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p>
      <w:pPr>
        <w:pStyle w:val="TextBody"/>
        <w:jc w:val="left"/>
        <w:rPr/>
      </w:pPr>
      <w:r>
        <w:rPr>
          <w:rStyle w:val="Emphasis"/>
          <w:rFonts w:ascii="Arial" w:hAnsi="Arial"/>
          <w:sz w:val="20"/>
        </w:rPr>
        <w:t>NQSOs.</w:t>
      </w:r>
      <w:r>
        <w:rPr>
          <w:rFonts w:ascii="Arial" w:hAnsi="Arial"/>
          <w:sz w:val="20"/>
        </w:rPr>
        <w:t xml:space="preserve"> A participant generally has no taxable income at the time of grant of an NQSO but realizes income in connection with exercise of the option in an amount equal to the excess (at the time of exercise) of the fair market value of shares acquired upon exercise over the exercise price. The same amount is deductible by the Company as compensation (subject to any applicable limitations under Internal Revenue Code Section 162(m)), provided that, in the case of an employee option, the Company reports the income to the employee. Upon a subsequent sale or exchange of the shares, any recognized gain or loss after the date of exercise is treated as capital gain or loss for which the Company is not entitled to a deduction.</w:t>
      </w:r>
    </w:p>
    <w:p>
      <w:pPr>
        <w:pStyle w:val="TextBody"/>
        <w:jc w:val="left"/>
        <w:rPr/>
      </w:pPr>
      <w:r>
        <w:rPr>
          <w:rStyle w:val="Emphasis"/>
          <w:rFonts w:ascii="Arial" w:hAnsi="Arial"/>
          <w:sz w:val="20"/>
        </w:rPr>
        <w:t>ISOs.</w:t>
      </w:r>
      <w:r>
        <w:rPr>
          <w:rFonts w:ascii="Arial" w:hAnsi="Arial"/>
          <w:sz w:val="20"/>
        </w:rPr>
        <w:t xml:space="preserve"> A participant generally realizes no taxable income upon the grant or exercise of an ISO. However, the exercise of an ISO may result in an alternative minimum tax liability to the participant. With some exceptions, a disposition of shares purchased under an ISO within two years from the date of grant or within one year after exercise produces ordinary income to the participant equal to the value of the shares at the time of exercise less the exercise price. The same amount is deductible by the Company as compensation, provided that the Company reports the income to the participant (subject to any applicable limitations under Internal Revenue Code Section 162(m)). Any additional gain recognized in the disposition is treated as a capital gain for which the Company is not entitled to a deduction. However, if the participant exercises an ISO and satisfies the holding period requirements, the Company may not deduct any amount in connection with the ISO. If a sale or disposition of shares acquired with the ISO occurs after the holding period, the participant will recognize long-term capital gain or loss at the time of sale equal to the difference between proceeds realized and the exercise price paid. In general, an ISO that is exercised by the participant more than three months after termination of employment is treated as an NQSO. ISOs are also treated as NQSOs to the extent that they first become exercisable by an individual in any calendar year for shares having a fair market value (determined as of the date of grant) in excess of $100,000.</w:t>
      </w:r>
    </w:p>
    <w:p>
      <w:pPr>
        <w:pStyle w:val="TextBody"/>
        <w:jc w:val="left"/>
        <w:rPr/>
      </w:pPr>
      <w:r>
        <w:rPr>
          <w:rStyle w:val="StrongEmphasis"/>
          <w:rFonts w:ascii="Arial" w:hAnsi="Arial"/>
          <w:sz w:val="20"/>
        </w:rPr>
        <w:t>SARs.</w:t>
      </w:r>
      <w:r>
        <w:rPr>
          <w:rFonts w:ascii="Arial" w:hAnsi="Arial"/>
          <w:sz w:val="20"/>
        </w:rPr>
        <w:t xml:space="preserve"> Generally, the recipient of a SAR will not recognize taxable income at the time the SAR is granted. If a participant receives the appreciation inherent in the SAR in cash, the cash will be taxed as ordinary income to the participant at the time it is received. If a participant receives the appreciation inherent in the SAR in shares, the spread between the then-current market value and the base price will be taxed as ordinary income to the participant at the time it is received. In general, there will be no federal income tax deduction allowed to the Company upon the grant or termination of SARs. However, upon the settlement of a SAR, the Company will be entitled to a deduction equal to the amount of ordinary income the recipient is required to recognize as a result of the settlement (subject to any applicable limitations under Internal Revenue Code Section 162(m)).</w:t>
      </w:r>
    </w:p>
    <w:p>
      <w:pPr>
        <w:pStyle w:val="TextBody"/>
        <w:jc w:val="left"/>
        <w:rPr/>
      </w:pPr>
      <w:r>
        <w:rPr>
          <w:rStyle w:val="Emphasis"/>
          <w:rFonts w:ascii="Arial" w:hAnsi="Arial"/>
          <w:sz w:val="20"/>
        </w:rPr>
        <w:t>RSUs.</w:t>
      </w:r>
      <w:r>
        <w:rPr>
          <w:rFonts w:ascii="Arial" w:hAnsi="Arial"/>
          <w:sz w:val="20"/>
        </w:rPr>
        <w:t xml:space="preserve"> No income generally will be recognized upon the award of RSUs. The recipient of an RSU generally will be subject to tax at ordinary income rates on the market price of unrestricted shares on the date that such shares are transferred to the participant under the award (reduced by any amount paid, if any, by the participant for such RSUs), and the Company will be allowed a corresponding federal income tax deduction at that time, subject to any applicable limitations under Internal Revenue Code Section 162(m). The capital gain/loss holding period for such shares will also commence on such date.</w:t>
      </w:r>
    </w:p>
    <w:p>
      <w:pPr>
        <w:pStyle w:val="TextBody"/>
        <w:jc w:val="left"/>
        <w:rPr/>
      </w:pPr>
      <w:r>
        <w:rPr>
          <w:rStyle w:val="Emphasis"/>
          <w:rFonts w:ascii="Arial" w:hAnsi="Arial"/>
          <w:sz w:val="20"/>
        </w:rPr>
        <w:t xml:space="preserve">Restricted Stock. </w:t>
      </w:r>
      <w:r>
        <w:rPr>
          <w:rFonts w:ascii="Arial" w:hAnsi="Arial"/>
          <w:sz w:val="20"/>
        </w:rPr>
        <w:t>The recipient of an award of restricted stock will not recognize any taxable income for federal income tax purposes in the year of the award, provided that the shares are subject to restrictions (that is, they are nontransferable and subject to a substantial risk of forfeiture). However, the recipient may elect under Section 83(b) of the Internal Revenue Code to recognize compensation income in the year of the award in an amount equal to the fair market value of the shares on the date of the award (less the purchase price, if any, paid for such shares), determined without regard to the restrictions. If a Section 83(b) election is made, the capital gain/loss holding period for such shares commences on the date of the award. Any further change in the value of the shares will be taxed as a capital gain or loss only if and when the shares are disposed of by the recipient. If the recipient does not make a Section 83(b) election, the fair market value of the shares on the date the restrictions lapse will be treated as compensation income to the recipient and will be taxable in the year the restrictions lapse, and the capital gain/ loss holding period for such shares will also commence on such date. If a recipient makes a Section 83(b) election and thereafter forfeits the restricted shares, he or she will be entitled to no tax deduction, capital loss, or other tax benefit. The Company is entitled to a tax deduction in an amount equal to the ordinary income recognized by the participant, subject to any applicable limitations under Internal Revenue Code Section 162(m).</w:t>
      </w:r>
    </w:p>
    <w:p>
      <w:pPr>
        <w:pStyle w:val="TextBody"/>
        <w:jc w:val="left"/>
        <w:rPr>
          <w:rFonts w:ascii="Arial" w:hAnsi="Arial"/>
          <w:color w:val="00A1E0"/>
          <w:sz w:val="26"/>
        </w:rPr>
      </w:pPr>
      <w:r>
        <w:rPr>
          <w:rFonts w:ascii="Arial" w:hAnsi="Arial"/>
          <w:color w:val="00A1E0"/>
          <w:sz w:val="26"/>
        </w:rPr>
        <w:t>New Plan Benefits</w:t>
      </w:r>
    </w:p>
    <w:p>
      <w:pPr>
        <w:pStyle w:val="TextBody"/>
        <w:jc w:val="left"/>
        <w:rPr>
          <w:rFonts w:ascii="Arial" w:hAnsi="Arial"/>
          <w:sz w:val="20"/>
        </w:rPr>
      </w:pPr>
      <w:r>
        <w:rPr>
          <w:rFonts w:ascii="Arial" w:hAnsi="Arial"/>
          <w:sz w:val="20"/>
        </w:rPr>
        <w:t>The benefits that will be awarded or paid under the Omnibus Plan are not currently determinable. Any future awards granted to eligible participants under the Omnibus Plan will be made at the discretion of the Administrator, the Board, or under Board or CHC Committee-delegated authority.</w:t>
      </w:r>
    </w:p>
    <w:tbl>
      <w:tblPr>
        <w:tblW w:w="223" w:type="dxa"/>
        <w:jc w:val="left"/>
        <w:tblInd w:w="0" w:type="dxa"/>
        <w:tblCellMar>
          <w:top w:w="0" w:type="dxa"/>
          <w:left w:w="0" w:type="dxa"/>
          <w:bottom w:w="0" w:type="dxa"/>
          <w:right w:w="0" w:type="dxa"/>
        </w:tblCellMar>
      </w:tblPr>
      <w:tblGrid>
        <w:gridCol w:w="200"/>
        <w:gridCol w:w="23"/>
      </w:tblGrid>
      <w:tr>
        <w:trPr/>
        <w:tc>
          <w:tcPr>
            <w:tcW w:w="200" w:type="dxa"/>
            <w:tcBorders/>
            <w:shd w:fill="auto" w:val="clear"/>
            <w:vAlign w:val="center"/>
          </w:tcPr>
          <w:p>
            <w:pPr>
              <w:pStyle w:val="TableContents"/>
              <w:spacing w:before="0" w:after="283"/>
              <w:jc w:val="left"/>
              <w:rPr>
                <w:rFonts w:ascii="Arial" w:hAnsi="Arial"/>
                <w:b/>
                <w:sz w:val="15"/>
              </w:rPr>
            </w:pPr>
            <w:r>
              <w:rPr>
                <w:rFonts w:ascii="Arial" w:hAnsi="Arial"/>
                <w:b/>
                <w:sz w:val="15"/>
              </w:rPr>
              <w:t>36</w:t>
            </w:r>
          </w:p>
        </w:tc>
        <w:tc>
          <w:tcPr>
            <w:tcW w:w="2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p>
      <w:pPr>
        <w:pStyle w:val="TextBody"/>
        <w:jc w:val="left"/>
        <w:rPr>
          <w:rFonts w:ascii="Arial" w:hAnsi="Arial"/>
          <w:sz w:val="20"/>
        </w:rPr>
      </w:pPr>
      <w:r>
        <w:rPr>
          <w:rFonts w:ascii="Arial" w:hAnsi="Arial"/>
          <w:sz w:val="20"/>
        </w:rPr>
        <w:t>For illustrative purposes, the table below shows grants under the Prior Plans awarded to the following categories of persons in 2022.</w:t>
      </w:r>
    </w:p>
    <w:tbl>
      <w:tblPr>
        <w:tblW w:w="9210" w:type="dxa"/>
        <w:jc w:val="left"/>
        <w:tblInd w:w="0" w:type="dxa"/>
        <w:tblCellMar>
          <w:top w:w="0" w:type="dxa"/>
          <w:left w:w="0" w:type="dxa"/>
          <w:bottom w:w="40" w:type="dxa"/>
          <w:right w:w="0" w:type="dxa"/>
        </w:tblCellMar>
      </w:tblPr>
      <w:tblGrid>
        <w:gridCol w:w="5420"/>
        <w:gridCol w:w="300"/>
        <w:gridCol w:w="1595"/>
        <w:gridCol w:w="300"/>
        <w:gridCol w:w="1595"/>
      </w:tblGrid>
      <w:tr>
        <w:trPr/>
        <w:tc>
          <w:tcPr>
            <w:tcW w:w="5420" w:type="dxa"/>
            <w:tcBorders>
              <w:bottom w:val="single" w:sz="12" w:space="0" w:color="000000"/>
            </w:tcBorders>
            <w:shd w:fill="auto" w:val="clear"/>
            <w:vAlign w:val="center"/>
          </w:tcPr>
          <w:p>
            <w:pPr>
              <w:pStyle w:val="TableContents"/>
              <w:spacing w:before="0" w:after="283"/>
              <w:rPr>
                <w:sz w:val="4"/>
                <w:szCs w:val="4"/>
              </w:rPr>
            </w:pPr>
            <w:r>
              <w:rPr>
                <w:sz w:val="4"/>
                <w:szCs w:val="4"/>
              </w:rPr>
            </w:r>
          </w:p>
        </w:tc>
        <w:tc>
          <w:tcPr>
            <w:tcW w:w="300" w:type="dxa"/>
            <w:tcBorders>
              <w:bottom w:val="single" w:sz="12" w:space="0" w:color="000000"/>
            </w:tcBorders>
            <w:shd w:fill="auto" w:val="clear"/>
            <w:vAlign w:val="center"/>
          </w:tcPr>
          <w:p>
            <w:pPr>
              <w:pStyle w:val="TableContents"/>
              <w:spacing w:before="0" w:after="283"/>
              <w:jc w:val="left"/>
              <w:rPr/>
            </w:pPr>
            <w:r>
              <w:rPr/>
              <w:t>     </w:t>
            </w:r>
          </w:p>
        </w:tc>
        <w:tc>
          <w:tcPr>
            <w:tcW w:w="1595" w:type="dxa"/>
            <w:tcBorders>
              <w:bottom w:val="single" w:sz="12" w:space="0" w:color="000000"/>
            </w:tcBorders>
            <w:shd w:fill="auto" w:val="clear"/>
            <w:vAlign w:val="center"/>
          </w:tcPr>
          <w:p>
            <w:pPr>
              <w:pStyle w:val="TableContents"/>
              <w:spacing w:before="0" w:after="283"/>
              <w:jc w:val="center"/>
              <w:rPr/>
            </w:pPr>
            <w:r>
              <w:rPr>
                <w:rStyle w:val="StrongEmphasis"/>
                <w:rFonts w:ascii="Arial" w:hAnsi="Arial"/>
                <w:sz w:val="15"/>
              </w:rPr>
              <w:t>NUMBER OF SHARES</w:t>
              <w:br/>
              <w:t>UNDERLYING RSUS</w:t>
              <w:br/>
              <w:t>AND PSUS</w:t>
            </w:r>
          </w:p>
        </w:tc>
        <w:tc>
          <w:tcPr>
            <w:tcW w:w="300" w:type="dxa"/>
            <w:tcBorders>
              <w:bottom w:val="single" w:sz="12" w:space="0" w:color="000000"/>
            </w:tcBorders>
            <w:shd w:fill="auto" w:val="clear"/>
            <w:vAlign w:val="center"/>
          </w:tcPr>
          <w:p>
            <w:pPr>
              <w:pStyle w:val="TableContents"/>
              <w:spacing w:before="0" w:after="283"/>
              <w:jc w:val="center"/>
              <w:rPr/>
            </w:pPr>
            <w:r>
              <w:rPr>
                <w:rStyle w:val="StrongEmphasis"/>
              </w:rPr>
              <w:t>     </w:t>
            </w:r>
          </w:p>
        </w:tc>
        <w:tc>
          <w:tcPr>
            <w:tcW w:w="1595" w:type="dxa"/>
            <w:tcBorders>
              <w:bottom w:val="single" w:sz="12" w:space="0" w:color="000000"/>
            </w:tcBorders>
            <w:shd w:fill="auto" w:val="clear"/>
            <w:vAlign w:val="center"/>
          </w:tcPr>
          <w:p>
            <w:pPr>
              <w:pStyle w:val="TableContents"/>
              <w:spacing w:before="0" w:after="283"/>
              <w:jc w:val="center"/>
              <w:rPr/>
            </w:pPr>
            <w:r>
              <w:rPr>
                <w:rStyle w:val="StrongEmphasis"/>
                <w:rFonts w:ascii="Arial" w:hAnsi="Arial"/>
                <w:sz w:val="15"/>
              </w:rPr>
              <w:t>NUMBER OF SHARES</w:t>
              <w:br/>
              <w:t>UNDERLYING</w:t>
              <w:br/>
              <w:t>OPTIONS</w:t>
            </w:r>
          </w:p>
        </w:tc>
      </w:tr>
      <w:tr>
        <w:trPr/>
        <w:tc>
          <w:tcPr>
            <w:tcW w:w="5420" w:type="dxa"/>
            <w:tcBorders>
              <w:bottom w:val="single" w:sz="8" w:space="0" w:color="000000"/>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All NEOs as a group</w:t>
            </w:r>
          </w:p>
        </w:tc>
        <w:tc>
          <w:tcPr>
            <w:tcW w:w="3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595"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860,435</w:t>
            </w:r>
          </w:p>
        </w:tc>
        <w:tc>
          <w:tcPr>
            <w:tcW w:w="3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595"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5,020,450</w:t>
            </w:r>
          </w:p>
        </w:tc>
      </w:tr>
      <w:tr>
        <w:trPr/>
        <w:tc>
          <w:tcPr>
            <w:tcW w:w="5420" w:type="dxa"/>
            <w:tcBorders>
              <w:bottom w:val="single" w:sz="8" w:space="0" w:color="000000"/>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All executive officers as a group</w:t>
            </w:r>
          </w:p>
        </w:tc>
        <w:tc>
          <w:tcPr>
            <w:tcW w:w="3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595"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1,000,558</w:t>
            </w:r>
          </w:p>
        </w:tc>
        <w:tc>
          <w:tcPr>
            <w:tcW w:w="3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595"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5,304,220</w:t>
            </w:r>
          </w:p>
        </w:tc>
      </w:tr>
      <w:tr>
        <w:trPr/>
        <w:tc>
          <w:tcPr>
            <w:tcW w:w="5420" w:type="dxa"/>
            <w:tcBorders>
              <w:bottom w:val="single" w:sz="8" w:space="0" w:color="000000"/>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All nonemployee directors as a group</w:t>
            </w:r>
          </w:p>
        </w:tc>
        <w:tc>
          <w:tcPr>
            <w:tcW w:w="3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595"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45,416</w:t>
            </w:r>
          </w:p>
        </w:tc>
        <w:tc>
          <w:tcPr>
            <w:tcW w:w="3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595" w:type="dxa"/>
            <w:tcBorders>
              <w:bottom w:val="single" w:sz="8" w:space="0" w:color="000000"/>
            </w:tcBorders>
            <w:shd w:fill="auto" w:val="clear"/>
            <w:tcMar>
              <w:bottom w:w="28" w:type="dxa"/>
            </w:tcMar>
            <w:vAlign w:val="center"/>
          </w:tcPr>
          <w:p>
            <w:pPr>
              <w:pStyle w:val="TableContents"/>
              <w:spacing w:before="0" w:after="283"/>
              <w:jc w:val="right"/>
              <w:rPr/>
            </w:pPr>
            <w:r>
              <w:rPr/>
              <w:t>—</w:t>
            </w:r>
          </w:p>
        </w:tc>
      </w:tr>
      <w:tr>
        <w:trPr/>
        <w:tc>
          <w:tcPr>
            <w:tcW w:w="5420" w:type="dxa"/>
            <w:tcBorders>
              <w:bottom w:val="single" w:sz="8" w:space="0" w:color="000000"/>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Company employees other than executive officers, as a group</w:t>
            </w:r>
          </w:p>
        </w:tc>
        <w:tc>
          <w:tcPr>
            <w:tcW w:w="3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595"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19,219,645</w:t>
            </w:r>
          </w:p>
        </w:tc>
        <w:tc>
          <w:tcPr>
            <w:tcW w:w="3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595"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47,329,810</w:t>
            </w:r>
          </w:p>
        </w:tc>
      </w:tr>
    </w:tbl>
    <w:p>
      <w:pPr>
        <w:pStyle w:val="TextBody"/>
        <w:spacing w:before="240" w:after="283"/>
        <w:jc w:val="left"/>
        <w:rPr>
          <w:rFonts w:ascii="Arial" w:hAnsi="Arial"/>
          <w:color w:val="00A1E0"/>
          <w:sz w:val="26"/>
        </w:rPr>
      </w:pPr>
      <w:r>
        <w:rPr>
          <w:rFonts w:ascii="Arial" w:hAnsi="Arial"/>
          <w:color w:val="00A1E0"/>
          <w:sz w:val="26"/>
        </w:rPr>
        <w:t>Registration with the SEC</w:t>
      </w:r>
    </w:p>
    <w:p>
      <w:pPr>
        <w:pStyle w:val="TextBody"/>
        <w:jc w:val="left"/>
        <w:rPr>
          <w:rFonts w:ascii="Arial" w:hAnsi="Arial"/>
          <w:sz w:val="20"/>
        </w:rPr>
      </w:pPr>
      <w:r>
        <w:rPr>
          <w:rFonts w:ascii="Arial" w:hAnsi="Arial"/>
          <w:sz w:val="20"/>
        </w:rPr>
        <w:t>If our shareholders approve the Omnibus Plan, we will file a Registration Statement on Form S-8 with the SEC to register the shares available for issuance under the Omnibus Plan in June 2023.</w:t>
      </w:r>
    </w:p>
    <w:tbl>
      <w:tblPr>
        <w:tblW w:w="10205" w:type="dxa"/>
        <w:jc w:val="left"/>
        <w:tblInd w:w="0" w:type="dxa"/>
        <w:tblCellMar>
          <w:top w:w="28" w:type="dxa"/>
          <w:left w:w="28" w:type="dxa"/>
          <w:bottom w:w="0" w:type="dxa"/>
          <w:right w:w="0" w:type="dxa"/>
        </w:tblCellMar>
      </w:tblPr>
      <w:tblGrid>
        <w:gridCol w:w="120"/>
        <w:gridCol w:w="636"/>
        <w:gridCol w:w="589"/>
        <w:gridCol w:w="315"/>
        <w:gridCol w:w="8423"/>
        <w:gridCol w:w="122"/>
      </w:tblGrid>
      <w:tr>
        <w:trPr/>
        <w:tc>
          <w:tcPr>
            <w:tcW w:w="120" w:type="dxa"/>
            <w:tcBorders>
              <w:top w:val="single" w:sz="8" w:space="0" w:color="959595"/>
              <w:left w:val="single" w:sz="8" w:space="0" w:color="959595"/>
            </w:tcBorders>
            <w:shd w:fill="auto" w:val="clear"/>
            <w:vAlign w:val="center"/>
          </w:tcPr>
          <w:p>
            <w:pPr>
              <w:pStyle w:val="TableContents"/>
              <w:spacing w:before="0" w:after="283"/>
              <w:jc w:val="left"/>
              <w:rPr/>
            </w:pPr>
            <w:r>
              <w:rPr/>
              <w:t>  </w:t>
            </w:r>
          </w:p>
        </w:tc>
        <w:tc>
          <w:tcPr>
            <w:tcW w:w="636" w:type="dxa"/>
            <w:tcBorders>
              <w:top w:val="single" w:sz="8" w:space="0" w:color="959595"/>
            </w:tcBorders>
            <w:shd w:fill="auto" w:val="clear"/>
            <w:tcMar>
              <w:left w:w="0" w:type="dxa"/>
            </w:tcMar>
            <w:vAlign w:val="center"/>
          </w:tcPr>
          <w:p>
            <w:pPr>
              <w:pStyle w:val="TableContents"/>
              <w:spacing w:before="0" w:after="283"/>
              <w:rPr>
                <w:sz w:val="4"/>
                <w:szCs w:val="4"/>
              </w:rPr>
            </w:pPr>
            <w:r>
              <w:rPr>
                <w:sz w:val="4"/>
                <w:szCs w:val="4"/>
              </w:rPr>
            </w:r>
          </w:p>
        </w:tc>
        <w:tc>
          <w:tcPr>
            <w:tcW w:w="589" w:type="dxa"/>
            <w:tcBorders>
              <w:top w:val="single" w:sz="8" w:space="0" w:color="959595"/>
            </w:tcBorders>
            <w:shd w:fill="auto" w:val="clear"/>
            <w:tcMar>
              <w:left w:w="0" w:type="dxa"/>
            </w:tcMar>
            <w:vAlign w:val="center"/>
          </w:tcPr>
          <w:p>
            <w:pPr>
              <w:pStyle w:val="TableContents"/>
              <w:spacing w:before="0" w:after="283"/>
              <w:rPr/>
            </w:pPr>
            <w:r>
              <w:rPr/>
              <w:t> </w:t>
            </w:r>
          </w:p>
        </w:tc>
        <w:tc>
          <w:tcPr>
            <w:tcW w:w="315" w:type="dxa"/>
            <w:tcBorders>
              <w:top w:val="single" w:sz="8" w:space="0" w:color="959595"/>
            </w:tcBorders>
            <w:shd w:fill="auto" w:val="clear"/>
            <w:tcMar>
              <w:left w:w="0" w:type="dxa"/>
            </w:tcMar>
            <w:vAlign w:val="center"/>
          </w:tcPr>
          <w:p>
            <w:pPr>
              <w:pStyle w:val="TableContents"/>
              <w:spacing w:before="0" w:after="283"/>
              <w:rPr/>
            </w:pPr>
            <w:r>
              <w:rPr/>
              <w:t> </w:t>
            </w:r>
          </w:p>
        </w:tc>
        <w:tc>
          <w:tcPr>
            <w:tcW w:w="8423" w:type="dxa"/>
            <w:tcBorders>
              <w:top w:val="single" w:sz="8" w:space="0" w:color="959595"/>
            </w:tcBorders>
            <w:shd w:fill="auto" w:val="clear"/>
            <w:tcMar>
              <w:left w:w="0" w:type="dxa"/>
            </w:tcMar>
            <w:vAlign w:val="center"/>
          </w:tcPr>
          <w:p>
            <w:pPr>
              <w:pStyle w:val="TableContents"/>
              <w:spacing w:before="0" w:after="283"/>
              <w:jc w:val="left"/>
              <w:rPr/>
            </w:pPr>
            <w:r>
              <w:rPr/>
              <w:t>                              </w:t>
            </w:r>
          </w:p>
        </w:tc>
        <w:tc>
          <w:tcPr>
            <w:tcW w:w="122" w:type="dxa"/>
            <w:tcBorders>
              <w:top w:val="single" w:sz="8" w:space="0" w:color="959595"/>
              <w:right w:val="single" w:sz="8" w:space="0" w:color="959595"/>
            </w:tcBorders>
            <w:shd w:fill="auto" w:val="clear"/>
            <w:tcMar>
              <w:left w:w="0" w:type="dxa"/>
              <w:right w:w="28" w:type="dxa"/>
            </w:tcMar>
            <w:vAlign w:val="center"/>
          </w:tcPr>
          <w:p>
            <w:pPr>
              <w:pStyle w:val="TableContents"/>
              <w:spacing w:before="0" w:after="283"/>
              <w:jc w:val="left"/>
              <w:rPr/>
            </w:pPr>
            <w:r>
              <w:rPr/>
              <w:t>  </w:t>
            </w:r>
          </w:p>
        </w:tc>
      </w:tr>
      <w:tr>
        <w:trPr/>
        <w:tc>
          <w:tcPr>
            <w:tcW w:w="120" w:type="dxa"/>
            <w:tcBorders>
              <w:left w:val="single" w:sz="8" w:space="0" w:color="959595"/>
            </w:tcBorders>
            <w:shd w:fill="auto" w:val="clear"/>
            <w:tcMar>
              <w:top w:w="0" w:type="dxa"/>
            </w:tcMar>
            <w:vAlign w:val="center"/>
          </w:tcPr>
          <w:p>
            <w:pPr>
              <w:pStyle w:val="TableContents"/>
              <w:spacing w:before="0" w:after="283"/>
              <w:rPr>
                <w:sz w:val="4"/>
                <w:szCs w:val="4"/>
              </w:rPr>
            </w:pPr>
            <w:r>
              <w:rPr>
                <w:sz w:val="4"/>
                <w:szCs w:val="4"/>
              </w:rPr>
            </w:r>
          </w:p>
        </w:tc>
        <w:tc>
          <w:tcPr>
            <w:tcW w:w="1225" w:type="dxa"/>
            <w:gridSpan w:val="2"/>
            <w:tcBorders/>
            <w:shd w:fill="ECF6FA" w:val="clear"/>
            <w:tcMar>
              <w:top w:w="0" w:type="dxa"/>
              <w:left w:w="0" w:type="dxa"/>
            </w:tcMar>
            <w:vAlign w:val="center"/>
          </w:tcPr>
          <w:p>
            <w:pPr>
              <w:pStyle w:val="TableContents"/>
              <w:spacing w:before="0" w:after="283"/>
              <w:jc w:val="left"/>
              <w:rPr>
                <w:rFonts w:ascii="Arial" w:hAnsi="Arial"/>
                <w:color w:val="00A1E0"/>
                <w:sz w:val="24"/>
              </w:rPr>
            </w:pPr>
            <w:bookmarkStart w:id="18" w:name="proposal4"/>
            <w:bookmarkEnd w:id="18"/>
            <w:r>
              <w:rPr>
                <w:rFonts w:ascii="Arial" w:hAnsi="Arial"/>
                <w:color w:val="00A1E0"/>
                <w:sz w:val="24"/>
              </w:rPr>
              <w:t>Proposal 4:</w:t>
            </w:r>
          </w:p>
        </w:tc>
        <w:tc>
          <w:tcPr>
            <w:tcW w:w="315" w:type="dxa"/>
            <w:tcBorders/>
            <w:shd w:fill="ECF6FA" w:val="clear"/>
            <w:tcMar>
              <w:top w:w="0" w:type="dxa"/>
              <w:left w:w="0" w:type="dxa"/>
            </w:tcMar>
            <w:vAlign w:val="center"/>
          </w:tcPr>
          <w:p>
            <w:pPr>
              <w:pStyle w:val="TableContents"/>
              <w:spacing w:before="0" w:after="283"/>
              <w:rPr/>
            </w:pPr>
            <w:r>
              <w:rPr/>
              <w:t>     </w:t>
            </w:r>
          </w:p>
        </w:tc>
        <w:tc>
          <w:tcPr>
            <w:tcW w:w="8423" w:type="dxa"/>
            <w:tcBorders/>
            <w:shd w:fill="ECF6FA" w:val="clear"/>
            <w:tcMar>
              <w:top w:w="0" w:type="dxa"/>
              <w:left w:w="0" w:type="dxa"/>
            </w:tcMar>
            <w:vAlign w:val="center"/>
          </w:tcPr>
          <w:p>
            <w:pPr>
              <w:pStyle w:val="TableContents"/>
              <w:spacing w:before="0" w:after="283"/>
              <w:jc w:val="left"/>
              <w:rPr>
                <w:rFonts w:ascii="Arial" w:hAnsi="Arial"/>
                <w:color w:val="00A1E0"/>
                <w:sz w:val="24"/>
              </w:rPr>
            </w:pPr>
            <w:r>
              <w:rPr>
                <w:rFonts w:ascii="Arial" w:hAnsi="Arial"/>
                <w:color w:val="00A1E0"/>
                <w:sz w:val="24"/>
              </w:rPr>
              <w:t>APPROVAL OF AMENDED AND RESTATED COMCAST CORPORATION 2002 EMPLOYEE STOCK PURCHASE PLAN</w:t>
            </w:r>
          </w:p>
        </w:tc>
        <w:tc>
          <w:tcPr>
            <w:tcW w:w="122" w:type="dxa"/>
            <w:tcBorders>
              <w:right w:val="single" w:sz="8" w:space="0" w:color="959595"/>
            </w:tcBorders>
            <w:shd w:fill="auto" w:val="clear"/>
            <w:tcMar>
              <w:top w:w="0" w:type="dxa"/>
              <w:left w:w="0" w:type="dxa"/>
              <w:right w:w="28" w:type="dxa"/>
            </w:tcMar>
            <w:vAlign w:val="center"/>
          </w:tcPr>
          <w:p>
            <w:pPr>
              <w:pStyle w:val="TableContents"/>
              <w:spacing w:before="0" w:after="283"/>
              <w:rPr>
                <w:sz w:val="4"/>
                <w:szCs w:val="4"/>
              </w:rPr>
            </w:pPr>
            <w:r>
              <w:rPr>
                <w:sz w:val="4"/>
                <w:szCs w:val="4"/>
              </w:rPr>
            </w:r>
          </w:p>
        </w:tc>
      </w:tr>
      <w:tr>
        <w:trPr/>
        <w:tc>
          <w:tcPr>
            <w:tcW w:w="120" w:type="dxa"/>
            <w:tcBorders>
              <w:left w:val="single" w:sz="8" w:space="0" w:color="959595"/>
            </w:tcBorders>
            <w:shd w:fill="auto" w:val="clear"/>
            <w:tcMar>
              <w:top w:w="0" w:type="dxa"/>
            </w:tcMar>
            <w:vAlign w:val="center"/>
          </w:tcPr>
          <w:p>
            <w:pPr>
              <w:pStyle w:val="TableContents"/>
              <w:spacing w:before="0" w:after="283"/>
              <w:jc w:val="left"/>
              <w:rPr/>
            </w:pPr>
            <w:r>
              <w:rPr/>
              <w:t> </w:t>
            </w:r>
          </w:p>
        </w:tc>
        <w:tc>
          <w:tcPr>
            <w:tcW w:w="636" w:type="dxa"/>
            <w:tcBorders/>
            <w:shd w:fill="auto" w:val="clear"/>
            <w:tcMar>
              <w:top w:w="0" w:type="dxa"/>
              <w:left w:w="0" w:type="dxa"/>
            </w:tcMar>
            <w:vAlign w:val="center"/>
          </w:tcPr>
          <w:p>
            <w:pPr>
              <w:pStyle w:val="TableContents"/>
              <w:spacing w:before="0" w:after="283"/>
              <w:rPr>
                <w:sz w:val="4"/>
                <w:szCs w:val="4"/>
              </w:rPr>
            </w:pPr>
            <w:r>
              <w:rPr>
                <w:sz w:val="4"/>
                <w:szCs w:val="4"/>
              </w:rPr>
            </w:r>
          </w:p>
        </w:tc>
        <w:tc>
          <w:tcPr>
            <w:tcW w:w="589" w:type="dxa"/>
            <w:tcBorders/>
            <w:shd w:fill="auto" w:val="clear"/>
            <w:tcMar>
              <w:top w:w="0" w:type="dxa"/>
              <w:left w:w="0" w:type="dxa"/>
            </w:tcMar>
            <w:vAlign w:val="center"/>
          </w:tcPr>
          <w:p>
            <w:pPr>
              <w:pStyle w:val="TableContents"/>
              <w:spacing w:before="0" w:after="283"/>
              <w:rPr/>
            </w:pPr>
            <w:r>
              <w:rPr/>
              <w:t>         </w:t>
            </w:r>
          </w:p>
        </w:tc>
        <w:tc>
          <w:tcPr>
            <w:tcW w:w="315" w:type="dxa"/>
            <w:tcBorders/>
            <w:shd w:fill="auto" w:val="clear"/>
            <w:tcMar>
              <w:top w:w="0" w:type="dxa"/>
              <w:left w:w="0" w:type="dxa"/>
            </w:tcMar>
            <w:vAlign w:val="center"/>
          </w:tcPr>
          <w:p>
            <w:pPr>
              <w:pStyle w:val="TableContents"/>
              <w:spacing w:before="0" w:after="283"/>
              <w:rPr/>
            </w:pPr>
            <w:r>
              <w:rPr/>
              <w:t> </w:t>
            </w:r>
          </w:p>
        </w:tc>
        <w:tc>
          <w:tcPr>
            <w:tcW w:w="8423" w:type="dxa"/>
            <w:tcBorders/>
            <w:shd w:fill="auto" w:val="clear"/>
            <w:tcMar>
              <w:top w:w="0" w:type="dxa"/>
              <w:left w:w="0" w:type="dxa"/>
            </w:tcMar>
            <w:vAlign w:val="center"/>
          </w:tcPr>
          <w:p>
            <w:pPr>
              <w:pStyle w:val="TableContents"/>
              <w:spacing w:before="0" w:after="283"/>
              <w:rPr>
                <w:sz w:val="4"/>
                <w:szCs w:val="4"/>
              </w:rPr>
            </w:pPr>
            <w:r>
              <w:rPr>
                <w:sz w:val="4"/>
                <w:szCs w:val="4"/>
              </w:rPr>
            </w:r>
          </w:p>
        </w:tc>
        <w:tc>
          <w:tcPr>
            <w:tcW w:w="122" w:type="dxa"/>
            <w:tcBorders>
              <w:right w:val="single" w:sz="8" w:space="0" w:color="959595"/>
            </w:tcBorders>
            <w:shd w:fill="auto" w:val="clear"/>
            <w:tcMar>
              <w:top w:w="0" w:type="dxa"/>
              <w:left w:w="0" w:type="dxa"/>
              <w:right w:w="28" w:type="dxa"/>
            </w:tcMar>
            <w:vAlign w:val="center"/>
          </w:tcPr>
          <w:p>
            <w:pPr>
              <w:pStyle w:val="TableContents"/>
              <w:spacing w:before="0" w:after="283"/>
              <w:rPr>
                <w:sz w:val="4"/>
                <w:szCs w:val="4"/>
              </w:rPr>
            </w:pPr>
            <w:r>
              <w:rPr>
                <w:sz w:val="4"/>
                <w:szCs w:val="4"/>
              </w:rPr>
            </w:r>
          </w:p>
        </w:tc>
      </w:tr>
      <w:tr>
        <w:trPr/>
        <w:tc>
          <w:tcPr>
            <w:tcW w:w="120" w:type="dxa"/>
            <w:tcBorders>
              <w:left w:val="single" w:sz="8" w:space="0" w:color="959595"/>
            </w:tcBorders>
            <w:shd w:fill="auto" w:val="clear"/>
            <w:tcMar>
              <w:top w:w="0" w:type="dxa"/>
            </w:tcMar>
            <w:vAlign w:val="center"/>
          </w:tcPr>
          <w:p>
            <w:pPr>
              <w:pStyle w:val="TableContents"/>
              <w:spacing w:before="0" w:after="283"/>
              <w:rPr>
                <w:sz w:val="4"/>
                <w:szCs w:val="4"/>
              </w:rPr>
            </w:pPr>
            <w:r>
              <w:rPr>
                <w:sz w:val="4"/>
                <w:szCs w:val="4"/>
              </w:rPr>
            </w:r>
          </w:p>
        </w:tc>
        <w:tc>
          <w:tcPr>
            <w:tcW w:w="636" w:type="dxa"/>
            <w:tcBorders/>
            <w:shd w:fill="auto" w:val="clear"/>
            <w:tcMar>
              <w:top w:w="0" w:type="dxa"/>
              <w:left w:w="0" w:type="dxa"/>
            </w:tcMar>
            <w:vAlign w:val="center"/>
          </w:tcPr>
          <w:p>
            <w:pPr>
              <w:pStyle w:val="TableContents"/>
              <w:spacing w:before="0" w:after="283"/>
              <w:jc w:val="left"/>
              <w:rPr/>
            </w:pPr>
            <w:r>
              <w:rPr/>
              <w:drawing>
                <wp:inline distT="0" distB="0" distL="0" distR="0">
                  <wp:extent cx="390525" cy="266700"/>
                  <wp:effectExtent l="0" t="0" r="0" b="0"/>
                  <wp:docPr id="188"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14" descr=""/>
                          <pic:cNvPicPr>
                            <a:picLocks noChangeAspect="1" noChangeArrowheads="1"/>
                          </pic:cNvPicPr>
                        </pic:nvPicPr>
                        <pic:blipFill>
                          <a:blip r:embed="rId115"/>
                          <a:srcRect l="-2580" t="-3650" r="-2580" b="-3650"/>
                          <a:stretch>
                            <a:fillRect/>
                          </a:stretch>
                        </pic:blipFill>
                        <pic:spPr bwMode="auto">
                          <a:xfrm>
                            <a:off x="0" y="0"/>
                            <a:ext cx="390525" cy="266700"/>
                          </a:xfrm>
                          <a:prstGeom prst="rect">
                            <a:avLst/>
                          </a:prstGeom>
                          <a:ln w="635">
                            <a:solidFill>
                              <a:srgbClr val="000000"/>
                            </a:solidFill>
                          </a:ln>
                        </pic:spPr>
                      </pic:pic>
                    </a:graphicData>
                  </a:graphic>
                </wp:inline>
              </w:drawing>
            </w:r>
          </w:p>
        </w:tc>
        <w:tc>
          <w:tcPr>
            <w:tcW w:w="9327" w:type="dxa"/>
            <w:gridSpan w:val="3"/>
            <w:tcBorders/>
            <w:shd w:fill="auto" w:val="clear"/>
            <w:tcMar>
              <w:top w:w="0" w:type="dxa"/>
              <w:left w:w="0" w:type="dxa"/>
            </w:tcMar>
            <w:vAlign w:val="center"/>
          </w:tcPr>
          <w:p>
            <w:pPr>
              <w:pStyle w:val="TableContents"/>
              <w:spacing w:before="0" w:after="0"/>
              <w:jc w:val="left"/>
              <w:rPr>
                <w:rFonts w:ascii="Arial" w:hAnsi="Arial"/>
                <w:b/>
                <w:sz w:val="20"/>
              </w:rPr>
            </w:pPr>
            <w:r>
              <w:rPr>
                <w:rFonts w:ascii="Arial" w:hAnsi="Arial"/>
                <w:b/>
                <w:sz w:val="20"/>
              </w:rPr>
              <w:t>Our Board unanimously recommends that shareholders vote “</w:t>
            </w:r>
            <w:r>
              <w:rPr>
                <w:rFonts w:ascii="Arial" w:hAnsi="Arial"/>
                <w:b/>
                <w:color w:val="00A1E0"/>
                <w:sz w:val="20"/>
              </w:rPr>
              <w:t>FOR</w:t>
            </w:r>
            <w:r>
              <w:rPr>
                <w:rFonts w:ascii="Arial" w:hAnsi="Arial"/>
                <w:b/>
                <w:sz w:val="20"/>
              </w:rPr>
              <w:t>” approval of the amended and restated Comcast Corporation 2002 Employee Stock Purchase Plan.</w:t>
            </w:r>
          </w:p>
        </w:tc>
        <w:tc>
          <w:tcPr>
            <w:tcW w:w="122" w:type="dxa"/>
            <w:tcBorders>
              <w:right w:val="single" w:sz="8" w:space="0" w:color="959595"/>
            </w:tcBorders>
            <w:shd w:fill="auto" w:val="clear"/>
            <w:tcMar>
              <w:top w:w="0" w:type="dxa"/>
              <w:left w:w="0" w:type="dxa"/>
              <w:right w:w="28" w:type="dxa"/>
            </w:tcMar>
            <w:vAlign w:val="center"/>
          </w:tcPr>
          <w:p>
            <w:pPr>
              <w:pStyle w:val="TableContents"/>
              <w:spacing w:before="0" w:after="283"/>
              <w:rPr>
                <w:sz w:val="4"/>
                <w:szCs w:val="4"/>
              </w:rPr>
            </w:pPr>
            <w:r>
              <w:rPr>
                <w:sz w:val="4"/>
                <w:szCs w:val="4"/>
              </w:rPr>
            </w:r>
          </w:p>
        </w:tc>
      </w:tr>
      <w:tr>
        <w:trPr/>
        <w:tc>
          <w:tcPr>
            <w:tcW w:w="120" w:type="dxa"/>
            <w:tcBorders>
              <w:left w:val="single" w:sz="8" w:space="0" w:color="959595"/>
              <w:bottom w:val="single" w:sz="8" w:space="0" w:color="959595"/>
            </w:tcBorders>
            <w:shd w:fill="auto" w:val="clear"/>
            <w:tcMar>
              <w:top w:w="0" w:type="dxa"/>
              <w:bottom w:w="28" w:type="dxa"/>
            </w:tcMar>
            <w:vAlign w:val="center"/>
          </w:tcPr>
          <w:p>
            <w:pPr>
              <w:pStyle w:val="TableContents"/>
              <w:spacing w:before="0" w:after="283"/>
              <w:jc w:val="left"/>
              <w:rPr/>
            </w:pPr>
            <w:r>
              <w:rPr/>
              <w:t> </w:t>
            </w:r>
          </w:p>
        </w:tc>
        <w:tc>
          <w:tcPr>
            <w:tcW w:w="636" w:type="dxa"/>
            <w:tcBorders>
              <w:bottom w:val="single" w:sz="8" w:space="0" w:color="959595"/>
            </w:tcBorders>
            <w:shd w:fill="auto" w:val="clear"/>
            <w:tcMar>
              <w:top w:w="0" w:type="dxa"/>
              <w:left w:w="0" w:type="dxa"/>
              <w:bottom w:w="28" w:type="dxa"/>
            </w:tcMar>
            <w:vAlign w:val="center"/>
          </w:tcPr>
          <w:p>
            <w:pPr>
              <w:pStyle w:val="TableContents"/>
              <w:spacing w:before="0" w:after="283"/>
              <w:rPr>
                <w:sz w:val="4"/>
                <w:szCs w:val="4"/>
              </w:rPr>
            </w:pPr>
            <w:r>
              <w:rPr>
                <w:sz w:val="4"/>
                <w:szCs w:val="4"/>
              </w:rPr>
            </w:r>
          </w:p>
        </w:tc>
        <w:tc>
          <w:tcPr>
            <w:tcW w:w="589" w:type="dxa"/>
            <w:tcBorders>
              <w:bottom w:val="single" w:sz="8" w:space="0" w:color="959595"/>
            </w:tcBorders>
            <w:shd w:fill="auto" w:val="clear"/>
            <w:tcMar>
              <w:top w:w="0" w:type="dxa"/>
              <w:left w:w="0" w:type="dxa"/>
              <w:bottom w:w="28" w:type="dxa"/>
            </w:tcMar>
            <w:vAlign w:val="center"/>
          </w:tcPr>
          <w:p>
            <w:pPr>
              <w:pStyle w:val="TableContents"/>
              <w:spacing w:before="0" w:after="283"/>
              <w:rPr/>
            </w:pPr>
            <w:r>
              <w:rPr/>
              <w:t> </w:t>
            </w:r>
          </w:p>
        </w:tc>
        <w:tc>
          <w:tcPr>
            <w:tcW w:w="315" w:type="dxa"/>
            <w:tcBorders>
              <w:bottom w:val="single" w:sz="8" w:space="0" w:color="959595"/>
            </w:tcBorders>
            <w:shd w:fill="auto" w:val="clear"/>
            <w:tcMar>
              <w:top w:w="0" w:type="dxa"/>
              <w:left w:w="0" w:type="dxa"/>
              <w:bottom w:w="28" w:type="dxa"/>
            </w:tcMar>
            <w:vAlign w:val="center"/>
          </w:tcPr>
          <w:p>
            <w:pPr>
              <w:pStyle w:val="TableContents"/>
              <w:spacing w:before="0" w:after="283"/>
              <w:rPr/>
            </w:pPr>
            <w:r>
              <w:rPr/>
              <w:t> </w:t>
            </w:r>
          </w:p>
        </w:tc>
        <w:tc>
          <w:tcPr>
            <w:tcW w:w="8423" w:type="dxa"/>
            <w:tcBorders>
              <w:bottom w:val="single" w:sz="8" w:space="0" w:color="959595"/>
            </w:tcBorders>
            <w:shd w:fill="auto" w:val="clear"/>
            <w:tcMar>
              <w:top w:w="0" w:type="dxa"/>
              <w:left w:w="0" w:type="dxa"/>
              <w:bottom w:w="28" w:type="dxa"/>
            </w:tcMar>
            <w:vAlign w:val="center"/>
          </w:tcPr>
          <w:p>
            <w:pPr>
              <w:pStyle w:val="TableContents"/>
              <w:spacing w:before="0" w:after="283"/>
              <w:rPr>
                <w:sz w:val="4"/>
                <w:szCs w:val="4"/>
              </w:rPr>
            </w:pPr>
            <w:r>
              <w:rPr>
                <w:sz w:val="4"/>
                <w:szCs w:val="4"/>
              </w:rPr>
            </w:r>
          </w:p>
        </w:tc>
        <w:tc>
          <w:tcPr>
            <w:tcW w:w="122" w:type="dxa"/>
            <w:tcBorders>
              <w:bottom w:val="single" w:sz="8" w:space="0" w:color="959595"/>
              <w:right w:val="single" w:sz="8" w:space="0" w:color="959595"/>
            </w:tcBorders>
            <w:shd w:fill="auto" w:val="clear"/>
            <w:tcMar>
              <w:top w:w="0" w:type="dxa"/>
              <w:left w:w="0" w:type="dxa"/>
              <w:bottom w:w="28" w:type="dxa"/>
              <w:right w:w="28" w:type="dxa"/>
            </w:tcMar>
            <w:vAlign w:val="center"/>
          </w:tcPr>
          <w:p>
            <w:pPr>
              <w:pStyle w:val="TableContents"/>
              <w:spacing w:before="0" w:after="283"/>
              <w:rPr>
                <w:sz w:val="4"/>
                <w:szCs w:val="4"/>
              </w:rPr>
            </w:pPr>
            <w:r>
              <w:rPr>
                <w:sz w:val="4"/>
                <w:szCs w:val="4"/>
              </w:rPr>
            </w:r>
          </w:p>
        </w:tc>
      </w:tr>
    </w:tbl>
    <w:p>
      <w:pPr>
        <w:pStyle w:val="TextBody"/>
        <w:spacing w:before="240" w:after="283"/>
        <w:jc w:val="left"/>
        <w:rPr>
          <w:rFonts w:ascii="Arial" w:hAnsi="Arial"/>
          <w:sz w:val="20"/>
        </w:rPr>
      </w:pPr>
      <w:r>
        <w:rPr>
          <w:rFonts w:ascii="Arial" w:hAnsi="Arial"/>
          <w:sz w:val="20"/>
        </w:rPr>
        <w:t>The Comcast Corporation 2002 Employee Stock Purchase Plan (the “ESPP”) was ratified by our Board on November 20, 2002 and approved by our shareholders in 2009, 2012 and, most recently, in 2016. The ESPP was adopted for the benefit of eligible employees of Comcast and certain of its subsidiaries in the United States (but excluding NBCUniversal, Sky and their subsidiaries). The ESPP is intended to meet the requirements of Section 423 of the Internal Revenue Code. Due to the participation of our employees in the ESPP, the current authorized share pool of 101 million shares under the plan is nearly exhausted. As a result, on February 28, 2023 and March 1, 2023, the CHC Committee and the Board, respectively, approved an increase in the number of shares available for issuance under the ESPP of 100 million shares, such that the total number of shares authorized under the ESPP would be 201 million shares. Our Board is asking shareholders to approve the ESPP as so amended and restated to satisfy certain requirements under the Internal Revenue Code so that certain tax benefits will be available to our employees.</w:t>
      </w:r>
    </w:p>
    <w:p>
      <w:pPr>
        <w:pStyle w:val="TextBody"/>
        <w:jc w:val="left"/>
        <w:rPr>
          <w:rFonts w:ascii="Arial" w:hAnsi="Arial"/>
          <w:color w:val="00A1E0"/>
          <w:sz w:val="26"/>
        </w:rPr>
      </w:pPr>
      <w:r>
        <w:rPr>
          <w:rFonts w:ascii="Arial" w:hAnsi="Arial"/>
          <w:color w:val="00A1E0"/>
          <w:sz w:val="26"/>
        </w:rPr>
        <w:t>Description of the Comcast Corporation 2002 Employee Stock Purchase Plan</w:t>
      </w:r>
    </w:p>
    <w:p>
      <w:pPr>
        <w:pStyle w:val="TextBody"/>
        <w:jc w:val="left"/>
        <w:rPr/>
      </w:pPr>
      <w:r>
        <w:rPr>
          <w:rFonts w:ascii="Arial" w:hAnsi="Arial"/>
          <w:sz w:val="20"/>
        </w:rPr>
        <w:t xml:space="preserve">The following is a summary of the material features of the ESPP. This summary does not purport to be complete and is qualified in its entirety by reference to the terms of the ESPP, which is attached as </w:t>
      </w:r>
      <w:r>
        <w:rPr>
          <w:rFonts w:ascii="Arial" w:hAnsi="Arial"/>
          <w:sz w:val="20"/>
          <w:u w:val="single"/>
        </w:rPr>
        <w:t>Appendix D</w:t>
      </w:r>
      <w:r>
        <w:rPr/>
        <w:t xml:space="preserve"> </w:t>
      </w:r>
      <w:r>
        <w:rPr>
          <w:rFonts w:ascii="Arial" w:hAnsi="Arial"/>
          <w:sz w:val="20"/>
        </w:rPr>
        <w:t>to this proxy statement.</w:t>
      </w:r>
    </w:p>
    <w:p>
      <w:pPr>
        <w:pStyle w:val="TextBody"/>
        <w:jc w:val="left"/>
        <w:rPr/>
      </w:pPr>
      <w:r>
        <w:rPr>
          <w:rStyle w:val="Emphasis"/>
          <w:rFonts w:ascii="Arial" w:hAnsi="Arial"/>
          <w:sz w:val="20"/>
        </w:rPr>
        <w:t>Eligibility.</w:t>
      </w:r>
      <w:r>
        <w:rPr>
          <w:rFonts w:ascii="Arial" w:hAnsi="Arial"/>
          <w:sz w:val="20"/>
        </w:rPr>
        <w:t xml:space="preserve"> In general, a full-time employee or part-time employee working at least 20 hours per week of Comcast or a participating subsidiary is eligible to participate in the ESPP if he or she has been continuously employed for at least 90 days as of the first day of an offering period. A part-time employee working less than 20 hours per week is eligible to participate in the ESPP if he or she has been continuously employed for at least one year as of the first day of an offering period. Any eligible employee who, after purchasing shares under the ESPP, would own 5% or more of our stock (by vote or value) is not eligible to purchase additional shares under the ESPP. Approximately 81,000 employees are currently eligible to participate in the ESPP.</w:t>
      </w:r>
    </w:p>
    <w:p>
      <w:pPr>
        <w:pStyle w:val="TextBody"/>
        <w:jc w:val="left"/>
        <w:rPr/>
      </w:pPr>
      <w:r>
        <w:rPr>
          <w:rStyle w:val="Emphasis"/>
          <w:rFonts w:ascii="Arial" w:hAnsi="Arial"/>
          <w:sz w:val="20"/>
        </w:rPr>
        <w:t>Shares Subject to the Plan.</w:t>
      </w:r>
      <w:r>
        <w:rPr>
          <w:rFonts w:ascii="Arial" w:hAnsi="Arial"/>
          <w:sz w:val="20"/>
        </w:rPr>
        <w:t xml:space="preserve"> In the aggregate, 101 million shares of Class A common stock have been reserved for purchase under the ESPP, subject to adjustment in the event of certain corporate events. As of February 17, 2023, of this aggregate amount, 93,838,198 shares had been issued under the ESPP and 7,161,802 shares remained available for grant. Shares deliverable under the ESPP may consist of either treasury shares or originally issued shares. As of March 31, 2023, the fair market value of a share of Class A common stock was $37.91.</w:t>
      </w:r>
    </w:p>
    <w:p>
      <w:pPr>
        <w:pStyle w:val="TextBody"/>
        <w:jc w:val="left"/>
        <w:rPr/>
      </w:pPr>
      <w:r>
        <w:rPr>
          <w:rStyle w:val="Emphasis"/>
          <w:rFonts w:ascii="Arial" w:hAnsi="Arial"/>
          <w:sz w:val="20"/>
        </w:rPr>
        <w:t>Administration.</w:t>
      </w:r>
      <w:r>
        <w:rPr>
          <w:rFonts w:ascii="Arial" w:hAnsi="Arial"/>
          <w:sz w:val="20"/>
        </w:rPr>
        <w:t xml:space="preserve"> The ESPP is administered by the CHC Committee. The Board and the CHC Committee have authority to interpret the ESPP, prescribe, amend and rescind rules and regulations relating to it and make all other determinations deemed necessary or advisable in administering the ESPP. Pursuant to its delegation authority under the ESPP, the CHC Committee has delegated certain of its administrative duties, subject to its review and supervision, to certain management-level committees that oversee our benefits plans.</w:t>
      </w:r>
    </w:p>
    <w:tbl>
      <w:tblPr>
        <w:tblW w:w="2200" w:type="dxa"/>
        <w:jc w:val="left"/>
        <w:tblInd w:w="0" w:type="dxa"/>
        <w:tblCellMar>
          <w:top w:w="0" w:type="dxa"/>
          <w:left w:w="0" w:type="dxa"/>
          <w:bottom w:w="0" w:type="dxa"/>
          <w:right w:w="0" w:type="dxa"/>
        </w:tblCellMar>
      </w:tblPr>
      <w:tblGrid>
        <w:gridCol w:w="1580"/>
        <w:gridCol w:w="620"/>
      </w:tblGrid>
      <w:tr>
        <w:trPr/>
        <w:tc>
          <w:tcPr>
            <w:tcW w:w="1580" w:type="dxa"/>
            <w:tcBorders/>
            <w:shd w:fill="auto" w:val="clear"/>
            <w:vAlign w:val="center"/>
          </w:tcPr>
          <w:p>
            <w:pPr>
              <w:pStyle w:val="TableContents"/>
              <w:spacing w:before="0" w:after="283"/>
              <w:jc w:val="right"/>
              <w:rPr>
                <w:rFonts w:ascii="Arial" w:hAnsi="Arial"/>
                <w:sz w:val="15"/>
              </w:rPr>
            </w:pPr>
            <w:r>
              <w:rPr>
                <w:rFonts w:ascii="Arial" w:hAnsi="Arial"/>
                <w:sz w:val="15"/>
              </w:rPr>
              <w:t>2023 Proxy Statement</w:t>
            </w:r>
          </w:p>
        </w:tc>
        <w:tc>
          <w:tcPr>
            <w:tcW w:w="620" w:type="dxa"/>
            <w:tcBorders/>
            <w:shd w:fill="auto" w:val="clear"/>
            <w:vAlign w:val="center"/>
          </w:tcPr>
          <w:p>
            <w:pPr>
              <w:pStyle w:val="TableContents"/>
              <w:spacing w:before="0" w:after="283"/>
              <w:jc w:val="right"/>
              <w:rPr/>
            </w:pPr>
            <w:r>
              <w:rPr/>
              <w:t>       </w:t>
            </w:r>
            <w:r>
              <w:rPr>
                <w:rStyle w:val="StrongEmphasis"/>
                <w:rFonts w:ascii="Arial" w:hAnsi="Arial"/>
                <w:sz w:val="15"/>
              </w:rPr>
              <w:t>37</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p>
      <w:pPr>
        <w:pStyle w:val="TextBody"/>
        <w:jc w:val="left"/>
        <w:rPr/>
      </w:pPr>
      <w:r>
        <w:rPr>
          <w:rStyle w:val="Emphasis"/>
          <w:rFonts w:ascii="Arial" w:hAnsi="Arial"/>
          <w:sz w:val="20"/>
        </w:rPr>
        <w:t>Adjustments.</w:t>
      </w:r>
      <w:r>
        <w:rPr>
          <w:rFonts w:ascii="Arial" w:hAnsi="Arial"/>
          <w:sz w:val="20"/>
        </w:rPr>
        <w:t xml:space="preserve"> If shares are exchanged for a different number or kind of shares of our company through merger, recapitalization, stock dividend, stock split or other similar capital adjustments, the Board or the CHC Committee will make adjustments to the ESPP as it deems appropriate. The Board or the CHC Committee’s determination will be binding for all purposes of the ESPP.</w:t>
      </w:r>
    </w:p>
    <w:p>
      <w:pPr>
        <w:pStyle w:val="TextBody"/>
        <w:jc w:val="left"/>
        <w:rPr/>
      </w:pPr>
      <w:r>
        <w:rPr>
          <w:rStyle w:val="Emphasis"/>
          <w:rFonts w:ascii="Arial" w:hAnsi="Arial"/>
          <w:sz w:val="20"/>
        </w:rPr>
        <w:t>Participation in the Plan.</w:t>
      </w:r>
      <w:r>
        <w:rPr>
          <w:rFonts w:ascii="Arial" w:hAnsi="Arial"/>
          <w:sz w:val="20"/>
        </w:rPr>
        <w:t xml:space="preserve"> The ESPP enables eligible employees to purchase shares during certain offering periods, which generally encompass a calendar quarter. To become a participant in the ESPP, an eligible employee must file an election form in accordance with the terms and conditions set forth in the ESPP. On his or her election form, the participant will designate the percentage of eligible compensation (which can be no more than 10% with respect to each payroll period during the offering period) he or she would like to have credited to his or her account under the ESPP. No participant can purchase shares having more than $25,000 in fair market value (as determined under Section 423(b)(8) of the Internal Revenue Code) each calendar year under the ESPP, or more than 1500 shares per offering period. At the end of each offering period, amounts credited to this account will be used to purchase whole shares and any cash remaining after such purchase will be credited towards the purchase of whole shares in the next offering period or returned to the participant upon his or her request. The purchase price per share of Class A common stock will be 85% of the lesser of the fair market value per share on the first day of the offering period or the last day of the offering period.</w:t>
      </w:r>
    </w:p>
    <w:p>
      <w:pPr>
        <w:pStyle w:val="TextBody"/>
        <w:jc w:val="left"/>
        <w:rPr>
          <w:rFonts w:ascii="Arial" w:hAnsi="Arial"/>
          <w:sz w:val="20"/>
        </w:rPr>
      </w:pPr>
      <w:r>
        <w:rPr>
          <w:rFonts w:ascii="Arial" w:hAnsi="Arial"/>
          <w:sz w:val="20"/>
        </w:rPr>
        <w:t>If the total number of shares of Class A common stock that participants have elected to purchase on the last day of the offering period exceeds the maximum number of shares of Class A common stock available under the ESPP, the Board or the CHC Committee will make a pro rata allocation of shares available for delivery and distribution in as uniform a manner as practicable, and the unapplied account balances will be returned to participants as soon as practicable following the last day of the offering period.</w:t>
      </w:r>
    </w:p>
    <w:p>
      <w:pPr>
        <w:pStyle w:val="TextBody"/>
        <w:jc w:val="left"/>
        <w:rPr>
          <w:rFonts w:ascii="Arial" w:hAnsi="Arial"/>
          <w:sz w:val="20"/>
        </w:rPr>
      </w:pPr>
      <w:r>
        <w:rPr>
          <w:rFonts w:ascii="Arial" w:hAnsi="Arial"/>
          <w:sz w:val="20"/>
        </w:rPr>
        <w:t>During an offering period, the amount of payroll deductions may not be changed, but may be discontinued. A participant may change the amount of payroll deductions for subsequent offerings by giving notice of such change on or before the 15th day of the month immediately preceding the first day of the offering period for the offering for which such change is effective. A participant may discontinue his or her participation in the ESPP by providing notice at any time before the end of an offering period. All amounts credited to the account of a participant who discontinues payroll deductions will be applied to the purchase of shares of Class A common stock in accordance with the regular terms of the ESPP, and no further payroll deductions will be made with respect to the participant.</w:t>
      </w:r>
    </w:p>
    <w:p>
      <w:pPr>
        <w:pStyle w:val="TextBody"/>
        <w:jc w:val="left"/>
        <w:rPr>
          <w:rFonts w:ascii="Arial" w:hAnsi="Arial"/>
          <w:sz w:val="20"/>
        </w:rPr>
      </w:pPr>
      <w:r>
        <w:rPr>
          <w:rFonts w:ascii="Arial" w:hAnsi="Arial"/>
          <w:sz w:val="20"/>
        </w:rPr>
        <w:t>Upon termination of employment, all amounts credited to a participant’s account will be delivered to the participant or his or her successor in interest (in the case of death). No interest will be paid with respect to payroll deductions made or amounts credited to any account under the ESPP.</w:t>
      </w:r>
    </w:p>
    <w:p>
      <w:pPr>
        <w:pStyle w:val="TextBody"/>
        <w:jc w:val="left"/>
        <w:rPr/>
      </w:pPr>
      <w:r>
        <w:rPr>
          <w:rStyle w:val="Emphasis"/>
          <w:rFonts w:ascii="Arial" w:hAnsi="Arial"/>
          <w:sz w:val="20"/>
        </w:rPr>
        <w:t>Transferability.</w:t>
      </w:r>
      <w:r>
        <w:rPr>
          <w:rFonts w:ascii="Arial" w:hAnsi="Arial"/>
          <w:sz w:val="20"/>
        </w:rPr>
        <w:t xml:space="preserve"> A participant’s rights under the ESPP may not be transferred or assigned to any other person during the participant’s lifetime. After shares have been issued under the ESPP and credited to a participant’s brokerage account under the ESPP, such shares may be assigned or transferred in the same manner as any other shares. However, the Board or the CHC Committee may, in its discretion, require that participants satisfy a minimum holding period following the purchase of shares pursuant to the ESPP before those shares may be sold or transferred, and the CHC Committee has established a mandatory one-year holding period with respect to shares purchased pursuant to the ESPP. The holding period will not apply to shares used to pay withholding taxes pursuant to the ESPP or to shares credited to the account of a participant who has terminated employment due to death or disability.</w:t>
      </w:r>
    </w:p>
    <w:p>
      <w:pPr>
        <w:pStyle w:val="TextBody"/>
        <w:jc w:val="left"/>
        <w:rPr/>
      </w:pPr>
      <w:r>
        <w:rPr>
          <w:rStyle w:val="Emphasis"/>
          <w:rFonts w:ascii="Arial" w:hAnsi="Arial"/>
          <w:sz w:val="20"/>
        </w:rPr>
        <w:t>Amendment or Termination.</w:t>
      </w:r>
      <w:r>
        <w:rPr>
          <w:rFonts w:ascii="Arial" w:hAnsi="Arial"/>
          <w:sz w:val="20"/>
        </w:rPr>
        <w:t xml:space="preserve"> The ESPP does not automatically terminate on any particular date. However, the Board or the CHC Committee has the right to amend or terminate the ESPP at any time without notice. Upon any termination, all unapplied payroll deductions will be distributed to participants, and no amendment will affect the right of a participant to receive his or her proportionate interest in the shares of Class A common stock or unapplied payroll deductions. We may seek shareholder approval for an amendment to the ESPP if required by applicable law.</w:t>
      </w:r>
    </w:p>
    <w:p>
      <w:pPr>
        <w:pStyle w:val="TextBody"/>
        <w:jc w:val="left"/>
        <w:rPr/>
      </w:pPr>
      <w:r>
        <w:rPr>
          <w:rStyle w:val="Emphasis"/>
          <w:rFonts w:ascii="Arial" w:hAnsi="Arial"/>
          <w:sz w:val="20"/>
        </w:rPr>
        <w:t>New Plan Benefits.</w:t>
      </w:r>
      <w:r>
        <w:rPr>
          <w:rFonts w:ascii="Arial" w:hAnsi="Arial"/>
          <w:sz w:val="20"/>
        </w:rPr>
        <w:t xml:space="preserve"> Because benefits under the ESPP depend on employees’ elections to participate in the ESPP and the fair market value of the shares of Class A common stock at various future dates, it is not possible to determine future benefits that will be received by executive officers and other employees under the ESPP. Brian L. Roberts, as well as our nonemployee directors, are not eligible to participate in the ESPP.</w:t>
      </w:r>
    </w:p>
    <w:p>
      <w:pPr>
        <w:pStyle w:val="TextBody"/>
        <w:jc w:val="left"/>
        <w:rPr>
          <w:rFonts w:ascii="Arial" w:hAnsi="Arial"/>
          <w:color w:val="00A1E0"/>
          <w:sz w:val="26"/>
        </w:rPr>
      </w:pPr>
      <w:r>
        <w:rPr>
          <w:rFonts w:ascii="Arial" w:hAnsi="Arial"/>
          <w:color w:val="00A1E0"/>
          <w:sz w:val="26"/>
        </w:rPr>
        <w:t>Federal Income Taxation</w:t>
      </w:r>
    </w:p>
    <w:p>
      <w:pPr>
        <w:pStyle w:val="TextBody"/>
        <w:jc w:val="left"/>
        <w:rPr>
          <w:rFonts w:ascii="Arial" w:hAnsi="Arial"/>
          <w:sz w:val="20"/>
        </w:rPr>
      </w:pPr>
      <w:r>
        <w:rPr>
          <w:rFonts w:ascii="Arial" w:hAnsi="Arial"/>
          <w:sz w:val="20"/>
        </w:rPr>
        <w:t>The following is a general summary under current law of certain U.S. federal income tax consequences to participants who are citizens or individual residents of the United States relating to participation in the ESPP. This summary deals with the general tax principles that apply to participation in the ESPP and is provided only for general information. Certain kinds of taxes, such as foreign taxes, state and local income taxes, payroll taxes and the alternative minimum tax, are not discussed. Because circumstances may vary, we advise participants to consult their own tax advisors under all circumstances.</w:t>
      </w:r>
    </w:p>
    <w:tbl>
      <w:tblPr>
        <w:tblW w:w="200" w:type="dxa"/>
        <w:jc w:val="left"/>
        <w:tblInd w:w="0" w:type="dxa"/>
        <w:tblCellMar>
          <w:top w:w="0" w:type="dxa"/>
          <w:left w:w="0" w:type="dxa"/>
          <w:bottom w:w="0" w:type="dxa"/>
          <w:right w:w="0" w:type="dxa"/>
        </w:tblCellMar>
      </w:tblPr>
      <w:tblGrid>
        <w:gridCol w:w="200"/>
      </w:tblGrid>
      <w:tr>
        <w:trPr/>
        <w:tc>
          <w:tcPr>
            <w:tcW w:w="200" w:type="dxa"/>
            <w:tcBorders/>
            <w:shd w:fill="auto" w:val="clear"/>
            <w:vAlign w:val="center"/>
          </w:tcPr>
          <w:p>
            <w:pPr>
              <w:pStyle w:val="TableContents"/>
              <w:spacing w:before="0" w:after="283"/>
              <w:jc w:val="left"/>
              <w:rPr>
                <w:rFonts w:ascii="Arial" w:hAnsi="Arial"/>
                <w:b/>
                <w:i w:val="false"/>
                <w:caps w:val="false"/>
                <w:smallCaps w:val="false"/>
                <w:sz w:val="15"/>
              </w:rPr>
            </w:pPr>
            <w:r>
              <w:rPr>
                <w:rFonts w:ascii="Arial" w:hAnsi="Arial"/>
                <w:b/>
                <w:i w:val="false"/>
                <w:caps w:val="false"/>
                <w:smallCaps w:val="false"/>
                <w:sz w:val="15"/>
              </w:rPr>
              <w:t>38</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p>
      <w:pPr>
        <w:pStyle w:val="TextBody"/>
        <w:jc w:val="left"/>
        <w:rPr>
          <w:rFonts w:ascii="Arial" w:hAnsi="Arial"/>
          <w:sz w:val="20"/>
        </w:rPr>
      </w:pPr>
      <w:r>
        <w:rPr>
          <w:rFonts w:ascii="Arial" w:hAnsi="Arial"/>
          <w:sz w:val="20"/>
        </w:rPr>
        <w:t>Under the Internal Revenue Code, a participant will not realize income at the time the offering period commences or when the shares purchased under the ESPP are transferred to him or her. If a participant disposes of such shares after at least two years from the offering date and at least one year after the purchase date, the participant will be required to include in income, as compensation for the year in which such disposition occurs, an amount equal to the lesser of (i) the excess of the fair market value of such shares at the time of the disposition over the purchase price or (ii) the excess of the fair market value of the shares at the commencement of the offering period over the purchase price at such time. The participant’s basis in the shares disposed of will be increased by an amount equal to the amount so includable in his or her income as compensation, and any gain or loss computed with reference to such adjusted basis which is recognized at the time of the disposition should be treated as long-term capital gain or loss. In such event, we will not be entitled to any tax deduction.</w:t>
      </w:r>
    </w:p>
    <w:p>
      <w:pPr>
        <w:pStyle w:val="TextBody"/>
        <w:jc w:val="left"/>
        <w:rPr>
          <w:rFonts w:ascii="Arial" w:hAnsi="Arial"/>
          <w:sz w:val="20"/>
        </w:rPr>
      </w:pPr>
      <w:r>
        <w:rPr>
          <w:rFonts w:ascii="Arial" w:hAnsi="Arial"/>
          <w:sz w:val="20"/>
        </w:rPr>
        <w:t>If a participant disposes of shares purchased under the ESPP within such two-year or one-year period, the employee will be required to include in income, as compensation for the year in which such disposition occurs, an amount equal to the excess of the fair market value of such shares on the date of purchase over the purchase price. The employee’s basis in such shares disposed of will be increased by an amount equal to the amount includable in his or her income as compensation, and any gain or loss computed with reference to such adjusted basis that is recognized at the time of disposition will be a capital gain or loss, either short-term or long-term, depending on the holding period for such shares. In the event of a disposition within such two-year or one-year period, we will be entitled to a deduction equal to the amount that the participant is required to include in income as a result of such disposition.</w:t>
      </w:r>
    </w:p>
    <w:p>
      <w:pPr>
        <w:pStyle w:val="TextBody"/>
        <w:jc w:val="left"/>
        <w:rPr>
          <w:rFonts w:ascii="Arial" w:hAnsi="Arial"/>
          <w:color w:val="00A1E0"/>
          <w:sz w:val="26"/>
        </w:rPr>
      </w:pPr>
      <w:r>
        <w:rPr>
          <w:rFonts w:ascii="Arial" w:hAnsi="Arial"/>
          <w:color w:val="00A1E0"/>
          <w:sz w:val="26"/>
        </w:rPr>
        <w:t>New Plan Benefits</w:t>
      </w:r>
    </w:p>
    <w:p>
      <w:pPr>
        <w:pStyle w:val="TextBody"/>
        <w:jc w:val="left"/>
        <w:rPr>
          <w:rFonts w:ascii="Arial" w:hAnsi="Arial"/>
          <w:sz w:val="20"/>
        </w:rPr>
      </w:pPr>
      <w:r>
        <w:rPr>
          <w:rFonts w:ascii="Arial" w:hAnsi="Arial"/>
          <w:sz w:val="20"/>
        </w:rPr>
        <w:t>Because benefits under the ESPP depend on employees’ elections to participate in the ESPP and the fair market value of the shares of Class A common stock at various future dates, it is not possible to determine future benefits that will be received by executive officers and other employees under the ESPP. Brian L. Roberts, as well as our nonemployee directors, are not eligible to participate in the plan.</w:t>
      </w:r>
    </w:p>
    <w:p>
      <w:pPr>
        <w:pStyle w:val="TextBody"/>
        <w:jc w:val="left"/>
        <w:rPr>
          <w:rFonts w:ascii="Arial" w:hAnsi="Arial"/>
          <w:color w:val="00A1E0"/>
          <w:sz w:val="26"/>
        </w:rPr>
      </w:pPr>
      <w:r>
        <w:rPr>
          <w:rFonts w:ascii="Arial" w:hAnsi="Arial"/>
          <w:color w:val="00A1E0"/>
          <w:sz w:val="26"/>
        </w:rPr>
        <w:t>Registration with the SEC</w:t>
      </w:r>
    </w:p>
    <w:p>
      <w:pPr>
        <w:pStyle w:val="TextBody"/>
        <w:jc w:val="left"/>
        <w:rPr>
          <w:rFonts w:ascii="Arial" w:hAnsi="Arial"/>
          <w:sz w:val="20"/>
        </w:rPr>
      </w:pPr>
      <w:r>
        <w:rPr>
          <w:rFonts w:ascii="Arial" w:hAnsi="Arial"/>
          <w:sz w:val="20"/>
        </w:rPr>
        <w:t>If our shareholders approve the amendment to the ESPP, we will file a Registration Statement on Form S-8 with the SEC to register the additional shares available for issuance under the ESPP in June 2023.</w:t>
      </w:r>
    </w:p>
    <w:p>
      <w:pPr>
        <w:pStyle w:val="TextBody"/>
        <w:jc w:val="left"/>
        <w:rPr>
          <w:rFonts w:ascii="Arial" w:hAnsi="Arial"/>
          <w:b/>
          <w:sz w:val="36"/>
        </w:rPr>
      </w:pPr>
      <w:bookmarkStart w:id="19" w:name="executivecompensation"/>
      <w:bookmarkEnd w:id="19"/>
      <w:r>
        <w:rPr>
          <w:rFonts w:ascii="Arial" w:hAnsi="Arial"/>
          <w:b/>
          <w:sz w:val="36"/>
        </w:rPr>
        <w:t>Executive Compensation</w:t>
      </w:r>
    </w:p>
    <w:tbl>
      <w:tblPr>
        <w:tblW w:w="10205" w:type="dxa"/>
        <w:jc w:val="left"/>
        <w:tblInd w:w="0" w:type="dxa"/>
        <w:tblCellMar>
          <w:top w:w="28" w:type="dxa"/>
          <w:left w:w="28" w:type="dxa"/>
          <w:bottom w:w="0" w:type="dxa"/>
          <w:right w:w="0" w:type="dxa"/>
        </w:tblCellMar>
      </w:tblPr>
      <w:tblGrid>
        <w:gridCol w:w="120"/>
        <w:gridCol w:w="650"/>
        <w:gridCol w:w="721"/>
        <w:gridCol w:w="377"/>
        <w:gridCol w:w="8214"/>
        <w:gridCol w:w="123"/>
      </w:tblGrid>
      <w:tr>
        <w:trPr/>
        <w:tc>
          <w:tcPr>
            <w:tcW w:w="120" w:type="dxa"/>
            <w:tcBorders>
              <w:top w:val="single" w:sz="8" w:space="0" w:color="959595"/>
              <w:left w:val="single" w:sz="8" w:space="0" w:color="959595"/>
            </w:tcBorders>
            <w:shd w:fill="auto" w:val="clear"/>
            <w:vAlign w:val="center"/>
          </w:tcPr>
          <w:p>
            <w:pPr>
              <w:pStyle w:val="TableContents"/>
              <w:spacing w:before="0" w:after="283"/>
              <w:jc w:val="left"/>
              <w:rPr/>
            </w:pPr>
            <w:r>
              <w:rPr/>
              <w:t>  </w:t>
            </w:r>
          </w:p>
        </w:tc>
        <w:tc>
          <w:tcPr>
            <w:tcW w:w="650" w:type="dxa"/>
            <w:tcBorders>
              <w:top w:val="single" w:sz="8" w:space="0" w:color="959595"/>
            </w:tcBorders>
            <w:shd w:fill="auto" w:val="clear"/>
            <w:tcMar>
              <w:left w:w="0" w:type="dxa"/>
            </w:tcMar>
            <w:vAlign w:val="center"/>
          </w:tcPr>
          <w:p>
            <w:pPr>
              <w:pStyle w:val="TableContents"/>
              <w:spacing w:before="0" w:after="283"/>
              <w:rPr>
                <w:sz w:val="4"/>
                <w:szCs w:val="4"/>
              </w:rPr>
            </w:pPr>
            <w:r>
              <w:rPr>
                <w:sz w:val="4"/>
                <w:szCs w:val="4"/>
              </w:rPr>
            </w:r>
          </w:p>
        </w:tc>
        <w:tc>
          <w:tcPr>
            <w:tcW w:w="721" w:type="dxa"/>
            <w:tcBorders>
              <w:top w:val="single" w:sz="8" w:space="0" w:color="959595"/>
            </w:tcBorders>
            <w:shd w:fill="auto" w:val="clear"/>
            <w:tcMar>
              <w:left w:w="0" w:type="dxa"/>
            </w:tcMar>
            <w:vAlign w:val="center"/>
          </w:tcPr>
          <w:p>
            <w:pPr>
              <w:pStyle w:val="TableContents"/>
              <w:spacing w:before="0" w:after="283"/>
              <w:rPr/>
            </w:pPr>
            <w:r>
              <w:rPr/>
              <w:t> </w:t>
            </w:r>
          </w:p>
        </w:tc>
        <w:tc>
          <w:tcPr>
            <w:tcW w:w="377" w:type="dxa"/>
            <w:tcBorders>
              <w:top w:val="single" w:sz="8" w:space="0" w:color="959595"/>
            </w:tcBorders>
            <w:shd w:fill="auto" w:val="clear"/>
            <w:tcMar>
              <w:left w:w="0" w:type="dxa"/>
            </w:tcMar>
            <w:vAlign w:val="center"/>
          </w:tcPr>
          <w:p>
            <w:pPr>
              <w:pStyle w:val="TableContents"/>
              <w:spacing w:before="0" w:after="283"/>
              <w:rPr/>
            </w:pPr>
            <w:r>
              <w:rPr/>
              <w:t> </w:t>
            </w:r>
          </w:p>
        </w:tc>
        <w:tc>
          <w:tcPr>
            <w:tcW w:w="8214" w:type="dxa"/>
            <w:tcBorders>
              <w:top w:val="single" w:sz="8" w:space="0" w:color="959595"/>
            </w:tcBorders>
            <w:shd w:fill="auto" w:val="clear"/>
            <w:tcMar>
              <w:left w:w="0" w:type="dxa"/>
            </w:tcMar>
            <w:vAlign w:val="center"/>
          </w:tcPr>
          <w:p>
            <w:pPr>
              <w:pStyle w:val="TableContents"/>
              <w:spacing w:before="0" w:after="283"/>
              <w:jc w:val="left"/>
              <w:rPr/>
            </w:pPr>
            <w:r>
              <w:rPr/>
              <w:t>                              </w:t>
            </w:r>
          </w:p>
        </w:tc>
        <w:tc>
          <w:tcPr>
            <w:tcW w:w="123" w:type="dxa"/>
            <w:tcBorders>
              <w:top w:val="single" w:sz="8" w:space="0" w:color="959595"/>
              <w:right w:val="single" w:sz="8" w:space="0" w:color="959595"/>
            </w:tcBorders>
            <w:shd w:fill="auto" w:val="clear"/>
            <w:tcMar>
              <w:left w:w="0" w:type="dxa"/>
              <w:right w:w="28" w:type="dxa"/>
            </w:tcMar>
            <w:vAlign w:val="center"/>
          </w:tcPr>
          <w:p>
            <w:pPr>
              <w:pStyle w:val="TableContents"/>
              <w:spacing w:before="0" w:after="283"/>
              <w:jc w:val="left"/>
              <w:rPr/>
            </w:pPr>
            <w:r>
              <w:rPr/>
              <w:t>  </w:t>
            </w:r>
          </w:p>
        </w:tc>
      </w:tr>
      <w:tr>
        <w:trPr/>
        <w:tc>
          <w:tcPr>
            <w:tcW w:w="120" w:type="dxa"/>
            <w:tcBorders>
              <w:left w:val="single" w:sz="8" w:space="0" w:color="959595"/>
            </w:tcBorders>
            <w:shd w:fill="auto" w:val="clear"/>
            <w:tcMar>
              <w:top w:w="0" w:type="dxa"/>
            </w:tcMar>
            <w:vAlign w:val="center"/>
          </w:tcPr>
          <w:p>
            <w:pPr>
              <w:pStyle w:val="TableContents"/>
              <w:spacing w:before="0" w:after="283"/>
              <w:rPr>
                <w:sz w:val="4"/>
                <w:szCs w:val="4"/>
              </w:rPr>
            </w:pPr>
            <w:r>
              <w:rPr>
                <w:sz w:val="4"/>
                <w:szCs w:val="4"/>
              </w:rPr>
            </w:r>
          </w:p>
        </w:tc>
        <w:tc>
          <w:tcPr>
            <w:tcW w:w="1371" w:type="dxa"/>
            <w:gridSpan w:val="2"/>
            <w:tcBorders/>
            <w:shd w:fill="ECF6FA" w:val="clear"/>
            <w:tcMar>
              <w:top w:w="0" w:type="dxa"/>
              <w:left w:w="0" w:type="dxa"/>
            </w:tcMar>
            <w:vAlign w:val="center"/>
          </w:tcPr>
          <w:p>
            <w:pPr>
              <w:pStyle w:val="TableContents"/>
              <w:spacing w:before="0" w:after="283"/>
              <w:jc w:val="left"/>
              <w:rPr>
                <w:rFonts w:ascii="Arial" w:hAnsi="Arial"/>
                <w:color w:val="00A1E0"/>
                <w:sz w:val="24"/>
              </w:rPr>
            </w:pPr>
            <w:bookmarkStart w:id="20" w:name="proposal5"/>
            <w:bookmarkEnd w:id="20"/>
            <w:r>
              <w:rPr>
                <w:rFonts w:ascii="Arial" w:hAnsi="Arial"/>
                <w:color w:val="00A1E0"/>
                <w:sz w:val="24"/>
              </w:rPr>
              <w:t>Proposal 5:</w:t>
            </w:r>
          </w:p>
        </w:tc>
        <w:tc>
          <w:tcPr>
            <w:tcW w:w="377" w:type="dxa"/>
            <w:tcBorders/>
            <w:shd w:fill="ECF6FA" w:val="clear"/>
            <w:tcMar>
              <w:top w:w="0" w:type="dxa"/>
              <w:left w:w="0" w:type="dxa"/>
            </w:tcMar>
            <w:vAlign w:val="center"/>
          </w:tcPr>
          <w:p>
            <w:pPr>
              <w:pStyle w:val="TableContents"/>
              <w:spacing w:before="0" w:after="283"/>
              <w:rPr/>
            </w:pPr>
            <w:r>
              <w:rPr/>
              <w:t>     </w:t>
            </w:r>
          </w:p>
        </w:tc>
        <w:tc>
          <w:tcPr>
            <w:tcW w:w="8214" w:type="dxa"/>
            <w:tcBorders/>
            <w:shd w:fill="ECF6FA" w:val="clear"/>
            <w:tcMar>
              <w:top w:w="0" w:type="dxa"/>
              <w:left w:w="0" w:type="dxa"/>
            </w:tcMar>
            <w:vAlign w:val="center"/>
          </w:tcPr>
          <w:p>
            <w:pPr>
              <w:pStyle w:val="TableContents"/>
              <w:spacing w:before="0" w:after="283"/>
              <w:jc w:val="left"/>
              <w:rPr>
                <w:rFonts w:ascii="Arial" w:hAnsi="Arial"/>
                <w:color w:val="00A1E0"/>
                <w:sz w:val="24"/>
              </w:rPr>
            </w:pPr>
            <w:r>
              <w:rPr>
                <w:rFonts w:ascii="Arial" w:hAnsi="Arial"/>
                <w:color w:val="00A1E0"/>
                <w:sz w:val="24"/>
              </w:rPr>
              <w:t>ADVISORY VOTE TO APPROVE EXECUTIVE COMPENSATION</w:t>
            </w:r>
          </w:p>
        </w:tc>
        <w:tc>
          <w:tcPr>
            <w:tcW w:w="123" w:type="dxa"/>
            <w:tcBorders>
              <w:right w:val="single" w:sz="8" w:space="0" w:color="959595"/>
            </w:tcBorders>
            <w:shd w:fill="auto" w:val="clear"/>
            <w:tcMar>
              <w:top w:w="0" w:type="dxa"/>
              <w:left w:w="0" w:type="dxa"/>
              <w:right w:w="28" w:type="dxa"/>
            </w:tcMar>
            <w:vAlign w:val="center"/>
          </w:tcPr>
          <w:p>
            <w:pPr>
              <w:pStyle w:val="TableContents"/>
              <w:spacing w:before="0" w:after="283"/>
              <w:rPr>
                <w:sz w:val="4"/>
                <w:szCs w:val="4"/>
              </w:rPr>
            </w:pPr>
            <w:r>
              <w:rPr>
                <w:sz w:val="4"/>
                <w:szCs w:val="4"/>
              </w:rPr>
            </w:r>
          </w:p>
        </w:tc>
      </w:tr>
      <w:tr>
        <w:trPr/>
        <w:tc>
          <w:tcPr>
            <w:tcW w:w="120" w:type="dxa"/>
            <w:tcBorders>
              <w:left w:val="single" w:sz="8" w:space="0" w:color="959595"/>
            </w:tcBorders>
            <w:shd w:fill="auto" w:val="clear"/>
            <w:tcMar>
              <w:top w:w="0" w:type="dxa"/>
            </w:tcMar>
            <w:vAlign w:val="center"/>
          </w:tcPr>
          <w:p>
            <w:pPr>
              <w:pStyle w:val="TableContents"/>
              <w:spacing w:before="0" w:after="283"/>
              <w:jc w:val="left"/>
              <w:rPr/>
            </w:pPr>
            <w:r>
              <w:rPr/>
              <w:t> </w:t>
            </w:r>
          </w:p>
        </w:tc>
        <w:tc>
          <w:tcPr>
            <w:tcW w:w="650" w:type="dxa"/>
            <w:tcBorders/>
            <w:shd w:fill="auto" w:val="clear"/>
            <w:tcMar>
              <w:top w:w="0" w:type="dxa"/>
              <w:left w:w="0" w:type="dxa"/>
            </w:tcMar>
            <w:vAlign w:val="center"/>
          </w:tcPr>
          <w:p>
            <w:pPr>
              <w:pStyle w:val="TableContents"/>
              <w:spacing w:before="0" w:after="283"/>
              <w:rPr>
                <w:sz w:val="4"/>
                <w:szCs w:val="4"/>
              </w:rPr>
            </w:pPr>
            <w:r>
              <w:rPr>
                <w:sz w:val="4"/>
                <w:szCs w:val="4"/>
              </w:rPr>
            </w:r>
          </w:p>
        </w:tc>
        <w:tc>
          <w:tcPr>
            <w:tcW w:w="721" w:type="dxa"/>
            <w:tcBorders/>
            <w:shd w:fill="auto" w:val="clear"/>
            <w:tcMar>
              <w:top w:w="0" w:type="dxa"/>
              <w:left w:w="0" w:type="dxa"/>
            </w:tcMar>
            <w:vAlign w:val="center"/>
          </w:tcPr>
          <w:p>
            <w:pPr>
              <w:pStyle w:val="TableContents"/>
              <w:spacing w:before="0" w:after="283"/>
              <w:rPr/>
            </w:pPr>
            <w:r>
              <w:rPr/>
              <w:t>         </w:t>
            </w:r>
          </w:p>
        </w:tc>
        <w:tc>
          <w:tcPr>
            <w:tcW w:w="377" w:type="dxa"/>
            <w:tcBorders/>
            <w:shd w:fill="auto" w:val="clear"/>
            <w:tcMar>
              <w:top w:w="0" w:type="dxa"/>
              <w:left w:w="0" w:type="dxa"/>
            </w:tcMar>
            <w:vAlign w:val="center"/>
          </w:tcPr>
          <w:p>
            <w:pPr>
              <w:pStyle w:val="TableContents"/>
              <w:spacing w:before="0" w:after="283"/>
              <w:rPr/>
            </w:pPr>
            <w:r>
              <w:rPr/>
              <w:t> </w:t>
            </w:r>
          </w:p>
        </w:tc>
        <w:tc>
          <w:tcPr>
            <w:tcW w:w="8214" w:type="dxa"/>
            <w:tcBorders/>
            <w:shd w:fill="auto" w:val="clear"/>
            <w:tcMar>
              <w:top w:w="0" w:type="dxa"/>
              <w:left w:w="0" w:type="dxa"/>
            </w:tcMar>
            <w:vAlign w:val="center"/>
          </w:tcPr>
          <w:p>
            <w:pPr>
              <w:pStyle w:val="TableContents"/>
              <w:spacing w:before="0" w:after="283"/>
              <w:rPr>
                <w:sz w:val="4"/>
                <w:szCs w:val="4"/>
              </w:rPr>
            </w:pPr>
            <w:r>
              <w:rPr>
                <w:sz w:val="4"/>
                <w:szCs w:val="4"/>
              </w:rPr>
            </w:r>
          </w:p>
        </w:tc>
        <w:tc>
          <w:tcPr>
            <w:tcW w:w="123" w:type="dxa"/>
            <w:tcBorders>
              <w:right w:val="single" w:sz="8" w:space="0" w:color="959595"/>
            </w:tcBorders>
            <w:shd w:fill="auto" w:val="clear"/>
            <w:tcMar>
              <w:top w:w="0" w:type="dxa"/>
              <w:left w:w="0" w:type="dxa"/>
              <w:right w:w="28" w:type="dxa"/>
            </w:tcMar>
            <w:vAlign w:val="center"/>
          </w:tcPr>
          <w:p>
            <w:pPr>
              <w:pStyle w:val="TableContents"/>
              <w:spacing w:before="0" w:after="283"/>
              <w:rPr>
                <w:sz w:val="4"/>
                <w:szCs w:val="4"/>
              </w:rPr>
            </w:pPr>
            <w:r>
              <w:rPr>
                <w:sz w:val="4"/>
                <w:szCs w:val="4"/>
              </w:rPr>
            </w:r>
          </w:p>
        </w:tc>
      </w:tr>
      <w:tr>
        <w:trPr/>
        <w:tc>
          <w:tcPr>
            <w:tcW w:w="120" w:type="dxa"/>
            <w:tcBorders>
              <w:left w:val="single" w:sz="8" w:space="0" w:color="959595"/>
            </w:tcBorders>
            <w:shd w:fill="auto" w:val="clear"/>
            <w:tcMar>
              <w:top w:w="0" w:type="dxa"/>
            </w:tcMar>
            <w:vAlign w:val="center"/>
          </w:tcPr>
          <w:p>
            <w:pPr>
              <w:pStyle w:val="TableContents"/>
              <w:spacing w:before="0" w:after="283"/>
              <w:rPr>
                <w:sz w:val="4"/>
                <w:szCs w:val="4"/>
              </w:rPr>
            </w:pPr>
            <w:r>
              <w:rPr>
                <w:sz w:val="4"/>
                <w:szCs w:val="4"/>
              </w:rPr>
            </w:r>
          </w:p>
        </w:tc>
        <w:tc>
          <w:tcPr>
            <w:tcW w:w="650" w:type="dxa"/>
            <w:tcBorders/>
            <w:shd w:fill="auto" w:val="clear"/>
            <w:tcMar>
              <w:top w:w="0" w:type="dxa"/>
              <w:left w:w="0" w:type="dxa"/>
            </w:tcMar>
            <w:vAlign w:val="center"/>
          </w:tcPr>
          <w:p>
            <w:pPr>
              <w:pStyle w:val="TableContents"/>
              <w:spacing w:before="0" w:after="283"/>
              <w:jc w:val="left"/>
              <w:rPr/>
            </w:pPr>
            <w:r>
              <w:rPr/>
              <w:drawing>
                <wp:inline distT="0" distB="0" distL="0" distR="0">
                  <wp:extent cx="390525" cy="266700"/>
                  <wp:effectExtent l="0" t="0" r="0" b="0"/>
                  <wp:docPr id="189"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15" descr=""/>
                          <pic:cNvPicPr>
                            <a:picLocks noChangeAspect="1" noChangeArrowheads="1"/>
                          </pic:cNvPicPr>
                        </pic:nvPicPr>
                        <pic:blipFill>
                          <a:blip r:embed="rId116"/>
                          <a:srcRect l="-2580" t="-3650" r="-2580" b="-3650"/>
                          <a:stretch>
                            <a:fillRect/>
                          </a:stretch>
                        </pic:blipFill>
                        <pic:spPr bwMode="auto">
                          <a:xfrm>
                            <a:off x="0" y="0"/>
                            <a:ext cx="390525" cy="266700"/>
                          </a:xfrm>
                          <a:prstGeom prst="rect">
                            <a:avLst/>
                          </a:prstGeom>
                          <a:ln w="635">
                            <a:solidFill>
                              <a:srgbClr val="000000"/>
                            </a:solidFill>
                          </a:ln>
                        </pic:spPr>
                      </pic:pic>
                    </a:graphicData>
                  </a:graphic>
                </wp:inline>
              </w:drawing>
            </w:r>
          </w:p>
        </w:tc>
        <w:tc>
          <w:tcPr>
            <w:tcW w:w="9312" w:type="dxa"/>
            <w:gridSpan w:val="3"/>
            <w:tcBorders/>
            <w:shd w:fill="auto" w:val="clear"/>
            <w:tcMar>
              <w:top w:w="0" w:type="dxa"/>
              <w:left w:w="0" w:type="dxa"/>
            </w:tcMar>
            <w:vAlign w:val="center"/>
          </w:tcPr>
          <w:p>
            <w:pPr>
              <w:pStyle w:val="TableContents"/>
              <w:spacing w:before="0" w:after="0"/>
              <w:jc w:val="left"/>
              <w:rPr>
                <w:rFonts w:ascii="Arial" w:hAnsi="Arial"/>
                <w:b/>
                <w:sz w:val="20"/>
              </w:rPr>
            </w:pPr>
            <w:r>
              <w:rPr>
                <w:rFonts w:ascii="Arial" w:hAnsi="Arial"/>
                <w:b/>
                <w:sz w:val="20"/>
              </w:rPr>
              <w:t>Our Board unanimously recommends that shareholders vote “</w:t>
            </w:r>
            <w:r>
              <w:rPr>
                <w:rFonts w:ascii="Arial" w:hAnsi="Arial"/>
                <w:b/>
                <w:color w:val="00A1E0"/>
                <w:sz w:val="20"/>
              </w:rPr>
              <w:t>FOR</w:t>
            </w:r>
            <w:r>
              <w:rPr>
                <w:rFonts w:ascii="Arial" w:hAnsi="Arial"/>
                <w:b/>
                <w:sz w:val="20"/>
              </w:rPr>
              <w:t>” approval of the compensation of our NEOs.</w:t>
            </w:r>
          </w:p>
        </w:tc>
        <w:tc>
          <w:tcPr>
            <w:tcW w:w="123" w:type="dxa"/>
            <w:tcBorders>
              <w:right w:val="single" w:sz="8" w:space="0" w:color="959595"/>
            </w:tcBorders>
            <w:shd w:fill="auto" w:val="clear"/>
            <w:tcMar>
              <w:top w:w="0" w:type="dxa"/>
              <w:left w:w="0" w:type="dxa"/>
              <w:right w:w="28" w:type="dxa"/>
            </w:tcMar>
            <w:vAlign w:val="center"/>
          </w:tcPr>
          <w:p>
            <w:pPr>
              <w:pStyle w:val="TableContents"/>
              <w:spacing w:before="0" w:after="283"/>
              <w:rPr>
                <w:sz w:val="4"/>
                <w:szCs w:val="4"/>
              </w:rPr>
            </w:pPr>
            <w:r>
              <w:rPr>
                <w:sz w:val="4"/>
                <w:szCs w:val="4"/>
              </w:rPr>
            </w:r>
          </w:p>
        </w:tc>
      </w:tr>
      <w:tr>
        <w:trPr/>
        <w:tc>
          <w:tcPr>
            <w:tcW w:w="120" w:type="dxa"/>
            <w:tcBorders>
              <w:left w:val="single" w:sz="8" w:space="0" w:color="959595"/>
              <w:bottom w:val="single" w:sz="8" w:space="0" w:color="959595"/>
            </w:tcBorders>
            <w:shd w:fill="auto" w:val="clear"/>
            <w:tcMar>
              <w:top w:w="0" w:type="dxa"/>
              <w:bottom w:w="28" w:type="dxa"/>
            </w:tcMar>
            <w:vAlign w:val="center"/>
          </w:tcPr>
          <w:p>
            <w:pPr>
              <w:pStyle w:val="TableContents"/>
              <w:spacing w:before="0" w:after="283"/>
              <w:jc w:val="left"/>
              <w:rPr/>
            </w:pPr>
            <w:r>
              <w:rPr/>
              <w:t> </w:t>
            </w:r>
          </w:p>
        </w:tc>
        <w:tc>
          <w:tcPr>
            <w:tcW w:w="650" w:type="dxa"/>
            <w:tcBorders>
              <w:bottom w:val="single" w:sz="8" w:space="0" w:color="959595"/>
            </w:tcBorders>
            <w:shd w:fill="auto" w:val="clear"/>
            <w:tcMar>
              <w:top w:w="0" w:type="dxa"/>
              <w:left w:w="0" w:type="dxa"/>
              <w:bottom w:w="28" w:type="dxa"/>
            </w:tcMar>
            <w:vAlign w:val="center"/>
          </w:tcPr>
          <w:p>
            <w:pPr>
              <w:pStyle w:val="TableContents"/>
              <w:spacing w:before="0" w:after="283"/>
              <w:rPr>
                <w:sz w:val="4"/>
                <w:szCs w:val="4"/>
              </w:rPr>
            </w:pPr>
            <w:r>
              <w:rPr>
                <w:sz w:val="4"/>
                <w:szCs w:val="4"/>
              </w:rPr>
            </w:r>
          </w:p>
        </w:tc>
        <w:tc>
          <w:tcPr>
            <w:tcW w:w="721" w:type="dxa"/>
            <w:tcBorders>
              <w:bottom w:val="single" w:sz="8" w:space="0" w:color="959595"/>
            </w:tcBorders>
            <w:shd w:fill="auto" w:val="clear"/>
            <w:tcMar>
              <w:top w:w="0" w:type="dxa"/>
              <w:left w:w="0" w:type="dxa"/>
              <w:bottom w:w="28" w:type="dxa"/>
            </w:tcMar>
            <w:vAlign w:val="center"/>
          </w:tcPr>
          <w:p>
            <w:pPr>
              <w:pStyle w:val="TableContents"/>
              <w:spacing w:before="0" w:after="283"/>
              <w:rPr/>
            </w:pPr>
            <w:r>
              <w:rPr/>
              <w:t> </w:t>
            </w:r>
          </w:p>
        </w:tc>
        <w:tc>
          <w:tcPr>
            <w:tcW w:w="377" w:type="dxa"/>
            <w:tcBorders>
              <w:bottom w:val="single" w:sz="8" w:space="0" w:color="959595"/>
            </w:tcBorders>
            <w:shd w:fill="auto" w:val="clear"/>
            <w:tcMar>
              <w:top w:w="0" w:type="dxa"/>
              <w:left w:w="0" w:type="dxa"/>
              <w:bottom w:w="28" w:type="dxa"/>
            </w:tcMar>
            <w:vAlign w:val="center"/>
          </w:tcPr>
          <w:p>
            <w:pPr>
              <w:pStyle w:val="TableContents"/>
              <w:spacing w:before="0" w:after="283"/>
              <w:rPr/>
            </w:pPr>
            <w:r>
              <w:rPr/>
              <w:t> </w:t>
            </w:r>
          </w:p>
        </w:tc>
        <w:tc>
          <w:tcPr>
            <w:tcW w:w="8214" w:type="dxa"/>
            <w:tcBorders>
              <w:bottom w:val="single" w:sz="8" w:space="0" w:color="959595"/>
            </w:tcBorders>
            <w:shd w:fill="auto" w:val="clear"/>
            <w:tcMar>
              <w:top w:w="0" w:type="dxa"/>
              <w:left w:w="0" w:type="dxa"/>
              <w:bottom w:w="28" w:type="dxa"/>
            </w:tcMar>
            <w:vAlign w:val="center"/>
          </w:tcPr>
          <w:p>
            <w:pPr>
              <w:pStyle w:val="TableContents"/>
              <w:spacing w:before="0" w:after="283"/>
              <w:rPr>
                <w:sz w:val="4"/>
                <w:szCs w:val="4"/>
              </w:rPr>
            </w:pPr>
            <w:r>
              <w:rPr>
                <w:sz w:val="4"/>
                <w:szCs w:val="4"/>
              </w:rPr>
            </w:r>
          </w:p>
        </w:tc>
        <w:tc>
          <w:tcPr>
            <w:tcW w:w="123" w:type="dxa"/>
            <w:tcBorders>
              <w:bottom w:val="single" w:sz="8" w:space="0" w:color="959595"/>
              <w:right w:val="single" w:sz="8" w:space="0" w:color="959595"/>
            </w:tcBorders>
            <w:shd w:fill="auto" w:val="clear"/>
            <w:tcMar>
              <w:top w:w="0" w:type="dxa"/>
              <w:left w:w="0" w:type="dxa"/>
              <w:bottom w:w="28" w:type="dxa"/>
              <w:right w:w="28" w:type="dxa"/>
            </w:tcMar>
            <w:vAlign w:val="center"/>
          </w:tcPr>
          <w:p>
            <w:pPr>
              <w:pStyle w:val="TableContents"/>
              <w:spacing w:before="0" w:after="283"/>
              <w:rPr>
                <w:sz w:val="4"/>
                <w:szCs w:val="4"/>
              </w:rPr>
            </w:pPr>
            <w:r>
              <w:rPr>
                <w:sz w:val="4"/>
                <w:szCs w:val="4"/>
              </w:rPr>
            </w:r>
          </w:p>
        </w:tc>
      </w:tr>
    </w:tbl>
    <w:p>
      <w:pPr>
        <w:pStyle w:val="TextBody"/>
        <w:spacing w:before="240" w:after="283"/>
        <w:jc w:val="left"/>
        <w:rPr>
          <w:rFonts w:ascii="Arial" w:hAnsi="Arial"/>
          <w:sz w:val="20"/>
        </w:rPr>
      </w:pPr>
      <w:r>
        <w:rPr>
          <w:rFonts w:ascii="Arial" w:hAnsi="Arial"/>
          <w:sz w:val="20"/>
        </w:rPr>
        <w:t>The following proposal gives our shareholders the opportunity to cast a non-binding, advisory vote to approve the compensation of our NEOs. This vote is not intended to address any specific item of compensation, but rather the overall compensation of our NEOs and our compensation philosophy, policies and practices, as disclosed below.</w:t>
      </w:r>
    </w:p>
    <w:p>
      <w:pPr>
        <w:pStyle w:val="TextBody"/>
        <w:jc w:val="left"/>
        <w:rPr>
          <w:rFonts w:ascii="Arial" w:hAnsi="Arial"/>
          <w:sz w:val="20"/>
        </w:rPr>
      </w:pPr>
      <w:r>
        <w:rPr>
          <w:rFonts w:ascii="Arial" w:hAnsi="Arial"/>
          <w:sz w:val="20"/>
        </w:rPr>
        <w:t>We encourage shareholders to review detailed information on our executive compensation program and the 2022 compensation of our NEOs as set forth in “Executive Compensation – Compensation Discussion and Analysis,” starting below. Shareholders are being asked to vote “FOR” the adoption of the following resolution:</w:t>
      </w:r>
    </w:p>
    <w:p>
      <w:pPr>
        <w:pStyle w:val="TextBody"/>
        <w:jc w:val="left"/>
        <w:rPr/>
      </w:pPr>
      <w:r>
        <w:rPr>
          <w:rStyle w:val="StrongEmphasis"/>
        </w:rPr>
        <w:t>“</w:t>
      </w:r>
      <w:r>
        <w:rPr>
          <w:rStyle w:val="StrongEmphasis"/>
          <w:rFonts w:ascii="Arial" w:hAnsi="Arial"/>
          <w:sz w:val="20"/>
        </w:rPr>
        <w:t>RESOLVED, that the compensation paid to Comcast Corporation’s NEOs, as disclosed pursuant to Item 402 of Regulation S-K, including the Compensation Discussion and Analysis, compensation tables and narrative discussion, is hereby APPROVED.”</w:t>
      </w:r>
    </w:p>
    <w:p>
      <w:pPr>
        <w:pStyle w:val="TextBody"/>
        <w:jc w:val="left"/>
        <w:rPr>
          <w:rFonts w:ascii="Arial" w:hAnsi="Arial"/>
          <w:sz w:val="20"/>
        </w:rPr>
      </w:pPr>
      <w:r>
        <w:rPr>
          <w:rFonts w:ascii="Arial" w:hAnsi="Arial"/>
          <w:sz w:val="20"/>
        </w:rPr>
        <w:t>While we intend to carefully consider the voting results of this proposal, this vote is advisory in nature, and, therefore, is not binding on us or our Board. Our Board and CHC Committee value the opinions of all of our shareholders and will consider the outcome of this vote when making future compensation decisions for our NEOs.</w:t>
      </w:r>
    </w:p>
    <w:p>
      <w:pPr>
        <w:pStyle w:val="TextBody"/>
        <w:jc w:val="left"/>
        <w:rPr>
          <w:rFonts w:ascii="Arial" w:hAnsi="Arial"/>
          <w:sz w:val="20"/>
        </w:rPr>
      </w:pPr>
      <w:r>
        <w:rPr>
          <w:rFonts w:ascii="Arial" w:hAnsi="Arial"/>
          <w:sz w:val="20"/>
        </w:rPr>
        <w:t>We currently conduct advisory votes to approve the compensation paid to our NEOs on an annual basis.</w:t>
      </w:r>
    </w:p>
    <w:tbl>
      <w:tblPr>
        <w:tblW w:w="2095" w:type="dxa"/>
        <w:jc w:val="left"/>
        <w:tblInd w:w="0" w:type="dxa"/>
        <w:tblCellMar>
          <w:top w:w="0" w:type="dxa"/>
          <w:left w:w="0" w:type="dxa"/>
          <w:bottom w:w="0" w:type="dxa"/>
          <w:right w:w="0" w:type="dxa"/>
        </w:tblCellMar>
      </w:tblPr>
      <w:tblGrid>
        <w:gridCol w:w="1895"/>
        <w:gridCol w:w="200"/>
      </w:tblGrid>
      <w:tr>
        <w:trPr/>
        <w:tc>
          <w:tcPr>
            <w:tcW w:w="1895" w:type="dxa"/>
            <w:tcBorders/>
            <w:shd w:fill="auto" w:val="clear"/>
            <w:vAlign w:val="center"/>
          </w:tcPr>
          <w:p>
            <w:pPr>
              <w:pStyle w:val="TableContents"/>
              <w:spacing w:before="0" w:after="283"/>
              <w:jc w:val="right"/>
              <w:rPr>
                <w:rFonts w:ascii="Arial" w:hAnsi="Arial"/>
                <w:sz w:val="15"/>
              </w:rPr>
            </w:pPr>
            <w:r>
              <w:rPr>
                <w:rFonts w:ascii="Arial" w:hAnsi="Arial"/>
                <w:sz w:val="15"/>
              </w:rPr>
              <w:t>2023 Proxy Statement       </w:t>
            </w:r>
          </w:p>
        </w:tc>
        <w:tc>
          <w:tcPr>
            <w:tcW w:w="200" w:type="dxa"/>
            <w:tcBorders/>
            <w:shd w:fill="auto" w:val="clear"/>
            <w:vAlign w:val="center"/>
          </w:tcPr>
          <w:p>
            <w:pPr>
              <w:pStyle w:val="TableContents"/>
              <w:spacing w:before="0" w:after="283"/>
              <w:jc w:val="right"/>
              <w:rPr/>
            </w:pPr>
            <w:r>
              <w:rPr>
                <w:rStyle w:val="StrongEmphasis"/>
                <w:rFonts w:ascii="Arial" w:hAnsi="Arial"/>
                <w:sz w:val="15"/>
              </w:rPr>
              <w:t>39</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p>
      <w:pPr>
        <w:pStyle w:val="TextBody"/>
        <w:jc w:val="left"/>
        <w:rPr>
          <w:rFonts w:ascii="Arial" w:hAnsi="Arial"/>
          <w:b/>
          <w:color w:val="00A1E0"/>
          <w:sz w:val="32"/>
        </w:rPr>
      </w:pPr>
      <w:bookmarkStart w:id="21" w:name="cdna"/>
      <w:bookmarkEnd w:id="21"/>
      <w:r>
        <w:rPr>
          <w:rFonts w:ascii="Arial" w:hAnsi="Arial"/>
          <w:b/>
          <w:color w:val="00A1E0"/>
          <w:sz w:val="32"/>
        </w:rPr>
        <w:t>Compensation Discussion and Analysis</w:t>
      </w:r>
    </w:p>
    <w:p>
      <w:pPr>
        <w:pStyle w:val="TextBody"/>
        <w:jc w:val="left"/>
        <w:rPr>
          <w:rFonts w:ascii="Arial" w:hAnsi="Arial"/>
          <w:sz w:val="20"/>
        </w:rPr>
      </w:pPr>
      <w:r>
        <w:rPr>
          <w:rFonts w:ascii="Arial" w:hAnsi="Arial"/>
          <w:sz w:val="20"/>
        </w:rPr>
        <w:t>This discussion and analysis describes our executive compensation philosophy, process, plans and practices, our compensation program’s alignment with our performance and the 2022 compensation decisions for our NEOs set forth in the Summary Compensation Table.</w:t>
      </w:r>
    </w:p>
    <w:p>
      <w:pPr>
        <w:pStyle w:val="TextBody"/>
        <w:jc w:val="left"/>
        <w:rPr>
          <w:rFonts w:ascii="Arial" w:hAnsi="Arial"/>
          <w:sz w:val="28"/>
        </w:rPr>
      </w:pPr>
      <w:r>
        <w:rPr>
          <w:rFonts w:ascii="Arial" w:hAnsi="Arial"/>
          <w:sz w:val="28"/>
        </w:rPr>
        <w:t>Executive Overview</w:t>
      </w:r>
    </w:p>
    <w:p>
      <w:pPr>
        <w:pStyle w:val="TextBody"/>
        <w:jc w:val="left"/>
        <w:rPr>
          <w:rFonts w:ascii="Arial" w:hAnsi="Arial"/>
          <w:color w:val="00A1E0"/>
          <w:sz w:val="26"/>
        </w:rPr>
      </w:pPr>
      <w:r>
        <w:rPr>
          <w:rFonts w:ascii="Arial" w:hAnsi="Arial"/>
          <w:color w:val="00A1E0"/>
          <w:sz w:val="26"/>
        </w:rPr>
        <w:t>Overall Performance</w:t>
      </w:r>
    </w:p>
    <w:p>
      <w:pPr>
        <w:pStyle w:val="TextBody"/>
        <w:jc w:val="left"/>
        <w:rPr>
          <w:rFonts w:ascii="Arial" w:hAnsi="Arial"/>
          <w:sz w:val="20"/>
        </w:rPr>
      </w:pPr>
      <w:r>
        <w:rPr>
          <w:rFonts w:ascii="Arial" w:hAnsi="Arial"/>
          <w:sz w:val="20"/>
        </w:rPr>
        <w:t>Mr. Roberts and our senior leadership team have successfully led our company over the past year, achieving strong operating and financial results and underscoring the strength of our businesses. Our relentless focus on innovation and execution, balanced with financial discipline, enabled us in 2022 to deliver strong performance across our businesses and continue to invest for the future, including the investments we are marking in our next generation network, Xfinity 10G. As described above in “About Comcast – 2022 Performance Overview,” our 2022 consolidated operating and financial results were strong, with contributions from across our company, underscoring our business resilience, strategic decision-making and capital allocation priorities, all driven with a view toward growth and creating long-term value. These results, underpinned with a strong balance sheet, enabled us to return the most capital to shareholders in our history.</w:t>
      </w:r>
    </w:p>
    <w:p>
      <w:pPr>
        <w:pStyle w:val="TextBody"/>
        <w:jc w:val="left"/>
        <w:rPr>
          <w:rFonts w:ascii="Arial" w:hAnsi="Arial"/>
          <w:sz w:val="20"/>
        </w:rPr>
      </w:pPr>
      <w:r>
        <w:rPr>
          <w:rFonts w:ascii="Arial" w:hAnsi="Arial"/>
          <w:sz w:val="20"/>
        </w:rPr>
        <w:t>Our Board credits our senior leadership team for their successful leadership in 2022. They not only delivered for our shareholders and continued to collaboratively work on our global technology platforms and strategic initiatives, but they also continued to support our stakeholders, including our employees, customers, suppliers and the communities where we operate. From our dedication to bridging the digital divide by providing more people with the tools and resources they need to succeed in a digital society, to our ongoing efforts and continued progress in DE&amp;I and community impact, to taking further steps to lessen our environmental footprint, our senior leadership team reinforced our company’s commitment to doing what’s right while underscoring our commitment to act with integrity. See “Spotlight on Our Corporate Responsibility Initiatives” for additional information.</w:t>
      </w:r>
    </w:p>
    <w:p>
      <w:pPr>
        <w:pStyle w:val="TextBody"/>
        <w:jc w:val="left"/>
        <w:rPr>
          <w:rFonts w:ascii="Arial" w:hAnsi="Arial"/>
          <w:sz w:val="28"/>
        </w:rPr>
      </w:pPr>
      <w:r>
        <w:rPr>
          <w:rFonts w:ascii="Arial" w:hAnsi="Arial"/>
          <w:sz w:val="28"/>
        </w:rPr>
        <w:t>2022 Compensation Overview</w:t>
      </w:r>
    </w:p>
    <w:p>
      <w:pPr>
        <w:pStyle w:val="TextBody"/>
        <w:jc w:val="left"/>
        <w:rPr>
          <w:rFonts w:ascii="Arial" w:hAnsi="Arial"/>
          <w:sz w:val="20"/>
        </w:rPr>
      </w:pPr>
      <w:r>
        <w:rPr>
          <w:rFonts w:ascii="Arial" w:hAnsi="Arial"/>
          <w:sz w:val="20"/>
        </w:rPr>
        <w:t>The compensation program for our NEOs is designed to align compensation with shareholders’ interests and our long-term strategic goals, to deliver pay for performance and to reflect shareholder input and prevailing market pay practices. In making compensation decisions for 2022, the CHC Committee considered, among other things, the performance of our NEOs in successfully managing our company for the long-term.</w:t>
      </w:r>
    </w:p>
    <w:p>
      <w:pPr>
        <w:pStyle w:val="TextBody"/>
        <w:jc w:val="left"/>
        <w:rPr>
          <w:rFonts w:ascii="Arial" w:hAnsi="Arial"/>
          <w:sz w:val="20"/>
        </w:rPr>
      </w:pPr>
      <w:r>
        <w:rPr>
          <w:rFonts w:ascii="Arial" w:hAnsi="Arial"/>
          <w:sz w:val="20"/>
        </w:rPr>
        <w:t>As a result of our compensation design, the vast majority of our NEOs’ compensation is performance-based, strongly aligning NEO compensation with shareholder interests.</w:t>
      </w:r>
    </w:p>
    <w:tbl>
      <w:tblPr>
        <w:tblW w:w="10160" w:type="dxa"/>
        <w:jc w:val="left"/>
        <w:tblInd w:w="0" w:type="dxa"/>
        <w:tblCellMar>
          <w:top w:w="0" w:type="dxa"/>
          <w:left w:w="0" w:type="dxa"/>
          <w:bottom w:w="0" w:type="dxa"/>
          <w:right w:w="0" w:type="dxa"/>
        </w:tblCellMar>
      </w:tblPr>
      <w:tblGrid>
        <w:gridCol w:w="4455"/>
        <w:gridCol w:w="300"/>
        <w:gridCol w:w="5405"/>
      </w:tblGrid>
      <w:tr>
        <w:trPr/>
        <w:tc>
          <w:tcPr>
            <w:tcW w:w="4455" w:type="dxa"/>
            <w:tcBorders/>
            <w:shd w:fill="auto" w:val="clear"/>
            <w:vAlign w:val="center"/>
          </w:tcPr>
          <w:p>
            <w:pPr>
              <w:pStyle w:val="TableContents"/>
              <w:spacing w:before="0" w:after="283"/>
              <w:jc w:val="left"/>
              <w:rPr>
                <w:rFonts w:ascii="Arial" w:hAnsi="Arial"/>
                <w:b/>
                <w:color w:val="00A1E0"/>
                <w:sz w:val="20"/>
              </w:rPr>
            </w:pPr>
            <w:r>
              <w:rPr>
                <w:rFonts w:ascii="Arial" w:hAnsi="Arial"/>
                <w:b/>
                <w:color w:val="00A1E0"/>
                <w:sz w:val="20"/>
              </w:rPr>
              <w:t>2022 CEO COMPENSATION MIX</w:t>
            </w:r>
          </w:p>
        </w:tc>
        <w:tc>
          <w:tcPr>
            <w:tcW w:w="300" w:type="dxa"/>
            <w:tcBorders/>
            <w:shd w:fill="auto" w:val="clear"/>
            <w:vAlign w:val="center"/>
          </w:tcPr>
          <w:p>
            <w:pPr>
              <w:pStyle w:val="TableContents"/>
              <w:spacing w:before="0" w:after="283"/>
              <w:jc w:val="left"/>
              <w:rPr/>
            </w:pPr>
            <w:r>
              <w:rPr/>
              <w:t>     </w:t>
            </w:r>
          </w:p>
        </w:tc>
        <w:tc>
          <w:tcPr>
            <w:tcW w:w="5405" w:type="dxa"/>
            <w:tcBorders/>
            <w:shd w:fill="auto" w:val="clear"/>
            <w:vAlign w:val="center"/>
          </w:tcPr>
          <w:p>
            <w:pPr>
              <w:pStyle w:val="TableContents"/>
              <w:spacing w:before="0" w:after="283"/>
              <w:jc w:val="left"/>
              <w:rPr>
                <w:rFonts w:ascii="Arial" w:hAnsi="Arial"/>
                <w:b/>
                <w:color w:val="00A1E0"/>
                <w:sz w:val="20"/>
              </w:rPr>
            </w:pPr>
            <w:r>
              <w:rPr>
                <w:rFonts w:ascii="Arial" w:hAnsi="Arial"/>
                <w:b/>
                <w:color w:val="00A1E0"/>
                <w:sz w:val="20"/>
              </w:rPr>
              <w:t>2022 AVERAGE NEO COMPENSATION MIX</w:t>
              <w:br/>
              <w:t>(EXCLUDING CEO)</w:t>
            </w:r>
          </w:p>
        </w:tc>
      </w:tr>
      <w:tr>
        <w:trPr/>
        <w:tc>
          <w:tcPr>
            <w:tcW w:w="4455" w:type="dxa"/>
            <w:tcBorders/>
            <w:shd w:fill="auto" w:val="clear"/>
            <w:vAlign w:val="center"/>
          </w:tcPr>
          <w:p>
            <w:pPr>
              <w:pStyle w:val="TableContents"/>
              <w:spacing w:before="0" w:after="283"/>
              <w:jc w:val="center"/>
              <w:rPr/>
            </w:pPr>
            <w:r>
              <w:rPr/>
              <w:drawing>
                <wp:inline distT="0" distB="0" distL="0" distR="0">
                  <wp:extent cx="2828925" cy="1371600"/>
                  <wp:effectExtent l="0" t="0" r="0" b="0"/>
                  <wp:docPr id="190"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16" descr=""/>
                          <pic:cNvPicPr>
                            <a:picLocks noChangeAspect="1" noChangeArrowheads="1"/>
                          </pic:cNvPicPr>
                        </pic:nvPicPr>
                        <pic:blipFill>
                          <a:blip r:embed="rId117"/>
                          <a:srcRect l="-356" t="-734" r="-356" b="-734"/>
                          <a:stretch>
                            <a:fillRect/>
                          </a:stretch>
                        </pic:blipFill>
                        <pic:spPr bwMode="auto">
                          <a:xfrm>
                            <a:off x="0" y="0"/>
                            <a:ext cx="2828925" cy="1371600"/>
                          </a:xfrm>
                          <a:prstGeom prst="rect">
                            <a:avLst/>
                          </a:prstGeom>
                          <a:ln w="635">
                            <a:solidFill>
                              <a:srgbClr val="000000"/>
                            </a:solidFill>
                          </a:ln>
                        </pic:spPr>
                      </pic:pic>
                    </a:graphicData>
                  </a:graphic>
                </wp:inline>
              </w:drawing>
            </w:r>
          </w:p>
        </w:tc>
        <w:tc>
          <w:tcPr>
            <w:tcW w:w="300" w:type="dxa"/>
            <w:tcBorders/>
            <w:shd w:fill="auto" w:val="clear"/>
            <w:vAlign w:val="center"/>
          </w:tcPr>
          <w:p>
            <w:pPr>
              <w:pStyle w:val="TableContents"/>
              <w:spacing w:before="0" w:after="283"/>
              <w:rPr>
                <w:sz w:val="4"/>
                <w:szCs w:val="4"/>
              </w:rPr>
            </w:pPr>
            <w:r>
              <w:rPr>
                <w:sz w:val="4"/>
                <w:szCs w:val="4"/>
              </w:rPr>
            </w:r>
          </w:p>
        </w:tc>
        <w:tc>
          <w:tcPr>
            <w:tcW w:w="5405" w:type="dxa"/>
            <w:tcBorders/>
            <w:shd w:fill="auto" w:val="clear"/>
            <w:vAlign w:val="center"/>
          </w:tcPr>
          <w:p>
            <w:pPr>
              <w:pStyle w:val="TableContents"/>
              <w:spacing w:before="0" w:after="283"/>
              <w:jc w:val="center"/>
              <w:rPr/>
            </w:pPr>
            <w:r>
              <w:rPr/>
              <w:drawing>
                <wp:inline distT="0" distB="0" distL="0" distR="0">
                  <wp:extent cx="2800350" cy="1343025"/>
                  <wp:effectExtent l="0" t="0" r="0" b="0"/>
                  <wp:docPr id="191"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17" descr=""/>
                          <pic:cNvPicPr>
                            <a:picLocks noChangeAspect="1" noChangeArrowheads="1"/>
                          </pic:cNvPicPr>
                        </pic:nvPicPr>
                        <pic:blipFill>
                          <a:blip r:embed="rId118"/>
                          <a:srcRect l="-359" t="-750" r="-359" b="-750"/>
                          <a:stretch>
                            <a:fillRect/>
                          </a:stretch>
                        </pic:blipFill>
                        <pic:spPr bwMode="auto">
                          <a:xfrm>
                            <a:off x="0" y="0"/>
                            <a:ext cx="2800350" cy="1343025"/>
                          </a:xfrm>
                          <a:prstGeom prst="rect">
                            <a:avLst/>
                          </a:prstGeom>
                          <a:ln w="635">
                            <a:solidFill>
                              <a:srgbClr val="000000"/>
                            </a:solidFill>
                          </a:ln>
                        </pic:spPr>
                      </pic:pic>
                    </a:graphicData>
                  </a:graphic>
                </wp:inline>
              </w:drawing>
            </w:r>
          </w:p>
        </w:tc>
      </w:tr>
      <w:tr>
        <w:trPr/>
        <w:tc>
          <w:tcPr>
            <w:tcW w:w="4455"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5405" w:type="dxa"/>
            <w:tcBorders/>
            <w:shd w:fill="auto" w:val="clear"/>
            <w:vAlign w:val="center"/>
          </w:tcPr>
          <w:p>
            <w:pPr>
              <w:pStyle w:val="TableContents"/>
              <w:spacing w:before="0" w:after="0"/>
              <w:ind w:left="0" w:right="0" w:hanging="240"/>
              <w:jc w:val="left"/>
              <w:rPr>
                <w:sz w:val="20"/>
              </w:rPr>
            </w:pPr>
            <w:r>
              <w:rPr>
                <w:sz w:val="15"/>
              </w:rPr>
              <w:t>*</w:t>
            </w:r>
            <w:r>
              <w:rPr>
                <w:rFonts w:ascii="arial" w:hAnsi="arial"/>
                <w:sz w:val="15"/>
              </w:rPr>
              <w:t>Excludes one-time special performance stock option award to Mr. Cavanagh.</w:t>
            </w:r>
          </w:p>
        </w:tc>
      </w:tr>
    </w:tbl>
    <w:p>
      <w:pPr>
        <w:pStyle w:val="TextBody"/>
        <w:ind w:left="0" w:right="0" w:hanging="0"/>
        <w:jc w:val="left"/>
        <w:rPr>
          <w:rFonts w:ascii="Arial" w:hAnsi="Arial"/>
          <w:color w:val="FFFFFF"/>
          <w:sz w:val="2"/>
        </w:rPr>
      </w:pPr>
      <w:r>
        <w:rPr>
          <w:rFonts w:ascii="Arial" w:hAnsi="Arial"/>
          <w:color w:val="FFFFFF"/>
          <w:sz w:val="2"/>
        </w:rPr>
        <w:t>&lt;1% Other 42% PSUs 27% Stock Options 92% Total Performance-Based 8% Salary 24% Annual Cash Bonus &lt;1% Other 34% PSUs 22% Stock Options* 89% Total Performance-Based 11% Salary 33% Annual Cash Bonus</w:t>
      </w:r>
    </w:p>
    <w:p>
      <w:pPr>
        <w:pStyle w:val="TextBody"/>
        <w:spacing w:before="240" w:after="283"/>
        <w:jc w:val="left"/>
        <w:rPr>
          <w:rFonts w:ascii="Arial" w:hAnsi="Arial"/>
          <w:sz w:val="20"/>
        </w:rPr>
      </w:pPr>
      <w:r>
        <w:rPr>
          <w:rFonts w:ascii="Arial" w:hAnsi="Arial"/>
          <w:sz w:val="20"/>
        </w:rPr>
        <w:t>Key executive compensation decisions in respect of 2022 compensation are discussed in detail below under “Our Approach to Compensation” and “Compensation Decisions.”</w:t>
      </w:r>
    </w:p>
    <w:tbl>
      <w:tblPr>
        <w:tblW w:w="200" w:type="dxa"/>
        <w:jc w:val="left"/>
        <w:tblInd w:w="0" w:type="dxa"/>
        <w:tblCellMar>
          <w:top w:w="0" w:type="dxa"/>
          <w:left w:w="0" w:type="dxa"/>
          <w:bottom w:w="0" w:type="dxa"/>
          <w:right w:w="0" w:type="dxa"/>
        </w:tblCellMar>
      </w:tblPr>
      <w:tblGrid>
        <w:gridCol w:w="200"/>
      </w:tblGrid>
      <w:tr>
        <w:trPr/>
        <w:tc>
          <w:tcPr>
            <w:tcW w:w="200" w:type="dxa"/>
            <w:tcBorders/>
            <w:shd w:fill="auto" w:val="clear"/>
            <w:vAlign w:val="center"/>
          </w:tcPr>
          <w:p>
            <w:pPr>
              <w:pStyle w:val="TableContents"/>
              <w:spacing w:before="0" w:after="283"/>
              <w:jc w:val="left"/>
              <w:rPr>
                <w:rFonts w:ascii="Arial" w:hAnsi="Arial"/>
                <w:b/>
                <w:sz w:val="15"/>
              </w:rPr>
            </w:pPr>
            <w:r>
              <w:rPr>
                <w:rFonts w:ascii="Arial" w:hAnsi="Arial"/>
                <w:b/>
                <w:sz w:val="15"/>
              </w:rPr>
              <w:t>40</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p>
      <w:pPr>
        <w:pStyle w:val="TextBody"/>
        <w:jc w:val="left"/>
        <w:rPr>
          <w:rFonts w:ascii="Arial" w:hAnsi="Arial"/>
          <w:sz w:val="28"/>
        </w:rPr>
      </w:pPr>
      <w:r>
        <w:rPr>
          <w:rFonts w:ascii="Arial" w:hAnsi="Arial"/>
          <w:sz w:val="28"/>
        </w:rPr>
        <w:t>Shareholder Feedback on Executive Compensation and</w:t>
        <w:br/>
        <w:t>Compensation-Related Changes</w:t>
      </w:r>
    </w:p>
    <w:p>
      <w:pPr>
        <w:pStyle w:val="TextBody"/>
        <w:jc w:val="left"/>
        <w:rPr>
          <w:rFonts w:ascii="Arial" w:hAnsi="Arial"/>
          <w:sz w:val="20"/>
        </w:rPr>
      </w:pPr>
      <w:r>
        <w:rPr>
          <w:rFonts w:ascii="Arial" w:hAnsi="Arial"/>
          <w:sz w:val="20"/>
        </w:rPr>
        <w:t>The CHC Committee and our management team are committed to continued engagement with shareholders to understand their viewpoints and to discuss and demonstrate the important connection between our compensation program, on the one hand, and our business strategy, goals and financial and operating performance, on the other hand. In 2021, the CHC Committee carefully considered such shareholder feedback and made several changes in response to feedback, which it continued to believe were appropriate for 2022. These changes are summarized in the table below.</w:t>
      </w:r>
    </w:p>
    <w:tbl>
      <w:tblPr>
        <w:tblW w:w="10205" w:type="dxa"/>
        <w:jc w:val="left"/>
        <w:tblInd w:w="0" w:type="dxa"/>
        <w:tblCellMar>
          <w:top w:w="0" w:type="dxa"/>
          <w:left w:w="0" w:type="dxa"/>
          <w:bottom w:w="0" w:type="dxa"/>
          <w:right w:w="0" w:type="dxa"/>
        </w:tblCellMar>
      </w:tblPr>
      <w:tblGrid>
        <w:gridCol w:w="1565"/>
        <w:gridCol w:w="180"/>
        <w:gridCol w:w="120"/>
        <w:gridCol w:w="120"/>
        <w:gridCol w:w="8220"/>
      </w:tblGrid>
      <w:tr>
        <w:trPr/>
        <w:tc>
          <w:tcPr>
            <w:tcW w:w="1565" w:type="dxa"/>
            <w:tcBorders/>
            <w:shd w:fill="ECF6FA" w:val="clear"/>
            <w:vAlign w:val="center"/>
          </w:tcPr>
          <w:p>
            <w:pPr>
              <w:pStyle w:val="TableContents"/>
              <w:spacing w:before="0" w:after="283"/>
              <w:jc w:val="left"/>
              <w:rPr>
                <w:rFonts w:ascii="Arial" w:hAnsi="Arial"/>
                <w:b/>
                <w:color w:val="00A1E0"/>
                <w:sz w:val="20"/>
              </w:rPr>
            </w:pPr>
            <w:r>
              <w:rPr>
                <w:rFonts w:ascii="Arial" w:hAnsi="Arial"/>
                <w:b/>
                <w:color w:val="00A1E0"/>
                <w:sz w:val="20"/>
              </w:rPr>
              <w:t>WHAT WE HAVE HEARD</w:t>
            </w:r>
          </w:p>
        </w:tc>
        <w:tc>
          <w:tcPr>
            <w:tcW w:w="180" w:type="dxa"/>
            <w:tcBorders/>
            <w:shd w:fill="ECF6FA" w:val="clear"/>
            <w:vAlign w:val="center"/>
          </w:tcPr>
          <w:p>
            <w:pPr>
              <w:pStyle w:val="TableContents"/>
              <w:spacing w:before="0" w:after="283"/>
              <w:jc w:val="left"/>
              <w:rPr/>
            </w:pPr>
            <w:r>
              <w:rPr/>
              <w:t>   </w:t>
            </w:r>
          </w:p>
        </w:tc>
        <w:tc>
          <w:tcPr>
            <w:tcW w:w="120" w:type="dxa"/>
            <w:tcBorders/>
            <w:shd w:fill="ECF6FA" w:val="clear"/>
            <w:vAlign w:val="center"/>
          </w:tcPr>
          <w:p>
            <w:pPr>
              <w:pStyle w:val="TableContents"/>
              <w:spacing w:before="0" w:after="283"/>
              <w:jc w:val="left"/>
              <w:rPr/>
            </w:pPr>
            <w:r>
              <w:rPr/>
              <w:t>  </w:t>
            </w:r>
          </w:p>
        </w:tc>
        <w:tc>
          <w:tcPr>
            <w:tcW w:w="120" w:type="dxa"/>
            <w:tcBorders/>
            <w:shd w:fill="ECF6FA" w:val="clear"/>
            <w:vAlign w:val="center"/>
          </w:tcPr>
          <w:p>
            <w:pPr>
              <w:pStyle w:val="TableContents"/>
              <w:spacing w:before="0" w:after="283"/>
              <w:jc w:val="left"/>
              <w:rPr/>
            </w:pPr>
            <w:r>
              <w:rPr/>
              <w:t>  </w:t>
            </w:r>
          </w:p>
        </w:tc>
        <w:tc>
          <w:tcPr>
            <w:tcW w:w="8220" w:type="dxa"/>
            <w:tcBorders/>
            <w:shd w:fill="ECF6FA" w:val="clear"/>
            <w:vAlign w:val="center"/>
          </w:tcPr>
          <w:p>
            <w:pPr>
              <w:pStyle w:val="TableContents"/>
              <w:spacing w:before="0" w:after="283"/>
              <w:jc w:val="center"/>
              <w:rPr>
                <w:rFonts w:ascii="Arial" w:hAnsi="Arial"/>
                <w:b/>
                <w:color w:val="00A1E0"/>
                <w:sz w:val="20"/>
              </w:rPr>
            </w:pPr>
            <w:r>
              <w:rPr>
                <w:rFonts w:ascii="Arial" w:hAnsi="Arial"/>
                <w:b/>
                <w:color w:val="00A1E0"/>
                <w:sz w:val="20"/>
              </w:rPr>
              <w:t>WHAT WE HAVE DONE</w:t>
            </w:r>
          </w:p>
        </w:tc>
      </w:tr>
      <w:tr>
        <w:trPr/>
        <w:tc>
          <w:tcPr>
            <w:tcW w:w="10205" w:type="dxa"/>
            <w:gridSpan w:val="5"/>
            <w:tcBorders>
              <w:top w:val="single" w:sz="8" w:space="0" w:color="000000"/>
            </w:tcBorders>
            <w:shd w:fill="D8ECF9" w:val="clear"/>
            <w:tcMar>
              <w:top w:w="80" w:type="dxa"/>
            </w:tcMar>
            <w:vAlign w:val="center"/>
          </w:tcPr>
          <w:p>
            <w:pPr>
              <w:pStyle w:val="TableContents"/>
              <w:spacing w:before="0" w:after="0"/>
              <w:jc w:val="left"/>
              <w:rPr>
                <w:rFonts w:ascii="Arial" w:hAnsi="Arial"/>
                <w:b/>
                <w:sz w:val="15"/>
              </w:rPr>
            </w:pPr>
            <w:r>
              <w:rPr>
                <w:rFonts w:ascii="Arial" w:hAnsi="Arial"/>
                <w:b/>
                <w:sz w:val="15"/>
              </w:rPr>
              <w:t>LONG-TERM INCENTIVE COMPENSATION DESIGN</w:t>
            </w:r>
          </w:p>
        </w:tc>
      </w:tr>
      <w:tr>
        <w:trPr/>
        <w:tc>
          <w:tcPr>
            <w:tcW w:w="1565" w:type="dxa"/>
            <w:tcBorders>
              <w:top w:val="single" w:sz="8" w:space="0" w:color="959595"/>
              <w:bottom w:val="single" w:sz="8" w:space="0" w:color="000000"/>
            </w:tcBorders>
            <w:shd w:fill="auto" w:val="clear"/>
            <w:tcMar>
              <w:top w:w="120" w:type="dxa"/>
              <w:bottom w:w="80" w:type="dxa"/>
            </w:tcMar>
            <w:vAlign w:val="center"/>
          </w:tcPr>
          <w:p>
            <w:pPr>
              <w:pStyle w:val="TableContents"/>
              <w:spacing w:before="0" w:after="0"/>
              <w:jc w:val="left"/>
              <w:rPr>
                <w:rFonts w:ascii="Arial" w:hAnsi="Arial"/>
                <w:b/>
                <w:sz w:val="20"/>
              </w:rPr>
            </w:pPr>
            <w:r>
              <w:rPr>
                <w:rFonts w:ascii="Arial" w:hAnsi="Arial"/>
                <w:b/>
                <w:sz w:val="20"/>
              </w:rPr>
              <w:t>Consider having a</w:t>
              <w:br/>
              <w:t>multi-year performance</w:t>
              <w:br/>
              <w:t>period for PSUs</w:t>
            </w:r>
          </w:p>
        </w:tc>
        <w:tc>
          <w:tcPr>
            <w:tcW w:w="180" w:type="dxa"/>
            <w:tcBorders>
              <w:top w:val="single" w:sz="8" w:space="0" w:color="959595"/>
              <w:right w:val="single" w:sz="8" w:space="0" w:color="959595"/>
            </w:tcBorders>
            <w:shd w:fill="auto" w:val="clear"/>
            <w:tcMar>
              <w:top w:w="120" w:type="dxa"/>
              <w:right w:w="28" w:type="dxa"/>
            </w:tcMar>
            <w:vAlign w:val="center"/>
          </w:tcPr>
          <w:p>
            <w:pPr>
              <w:pStyle w:val="TableContents"/>
              <w:spacing w:before="0" w:after="283"/>
              <w:rPr>
                <w:sz w:val="4"/>
                <w:szCs w:val="4"/>
              </w:rPr>
            </w:pPr>
            <w:r>
              <w:rPr>
                <w:sz w:val="4"/>
                <w:szCs w:val="4"/>
              </w:rPr>
            </w:r>
          </w:p>
        </w:tc>
        <w:tc>
          <w:tcPr>
            <w:tcW w:w="120" w:type="dxa"/>
            <w:tcBorders>
              <w:top w:val="single" w:sz="8" w:space="0" w:color="000000"/>
            </w:tcBorders>
            <w:shd w:fill="auto" w:val="clear"/>
            <w:tcMar>
              <w:top w:w="120" w:type="dxa"/>
            </w:tcMar>
            <w:vAlign w:val="center"/>
          </w:tcPr>
          <w:p>
            <w:pPr>
              <w:pStyle w:val="TableContents"/>
              <w:spacing w:before="0" w:after="283"/>
              <w:rPr>
                <w:sz w:val="4"/>
                <w:szCs w:val="4"/>
              </w:rPr>
            </w:pPr>
            <w:r>
              <w:rPr>
                <w:sz w:val="4"/>
                <w:szCs w:val="4"/>
              </w:rPr>
            </w:r>
          </w:p>
        </w:tc>
        <w:tc>
          <w:tcPr>
            <w:tcW w:w="120" w:type="dxa"/>
            <w:tcBorders>
              <w:top w:val="single" w:sz="8" w:space="0" w:color="000000"/>
            </w:tcBorders>
            <w:shd w:fill="ECF6FA" w:val="clear"/>
            <w:tcMar>
              <w:top w:w="120" w:type="dxa"/>
            </w:tcMar>
            <w:vAlign w:val="center"/>
          </w:tcPr>
          <w:p>
            <w:pPr>
              <w:pStyle w:val="TableContents"/>
              <w:spacing w:before="0" w:after="283"/>
              <w:rPr>
                <w:sz w:val="4"/>
                <w:szCs w:val="4"/>
              </w:rPr>
            </w:pPr>
            <w:r>
              <w:rPr>
                <w:sz w:val="4"/>
                <w:szCs w:val="4"/>
              </w:rPr>
            </w:r>
          </w:p>
        </w:tc>
        <w:tc>
          <w:tcPr>
            <w:tcW w:w="8220" w:type="dxa"/>
            <w:tcBorders>
              <w:top w:val="single" w:sz="8" w:space="0" w:color="000000"/>
              <w:bottom w:val="single" w:sz="8" w:space="0" w:color="000000"/>
            </w:tcBorders>
            <w:shd w:fill="ECF6FA" w:val="clear"/>
            <w:tcMar>
              <w:top w:w="120" w:type="dxa"/>
              <w:bottom w:w="80" w:type="dxa"/>
            </w:tcMar>
            <w:vAlign w:val="center"/>
          </w:tcPr>
          <w:p>
            <w:pPr>
              <w:pStyle w:val="TableContents"/>
              <w:spacing w:before="0" w:after="0"/>
              <w:jc w:val="left"/>
              <w:rPr>
                <w:rFonts w:ascii="Arial" w:hAnsi="Arial"/>
                <w:sz w:val="20"/>
              </w:rPr>
            </w:pPr>
            <w:r>
              <w:rPr>
                <w:rFonts w:ascii="Arial" w:hAnsi="Arial"/>
                <w:sz w:val="20"/>
              </w:rPr>
              <w:t>Starting in 2021, PSUs have had a 3-year cumulative performance period, with performance goals determined at the beginning of the 3-year period and measured at the end of the 3-year period; previously PSUs had five individual 1-year performance periods.</w:t>
            </w:r>
          </w:p>
        </w:tc>
      </w:tr>
      <w:tr>
        <w:trPr/>
        <w:tc>
          <w:tcPr>
            <w:tcW w:w="1565" w:type="dxa"/>
            <w:tcBorders/>
            <w:shd w:fill="auto" w:val="clear"/>
            <w:vAlign w:val="center"/>
          </w:tcPr>
          <w:p>
            <w:pPr>
              <w:pStyle w:val="TableContents"/>
              <w:spacing w:before="0" w:after="120"/>
              <w:jc w:val="left"/>
              <w:rPr>
                <w:rFonts w:ascii="Arial" w:hAnsi="Arial"/>
                <w:b/>
                <w:sz w:val="20"/>
              </w:rPr>
            </w:pPr>
            <w:r>
              <w:rPr>
                <w:rFonts w:ascii="Arial" w:hAnsi="Arial"/>
                <w:b/>
                <w:sz w:val="20"/>
              </w:rPr>
              <w:t>Consider using a relative</w:t>
              <w:br/>
              <w:t>performance metric</w:t>
            </w:r>
          </w:p>
          <w:p>
            <w:pPr>
              <w:pStyle w:val="TableContents"/>
              <w:spacing w:before="0" w:after="120"/>
              <w:jc w:val="left"/>
              <w:rPr>
                <w:rFonts w:ascii="Arial" w:hAnsi="Arial"/>
                <w:b/>
                <w:sz w:val="20"/>
              </w:rPr>
            </w:pPr>
            <w:r>
              <w:rPr>
                <w:rFonts w:ascii="Arial" w:hAnsi="Arial"/>
                <w:b/>
                <w:sz w:val="20"/>
              </w:rPr>
              <w:t>Consider incenting NEOs</w:t>
              <w:br/>
              <w:t>with a capital allocation</w:t>
              <w:br/>
              <w:t>performance metric</w:t>
            </w:r>
          </w:p>
          <w:p>
            <w:pPr>
              <w:pStyle w:val="TableContents"/>
              <w:spacing w:before="0" w:after="0"/>
              <w:jc w:val="left"/>
              <w:rPr>
                <w:rFonts w:ascii="Arial" w:hAnsi="Arial"/>
                <w:b/>
                <w:sz w:val="20"/>
              </w:rPr>
            </w:pPr>
            <w:r>
              <w:rPr>
                <w:rFonts w:ascii="Arial" w:hAnsi="Arial"/>
                <w:b/>
                <w:sz w:val="20"/>
              </w:rPr>
              <w:t>Consider a PSU</w:t>
              <w:br/>
              <w:t>performance metric not</w:t>
              <w:br/>
              <w:t>also used in the annual</w:t>
              <w:br/>
              <w:t>cash bonus program</w:t>
            </w:r>
          </w:p>
        </w:tc>
        <w:tc>
          <w:tcPr>
            <w:tcW w:w="180" w:type="dxa"/>
            <w:tcBorders>
              <w:right w:val="single" w:sz="8" w:space="0" w:color="959595"/>
            </w:tcBorders>
            <w:shd w:fill="auto" w:val="clear"/>
            <w:tcMar>
              <w:right w:w="28" w:type="dxa"/>
            </w:tcM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ECF6FA" w:val="clear"/>
            <w:vAlign w:val="center"/>
          </w:tcPr>
          <w:p>
            <w:pPr>
              <w:pStyle w:val="TableContents"/>
              <w:spacing w:before="0" w:after="283"/>
              <w:rPr>
                <w:sz w:val="4"/>
                <w:szCs w:val="4"/>
              </w:rPr>
            </w:pPr>
            <w:r>
              <w:rPr>
                <w:sz w:val="4"/>
                <w:szCs w:val="4"/>
              </w:rPr>
            </w:r>
          </w:p>
        </w:tc>
        <w:tc>
          <w:tcPr>
            <w:tcW w:w="8220" w:type="dxa"/>
            <w:tcBorders/>
            <w:shd w:fill="ECF6FA" w:val="clear"/>
            <w:vAlign w:val="center"/>
          </w:tcPr>
          <w:p>
            <w:pPr>
              <w:pStyle w:val="TableContents"/>
              <w:spacing w:before="0" w:after="120"/>
              <w:jc w:val="left"/>
              <w:rPr>
                <w:rFonts w:ascii="Arial" w:hAnsi="Arial"/>
                <w:sz w:val="20"/>
              </w:rPr>
            </w:pPr>
            <w:r>
              <w:rPr>
                <w:rFonts w:ascii="Arial" w:hAnsi="Arial"/>
                <w:sz w:val="20"/>
              </w:rPr>
              <w:t>Starting in 2021, PSUs granted have two relative performance metrics relating to Adjusted Earnings Per Share (“EPS”) growth and total shareholder return (“TSR”) and include an absolute return on adjusted invested capital (“ROIC”) performance metric; none of these metrics are used in our annual cash bonus program.</w:t>
            </w:r>
          </w:p>
          <w:p>
            <w:pPr>
              <w:pStyle w:val="TableContents"/>
              <w:spacing w:before="0" w:after="0"/>
              <w:jc w:val="left"/>
              <w:rPr>
                <w:rFonts w:ascii="Arial" w:hAnsi="Arial"/>
                <w:sz w:val="20"/>
              </w:rPr>
            </w:pPr>
            <w:r>
              <w:rPr>
                <w:rFonts w:ascii="Arial" w:hAnsi="Arial"/>
                <w:sz w:val="20"/>
              </w:rPr>
              <w:t>For more information on the structure of our PSU awards, including the financial metrics selected, please see “Our Approach to Compensation” and “Equity-Based Incentive Compensation – PSUs” below.</w:t>
            </w:r>
          </w:p>
        </w:tc>
      </w:tr>
      <w:tr>
        <w:trPr/>
        <w:tc>
          <w:tcPr>
            <w:tcW w:w="1565" w:type="dxa"/>
            <w:tcBorders>
              <w:top w:val="single" w:sz="8" w:space="0" w:color="000000"/>
              <w:bottom w:val="single" w:sz="8" w:space="0" w:color="000000"/>
            </w:tcBorders>
            <w:shd w:fill="D8ECF9" w:val="clear"/>
            <w:tcMar>
              <w:top w:w="80" w:type="dxa"/>
              <w:bottom w:w="80" w:type="dxa"/>
            </w:tcMar>
            <w:vAlign w:val="center"/>
          </w:tcPr>
          <w:p>
            <w:pPr>
              <w:pStyle w:val="TableContents"/>
              <w:spacing w:before="0" w:after="0"/>
              <w:jc w:val="left"/>
              <w:rPr>
                <w:rFonts w:ascii="Arial" w:hAnsi="Arial"/>
                <w:b/>
                <w:sz w:val="15"/>
              </w:rPr>
            </w:pPr>
            <w:r>
              <w:rPr>
                <w:rFonts w:ascii="Arial" w:hAnsi="Arial"/>
                <w:b/>
                <w:sz w:val="15"/>
              </w:rPr>
              <w:t>ANNUAL CASH BONUS</w:t>
            </w:r>
          </w:p>
        </w:tc>
        <w:tc>
          <w:tcPr>
            <w:tcW w:w="180" w:type="dxa"/>
            <w:tcBorders>
              <w:top w:val="single" w:sz="8" w:space="0" w:color="000000"/>
              <w:bottom w:val="single" w:sz="8" w:space="0" w:color="000000"/>
              <w:right w:val="single" w:sz="8" w:space="0" w:color="959595"/>
            </w:tcBorders>
            <w:shd w:fill="D8ECF9" w:val="clear"/>
            <w:tcMar>
              <w:top w:w="80" w:type="dxa"/>
              <w:bottom w:w="80" w:type="dxa"/>
              <w:right w:w="28" w:type="dxa"/>
            </w:tcMar>
            <w:vAlign w:val="center"/>
          </w:tcPr>
          <w:p>
            <w:pPr>
              <w:pStyle w:val="TableContents"/>
              <w:spacing w:before="0" w:after="283"/>
              <w:rPr>
                <w:sz w:val="4"/>
                <w:szCs w:val="4"/>
              </w:rPr>
            </w:pPr>
            <w:r>
              <w:rPr>
                <w:sz w:val="4"/>
                <w:szCs w:val="4"/>
              </w:rPr>
            </w:r>
          </w:p>
        </w:tc>
        <w:tc>
          <w:tcPr>
            <w:tcW w:w="120" w:type="dxa"/>
            <w:tcBorders>
              <w:top w:val="single" w:sz="8" w:space="0" w:color="000000"/>
              <w:bottom w:val="single" w:sz="8" w:space="0" w:color="000000"/>
            </w:tcBorders>
            <w:shd w:fill="D8ECF9" w:val="clear"/>
            <w:tcMar>
              <w:top w:w="80" w:type="dxa"/>
              <w:bottom w:w="80" w:type="dxa"/>
            </w:tcMar>
            <w:vAlign w:val="center"/>
          </w:tcPr>
          <w:p>
            <w:pPr>
              <w:pStyle w:val="TableContents"/>
              <w:spacing w:before="0" w:after="283"/>
              <w:rPr>
                <w:sz w:val="4"/>
                <w:szCs w:val="4"/>
              </w:rPr>
            </w:pPr>
            <w:r>
              <w:rPr>
                <w:sz w:val="4"/>
                <w:szCs w:val="4"/>
              </w:rPr>
            </w:r>
          </w:p>
        </w:tc>
        <w:tc>
          <w:tcPr>
            <w:tcW w:w="120" w:type="dxa"/>
            <w:tcBorders>
              <w:top w:val="single" w:sz="8" w:space="0" w:color="000000"/>
              <w:bottom w:val="single" w:sz="8" w:space="0" w:color="000000"/>
            </w:tcBorders>
            <w:shd w:fill="D8ECF9" w:val="clear"/>
            <w:tcMar>
              <w:top w:w="80" w:type="dxa"/>
              <w:bottom w:w="80" w:type="dxa"/>
            </w:tcMar>
            <w:vAlign w:val="center"/>
          </w:tcPr>
          <w:p>
            <w:pPr>
              <w:pStyle w:val="TableContents"/>
              <w:spacing w:before="0" w:after="283"/>
              <w:rPr>
                <w:sz w:val="4"/>
                <w:szCs w:val="4"/>
              </w:rPr>
            </w:pPr>
            <w:r>
              <w:rPr>
                <w:sz w:val="4"/>
                <w:szCs w:val="4"/>
              </w:rPr>
            </w:r>
          </w:p>
        </w:tc>
        <w:tc>
          <w:tcPr>
            <w:tcW w:w="8220" w:type="dxa"/>
            <w:tcBorders>
              <w:top w:val="single" w:sz="8" w:space="0" w:color="000000"/>
              <w:bottom w:val="single" w:sz="8" w:space="0" w:color="000000"/>
            </w:tcBorders>
            <w:shd w:fill="D8ECF9" w:val="clear"/>
            <w:tcMar>
              <w:top w:w="80" w:type="dxa"/>
              <w:bottom w:w="80" w:type="dxa"/>
            </w:tcMar>
            <w:vAlign w:val="center"/>
          </w:tcPr>
          <w:p>
            <w:pPr>
              <w:pStyle w:val="TableContents"/>
              <w:spacing w:before="0" w:after="283"/>
              <w:rPr>
                <w:sz w:val="4"/>
                <w:szCs w:val="4"/>
              </w:rPr>
            </w:pPr>
            <w:r>
              <w:rPr>
                <w:sz w:val="4"/>
                <w:szCs w:val="4"/>
              </w:rPr>
            </w:r>
          </w:p>
        </w:tc>
      </w:tr>
      <w:tr>
        <w:trPr/>
        <w:tc>
          <w:tcPr>
            <w:tcW w:w="1565" w:type="dxa"/>
            <w:tcBorders/>
            <w:shd w:fill="auto" w:val="clear"/>
            <w:vAlign w:val="center"/>
          </w:tcPr>
          <w:p>
            <w:pPr>
              <w:pStyle w:val="TableContents"/>
              <w:spacing w:before="0" w:after="120"/>
              <w:jc w:val="left"/>
              <w:rPr>
                <w:rFonts w:ascii="Arial" w:hAnsi="Arial"/>
                <w:b/>
                <w:sz w:val="20"/>
              </w:rPr>
            </w:pPr>
            <w:r>
              <w:rPr>
                <w:rFonts w:ascii="Arial" w:hAnsi="Arial"/>
                <w:b/>
                <w:sz w:val="20"/>
              </w:rPr>
              <w:t>Consider aligning relative</w:t>
              <w:br/>
              <w:t>weighting of quantitative</w:t>
              <w:br/>
              <w:t>financial performance</w:t>
              <w:br/>
              <w:t>metrics closer to market</w:t>
            </w:r>
          </w:p>
          <w:p>
            <w:pPr>
              <w:pStyle w:val="TableContents"/>
              <w:spacing w:before="0" w:after="0"/>
              <w:jc w:val="left"/>
              <w:rPr>
                <w:rFonts w:ascii="Arial" w:hAnsi="Arial"/>
                <w:b/>
                <w:sz w:val="20"/>
              </w:rPr>
            </w:pPr>
            <w:r>
              <w:rPr>
                <w:rFonts w:ascii="Arial" w:hAnsi="Arial"/>
                <w:b/>
                <w:sz w:val="20"/>
              </w:rPr>
              <w:t>Consider improving</w:t>
              <w:br/>
              <w:t>the transparency and</w:t>
              <w:br/>
              <w:t>objectivity of non-financial</w:t>
              <w:br/>
              <w:t>performance metrics</w:t>
            </w:r>
          </w:p>
        </w:tc>
        <w:tc>
          <w:tcPr>
            <w:tcW w:w="180" w:type="dxa"/>
            <w:tcBorders>
              <w:right w:val="single" w:sz="8" w:space="0" w:color="959595"/>
            </w:tcBorders>
            <w:shd w:fill="auto" w:val="clear"/>
            <w:tcMar>
              <w:right w:w="28" w:type="dxa"/>
            </w:tcM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ECF6FA" w:val="clear"/>
            <w:vAlign w:val="center"/>
          </w:tcPr>
          <w:p>
            <w:pPr>
              <w:pStyle w:val="TableContents"/>
              <w:spacing w:before="0" w:after="283"/>
              <w:rPr>
                <w:sz w:val="4"/>
                <w:szCs w:val="4"/>
              </w:rPr>
            </w:pPr>
            <w:r>
              <w:rPr>
                <w:sz w:val="4"/>
                <w:szCs w:val="4"/>
              </w:rPr>
            </w:r>
          </w:p>
        </w:tc>
        <w:tc>
          <w:tcPr>
            <w:tcW w:w="8220" w:type="dxa"/>
            <w:tcBorders/>
            <w:shd w:fill="ECF6FA" w:val="clear"/>
            <w:vAlign w:val="center"/>
          </w:tcPr>
          <w:p>
            <w:pPr>
              <w:pStyle w:val="TableContents"/>
              <w:spacing w:before="0" w:after="120"/>
              <w:jc w:val="left"/>
              <w:rPr>
                <w:rFonts w:ascii="Arial" w:hAnsi="Arial"/>
                <w:sz w:val="20"/>
              </w:rPr>
            </w:pPr>
            <w:r>
              <w:rPr>
                <w:rFonts w:ascii="Arial" w:hAnsi="Arial"/>
                <w:sz w:val="20"/>
              </w:rPr>
              <w:t>Starting in 2021, the Annual Cash Bonus program has:</w:t>
            </w:r>
          </w:p>
          <w:p>
            <w:pPr>
              <w:pStyle w:val="TableContents"/>
              <w:spacing w:before="0" w:after="80"/>
              <w:ind w:left="0" w:right="0" w:hanging="290"/>
              <w:jc w:val="left"/>
              <w:rPr/>
            </w:pPr>
            <w:r>
              <w:rPr>
                <w:color w:val="00A1E0"/>
              </w:rPr>
              <w:t>●</w:t>
            </w:r>
            <w:r>
              <w:rPr>
                <w:rFonts w:ascii="Arial" w:hAnsi="Arial"/>
                <w:sz w:val="20"/>
              </w:rPr>
              <w:t>Increased the quantitative financial metrics to 70% (from 50% in 2020) of the target bonus to closer align with market practice. Revenue, Adjusted EBITDA and Free Cash Flow remain the quantitative financial metrics used.</w:t>
            </w:r>
          </w:p>
          <w:p>
            <w:pPr>
              <w:pStyle w:val="TableContents"/>
              <w:spacing w:before="0" w:after="120"/>
              <w:ind w:left="0" w:right="0" w:hanging="290"/>
              <w:jc w:val="left"/>
              <w:rPr/>
            </w:pPr>
            <w:r>
              <w:rPr>
                <w:color w:val="00A1E0"/>
              </w:rPr>
              <w:t>●</w:t>
            </w:r>
            <w:r>
              <w:rPr>
                <w:rFonts w:ascii="Arial" w:hAnsi="Arial"/>
                <w:sz w:val="20"/>
              </w:rPr>
              <w:t>Based 15% of the target bonus on strategic operating performance goals and 15% on a qualitative assessment of our progress on stakeholder and sustainability initiatives; in both cases annually setting objective goals against which to assess performance.</w:t>
            </w:r>
          </w:p>
          <w:p>
            <w:pPr>
              <w:pStyle w:val="TableContents"/>
              <w:spacing w:before="0" w:after="0"/>
              <w:jc w:val="left"/>
              <w:rPr>
                <w:rFonts w:ascii="Arial" w:hAnsi="Arial"/>
                <w:sz w:val="20"/>
              </w:rPr>
            </w:pPr>
            <w:r>
              <w:rPr>
                <w:rFonts w:ascii="Arial" w:hAnsi="Arial"/>
                <w:sz w:val="20"/>
              </w:rPr>
              <w:t>For more information on the strategic operating performance goals and stakeholder and sustainability goals, please see “Compensation Decisions – Annual Cash Bonus” below.</w:t>
            </w:r>
          </w:p>
        </w:tc>
      </w:tr>
      <w:tr>
        <w:trPr/>
        <w:tc>
          <w:tcPr>
            <w:tcW w:w="1565" w:type="dxa"/>
            <w:tcBorders/>
            <w:shd w:fill="auto" w:val="clear"/>
            <w:vAlign w:val="center"/>
          </w:tcPr>
          <w:p>
            <w:pPr>
              <w:pStyle w:val="TableContents"/>
              <w:spacing w:before="0" w:after="283"/>
              <w:jc w:val="left"/>
              <w:rPr/>
            </w:pPr>
            <w:r>
              <w:rPr/>
              <w:t> </w:t>
            </w:r>
          </w:p>
        </w:tc>
        <w:tc>
          <w:tcPr>
            <w:tcW w:w="180" w:type="dxa"/>
            <w:tcBorders>
              <w:right w:val="single" w:sz="8" w:space="0" w:color="959595"/>
            </w:tcBorders>
            <w:shd w:fill="auto" w:val="clear"/>
            <w:tcMar>
              <w:right w:w="28" w:type="dxa"/>
            </w:tcMar>
            <w:vAlign w:val="center"/>
          </w:tcPr>
          <w:p>
            <w:pPr>
              <w:pStyle w:val="TableContents"/>
              <w:spacing w:before="0" w:after="283"/>
              <w:jc w:val="left"/>
              <w:rPr/>
            </w:pPr>
            <w:r>
              <w:rPr/>
              <w:t> </w:t>
            </w:r>
          </w:p>
        </w:tc>
        <w:tc>
          <w:tcPr>
            <w:tcW w:w="120" w:type="dxa"/>
            <w:tcBorders>
              <w:bottom w:val="single" w:sz="8" w:space="0" w:color="959595"/>
            </w:tcBorders>
            <w:shd w:fill="auto" w:val="clear"/>
            <w:tcMar>
              <w:bottom w:w="28" w:type="dxa"/>
            </w:tcMar>
            <w:vAlign w:val="center"/>
          </w:tcPr>
          <w:p>
            <w:pPr>
              <w:pStyle w:val="TableContents"/>
              <w:spacing w:before="0" w:after="283"/>
              <w:jc w:val="left"/>
              <w:rPr/>
            </w:pPr>
            <w:r>
              <w:rPr/>
              <w:t> </w:t>
            </w:r>
          </w:p>
        </w:tc>
        <w:tc>
          <w:tcPr>
            <w:tcW w:w="120" w:type="dxa"/>
            <w:tcBorders>
              <w:bottom w:val="single" w:sz="8" w:space="0" w:color="959595"/>
            </w:tcBorders>
            <w:shd w:fill="auto" w:val="clear"/>
            <w:tcMar>
              <w:bottom w:w="28" w:type="dxa"/>
            </w:tcMar>
            <w:vAlign w:val="center"/>
          </w:tcPr>
          <w:p>
            <w:pPr>
              <w:pStyle w:val="TableContents"/>
              <w:spacing w:before="0" w:after="283"/>
              <w:jc w:val="left"/>
              <w:rPr/>
            </w:pPr>
            <w:r>
              <w:rPr/>
              <w:t> </w:t>
            </w:r>
          </w:p>
        </w:tc>
        <w:tc>
          <w:tcPr>
            <w:tcW w:w="8220" w:type="dxa"/>
            <w:tcBorders>
              <w:bottom w:val="single" w:sz="8" w:space="0" w:color="959595"/>
            </w:tcBorders>
            <w:shd w:fill="auto" w:val="clear"/>
            <w:tcMar>
              <w:bottom w:w="28" w:type="dxa"/>
            </w:tcMar>
            <w:vAlign w:val="center"/>
          </w:tcPr>
          <w:p>
            <w:pPr>
              <w:pStyle w:val="TableContents"/>
              <w:spacing w:before="0" w:after="283"/>
              <w:jc w:val="left"/>
              <w:rPr/>
            </w:pPr>
            <w:r>
              <w:rPr/>
              <w:t> </w:t>
            </w:r>
          </w:p>
        </w:tc>
      </w:tr>
    </w:tbl>
    <w:p>
      <w:pPr>
        <w:pStyle w:val="TextBody"/>
        <w:spacing w:before="240" w:after="283"/>
        <w:jc w:val="left"/>
        <w:rPr>
          <w:rFonts w:ascii="Arial" w:hAnsi="Arial"/>
          <w:sz w:val="20"/>
        </w:rPr>
      </w:pPr>
      <w:r>
        <w:rPr>
          <w:rFonts w:ascii="Arial" w:hAnsi="Arial"/>
          <w:sz w:val="20"/>
        </w:rPr>
        <w:t>The CHC Committee also considered the results of our 2022 annual meeting, where our shareholders approved the 2021 compensation of our NEOs on an advisory basis by 96% of the votes cast. It discussed our executive compensation program and our voting results with Korn Ferry, its independent compensation consultant and, with the assistance of Korn Ferry, continues to evaluate our compensation program design. The CHC Committee believes that its policies and decisions are consistent with our compensation philosophy and objectives and align the interests of our NEOs with our long-term goals and the interests of our shareholders without incenting inappropriate risk taking.</w:t>
      </w:r>
    </w:p>
    <w:tbl>
      <w:tblPr>
        <w:tblW w:w="2200" w:type="dxa"/>
        <w:jc w:val="left"/>
        <w:tblInd w:w="0" w:type="dxa"/>
        <w:tblCellMar>
          <w:top w:w="0" w:type="dxa"/>
          <w:left w:w="0" w:type="dxa"/>
          <w:bottom w:w="0" w:type="dxa"/>
          <w:right w:w="0" w:type="dxa"/>
        </w:tblCellMar>
      </w:tblPr>
      <w:tblGrid>
        <w:gridCol w:w="1580"/>
        <w:gridCol w:w="620"/>
      </w:tblGrid>
      <w:tr>
        <w:trPr/>
        <w:tc>
          <w:tcPr>
            <w:tcW w:w="1580" w:type="dxa"/>
            <w:tcBorders/>
            <w:shd w:fill="auto" w:val="clear"/>
            <w:vAlign w:val="center"/>
          </w:tcPr>
          <w:p>
            <w:pPr>
              <w:pStyle w:val="TableContents"/>
              <w:spacing w:before="0" w:after="283"/>
              <w:jc w:val="right"/>
              <w:rPr>
                <w:rFonts w:ascii="Arial" w:hAnsi="Arial"/>
                <w:sz w:val="15"/>
              </w:rPr>
            </w:pPr>
            <w:r>
              <w:rPr>
                <w:rFonts w:ascii="Arial" w:hAnsi="Arial"/>
                <w:sz w:val="15"/>
              </w:rPr>
              <w:t>2023 Proxy Statement</w:t>
            </w:r>
          </w:p>
        </w:tc>
        <w:tc>
          <w:tcPr>
            <w:tcW w:w="620" w:type="dxa"/>
            <w:tcBorders/>
            <w:shd w:fill="auto" w:val="clear"/>
            <w:vAlign w:val="center"/>
          </w:tcPr>
          <w:p>
            <w:pPr>
              <w:pStyle w:val="TableContents"/>
              <w:spacing w:before="0" w:after="283"/>
              <w:jc w:val="right"/>
              <w:rPr/>
            </w:pPr>
            <w:r>
              <w:rPr/>
              <w:t>       </w:t>
            </w:r>
            <w:r>
              <w:rPr>
                <w:rFonts w:ascii="Arial" w:hAnsi="Arial"/>
                <w:b/>
                <w:sz w:val="15"/>
              </w:rPr>
              <w:t>41</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p>
      <w:pPr>
        <w:pStyle w:val="TextBody"/>
        <w:jc w:val="left"/>
        <w:rPr>
          <w:rFonts w:ascii="Arial" w:hAnsi="Arial"/>
          <w:sz w:val="28"/>
        </w:rPr>
      </w:pPr>
      <w:r>
        <w:rPr>
          <w:rFonts w:ascii="Arial" w:hAnsi="Arial"/>
          <w:sz w:val="28"/>
        </w:rPr>
        <w:t>Executive Compensation Best Practices</w:t>
      </w:r>
    </w:p>
    <w:tbl>
      <w:tblPr>
        <w:tblW w:w="10205" w:type="dxa"/>
        <w:jc w:val="left"/>
        <w:tblInd w:w="0" w:type="dxa"/>
        <w:tblCellMar>
          <w:top w:w="160" w:type="dxa"/>
          <w:left w:w="0" w:type="dxa"/>
          <w:bottom w:w="0" w:type="dxa"/>
          <w:right w:w="0" w:type="dxa"/>
        </w:tblCellMar>
      </w:tblPr>
      <w:tblGrid>
        <w:gridCol w:w="4294"/>
        <w:gridCol w:w="300"/>
        <w:gridCol w:w="5611"/>
      </w:tblGrid>
      <w:tr>
        <w:trPr/>
        <w:tc>
          <w:tcPr>
            <w:tcW w:w="4294" w:type="dxa"/>
            <w:tcBorders>
              <w:top w:val="single" w:sz="12" w:space="0" w:color="959595"/>
            </w:tcBorders>
            <w:shd w:fill="auto" w:val="clear"/>
            <w:vAlign w:val="center"/>
          </w:tcPr>
          <w:p>
            <w:pPr>
              <w:pStyle w:val="TableContents"/>
              <w:spacing w:before="0" w:after="283"/>
              <w:jc w:val="left"/>
              <w:rPr>
                <w:rFonts w:ascii="Arial" w:hAnsi="Arial"/>
                <w:color w:val="00A1E0"/>
                <w:sz w:val="24"/>
              </w:rPr>
            </w:pPr>
            <w:r>
              <w:rPr>
                <w:rFonts w:ascii="Arial" w:hAnsi="Arial"/>
                <w:color w:val="00A1E0"/>
                <w:sz w:val="24"/>
              </w:rPr>
              <w:t>What We Do</w:t>
            </w:r>
          </w:p>
        </w:tc>
        <w:tc>
          <w:tcPr>
            <w:tcW w:w="300" w:type="dxa"/>
            <w:tcBorders>
              <w:left w:val="single" w:sz="12" w:space="0" w:color="959595"/>
            </w:tcBorders>
            <w:shd w:fill="auto" w:val="clear"/>
            <w:tcMar>
              <w:top w:w="0" w:type="dxa"/>
              <w:left w:w="28" w:type="dxa"/>
            </w:tcMar>
            <w:vAlign w:val="center"/>
          </w:tcPr>
          <w:p>
            <w:pPr>
              <w:pStyle w:val="TableContents"/>
              <w:spacing w:before="0" w:after="283"/>
              <w:jc w:val="left"/>
              <w:rPr/>
            </w:pPr>
            <w:r>
              <w:rPr/>
              <w:t>     </w:t>
            </w:r>
          </w:p>
        </w:tc>
        <w:tc>
          <w:tcPr>
            <w:tcW w:w="5611" w:type="dxa"/>
            <w:tcBorders/>
            <w:shd w:fill="auto" w:val="clear"/>
            <w:tcMar>
              <w:top w:w="0" w:type="dxa"/>
            </w:tcMar>
            <w:vAlign w:val="center"/>
          </w:tcPr>
          <w:p>
            <w:pPr>
              <w:pStyle w:val="TableContents"/>
              <w:spacing w:before="0" w:after="283"/>
              <w:rPr>
                <w:sz w:val="4"/>
                <w:szCs w:val="4"/>
              </w:rPr>
            </w:pPr>
            <w:r>
              <w:rPr>
                <w:sz w:val="4"/>
                <w:szCs w:val="4"/>
              </w:rPr>
            </w:r>
          </w:p>
        </w:tc>
      </w:tr>
      <w:tr>
        <w:trPr/>
        <w:tc>
          <w:tcPr>
            <w:tcW w:w="4294" w:type="dxa"/>
            <w:vMerge w:val="restart"/>
            <w:tcBorders/>
            <w:shd w:fill="auto" w:val="clear"/>
            <w:tcMar>
              <w:top w:w="0" w:type="dxa"/>
            </w:tcMar>
            <w:vAlign w:val="center"/>
          </w:tcPr>
          <w:p>
            <w:pPr>
              <w:pStyle w:val="TableContents"/>
              <w:spacing w:before="0" w:after="80"/>
              <w:ind w:left="0" w:right="0" w:hanging="320"/>
              <w:jc w:val="left"/>
              <w:rPr/>
            </w:pPr>
            <w:r>
              <w:rPr/>
              <w:drawing>
                <wp:inline distT="0" distB="0" distL="0" distR="0">
                  <wp:extent cx="104775" cy="104775"/>
                  <wp:effectExtent l="0" t="0" r="0" b="0"/>
                  <wp:docPr id="192"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18" descr=""/>
                          <pic:cNvPicPr>
                            <a:picLocks noChangeAspect="1" noChangeArrowheads="1"/>
                          </pic:cNvPicPr>
                        </pic:nvPicPr>
                        <pic:blipFill>
                          <a:blip r:embed="rId119"/>
                          <a:srcRect l="-9621" t="-9621" r="-9621" b="-9621"/>
                          <a:stretch>
                            <a:fillRect/>
                          </a:stretch>
                        </pic:blipFill>
                        <pic:spPr bwMode="auto">
                          <a:xfrm>
                            <a:off x="0" y="0"/>
                            <a:ext cx="104775" cy="104775"/>
                          </a:xfrm>
                          <a:prstGeom prst="rect">
                            <a:avLst/>
                          </a:prstGeom>
                          <a:ln w="635">
                            <a:solidFill>
                              <a:srgbClr val="000000"/>
                            </a:solidFill>
                          </a:ln>
                        </pic:spPr>
                      </pic:pic>
                    </a:graphicData>
                  </a:graphic>
                </wp:inline>
              </w:drawing>
            </w:r>
            <w:r>
              <w:rPr>
                <w:rFonts w:ascii="Arial" w:hAnsi="Arial"/>
                <w:sz w:val="20"/>
              </w:rPr>
              <w:t>Employ rigorous PSU and annual cash bonus performance conditions.</w:t>
            </w:r>
          </w:p>
          <w:p>
            <w:pPr>
              <w:pStyle w:val="TableContents"/>
              <w:spacing w:before="0" w:after="80"/>
              <w:ind w:left="0" w:right="0" w:hanging="320"/>
              <w:jc w:val="left"/>
              <w:rPr/>
            </w:pPr>
            <w:r>
              <w:rPr/>
              <w:drawing>
                <wp:inline distT="0" distB="0" distL="0" distR="0">
                  <wp:extent cx="104775" cy="104775"/>
                  <wp:effectExtent l="0" t="0" r="0" b="0"/>
                  <wp:docPr id="193"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19" descr=""/>
                          <pic:cNvPicPr>
                            <a:picLocks noChangeAspect="1" noChangeArrowheads="1"/>
                          </pic:cNvPicPr>
                        </pic:nvPicPr>
                        <pic:blipFill>
                          <a:blip r:embed="rId120"/>
                          <a:srcRect l="-9621" t="-9621" r="-9621" b="-9621"/>
                          <a:stretch>
                            <a:fillRect/>
                          </a:stretch>
                        </pic:blipFill>
                        <pic:spPr bwMode="auto">
                          <a:xfrm>
                            <a:off x="0" y="0"/>
                            <a:ext cx="104775" cy="104775"/>
                          </a:xfrm>
                          <a:prstGeom prst="rect">
                            <a:avLst/>
                          </a:prstGeom>
                          <a:ln w="635">
                            <a:solidFill>
                              <a:srgbClr val="000000"/>
                            </a:solidFill>
                          </a:ln>
                        </pic:spPr>
                      </pic:pic>
                    </a:graphicData>
                  </a:graphic>
                </wp:inline>
              </w:drawing>
            </w:r>
            <w:r>
              <w:rPr>
                <w:rFonts w:ascii="Arial" w:hAnsi="Arial"/>
                <w:sz w:val="20"/>
              </w:rPr>
              <w:t>Maintain robust stock ownership guidelines. A person not in compliance cannot sell or otherwise dispose of stock until the applicable ownership requirement is met.</w:t>
            </w:r>
          </w:p>
          <w:p>
            <w:pPr>
              <w:pStyle w:val="TableContents"/>
              <w:spacing w:before="0" w:after="80"/>
              <w:ind w:left="0" w:right="0" w:hanging="290"/>
              <w:jc w:val="left"/>
              <w:rPr/>
            </w:pPr>
            <w:r>
              <w:rPr>
                <w:color w:val="00A1E0"/>
              </w:rPr>
              <w:t>●</w:t>
            </w:r>
            <w:r>
              <w:rPr>
                <w:rFonts w:ascii="Arial" w:hAnsi="Arial"/>
                <w:sz w:val="20"/>
              </w:rPr>
              <w:t>CEO = 10x base salary</w:t>
            </w:r>
          </w:p>
          <w:p>
            <w:pPr>
              <w:pStyle w:val="TableContents"/>
              <w:spacing w:before="0" w:after="80"/>
              <w:ind w:left="0" w:right="0" w:hanging="290"/>
              <w:jc w:val="left"/>
              <w:rPr/>
            </w:pPr>
            <w:r>
              <w:rPr>
                <w:color w:val="00A1E0"/>
              </w:rPr>
              <w:t>●</w:t>
            </w:r>
            <w:r>
              <w:rPr>
                <w:rFonts w:ascii="Arial" w:hAnsi="Arial"/>
                <w:sz w:val="20"/>
              </w:rPr>
              <w:t>President = 5x base salary</w:t>
            </w:r>
          </w:p>
          <w:p>
            <w:pPr>
              <w:pStyle w:val="TableContents"/>
              <w:spacing w:before="0" w:after="80"/>
              <w:ind w:left="0" w:right="0" w:hanging="290"/>
              <w:jc w:val="left"/>
              <w:rPr/>
            </w:pPr>
            <w:r>
              <w:rPr>
                <w:color w:val="00A1E0"/>
              </w:rPr>
              <w:t>●</w:t>
            </w:r>
            <w:r>
              <w:rPr>
                <w:rFonts w:ascii="Arial" w:hAnsi="Arial"/>
                <w:sz w:val="20"/>
              </w:rPr>
              <w:t>Other executive officers = 3x base salary</w:t>
            </w:r>
          </w:p>
          <w:p>
            <w:pPr>
              <w:pStyle w:val="TableContents"/>
              <w:spacing w:before="0" w:after="80"/>
              <w:ind w:left="0" w:right="0" w:hanging="290"/>
              <w:jc w:val="left"/>
              <w:rPr/>
            </w:pPr>
            <w:r>
              <w:rPr>
                <w:color w:val="00A1E0"/>
              </w:rPr>
              <w:t>●</w:t>
            </w:r>
            <w:r>
              <w:rPr>
                <w:rFonts w:ascii="Arial" w:hAnsi="Arial"/>
                <w:sz w:val="20"/>
              </w:rPr>
              <w:t>Nonemployee directors = 5x annual cash retainer</w:t>
            </w:r>
          </w:p>
          <w:p>
            <w:pPr>
              <w:pStyle w:val="TableContents"/>
              <w:spacing w:before="0" w:after="80"/>
              <w:ind w:left="0" w:right="0" w:hanging="320"/>
              <w:jc w:val="left"/>
              <w:rPr/>
            </w:pPr>
            <w:r>
              <w:rPr/>
              <w:drawing>
                <wp:inline distT="0" distB="0" distL="0" distR="0">
                  <wp:extent cx="104775" cy="104775"/>
                  <wp:effectExtent l="0" t="0" r="0" b="0"/>
                  <wp:docPr id="194"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20" descr=""/>
                          <pic:cNvPicPr>
                            <a:picLocks noChangeAspect="1" noChangeArrowheads="1"/>
                          </pic:cNvPicPr>
                        </pic:nvPicPr>
                        <pic:blipFill>
                          <a:blip r:embed="rId121"/>
                          <a:srcRect l="-9621" t="-9621" r="-9621" b="-9621"/>
                          <a:stretch>
                            <a:fillRect/>
                          </a:stretch>
                        </pic:blipFill>
                        <pic:spPr bwMode="auto">
                          <a:xfrm>
                            <a:off x="0" y="0"/>
                            <a:ext cx="104775" cy="104775"/>
                          </a:xfrm>
                          <a:prstGeom prst="rect">
                            <a:avLst/>
                          </a:prstGeom>
                          <a:ln w="635">
                            <a:solidFill>
                              <a:srgbClr val="000000"/>
                            </a:solidFill>
                          </a:ln>
                        </pic:spPr>
                      </pic:pic>
                    </a:graphicData>
                  </a:graphic>
                </wp:inline>
              </w:drawing>
            </w:r>
            <w:r>
              <w:rPr>
                <w:rFonts w:ascii="Arial" w:hAnsi="Arial"/>
                <w:sz w:val="20"/>
              </w:rPr>
              <w:t>Prohibit our executive officers and directors from (i) pledging Comcast stock as collateral or holding it in margin accounts and (ii) using any strategies or products to hedge against potential changes in the value of our stock.</w:t>
            </w:r>
          </w:p>
          <w:p>
            <w:pPr>
              <w:pStyle w:val="TableContents"/>
              <w:spacing w:before="0" w:after="80"/>
              <w:ind w:left="0" w:right="0" w:hanging="320"/>
              <w:jc w:val="left"/>
              <w:rPr/>
            </w:pPr>
            <w:r>
              <w:rPr/>
              <w:drawing>
                <wp:inline distT="0" distB="0" distL="0" distR="0">
                  <wp:extent cx="104775" cy="104775"/>
                  <wp:effectExtent l="0" t="0" r="0" b="0"/>
                  <wp:docPr id="195"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21" descr=""/>
                          <pic:cNvPicPr>
                            <a:picLocks noChangeAspect="1" noChangeArrowheads="1"/>
                          </pic:cNvPicPr>
                        </pic:nvPicPr>
                        <pic:blipFill>
                          <a:blip r:embed="rId122"/>
                          <a:srcRect l="-9621" t="-9621" r="-9621" b="-9621"/>
                          <a:stretch>
                            <a:fillRect/>
                          </a:stretch>
                        </pic:blipFill>
                        <pic:spPr bwMode="auto">
                          <a:xfrm>
                            <a:off x="0" y="0"/>
                            <a:ext cx="104775" cy="104775"/>
                          </a:xfrm>
                          <a:prstGeom prst="rect">
                            <a:avLst/>
                          </a:prstGeom>
                          <a:ln w="635">
                            <a:solidFill>
                              <a:srgbClr val="000000"/>
                            </a:solidFill>
                          </a:ln>
                        </pic:spPr>
                      </pic:pic>
                    </a:graphicData>
                  </a:graphic>
                </wp:inline>
              </w:drawing>
            </w:r>
            <w:r>
              <w:rPr>
                <w:rFonts w:ascii="Arial" w:hAnsi="Arial"/>
                <w:sz w:val="20"/>
              </w:rPr>
              <w:t>Have an incentive compensation recoupment (or “clawback”) policy applicable to our executive officers.</w:t>
            </w:r>
          </w:p>
          <w:p>
            <w:pPr>
              <w:pStyle w:val="TableContents"/>
              <w:spacing w:before="0" w:after="80"/>
              <w:ind w:left="0" w:right="0" w:hanging="320"/>
              <w:jc w:val="left"/>
              <w:rPr/>
            </w:pPr>
            <w:r>
              <w:rPr/>
              <w:drawing>
                <wp:inline distT="0" distB="0" distL="0" distR="0">
                  <wp:extent cx="104775" cy="104775"/>
                  <wp:effectExtent l="0" t="0" r="0" b="0"/>
                  <wp:docPr id="196"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22" descr=""/>
                          <pic:cNvPicPr>
                            <a:picLocks noChangeAspect="1" noChangeArrowheads="1"/>
                          </pic:cNvPicPr>
                        </pic:nvPicPr>
                        <pic:blipFill>
                          <a:blip r:embed="rId123"/>
                          <a:srcRect l="-9621" t="-9621" r="-9621" b="-9621"/>
                          <a:stretch>
                            <a:fillRect/>
                          </a:stretch>
                        </pic:blipFill>
                        <pic:spPr bwMode="auto">
                          <a:xfrm>
                            <a:off x="0" y="0"/>
                            <a:ext cx="104775" cy="104775"/>
                          </a:xfrm>
                          <a:prstGeom prst="rect">
                            <a:avLst/>
                          </a:prstGeom>
                          <a:ln w="635">
                            <a:solidFill>
                              <a:srgbClr val="000000"/>
                            </a:solidFill>
                          </a:ln>
                        </pic:spPr>
                      </pic:pic>
                    </a:graphicData>
                  </a:graphic>
                </wp:inline>
              </w:drawing>
            </w:r>
            <w:r>
              <w:rPr>
                <w:rFonts w:ascii="Arial" w:hAnsi="Arial"/>
                <w:sz w:val="20"/>
              </w:rPr>
              <w:t>CHC Committee directly engages Korn Ferry as its own independent compensation consultant.</w:t>
            </w:r>
          </w:p>
          <w:p>
            <w:pPr>
              <w:pStyle w:val="TableContents"/>
              <w:spacing w:before="0" w:after="0"/>
              <w:ind w:left="0" w:right="0" w:hanging="320"/>
              <w:jc w:val="left"/>
              <w:rPr/>
            </w:pPr>
            <w:r>
              <w:rPr/>
              <w:drawing>
                <wp:inline distT="0" distB="0" distL="0" distR="0">
                  <wp:extent cx="104775" cy="104775"/>
                  <wp:effectExtent l="0" t="0" r="0" b="0"/>
                  <wp:docPr id="197"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23" descr=""/>
                          <pic:cNvPicPr>
                            <a:picLocks noChangeAspect="1" noChangeArrowheads="1"/>
                          </pic:cNvPicPr>
                        </pic:nvPicPr>
                        <pic:blipFill>
                          <a:blip r:embed="rId124"/>
                          <a:srcRect l="-9621" t="-9621" r="-9621" b="-9621"/>
                          <a:stretch>
                            <a:fillRect/>
                          </a:stretch>
                        </pic:blipFill>
                        <pic:spPr bwMode="auto">
                          <a:xfrm>
                            <a:off x="0" y="0"/>
                            <a:ext cx="104775" cy="104775"/>
                          </a:xfrm>
                          <a:prstGeom prst="rect">
                            <a:avLst/>
                          </a:prstGeom>
                          <a:ln w="635">
                            <a:solidFill>
                              <a:srgbClr val="000000"/>
                            </a:solidFill>
                          </a:ln>
                        </pic:spPr>
                      </pic:pic>
                    </a:graphicData>
                  </a:graphic>
                </wp:inline>
              </w:drawing>
            </w:r>
            <w:r>
              <w:rPr>
                <w:rFonts w:ascii="Arial" w:hAnsi="Arial"/>
                <w:sz w:val="20"/>
              </w:rPr>
              <w:t>Use net-settled options, which results in fewer shares issued and less dilution to our shareholders than stock options exercised with a cash payment.</w:t>
            </w:r>
          </w:p>
        </w:tc>
        <w:tc>
          <w:tcPr>
            <w:tcW w:w="300" w:type="dxa"/>
            <w:tcBorders>
              <w:left w:val="single" w:sz="12" w:space="0" w:color="959595"/>
              <w:bottom w:val="single" w:sz="12" w:space="0" w:color="959595"/>
            </w:tcBorders>
            <w:shd w:fill="auto" w:val="clear"/>
            <w:tcMar>
              <w:top w:w="0" w:type="dxa"/>
              <w:left w:w="28" w:type="dxa"/>
              <w:bottom w:w="28" w:type="dxa"/>
            </w:tcMar>
            <w:vAlign w:val="center"/>
          </w:tcPr>
          <w:p>
            <w:pPr>
              <w:pStyle w:val="TableContents"/>
              <w:spacing w:before="0" w:after="283"/>
              <w:jc w:val="left"/>
              <w:rPr/>
            </w:pPr>
            <w:r>
              <w:rPr/>
              <w:t>     </w:t>
            </w:r>
          </w:p>
        </w:tc>
        <w:tc>
          <w:tcPr>
            <w:tcW w:w="5611" w:type="dxa"/>
            <w:tcBorders>
              <w:bottom w:val="single" w:sz="12" w:space="0" w:color="959595"/>
            </w:tcBorders>
            <w:shd w:fill="auto" w:val="clear"/>
            <w:tcMar>
              <w:top w:w="0" w:type="dxa"/>
              <w:bottom w:w="28" w:type="dxa"/>
            </w:tcMar>
            <w:vAlign w:val="center"/>
          </w:tcPr>
          <w:p>
            <w:pPr>
              <w:pStyle w:val="TableContents"/>
              <w:spacing w:before="0" w:after="283"/>
              <w:rPr>
                <w:sz w:val="4"/>
                <w:szCs w:val="4"/>
              </w:rPr>
            </w:pPr>
            <w:r>
              <w:rPr>
                <w:sz w:val="4"/>
                <w:szCs w:val="4"/>
              </w:rPr>
            </w:r>
          </w:p>
        </w:tc>
      </w:tr>
      <w:tr>
        <w:trPr/>
        <w:tc>
          <w:tcPr>
            <w:tcW w:w="4294" w:type="dxa"/>
            <w:vMerge w:val="continue"/>
            <w:tcBorders/>
            <w:shd w:fill="auto" w:val="clear"/>
            <w:tcMar>
              <w:top w:w="0" w:type="dxa"/>
            </w:tcMar>
            <w:vAlign w:val="center"/>
          </w:tcPr>
          <w:p>
            <w:pPr>
              <w:pStyle w:val="Normal"/>
              <w:rPr/>
            </w:pPr>
            <w:r>
              <w:rPr/>
            </w:r>
          </w:p>
        </w:tc>
        <w:tc>
          <w:tcPr>
            <w:tcW w:w="300" w:type="dxa"/>
            <w:tcBorders/>
            <w:shd w:fill="auto" w:val="clear"/>
            <w:tcMar>
              <w:top w:w="0" w:type="dxa"/>
            </w:tcMar>
            <w:vAlign w:val="center"/>
          </w:tcPr>
          <w:p>
            <w:pPr>
              <w:pStyle w:val="TableContents"/>
              <w:spacing w:before="0" w:after="283"/>
              <w:jc w:val="left"/>
              <w:rPr/>
            </w:pPr>
            <w:r>
              <w:rPr/>
              <w:t>     </w:t>
            </w:r>
          </w:p>
        </w:tc>
        <w:tc>
          <w:tcPr>
            <w:tcW w:w="5611" w:type="dxa"/>
            <w:tcBorders>
              <w:right w:val="single" w:sz="12" w:space="0" w:color="959595"/>
            </w:tcBorders>
            <w:shd w:fill="auto" w:val="clear"/>
            <w:tcMar>
              <w:top w:w="0" w:type="dxa"/>
              <w:right w:w="28" w:type="dxa"/>
            </w:tcMar>
            <w:vAlign w:val="center"/>
          </w:tcPr>
          <w:p>
            <w:pPr>
              <w:pStyle w:val="TableContents"/>
              <w:spacing w:before="0" w:after="283"/>
              <w:jc w:val="left"/>
              <w:rPr>
                <w:rFonts w:ascii="Arial" w:hAnsi="Arial"/>
                <w:color w:val="00A1E0"/>
                <w:sz w:val="24"/>
              </w:rPr>
            </w:pPr>
            <w:r>
              <w:rPr>
                <w:rFonts w:ascii="Arial" w:hAnsi="Arial"/>
                <w:color w:val="00A1E0"/>
                <w:sz w:val="24"/>
              </w:rPr>
              <w:t>What We Don’t Do</w:t>
            </w:r>
          </w:p>
        </w:tc>
      </w:tr>
      <w:tr>
        <w:trPr/>
        <w:tc>
          <w:tcPr>
            <w:tcW w:w="4294" w:type="dxa"/>
            <w:vMerge w:val="continue"/>
            <w:tcBorders/>
            <w:shd w:fill="auto" w:val="clear"/>
            <w:tcMar>
              <w:top w:w="0" w:type="dxa"/>
            </w:tcMar>
            <w:vAlign w:val="center"/>
          </w:tcPr>
          <w:p>
            <w:pPr>
              <w:pStyle w:val="Normal"/>
              <w:rPr/>
            </w:pPr>
            <w:r>
              <w:rPr/>
            </w:r>
          </w:p>
        </w:tc>
        <w:tc>
          <w:tcPr>
            <w:tcW w:w="300" w:type="dxa"/>
            <w:tcBorders/>
            <w:shd w:fill="auto" w:val="clear"/>
            <w:tcMar>
              <w:top w:w="0" w:type="dxa"/>
            </w:tcMar>
            <w:vAlign w:val="center"/>
          </w:tcPr>
          <w:p>
            <w:pPr>
              <w:pStyle w:val="TableContents"/>
              <w:spacing w:before="0" w:after="283"/>
              <w:jc w:val="left"/>
              <w:rPr/>
            </w:pPr>
            <w:r>
              <w:rPr/>
              <w:t>     </w:t>
            </w:r>
          </w:p>
        </w:tc>
        <w:tc>
          <w:tcPr>
            <w:tcW w:w="5611" w:type="dxa"/>
            <w:tcBorders>
              <w:right w:val="single" w:sz="12" w:space="0" w:color="959595"/>
            </w:tcBorders>
            <w:shd w:fill="auto" w:val="clear"/>
            <w:tcMar>
              <w:top w:w="0" w:type="dxa"/>
              <w:right w:w="160" w:type="dxa"/>
            </w:tcMar>
            <w:vAlign w:val="center"/>
          </w:tcPr>
          <w:p>
            <w:pPr>
              <w:pStyle w:val="TableContents"/>
              <w:spacing w:before="0" w:after="80"/>
              <w:ind w:left="0" w:right="0" w:hanging="320"/>
              <w:jc w:val="left"/>
              <w:rPr/>
            </w:pPr>
            <w:r>
              <w:rPr/>
              <w:drawing>
                <wp:inline distT="0" distB="0" distL="0" distR="0">
                  <wp:extent cx="95250" cy="95250"/>
                  <wp:effectExtent l="0" t="0" r="0" b="0"/>
                  <wp:docPr id="198"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24" descr=""/>
                          <pic:cNvPicPr>
                            <a:picLocks noChangeAspect="1" noChangeArrowheads="1"/>
                          </pic:cNvPicPr>
                        </pic:nvPicPr>
                        <pic:blipFill>
                          <a:blip r:embed="rId125"/>
                          <a:srcRect l="-10566" t="-10566" r="-10566" b="-10566"/>
                          <a:stretch>
                            <a:fillRect/>
                          </a:stretch>
                        </pic:blipFill>
                        <pic:spPr bwMode="auto">
                          <a:xfrm>
                            <a:off x="0" y="0"/>
                            <a:ext cx="95250" cy="95250"/>
                          </a:xfrm>
                          <a:prstGeom prst="rect">
                            <a:avLst/>
                          </a:prstGeom>
                          <a:ln w="635">
                            <a:solidFill>
                              <a:srgbClr val="000000"/>
                            </a:solidFill>
                          </a:ln>
                        </pic:spPr>
                      </pic:pic>
                    </a:graphicData>
                  </a:graphic>
                </wp:inline>
              </w:drawing>
            </w:r>
            <w:r>
              <w:rPr>
                <w:rFonts w:ascii="Arial" w:hAnsi="Arial"/>
                <w:sz w:val="20"/>
              </w:rPr>
              <w:t>Do not permit the repricing of options of any kind.</w:t>
            </w:r>
          </w:p>
          <w:p>
            <w:pPr>
              <w:pStyle w:val="TableContents"/>
              <w:spacing w:before="0" w:after="80"/>
              <w:ind w:left="0" w:right="0" w:hanging="320"/>
              <w:jc w:val="left"/>
              <w:rPr/>
            </w:pPr>
            <w:r>
              <w:rPr/>
              <w:drawing>
                <wp:inline distT="0" distB="0" distL="0" distR="0">
                  <wp:extent cx="95250" cy="95250"/>
                  <wp:effectExtent l="0" t="0" r="0" b="0"/>
                  <wp:docPr id="199"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25" descr=""/>
                          <pic:cNvPicPr>
                            <a:picLocks noChangeAspect="1" noChangeArrowheads="1"/>
                          </pic:cNvPicPr>
                        </pic:nvPicPr>
                        <pic:blipFill>
                          <a:blip r:embed="rId126"/>
                          <a:srcRect l="-10566" t="-10566" r="-10566" b="-10566"/>
                          <a:stretch>
                            <a:fillRect/>
                          </a:stretch>
                        </pic:blipFill>
                        <pic:spPr bwMode="auto">
                          <a:xfrm>
                            <a:off x="0" y="0"/>
                            <a:ext cx="95250" cy="95250"/>
                          </a:xfrm>
                          <a:prstGeom prst="rect">
                            <a:avLst/>
                          </a:prstGeom>
                          <a:ln w="635">
                            <a:solidFill>
                              <a:srgbClr val="000000"/>
                            </a:solidFill>
                          </a:ln>
                        </pic:spPr>
                      </pic:pic>
                    </a:graphicData>
                  </a:graphic>
                </wp:inline>
              </w:drawing>
            </w:r>
            <w:r>
              <w:rPr>
                <w:rFonts w:ascii="Arial" w:hAnsi="Arial"/>
                <w:sz w:val="20"/>
              </w:rPr>
              <w:t>Do not maintain any defined benefit pension plans or supplemental executive retirement plans for our NEOs.</w:t>
            </w:r>
          </w:p>
          <w:p>
            <w:pPr>
              <w:pStyle w:val="TableContents"/>
              <w:spacing w:before="0" w:after="80"/>
              <w:ind w:left="0" w:right="0" w:hanging="320"/>
              <w:jc w:val="left"/>
              <w:rPr/>
            </w:pPr>
            <w:r>
              <w:rPr/>
              <w:drawing>
                <wp:inline distT="0" distB="0" distL="0" distR="0">
                  <wp:extent cx="95250" cy="95250"/>
                  <wp:effectExtent l="0" t="0" r="0" b="0"/>
                  <wp:docPr id="200"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26" descr=""/>
                          <pic:cNvPicPr>
                            <a:picLocks noChangeAspect="1" noChangeArrowheads="1"/>
                          </pic:cNvPicPr>
                        </pic:nvPicPr>
                        <pic:blipFill>
                          <a:blip r:embed="rId127"/>
                          <a:srcRect l="-10566" t="-10566" r="-10566" b="-10566"/>
                          <a:stretch>
                            <a:fillRect/>
                          </a:stretch>
                        </pic:blipFill>
                        <pic:spPr bwMode="auto">
                          <a:xfrm>
                            <a:off x="0" y="0"/>
                            <a:ext cx="95250" cy="95250"/>
                          </a:xfrm>
                          <a:prstGeom prst="rect">
                            <a:avLst/>
                          </a:prstGeom>
                          <a:ln w="635">
                            <a:solidFill>
                              <a:srgbClr val="000000"/>
                            </a:solidFill>
                          </a:ln>
                        </pic:spPr>
                      </pic:pic>
                    </a:graphicData>
                  </a:graphic>
                </wp:inline>
              </w:drawing>
            </w:r>
            <w:r>
              <w:rPr>
                <w:rFonts w:ascii="Arial" w:hAnsi="Arial"/>
                <w:sz w:val="20"/>
              </w:rPr>
              <w:t>None of our equity plans has automatic (“single-trigger”) accelerated vesting provisions in connection with a change in control. Mr. Roberts’ employment agreement has a “double-trigger” change in control provision. No other NEO has any change in control provisions in his or her employment agreement.</w:t>
            </w:r>
          </w:p>
          <w:p>
            <w:pPr>
              <w:pStyle w:val="TableContents"/>
              <w:spacing w:before="0" w:after="80"/>
              <w:ind w:left="0" w:right="0" w:hanging="320"/>
              <w:jc w:val="left"/>
              <w:rPr/>
            </w:pPr>
            <w:r>
              <w:rPr/>
              <w:drawing>
                <wp:inline distT="0" distB="0" distL="0" distR="0">
                  <wp:extent cx="95250" cy="95250"/>
                  <wp:effectExtent l="0" t="0" r="0" b="0"/>
                  <wp:docPr id="201"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27" descr=""/>
                          <pic:cNvPicPr>
                            <a:picLocks noChangeAspect="1" noChangeArrowheads="1"/>
                          </pic:cNvPicPr>
                        </pic:nvPicPr>
                        <pic:blipFill>
                          <a:blip r:embed="rId128"/>
                          <a:srcRect l="-10566" t="-10566" r="-10566" b="-10566"/>
                          <a:stretch>
                            <a:fillRect/>
                          </a:stretch>
                        </pic:blipFill>
                        <pic:spPr bwMode="auto">
                          <a:xfrm>
                            <a:off x="0" y="0"/>
                            <a:ext cx="95250" cy="95250"/>
                          </a:xfrm>
                          <a:prstGeom prst="rect">
                            <a:avLst/>
                          </a:prstGeom>
                          <a:ln w="635">
                            <a:solidFill>
                              <a:srgbClr val="000000"/>
                            </a:solidFill>
                          </a:ln>
                        </pic:spPr>
                      </pic:pic>
                    </a:graphicData>
                  </a:graphic>
                </wp:inline>
              </w:drawing>
            </w:r>
            <w:r>
              <w:rPr>
                <w:rFonts w:ascii="Arial" w:hAnsi="Arial"/>
                <w:sz w:val="20"/>
              </w:rPr>
              <w:t>Do not pay dividends or dividend equivalents in respect of any unearned PSUs or RSUs or on any stock options.</w:t>
            </w:r>
          </w:p>
          <w:p>
            <w:pPr>
              <w:pStyle w:val="TableContents"/>
              <w:spacing w:before="0" w:after="0"/>
              <w:ind w:left="0" w:right="0" w:hanging="320"/>
              <w:jc w:val="left"/>
              <w:rPr/>
            </w:pPr>
            <w:r>
              <w:rPr/>
              <w:drawing>
                <wp:inline distT="0" distB="0" distL="0" distR="0">
                  <wp:extent cx="95250" cy="95250"/>
                  <wp:effectExtent l="0" t="0" r="0" b="0"/>
                  <wp:docPr id="202"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28" descr=""/>
                          <pic:cNvPicPr>
                            <a:picLocks noChangeAspect="1" noChangeArrowheads="1"/>
                          </pic:cNvPicPr>
                        </pic:nvPicPr>
                        <pic:blipFill>
                          <a:blip r:embed="rId129"/>
                          <a:srcRect l="-10566" t="-10566" r="-10566" b="-10566"/>
                          <a:stretch>
                            <a:fillRect/>
                          </a:stretch>
                        </pic:blipFill>
                        <pic:spPr bwMode="auto">
                          <a:xfrm>
                            <a:off x="0" y="0"/>
                            <a:ext cx="95250" cy="95250"/>
                          </a:xfrm>
                          <a:prstGeom prst="rect">
                            <a:avLst/>
                          </a:prstGeom>
                          <a:ln w="635">
                            <a:solidFill>
                              <a:srgbClr val="000000"/>
                            </a:solidFill>
                          </a:ln>
                        </pic:spPr>
                      </pic:pic>
                    </a:graphicData>
                  </a:graphic>
                </wp:inline>
              </w:drawing>
            </w:r>
            <w:r>
              <w:rPr>
                <w:rFonts w:ascii="Arial" w:hAnsi="Arial"/>
                <w:sz w:val="20"/>
              </w:rPr>
              <w:t>Do not provide for any excise or other tax gross-ups for our executive officers.</w:t>
            </w:r>
          </w:p>
        </w:tc>
      </w:tr>
    </w:tbl>
    <w:p>
      <w:pPr>
        <w:pStyle w:val="TextBody"/>
        <w:spacing w:before="240" w:after="283"/>
        <w:jc w:val="left"/>
        <w:rPr>
          <w:rFonts w:ascii="Arial" w:hAnsi="Arial"/>
          <w:sz w:val="28"/>
        </w:rPr>
      </w:pPr>
      <w:r>
        <w:rPr>
          <w:rFonts w:ascii="Arial" w:hAnsi="Arial"/>
          <w:sz w:val="28"/>
        </w:rPr>
        <w:t>Our Approach to Compensation</w:t>
      </w:r>
    </w:p>
    <w:p>
      <w:pPr>
        <w:pStyle w:val="TextBody"/>
        <w:jc w:val="left"/>
        <w:rPr>
          <w:rFonts w:ascii="Arial" w:hAnsi="Arial"/>
          <w:sz w:val="20"/>
        </w:rPr>
      </w:pPr>
      <w:r>
        <w:rPr>
          <w:rFonts w:ascii="Arial" w:hAnsi="Arial"/>
          <w:sz w:val="20"/>
        </w:rPr>
        <w:t>In designing our compensation program, we evaluate both our business objectives and the need to attract and retain uniquely talented and experienced individuals who think strategically for the long term and perform for our highly competitive businesses, particularly in light of the challenging and evolving competitive, technological and regulatory environments in which we operate. We employ a variety of elements that further our shareholders’ interests by securing our executives’ services in an exceedingly competitive talent market and aligning the long-term interests of our executives to create shareholder value.</w:t>
      </w:r>
    </w:p>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0"/>
              <w:jc w:val="left"/>
              <w:rPr>
                <w:rFonts w:ascii="Arial" w:hAnsi="Arial"/>
                <w:sz w:val="20"/>
              </w:rPr>
            </w:pPr>
            <w:r>
              <w:rPr>
                <w:rFonts w:ascii="Arial" w:hAnsi="Arial"/>
                <w:sz w:val="20"/>
              </w:rPr>
              <w:t>To motivate and retain our executives, we provide pay opportunity levels that are highly competitive.</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0"/>
              <w:jc w:val="left"/>
              <w:rPr>
                <w:rFonts w:ascii="Arial" w:hAnsi="Arial"/>
                <w:sz w:val="20"/>
              </w:rPr>
            </w:pPr>
            <w:r>
              <w:rPr>
                <w:rFonts w:ascii="Arial" w:hAnsi="Arial"/>
                <w:sz w:val="20"/>
              </w:rPr>
              <w:t>Our compensation program is designed to achieve an appropriate balance of elements to reward our NEOs for their performance and create long-term shareholder value. In addition to fixed compensation, we provide short-term and long-term performance-based compensation that includes company-specific performance goals, as well as relative performance goals that measure our shareholder value creation relative to market performance.</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0"/>
              <w:jc w:val="left"/>
              <w:rPr>
                <w:rFonts w:ascii="Arial" w:hAnsi="Arial"/>
                <w:sz w:val="20"/>
              </w:rPr>
            </w:pPr>
            <w:r>
              <w:rPr>
                <w:rFonts w:ascii="Arial" w:hAnsi="Arial"/>
                <w:sz w:val="20"/>
              </w:rPr>
              <w:t>Our short-term annual bonus program includes quantitative financial performance goals that are based, in part, on consolidated budgets that are prepared annually and take into consideration the cyclicality of working capital in our business, capital spending plans for the upcoming year, target product rollout numbers and other relevant factors. We balance out our annual bonus program by also incenting attainment of strategic operating performance goals and key stakeholder and sustainability initiatives.</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0"/>
              <w:jc w:val="left"/>
              <w:rPr>
                <w:rFonts w:ascii="Arial" w:hAnsi="Arial"/>
                <w:sz w:val="20"/>
              </w:rPr>
            </w:pPr>
            <w:r>
              <w:rPr>
                <w:rFonts w:ascii="Arial" w:hAnsi="Arial"/>
                <w:sz w:val="20"/>
              </w:rPr>
              <w:t>Our annual long-term incentive program is composed of grants of PSUs and stock options. PSUs awarded in 2022 have meaningful performance conditions for vesting measured over a three-year period based on two relative performance metrics relating to Adjusted EPS growth and TSR as well as an absolute ROIC performance metric, all of which balance internal goals and relative market performance. Stock options are inherently performance-based in that our stock price must appreciate for the options to deliver any value.</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0"/>
              <w:jc w:val="left"/>
              <w:rPr>
                <w:rFonts w:ascii="Arial" w:hAnsi="Arial"/>
                <w:sz w:val="20"/>
              </w:rPr>
            </w:pPr>
            <w:r>
              <w:rPr>
                <w:rFonts w:ascii="Arial" w:hAnsi="Arial"/>
                <w:sz w:val="20"/>
              </w:rPr>
              <w:t>The primary financial quantitative metrics used in our 2022 incentive compensation programs generally reflect those used internally to measure our performance and externally to report to investors. Many of these measures are tied to cash generation, capital efficiency and generating sustained profitable growth over time, as well as measure our growth and increase in shareholder value relative to market peers. We believe the metrics used in our short-term annual bonus program and long-term equity incentive program balance both short-term growth and value creation over the longer term. The financial metrics used in our 2022 executive compensation program are set forth below.</w:t>
            </w:r>
          </w:p>
        </w:tc>
      </w:tr>
    </w:tbl>
    <w:p>
      <w:pPr>
        <w:pStyle w:val="TextBody"/>
        <w:spacing w:before="0" w:after="0"/>
        <w:rPr/>
      </w:pPr>
      <w:r>
        <w:rPr/>
      </w:r>
    </w:p>
    <w:tbl>
      <w:tblPr>
        <w:tblW w:w="223" w:type="dxa"/>
        <w:jc w:val="left"/>
        <w:tblInd w:w="0" w:type="dxa"/>
        <w:tblCellMar>
          <w:top w:w="0" w:type="dxa"/>
          <w:left w:w="0" w:type="dxa"/>
          <w:bottom w:w="0" w:type="dxa"/>
          <w:right w:w="0" w:type="dxa"/>
        </w:tblCellMar>
      </w:tblPr>
      <w:tblGrid>
        <w:gridCol w:w="200"/>
        <w:gridCol w:w="23"/>
      </w:tblGrid>
      <w:tr>
        <w:trPr/>
        <w:tc>
          <w:tcPr>
            <w:tcW w:w="200" w:type="dxa"/>
            <w:tcBorders/>
            <w:shd w:fill="auto" w:val="clear"/>
            <w:vAlign w:val="center"/>
          </w:tcPr>
          <w:p>
            <w:pPr>
              <w:pStyle w:val="TableContents"/>
              <w:spacing w:before="0" w:after="283"/>
              <w:jc w:val="left"/>
              <w:rPr>
                <w:rFonts w:ascii="Arial" w:hAnsi="Arial"/>
                <w:b/>
                <w:sz w:val="15"/>
              </w:rPr>
            </w:pPr>
            <w:r>
              <w:rPr>
                <w:rFonts w:ascii="Arial" w:hAnsi="Arial"/>
                <w:b/>
                <w:sz w:val="15"/>
              </w:rPr>
              <w:t>42</w:t>
            </w:r>
          </w:p>
        </w:tc>
        <w:tc>
          <w:tcPr>
            <w:tcW w:w="2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10205" w:type="dxa"/>
        <w:jc w:val="left"/>
        <w:tblInd w:w="0" w:type="dxa"/>
        <w:tblCellMar>
          <w:top w:w="40" w:type="dxa"/>
          <w:left w:w="0" w:type="dxa"/>
          <w:bottom w:w="40" w:type="dxa"/>
          <w:right w:w="0" w:type="dxa"/>
        </w:tblCellMar>
      </w:tblPr>
      <w:tblGrid>
        <w:gridCol w:w="1108"/>
        <w:gridCol w:w="300"/>
        <w:gridCol w:w="1570"/>
        <w:gridCol w:w="300"/>
        <w:gridCol w:w="6927"/>
      </w:tblGrid>
      <w:tr>
        <w:trPr/>
        <w:tc>
          <w:tcPr>
            <w:tcW w:w="1108" w:type="dxa"/>
            <w:vMerge w:val="restart"/>
            <w:tcBorders>
              <w:top w:val="single" w:sz="12" w:space="0" w:color="000000"/>
              <w:bottom w:val="single" w:sz="8" w:space="0" w:color="000000"/>
            </w:tcBorders>
            <w:shd w:fill="auto" w:val="clear"/>
            <w:vAlign w:val="center"/>
          </w:tcPr>
          <w:p>
            <w:pPr>
              <w:pStyle w:val="TableContents"/>
              <w:spacing w:before="0" w:after="283"/>
              <w:jc w:val="left"/>
              <w:rPr>
                <w:rFonts w:ascii="Arial" w:hAnsi="Arial"/>
                <w:b/>
                <w:color w:val="00A1E0"/>
                <w:sz w:val="20"/>
              </w:rPr>
            </w:pPr>
            <w:r>
              <w:rPr>
                <w:rFonts w:ascii="Arial" w:hAnsi="Arial"/>
                <w:b/>
                <w:color w:val="00A1E0"/>
                <w:sz w:val="20"/>
              </w:rPr>
              <w:t>Annual Cash</w:t>
              <w:br/>
              <w:t>Bonus</w:t>
            </w:r>
          </w:p>
        </w:tc>
        <w:tc>
          <w:tcPr>
            <w:tcW w:w="300" w:type="dxa"/>
            <w:tcBorders>
              <w:top w:val="single" w:sz="12" w:space="0" w:color="000000"/>
            </w:tcBorders>
            <w:shd w:fill="auto" w:val="clear"/>
            <w:tcMar>
              <w:bottom w:w="0" w:type="dxa"/>
            </w:tcMar>
            <w:vAlign w:val="center"/>
          </w:tcPr>
          <w:p>
            <w:pPr>
              <w:pStyle w:val="TableContents"/>
              <w:spacing w:before="0" w:after="283"/>
              <w:jc w:val="left"/>
              <w:rPr/>
            </w:pPr>
            <w:r>
              <w:rPr/>
              <w:t>     </w:t>
            </w:r>
          </w:p>
        </w:tc>
        <w:tc>
          <w:tcPr>
            <w:tcW w:w="1570" w:type="dxa"/>
            <w:tcBorders>
              <w:top w:val="single" w:sz="12" w:space="0" w:color="000000"/>
              <w:bottom w:val="single" w:sz="8" w:space="0" w:color="000000"/>
            </w:tcBorders>
            <w:shd w:fill="auto" w:val="clear"/>
            <w:vAlign w:val="center"/>
          </w:tcPr>
          <w:p>
            <w:pPr>
              <w:pStyle w:val="TableContents"/>
              <w:spacing w:before="0" w:after="283"/>
              <w:jc w:val="left"/>
              <w:rPr>
                <w:rFonts w:ascii="Arial" w:hAnsi="Arial"/>
                <w:sz w:val="20"/>
              </w:rPr>
            </w:pPr>
            <w:r>
              <w:rPr>
                <w:rFonts w:ascii="Arial" w:hAnsi="Arial"/>
                <w:sz w:val="20"/>
              </w:rPr>
              <w:t>Revenue</w:t>
            </w:r>
          </w:p>
        </w:tc>
        <w:tc>
          <w:tcPr>
            <w:tcW w:w="300" w:type="dxa"/>
            <w:tcBorders>
              <w:top w:val="single" w:sz="12" w:space="0" w:color="000000"/>
              <w:bottom w:val="single" w:sz="8" w:space="0" w:color="000000"/>
            </w:tcBorders>
            <w:shd w:fill="auto" w:val="clear"/>
            <w:vAlign w:val="center"/>
          </w:tcPr>
          <w:p>
            <w:pPr>
              <w:pStyle w:val="TableContents"/>
              <w:spacing w:before="0" w:after="283"/>
              <w:jc w:val="left"/>
              <w:rPr/>
            </w:pPr>
            <w:r>
              <w:rPr/>
              <w:t>     </w:t>
            </w:r>
          </w:p>
        </w:tc>
        <w:tc>
          <w:tcPr>
            <w:tcW w:w="6927" w:type="dxa"/>
            <w:tcBorders>
              <w:top w:val="single" w:sz="12" w:space="0" w:color="000000"/>
              <w:bottom w:val="single" w:sz="8" w:space="0" w:color="000000"/>
            </w:tcBorders>
            <w:shd w:fill="auto" w:val="clear"/>
            <w:vAlign w:val="center"/>
          </w:tcPr>
          <w:p>
            <w:pPr>
              <w:pStyle w:val="TableContents"/>
              <w:spacing w:before="0" w:after="283"/>
              <w:jc w:val="left"/>
              <w:rPr>
                <w:rFonts w:ascii="Arial" w:hAnsi="Arial"/>
                <w:sz w:val="20"/>
              </w:rPr>
            </w:pPr>
            <w:r>
              <w:rPr>
                <w:rFonts w:ascii="Arial" w:hAnsi="Arial"/>
                <w:sz w:val="20"/>
              </w:rPr>
              <w:t>Serves as the top line component to cash generation</w:t>
            </w:r>
          </w:p>
        </w:tc>
      </w:tr>
      <w:tr>
        <w:trPr/>
        <w:tc>
          <w:tcPr>
            <w:tcW w:w="1108" w:type="dxa"/>
            <w:vMerge w:val="continue"/>
            <w:tcBorders>
              <w:top w:val="single" w:sz="12" w:space="0" w:color="000000"/>
              <w:bottom w:val="single" w:sz="8" w:space="0" w:color="000000"/>
            </w:tcBorders>
            <w:shd w:fill="auto" w:val="clear"/>
            <w:vAlign w:val="center"/>
          </w:tcPr>
          <w:p>
            <w:pPr>
              <w:pStyle w:val="Normal"/>
              <w:rPr/>
            </w:pPr>
            <w:r>
              <w:rPr/>
            </w:r>
          </w:p>
        </w:tc>
        <w:tc>
          <w:tcPr>
            <w:tcW w:w="300" w:type="dxa"/>
            <w:tcBorders/>
            <w:shd w:fill="auto" w:val="clear"/>
            <w:tcMar>
              <w:top w:w="0" w:type="dxa"/>
              <w:bottom w:w="0" w:type="dxa"/>
            </w:tcMar>
            <w:vAlign w:val="center"/>
          </w:tcPr>
          <w:p>
            <w:pPr>
              <w:pStyle w:val="TableContents"/>
              <w:spacing w:before="0" w:after="283"/>
              <w:rPr>
                <w:sz w:val="4"/>
                <w:szCs w:val="4"/>
              </w:rPr>
            </w:pPr>
            <w:r>
              <w:rPr>
                <w:sz w:val="4"/>
                <w:szCs w:val="4"/>
              </w:rPr>
            </w:r>
          </w:p>
        </w:tc>
        <w:tc>
          <w:tcPr>
            <w:tcW w:w="1570" w:type="dxa"/>
            <w:tcBorders>
              <w:bottom w:val="single" w:sz="8" w:space="0" w:color="000000"/>
            </w:tcBorders>
            <w:shd w:fill="auto" w:val="clear"/>
            <w:tcMar>
              <w:top w:w="0" w:type="dxa"/>
            </w:tcMar>
            <w:vAlign w:val="center"/>
          </w:tcPr>
          <w:p>
            <w:pPr>
              <w:pStyle w:val="TableContents"/>
              <w:spacing w:before="0" w:after="283"/>
              <w:jc w:val="left"/>
              <w:rPr>
                <w:rFonts w:ascii="Arial" w:hAnsi="Arial"/>
                <w:sz w:val="20"/>
              </w:rPr>
            </w:pPr>
            <w:r>
              <w:rPr>
                <w:rFonts w:ascii="Arial" w:hAnsi="Arial"/>
                <w:sz w:val="20"/>
              </w:rPr>
              <w:t>Adjusted EBITDA</w:t>
            </w:r>
          </w:p>
        </w:tc>
        <w:tc>
          <w:tcPr>
            <w:tcW w:w="300" w:type="dxa"/>
            <w:tcBorders>
              <w:bottom w:val="single" w:sz="8" w:space="0" w:color="000000"/>
            </w:tcBorders>
            <w:shd w:fill="auto" w:val="clear"/>
            <w:tcMar>
              <w:top w:w="0" w:type="dxa"/>
            </w:tcMar>
            <w:vAlign w:val="center"/>
          </w:tcPr>
          <w:p>
            <w:pPr>
              <w:pStyle w:val="TableContents"/>
              <w:spacing w:before="0" w:after="283"/>
              <w:rPr>
                <w:sz w:val="4"/>
                <w:szCs w:val="4"/>
              </w:rPr>
            </w:pPr>
            <w:r>
              <w:rPr>
                <w:sz w:val="4"/>
                <w:szCs w:val="4"/>
              </w:rPr>
            </w:r>
          </w:p>
        </w:tc>
        <w:tc>
          <w:tcPr>
            <w:tcW w:w="6927" w:type="dxa"/>
            <w:tcBorders>
              <w:bottom w:val="single" w:sz="8" w:space="0" w:color="000000"/>
            </w:tcBorders>
            <w:shd w:fill="auto" w:val="clear"/>
            <w:tcMar>
              <w:top w:w="0" w:type="dxa"/>
            </w:tcMar>
            <w:vAlign w:val="center"/>
          </w:tcPr>
          <w:p>
            <w:pPr>
              <w:pStyle w:val="TableContents"/>
              <w:spacing w:before="0" w:after="283"/>
              <w:jc w:val="left"/>
              <w:rPr>
                <w:rFonts w:ascii="Arial" w:hAnsi="Arial"/>
                <w:sz w:val="20"/>
              </w:rPr>
            </w:pPr>
            <w:r>
              <w:rPr>
                <w:rFonts w:ascii="Arial" w:hAnsi="Arial"/>
                <w:sz w:val="20"/>
              </w:rPr>
              <w:t>Reflects the operational performance of our businesses, taking into account the costs of operating these businesses</w:t>
            </w:r>
          </w:p>
        </w:tc>
      </w:tr>
      <w:tr>
        <w:trPr/>
        <w:tc>
          <w:tcPr>
            <w:tcW w:w="1108" w:type="dxa"/>
            <w:vMerge w:val="continue"/>
            <w:tcBorders>
              <w:top w:val="single" w:sz="12" w:space="0" w:color="000000"/>
              <w:bottom w:val="single" w:sz="8" w:space="0" w:color="000000"/>
            </w:tcBorders>
            <w:shd w:fill="auto" w:val="clear"/>
            <w:vAlign w:val="center"/>
          </w:tcPr>
          <w:p>
            <w:pPr>
              <w:pStyle w:val="Normal"/>
              <w:rPr/>
            </w:pPr>
            <w:r>
              <w:rPr/>
            </w:r>
          </w:p>
        </w:tc>
        <w:tc>
          <w:tcPr>
            <w:tcW w:w="300" w:type="dxa"/>
            <w:tcBorders>
              <w:bottom w:val="single" w:sz="8" w:space="0" w:color="000000"/>
            </w:tcBorders>
            <w:shd w:fill="auto" w:val="clear"/>
            <w:tcMar>
              <w:top w:w="0" w:type="dxa"/>
            </w:tcMar>
            <w:vAlign w:val="center"/>
          </w:tcPr>
          <w:p>
            <w:pPr>
              <w:pStyle w:val="TableContents"/>
              <w:spacing w:before="0" w:after="283"/>
              <w:rPr>
                <w:sz w:val="4"/>
                <w:szCs w:val="4"/>
              </w:rPr>
            </w:pPr>
            <w:r>
              <w:rPr>
                <w:sz w:val="4"/>
                <w:szCs w:val="4"/>
              </w:rPr>
            </w:r>
          </w:p>
        </w:tc>
        <w:tc>
          <w:tcPr>
            <w:tcW w:w="1570" w:type="dxa"/>
            <w:tcBorders>
              <w:bottom w:val="single" w:sz="8" w:space="0" w:color="000000"/>
            </w:tcBorders>
            <w:shd w:fill="auto" w:val="clear"/>
            <w:tcMar>
              <w:top w:w="0" w:type="dxa"/>
            </w:tcMar>
            <w:vAlign w:val="center"/>
          </w:tcPr>
          <w:p>
            <w:pPr>
              <w:pStyle w:val="TableContents"/>
              <w:spacing w:before="0" w:after="283"/>
              <w:jc w:val="left"/>
              <w:rPr>
                <w:rFonts w:ascii="Arial" w:hAnsi="Arial"/>
                <w:sz w:val="20"/>
              </w:rPr>
            </w:pPr>
            <w:r>
              <w:rPr>
                <w:rFonts w:ascii="Arial" w:hAnsi="Arial"/>
                <w:sz w:val="20"/>
              </w:rPr>
              <w:t>Free Cash Flow</w:t>
            </w:r>
          </w:p>
        </w:tc>
        <w:tc>
          <w:tcPr>
            <w:tcW w:w="300" w:type="dxa"/>
            <w:tcBorders>
              <w:bottom w:val="single" w:sz="8" w:space="0" w:color="000000"/>
            </w:tcBorders>
            <w:shd w:fill="auto" w:val="clear"/>
            <w:tcMar>
              <w:top w:w="0" w:type="dxa"/>
            </w:tcMar>
            <w:vAlign w:val="center"/>
          </w:tcPr>
          <w:p>
            <w:pPr>
              <w:pStyle w:val="TableContents"/>
              <w:spacing w:before="0" w:after="283"/>
              <w:rPr>
                <w:sz w:val="4"/>
                <w:szCs w:val="4"/>
              </w:rPr>
            </w:pPr>
            <w:r>
              <w:rPr>
                <w:sz w:val="4"/>
                <w:szCs w:val="4"/>
              </w:rPr>
            </w:r>
          </w:p>
        </w:tc>
        <w:tc>
          <w:tcPr>
            <w:tcW w:w="6927" w:type="dxa"/>
            <w:tcBorders>
              <w:bottom w:val="single" w:sz="8" w:space="0" w:color="000000"/>
            </w:tcBorders>
            <w:shd w:fill="auto" w:val="clear"/>
            <w:tcMar>
              <w:top w:w="0" w:type="dxa"/>
            </w:tcMar>
            <w:vAlign w:val="center"/>
          </w:tcPr>
          <w:p>
            <w:pPr>
              <w:pStyle w:val="TableContents"/>
              <w:spacing w:before="0" w:after="283"/>
              <w:jc w:val="left"/>
              <w:rPr>
                <w:rFonts w:ascii="Arial" w:hAnsi="Arial"/>
                <w:sz w:val="20"/>
              </w:rPr>
            </w:pPr>
            <w:r>
              <w:rPr>
                <w:rFonts w:ascii="Arial" w:hAnsi="Arial"/>
                <w:sz w:val="20"/>
              </w:rPr>
              <w:t>Measures, among other things, cash remaining after capital investments that allows us to repay indebtedness, make strategic investments and return capital to shareholders</w:t>
            </w:r>
          </w:p>
        </w:tc>
      </w:tr>
      <w:tr>
        <w:trPr/>
        <w:tc>
          <w:tcPr>
            <w:tcW w:w="1108" w:type="dxa"/>
            <w:vMerge w:val="restart"/>
            <w:tcBorders>
              <w:bottom w:val="single" w:sz="8" w:space="0" w:color="000000"/>
            </w:tcBorders>
            <w:shd w:fill="auto" w:val="clear"/>
            <w:tcMar>
              <w:top w:w="0" w:type="dxa"/>
            </w:tcMar>
            <w:vAlign w:val="center"/>
          </w:tcPr>
          <w:p>
            <w:pPr>
              <w:pStyle w:val="TableContents"/>
              <w:spacing w:before="0" w:after="283"/>
              <w:jc w:val="left"/>
              <w:rPr>
                <w:rFonts w:ascii="Arial" w:hAnsi="Arial"/>
                <w:b/>
                <w:color w:val="00A1E0"/>
                <w:sz w:val="20"/>
              </w:rPr>
            </w:pPr>
            <w:r>
              <w:rPr>
                <w:rFonts w:ascii="Arial" w:hAnsi="Arial"/>
                <w:b/>
                <w:color w:val="00A1E0"/>
                <w:sz w:val="20"/>
              </w:rPr>
              <w:t>Long-Term</w:t>
              <w:br/>
              <w:t>Incentive</w:t>
              <w:br/>
              <w:t>Program</w:t>
            </w:r>
          </w:p>
        </w:tc>
        <w:tc>
          <w:tcPr>
            <w:tcW w:w="300" w:type="dxa"/>
            <w:tcBorders/>
            <w:shd w:fill="auto" w:val="clear"/>
            <w:tcMar>
              <w:top w:w="0" w:type="dxa"/>
              <w:bottom w:w="0" w:type="dxa"/>
            </w:tcMar>
            <w:vAlign w:val="center"/>
          </w:tcPr>
          <w:p>
            <w:pPr>
              <w:pStyle w:val="TableContents"/>
              <w:spacing w:before="0" w:after="283"/>
              <w:rPr>
                <w:sz w:val="4"/>
                <w:szCs w:val="4"/>
              </w:rPr>
            </w:pPr>
            <w:r>
              <w:rPr>
                <w:sz w:val="4"/>
                <w:szCs w:val="4"/>
              </w:rPr>
            </w:r>
          </w:p>
        </w:tc>
        <w:tc>
          <w:tcPr>
            <w:tcW w:w="1570" w:type="dxa"/>
            <w:tcBorders>
              <w:bottom w:val="single" w:sz="8" w:space="0" w:color="000000"/>
            </w:tcBorders>
            <w:shd w:fill="auto" w:val="clear"/>
            <w:tcMar>
              <w:top w:w="0" w:type="dxa"/>
            </w:tcMar>
            <w:vAlign w:val="center"/>
          </w:tcPr>
          <w:p>
            <w:pPr>
              <w:pStyle w:val="TableContents"/>
              <w:spacing w:before="0" w:after="283"/>
              <w:jc w:val="left"/>
              <w:rPr>
                <w:rFonts w:ascii="Arial" w:hAnsi="Arial"/>
                <w:sz w:val="20"/>
              </w:rPr>
            </w:pPr>
            <w:r>
              <w:rPr>
                <w:rFonts w:ascii="Arial" w:hAnsi="Arial"/>
                <w:sz w:val="20"/>
              </w:rPr>
              <w:t>Average ROIC</w:t>
            </w:r>
          </w:p>
        </w:tc>
        <w:tc>
          <w:tcPr>
            <w:tcW w:w="300" w:type="dxa"/>
            <w:tcBorders>
              <w:bottom w:val="single" w:sz="8" w:space="0" w:color="000000"/>
            </w:tcBorders>
            <w:shd w:fill="auto" w:val="clear"/>
            <w:tcMar>
              <w:top w:w="0" w:type="dxa"/>
            </w:tcMar>
            <w:vAlign w:val="center"/>
          </w:tcPr>
          <w:p>
            <w:pPr>
              <w:pStyle w:val="TableContents"/>
              <w:spacing w:before="0" w:after="283"/>
              <w:rPr>
                <w:sz w:val="4"/>
                <w:szCs w:val="4"/>
              </w:rPr>
            </w:pPr>
            <w:r>
              <w:rPr>
                <w:sz w:val="4"/>
                <w:szCs w:val="4"/>
              </w:rPr>
            </w:r>
          </w:p>
        </w:tc>
        <w:tc>
          <w:tcPr>
            <w:tcW w:w="6927" w:type="dxa"/>
            <w:tcBorders>
              <w:bottom w:val="single" w:sz="8" w:space="0" w:color="000000"/>
            </w:tcBorders>
            <w:shd w:fill="auto" w:val="clear"/>
            <w:tcMar>
              <w:top w:w="0" w:type="dxa"/>
            </w:tcMar>
            <w:vAlign w:val="center"/>
          </w:tcPr>
          <w:p>
            <w:pPr>
              <w:pStyle w:val="TableContents"/>
              <w:spacing w:before="0" w:after="283"/>
              <w:jc w:val="left"/>
              <w:rPr>
                <w:rFonts w:ascii="Arial" w:hAnsi="Arial"/>
                <w:sz w:val="20"/>
              </w:rPr>
            </w:pPr>
            <w:r>
              <w:rPr>
                <w:rFonts w:ascii="Arial" w:hAnsi="Arial"/>
                <w:sz w:val="20"/>
              </w:rPr>
              <w:t>Measures how well capital (equity and debt) is used to generate earnings over a three-year period</w:t>
            </w:r>
          </w:p>
        </w:tc>
      </w:tr>
      <w:tr>
        <w:trPr/>
        <w:tc>
          <w:tcPr>
            <w:tcW w:w="1108" w:type="dxa"/>
            <w:vMerge w:val="continue"/>
            <w:tcBorders>
              <w:bottom w:val="single" w:sz="8" w:space="0" w:color="000000"/>
            </w:tcBorders>
            <w:shd w:fill="auto" w:val="clear"/>
            <w:tcMar>
              <w:top w:w="0" w:type="dxa"/>
            </w:tcMar>
            <w:vAlign w:val="center"/>
          </w:tcPr>
          <w:p>
            <w:pPr>
              <w:pStyle w:val="Normal"/>
              <w:rPr/>
            </w:pPr>
            <w:r>
              <w:rPr/>
            </w:r>
          </w:p>
        </w:tc>
        <w:tc>
          <w:tcPr>
            <w:tcW w:w="300" w:type="dxa"/>
            <w:tcBorders/>
            <w:shd w:fill="auto" w:val="clear"/>
            <w:tcMar>
              <w:top w:w="0" w:type="dxa"/>
              <w:bottom w:w="0" w:type="dxa"/>
            </w:tcMar>
            <w:vAlign w:val="center"/>
          </w:tcPr>
          <w:p>
            <w:pPr>
              <w:pStyle w:val="TableContents"/>
              <w:spacing w:before="0" w:after="283"/>
              <w:rPr>
                <w:sz w:val="4"/>
                <w:szCs w:val="4"/>
              </w:rPr>
            </w:pPr>
            <w:r>
              <w:rPr>
                <w:sz w:val="4"/>
                <w:szCs w:val="4"/>
              </w:rPr>
            </w:r>
          </w:p>
        </w:tc>
        <w:tc>
          <w:tcPr>
            <w:tcW w:w="1570" w:type="dxa"/>
            <w:tcBorders>
              <w:bottom w:val="single" w:sz="8" w:space="0" w:color="000000"/>
            </w:tcBorders>
            <w:shd w:fill="auto" w:val="clear"/>
            <w:tcMar>
              <w:top w:w="0" w:type="dxa"/>
            </w:tcMar>
            <w:vAlign w:val="center"/>
          </w:tcPr>
          <w:p>
            <w:pPr>
              <w:pStyle w:val="TableContents"/>
              <w:spacing w:before="0" w:after="283"/>
              <w:jc w:val="left"/>
              <w:rPr>
                <w:rFonts w:ascii="Arial" w:hAnsi="Arial"/>
                <w:sz w:val="20"/>
              </w:rPr>
            </w:pPr>
            <w:r>
              <w:rPr>
                <w:rFonts w:ascii="Arial" w:hAnsi="Arial"/>
                <w:sz w:val="20"/>
              </w:rPr>
              <w:t>Relative Adjusted EPS Growth</w:t>
            </w:r>
          </w:p>
        </w:tc>
        <w:tc>
          <w:tcPr>
            <w:tcW w:w="300" w:type="dxa"/>
            <w:tcBorders>
              <w:bottom w:val="single" w:sz="8" w:space="0" w:color="000000"/>
            </w:tcBorders>
            <w:shd w:fill="auto" w:val="clear"/>
            <w:tcMar>
              <w:top w:w="0" w:type="dxa"/>
            </w:tcMar>
            <w:vAlign w:val="center"/>
          </w:tcPr>
          <w:p>
            <w:pPr>
              <w:pStyle w:val="TableContents"/>
              <w:spacing w:before="0" w:after="283"/>
              <w:rPr>
                <w:sz w:val="4"/>
                <w:szCs w:val="4"/>
              </w:rPr>
            </w:pPr>
            <w:r>
              <w:rPr>
                <w:sz w:val="4"/>
                <w:szCs w:val="4"/>
              </w:rPr>
            </w:r>
          </w:p>
        </w:tc>
        <w:tc>
          <w:tcPr>
            <w:tcW w:w="6927" w:type="dxa"/>
            <w:tcBorders>
              <w:bottom w:val="single" w:sz="8" w:space="0" w:color="000000"/>
            </w:tcBorders>
            <w:shd w:fill="auto" w:val="clear"/>
            <w:tcMar>
              <w:top w:w="0" w:type="dxa"/>
            </w:tcMar>
            <w:vAlign w:val="center"/>
          </w:tcPr>
          <w:p>
            <w:pPr>
              <w:pStyle w:val="TableContents"/>
              <w:spacing w:before="0" w:after="283"/>
              <w:jc w:val="left"/>
              <w:rPr>
                <w:rFonts w:ascii="Arial" w:hAnsi="Arial"/>
                <w:sz w:val="20"/>
              </w:rPr>
            </w:pPr>
            <w:r>
              <w:rPr>
                <w:rFonts w:ascii="Arial" w:hAnsi="Arial"/>
                <w:sz w:val="20"/>
              </w:rPr>
              <w:t>Measures earnings performance compared to the S&amp;P 100 over a three-year period</w:t>
            </w:r>
          </w:p>
        </w:tc>
      </w:tr>
      <w:tr>
        <w:trPr/>
        <w:tc>
          <w:tcPr>
            <w:tcW w:w="1108" w:type="dxa"/>
            <w:vMerge w:val="continue"/>
            <w:tcBorders>
              <w:bottom w:val="single" w:sz="8" w:space="0" w:color="000000"/>
            </w:tcBorders>
            <w:shd w:fill="auto" w:val="clear"/>
            <w:tcMar>
              <w:top w:w="0" w:type="dxa"/>
            </w:tcMar>
            <w:vAlign w:val="center"/>
          </w:tcPr>
          <w:p>
            <w:pPr>
              <w:pStyle w:val="Normal"/>
              <w:rPr/>
            </w:pPr>
            <w:r>
              <w:rPr/>
            </w:r>
          </w:p>
        </w:tc>
        <w:tc>
          <w:tcPr>
            <w:tcW w:w="300" w:type="dxa"/>
            <w:tcBorders>
              <w:bottom w:val="single" w:sz="8" w:space="0" w:color="000000"/>
            </w:tcBorders>
            <w:shd w:fill="auto" w:val="clear"/>
            <w:tcMar>
              <w:top w:w="0" w:type="dxa"/>
            </w:tcMar>
            <w:vAlign w:val="center"/>
          </w:tcPr>
          <w:p>
            <w:pPr>
              <w:pStyle w:val="TableContents"/>
              <w:spacing w:before="0" w:after="283"/>
              <w:rPr>
                <w:sz w:val="4"/>
                <w:szCs w:val="4"/>
              </w:rPr>
            </w:pPr>
            <w:r>
              <w:rPr>
                <w:sz w:val="4"/>
                <w:szCs w:val="4"/>
              </w:rPr>
            </w:r>
          </w:p>
        </w:tc>
        <w:tc>
          <w:tcPr>
            <w:tcW w:w="1570" w:type="dxa"/>
            <w:tcBorders>
              <w:bottom w:val="single" w:sz="8" w:space="0" w:color="000000"/>
            </w:tcBorders>
            <w:shd w:fill="auto" w:val="clear"/>
            <w:tcMar>
              <w:top w:w="0" w:type="dxa"/>
            </w:tcMar>
            <w:vAlign w:val="center"/>
          </w:tcPr>
          <w:p>
            <w:pPr>
              <w:pStyle w:val="TableContents"/>
              <w:spacing w:before="0" w:after="283"/>
              <w:jc w:val="left"/>
              <w:rPr>
                <w:rFonts w:ascii="Arial" w:hAnsi="Arial"/>
                <w:sz w:val="20"/>
              </w:rPr>
            </w:pPr>
            <w:r>
              <w:rPr>
                <w:rFonts w:ascii="Arial" w:hAnsi="Arial"/>
                <w:sz w:val="20"/>
              </w:rPr>
              <w:t>Relative TSR</w:t>
            </w:r>
          </w:p>
        </w:tc>
        <w:tc>
          <w:tcPr>
            <w:tcW w:w="300" w:type="dxa"/>
            <w:tcBorders>
              <w:bottom w:val="single" w:sz="8" w:space="0" w:color="000000"/>
            </w:tcBorders>
            <w:shd w:fill="auto" w:val="clear"/>
            <w:tcMar>
              <w:top w:w="0" w:type="dxa"/>
            </w:tcMar>
            <w:vAlign w:val="center"/>
          </w:tcPr>
          <w:p>
            <w:pPr>
              <w:pStyle w:val="TableContents"/>
              <w:spacing w:before="0" w:after="283"/>
              <w:rPr>
                <w:sz w:val="4"/>
                <w:szCs w:val="4"/>
              </w:rPr>
            </w:pPr>
            <w:r>
              <w:rPr>
                <w:sz w:val="4"/>
                <w:szCs w:val="4"/>
              </w:rPr>
            </w:r>
          </w:p>
        </w:tc>
        <w:tc>
          <w:tcPr>
            <w:tcW w:w="6927" w:type="dxa"/>
            <w:tcBorders>
              <w:bottom w:val="single" w:sz="8" w:space="0" w:color="000000"/>
            </w:tcBorders>
            <w:shd w:fill="auto" w:val="clear"/>
            <w:tcMar>
              <w:top w:w="0" w:type="dxa"/>
            </w:tcMar>
            <w:vAlign w:val="center"/>
          </w:tcPr>
          <w:p>
            <w:pPr>
              <w:pStyle w:val="TableContents"/>
              <w:spacing w:before="0" w:after="283"/>
              <w:jc w:val="left"/>
              <w:rPr>
                <w:rFonts w:ascii="Arial" w:hAnsi="Arial"/>
                <w:sz w:val="20"/>
              </w:rPr>
            </w:pPr>
            <w:r>
              <w:rPr>
                <w:rFonts w:ascii="Arial" w:hAnsi="Arial"/>
                <w:sz w:val="20"/>
              </w:rPr>
              <w:t>Measures total company achievement of shareholder returns compared to the S&amp;P 100 over a three-year period</w:t>
            </w:r>
          </w:p>
        </w:tc>
      </w:tr>
    </w:tbl>
    <w:p>
      <w:pPr>
        <w:pStyle w:val="TextBody"/>
        <w:spacing w:before="240" w:after="283"/>
        <w:jc w:val="left"/>
        <w:rPr>
          <w:rFonts w:ascii="Arial" w:hAnsi="Arial"/>
          <w:sz w:val="20"/>
        </w:rPr>
      </w:pPr>
      <w:r>
        <w:rPr>
          <w:rFonts w:ascii="Arial" w:hAnsi="Arial"/>
          <w:sz w:val="20"/>
        </w:rPr>
        <w:t>Taken together, the interplay of these elements provided a pay program that is strongly aligned with shareholder interests and long-term value creation, retains a high-quality executive team and compensates the executive team when it does the right things to help our businesses succeed.</w:t>
      </w:r>
    </w:p>
    <w:p>
      <w:pPr>
        <w:pStyle w:val="TextBody"/>
        <w:jc w:val="left"/>
        <w:rPr>
          <w:rFonts w:ascii="Arial" w:hAnsi="Arial"/>
          <w:sz w:val="28"/>
        </w:rPr>
      </w:pPr>
      <w:r>
        <w:rPr>
          <w:rFonts w:ascii="Arial" w:hAnsi="Arial"/>
          <w:sz w:val="28"/>
        </w:rPr>
        <w:t xml:space="preserve">Design and Structure of Executive Compensation </w:t>
      </w:r>
    </w:p>
    <w:p>
      <w:pPr>
        <w:pStyle w:val="TextBody"/>
        <w:jc w:val="left"/>
        <w:rPr>
          <w:rFonts w:ascii="Arial" w:hAnsi="Arial"/>
          <w:color w:val="00A1E0"/>
          <w:sz w:val="24"/>
        </w:rPr>
      </w:pPr>
      <w:r>
        <w:rPr>
          <w:rFonts w:ascii="Arial" w:hAnsi="Arial"/>
          <w:color w:val="00A1E0"/>
          <w:sz w:val="24"/>
        </w:rPr>
        <w:t>Elements of Compensation Program</w:t>
      </w:r>
    </w:p>
    <w:p>
      <w:pPr>
        <w:pStyle w:val="TextBody"/>
        <w:jc w:val="left"/>
        <w:rPr>
          <w:rFonts w:ascii="Arial" w:hAnsi="Arial"/>
          <w:sz w:val="20"/>
        </w:rPr>
      </w:pPr>
      <w:r>
        <w:rPr>
          <w:rFonts w:ascii="Arial" w:hAnsi="Arial"/>
          <w:sz w:val="20"/>
        </w:rPr>
        <w:t>We view the executive compensation program on a “portfolio” basis to achieve an appropriate balance of compensation elements to motivate and reward our NEOs for their performance and create long-term shareholder value. The following chart illustrates our view of the significant aspects of the portfolio used for 2022.</w:t>
      </w:r>
    </w:p>
    <w:p>
      <w:pPr>
        <w:pStyle w:val="TextBody"/>
        <w:spacing w:before="0" w:after="0"/>
        <w:ind w:left="0" w:right="0" w:hanging="0"/>
        <w:jc w:val="left"/>
        <w:rPr>
          <w:rFonts w:ascii="Arial" w:hAnsi="Arial"/>
          <w:color w:val="FFFFFF"/>
          <w:sz w:val="2"/>
        </w:rPr>
      </w:pPr>
      <w:r>
        <w:rPr>
          <w:rFonts w:ascii="Arial" w:hAnsi="Arial"/>
          <w:color w:val="FFFFFF"/>
          <w:sz w:val="2"/>
        </w:rPr>
        <w:t>FIXED VARIABLE SHORT-TERM PERFORMANCE-BASED VARIABLE LONG-TERM, PERFORMANCE-BASED</w:t>
      </w:r>
    </w:p>
    <w:tbl>
      <w:tblPr>
        <w:tblW w:w="10205" w:type="dxa"/>
        <w:jc w:val="left"/>
        <w:tblInd w:w="0" w:type="dxa"/>
        <w:tblCellMar>
          <w:top w:w="0" w:type="dxa"/>
          <w:left w:w="0" w:type="dxa"/>
          <w:bottom w:w="28" w:type="dxa"/>
          <w:right w:w="0" w:type="dxa"/>
        </w:tblCellMar>
      </w:tblPr>
      <w:tblGrid>
        <w:gridCol w:w="425"/>
        <w:gridCol w:w="300"/>
        <w:gridCol w:w="740"/>
        <w:gridCol w:w="300"/>
        <w:gridCol w:w="3298"/>
        <w:gridCol w:w="300"/>
        <w:gridCol w:w="4842"/>
      </w:tblGrid>
      <w:tr>
        <w:trPr/>
        <w:tc>
          <w:tcPr>
            <w:tcW w:w="425" w:type="dxa"/>
            <w:tcBorders>
              <w:bottom w:val="single" w:sz="12" w:space="0" w:color="000000"/>
            </w:tcBorders>
            <w:shd w:fill="auto" w:val="clear"/>
            <w:vAlign w:val="center"/>
          </w:tcPr>
          <w:p>
            <w:pPr>
              <w:pStyle w:val="TableContents"/>
              <w:spacing w:before="0" w:after="283"/>
              <w:jc w:val="center"/>
              <w:rPr>
                <w:rFonts w:ascii="Arial" w:hAnsi="Arial"/>
                <w:b/>
                <w:sz w:val="15"/>
              </w:rPr>
            </w:pPr>
            <w:r>
              <w:rPr>
                <w:rFonts w:ascii="Arial" w:hAnsi="Arial"/>
                <w:b/>
                <w:sz w:val="15"/>
              </w:rPr>
              <w:t>TYPE</w:t>
            </w:r>
          </w:p>
        </w:tc>
        <w:tc>
          <w:tcPr>
            <w:tcW w:w="300" w:type="dxa"/>
            <w:tcBorders>
              <w:bottom w:val="single" w:sz="12" w:space="0" w:color="000000"/>
            </w:tcBorders>
            <w:shd w:fill="auto" w:val="clear"/>
            <w:vAlign w:val="center"/>
          </w:tcPr>
          <w:p>
            <w:pPr>
              <w:pStyle w:val="TableContents"/>
              <w:spacing w:before="0" w:after="283"/>
              <w:jc w:val="left"/>
              <w:rPr/>
            </w:pPr>
            <w:r>
              <w:rPr/>
              <w:t>     </w:t>
            </w:r>
          </w:p>
        </w:tc>
        <w:tc>
          <w:tcPr>
            <w:tcW w:w="740" w:type="dxa"/>
            <w:tcBorders>
              <w:bottom w:val="single" w:sz="12" w:space="0" w:color="000000"/>
            </w:tcBorders>
            <w:shd w:fill="auto" w:val="clear"/>
            <w:vAlign w:val="center"/>
          </w:tcPr>
          <w:p>
            <w:pPr>
              <w:pStyle w:val="TableContents"/>
              <w:spacing w:before="0" w:after="283"/>
              <w:jc w:val="left"/>
              <w:rPr>
                <w:rFonts w:ascii="Arial" w:hAnsi="Arial"/>
                <w:b/>
                <w:sz w:val="15"/>
              </w:rPr>
            </w:pPr>
            <w:r>
              <w:rPr>
                <w:rFonts w:ascii="Arial" w:hAnsi="Arial"/>
                <w:b/>
                <w:sz w:val="15"/>
              </w:rPr>
              <w:t>ELEMENT</w:t>
            </w:r>
          </w:p>
        </w:tc>
        <w:tc>
          <w:tcPr>
            <w:tcW w:w="300" w:type="dxa"/>
            <w:tcBorders>
              <w:bottom w:val="single" w:sz="12" w:space="0" w:color="000000"/>
            </w:tcBorders>
            <w:shd w:fill="auto" w:val="clear"/>
            <w:vAlign w:val="center"/>
          </w:tcPr>
          <w:p>
            <w:pPr>
              <w:pStyle w:val="TableContents"/>
              <w:spacing w:before="0" w:after="283"/>
              <w:jc w:val="left"/>
              <w:rPr/>
            </w:pPr>
            <w:r>
              <w:rPr/>
              <w:t>     </w:t>
            </w:r>
          </w:p>
        </w:tc>
        <w:tc>
          <w:tcPr>
            <w:tcW w:w="3298" w:type="dxa"/>
            <w:tcBorders>
              <w:bottom w:val="single" w:sz="12" w:space="0" w:color="000000"/>
            </w:tcBorders>
            <w:shd w:fill="auto" w:val="clear"/>
            <w:vAlign w:val="center"/>
          </w:tcPr>
          <w:p>
            <w:pPr>
              <w:pStyle w:val="TableContents"/>
              <w:spacing w:before="0" w:after="283"/>
              <w:jc w:val="left"/>
              <w:rPr>
                <w:rFonts w:ascii="Arial" w:hAnsi="Arial"/>
                <w:b/>
                <w:sz w:val="15"/>
              </w:rPr>
            </w:pPr>
            <w:r>
              <w:rPr>
                <w:rFonts w:ascii="Arial" w:hAnsi="Arial"/>
                <w:b/>
                <w:sz w:val="15"/>
              </w:rPr>
              <w:t>WHY WE USED IT</w:t>
            </w:r>
          </w:p>
        </w:tc>
        <w:tc>
          <w:tcPr>
            <w:tcW w:w="300" w:type="dxa"/>
            <w:tcBorders>
              <w:bottom w:val="single" w:sz="12" w:space="0" w:color="000000"/>
            </w:tcBorders>
            <w:shd w:fill="auto" w:val="clear"/>
            <w:vAlign w:val="center"/>
          </w:tcPr>
          <w:p>
            <w:pPr>
              <w:pStyle w:val="TableContents"/>
              <w:spacing w:before="0" w:after="283"/>
              <w:jc w:val="left"/>
              <w:rPr/>
            </w:pPr>
            <w:r>
              <w:rPr/>
              <w:t>     </w:t>
            </w:r>
          </w:p>
        </w:tc>
        <w:tc>
          <w:tcPr>
            <w:tcW w:w="4842" w:type="dxa"/>
            <w:tcBorders>
              <w:bottom w:val="single" w:sz="12" w:space="0" w:color="000000"/>
            </w:tcBorders>
            <w:shd w:fill="ECF6FA" w:val="clear"/>
            <w:vAlign w:val="center"/>
          </w:tcPr>
          <w:p>
            <w:pPr>
              <w:pStyle w:val="TableContents"/>
              <w:spacing w:before="0" w:after="283"/>
              <w:jc w:val="left"/>
              <w:rPr>
                <w:rFonts w:ascii="Arial" w:hAnsi="Arial"/>
                <w:b/>
                <w:sz w:val="15"/>
              </w:rPr>
            </w:pPr>
            <w:r>
              <w:rPr>
                <w:rFonts w:ascii="Arial" w:hAnsi="Arial"/>
                <w:b/>
                <w:sz w:val="15"/>
              </w:rPr>
              <w:t>COMPENSATION HIGHLIGHTS</w:t>
            </w:r>
          </w:p>
        </w:tc>
      </w:tr>
      <w:tr>
        <w:trPr/>
        <w:tc>
          <w:tcPr>
            <w:tcW w:w="425" w:type="dxa"/>
            <w:tcBorders>
              <w:bottom w:val="single" w:sz="8" w:space="0" w:color="000000"/>
            </w:tcBorders>
            <w:shd w:fill="auto" w:val="clear"/>
            <w:tcMar>
              <w:bottom w:w="40" w:type="dxa"/>
            </w:tcMar>
            <w:vAlign w:val="center"/>
          </w:tcPr>
          <w:p>
            <w:pPr>
              <w:pStyle w:val="TableContents"/>
              <w:spacing w:before="0" w:after="283"/>
              <w:jc w:val="center"/>
              <w:rPr/>
            </w:pPr>
            <w:r>
              <w:rPr/>
              <w:drawing>
                <wp:inline distT="0" distB="0" distL="0" distR="0">
                  <wp:extent cx="171450" cy="2162175"/>
                  <wp:effectExtent l="0" t="0" r="0" b="0"/>
                  <wp:docPr id="203"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29" descr=""/>
                          <pic:cNvPicPr>
                            <a:picLocks noChangeAspect="1" noChangeArrowheads="1"/>
                          </pic:cNvPicPr>
                        </pic:nvPicPr>
                        <pic:blipFill>
                          <a:blip r:embed="rId130"/>
                          <a:srcRect l="-1856" t="-466" r="-1856" b="-466"/>
                          <a:stretch>
                            <a:fillRect/>
                          </a:stretch>
                        </pic:blipFill>
                        <pic:spPr bwMode="auto">
                          <a:xfrm>
                            <a:off x="0" y="0"/>
                            <a:ext cx="171450" cy="2162175"/>
                          </a:xfrm>
                          <a:prstGeom prst="rect">
                            <a:avLst/>
                          </a:prstGeom>
                          <a:ln w="635">
                            <a:solidFill>
                              <a:srgbClr val="000000"/>
                            </a:solidFill>
                          </a:ln>
                        </pic:spPr>
                      </pic:pic>
                    </a:graphicData>
                  </a:graphic>
                </wp:inline>
              </w:drawing>
            </w:r>
          </w:p>
        </w:tc>
        <w:tc>
          <w:tcPr>
            <w:tcW w:w="30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740" w:type="dxa"/>
            <w:tcBorders>
              <w:bottom w:val="single" w:sz="8" w:space="0" w:color="000000"/>
            </w:tcBorders>
            <w:shd w:fill="auto" w:val="clear"/>
            <w:tcMar>
              <w:bottom w:w="80" w:type="dxa"/>
            </w:tcMar>
            <w:vAlign w:val="center"/>
          </w:tcPr>
          <w:p>
            <w:pPr>
              <w:pStyle w:val="TableContents"/>
              <w:spacing w:before="0" w:after="0"/>
              <w:jc w:val="left"/>
              <w:rPr>
                <w:rFonts w:ascii="Arial" w:hAnsi="Arial"/>
                <w:b/>
                <w:sz w:val="20"/>
              </w:rPr>
            </w:pPr>
            <w:r>
              <w:rPr>
                <w:rFonts w:ascii="Arial" w:hAnsi="Arial"/>
                <w:b/>
                <w:sz w:val="20"/>
              </w:rPr>
              <w:t>Base</w:t>
              <w:br/>
              <w:t>Salary</w:t>
            </w:r>
          </w:p>
        </w:tc>
        <w:tc>
          <w:tcPr>
            <w:tcW w:w="300" w:type="dxa"/>
            <w:tcBorders>
              <w:bottom w:val="single" w:sz="8" w:space="0" w:color="000000"/>
            </w:tcBorders>
            <w:shd w:fill="auto" w:val="clear"/>
            <w:tcMar>
              <w:bottom w:w="80" w:type="dxa"/>
            </w:tcMar>
            <w:vAlign w:val="center"/>
          </w:tcPr>
          <w:p>
            <w:pPr>
              <w:pStyle w:val="TableContents"/>
              <w:spacing w:before="0" w:after="283"/>
              <w:rPr>
                <w:sz w:val="4"/>
                <w:szCs w:val="4"/>
              </w:rPr>
            </w:pPr>
            <w:r>
              <w:rPr>
                <w:sz w:val="4"/>
                <w:szCs w:val="4"/>
              </w:rPr>
            </w:r>
          </w:p>
        </w:tc>
        <w:tc>
          <w:tcPr>
            <w:tcW w:w="3298" w:type="dxa"/>
            <w:tcBorders>
              <w:bottom w:val="single" w:sz="8" w:space="0" w:color="000000"/>
            </w:tcBorders>
            <w:shd w:fill="auto" w:val="clear"/>
            <w:tcMar>
              <w:bottom w:w="80" w:type="dxa"/>
            </w:tcMar>
            <w:vAlign w:val="center"/>
          </w:tcPr>
          <w:p>
            <w:pPr>
              <w:pStyle w:val="TableContents"/>
              <w:spacing w:before="0" w:after="0"/>
              <w:ind w:left="0" w:right="0" w:hanging="290"/>
              <w:jc w:val="left"/>
              <w:rPr/>
            </w:pPr>
            <w:r>
              <w:rPr>
                <w:color w:val="00A1E0"/>
              </w:rPr>
              <w:t>●</w:t>
            </w:r>
            <w:r>
              <w:rPr>
                <w:rFonts w:ascii="Arial" w:hAnsi="Arial"/>
                <w:sz w:val="20"/>
              </w:rPr>
              <w:t>Necessary to attract and retain our NEOs.</w:t>
            </w:r>
          </w:p>
          <w:p>
            <w:pPr>
              <w:pStyle w:val="TableContents"/>
              <w:spacing w:before="0" w:after="0"/>
              <w:ind w:left="0" w:right="0" w:hanging="290"/>
              <w:jc w:val="left"/>
              <w:rPr/>
            </w:pPr>
            <w:r>
              <w:rPr>
                <w:color w:val="00A1E0"/>
              </w:rPr>
              <w:t>●</w:t>
            </w:r>
            <w:r>
              <w:rPr>
                <w:rFonts w:ascii="Arial" w:hAnsi="Arial"/>
                <w:sz w:val="20"/>
              </w:rPr>
              <w:t>Serves as a baseline measure of an NEO’s value.</w:t>
            </w:r>
          </w:p>
          <w:p>
            <w:pPr>
              <w:pStyle w:val="TableContents"/>
              <w:spacing w:before="0" w:after="0"/>
              <w:ind w:left="0" w:right="0" w:hanging="290"/>
              <w:jc w:val="left"/>
              <w:rPr/>
            </w:pPr>
            <w:r>
              <w:rPr>
                <w:color w:val="00A1E0"/>
              </w:rPr>
              <w:t>●</w:t>
            </w:r>
            <w:r>
              <w:rPr>
                <w:rFonts w:ascii="Arial" w:hAnsi="Arial"/>
                <w:sz w:val="20"/>
              </w:rPr>
              <w:t>Guaranteed compensation in exchange for investing in a career with us.</w:t>
            </w:r>
          </w:p>
        </w:tc>
        <w:tc>
          <w:tcPr>
            <w:tcW w:w="300" w:type="dxa"/>
            <w:tcBorders>
              <w:bottom w:val="single" w:sz="8" w:space="0" w:color="000000"/>
            </w:tcBorders>
            <w:shd w:fill="auto" w:val="clear"/>
            <w:tcMar>
              <w:bottom w:w="80" w:type="dxa"/>
            </w:tcMar>
            <w:vAlign w:val="center"/>
          </w:tcPr>
          <w:p>
            <w:pPr>
              <w:pStyle w:val="TableContents"/>
              <w:spacing w:before="0" w:after="283"/>
              <w:rPr>
                <w:sz w:val="4"/>
                <w:szCs w:val="4"/>
              </w:rPr>
            </w:pPr>
            <w:r>
              <w:rPr>
                <w:sz w:val="4"/>
                <w:szCs w:val="4"/>
              </w:rPr>
            </w:r>
          </w:p>
        </w:tc>
        <w:tc>
          <w:tcPr>
            <w:tcW w:w="4842" w:type="dxa"/>
            <w:tcBorders>
              <w:bottom w:val="single" w:sz="8" w:space="0" w:color="000000"/>
            </w:tcBorders>
            <w:shd w:fill="ECF6FA" w:val="clear"/>
            <w:tcMar>
              <w:bottom w:w="80" w:type="dxa"/>
            </w:tcMar>
            <w:vAlign w:val="center"/>
          </w:tcPr>
          <w:p>
            <w:pPr>
              <w:pStyle w:val="TableContents"/>
              <w:spacing w:before="0" w:after="0"/>
              <w:ind w:left="0" w:right="0" w:hanging="290"/>
              <w:jc w:val="left"/>
              <w:rPr/>
            </w:pPr>
            <w:r>
              <w:rPr>
                <w:color w:val="00A1E0"/>
              </w:rPr>
              <w:t>●</w:t>
            </w:r>
            <w:r>
              <w:rPr>
                <w:rFonts w:ascii="Arial" w:hAnsi="Arial"/>
                <w:sz w:val="20"/>
              </w:rPr>
              <w:t xml:space="preserve">Salary level is based on individual performance, position within the organization and any increase in duties and responsibilities. </w:t>
            </w:r>
          </w:p>
        </w:tc>
      </w:tr>
      <w:tr>
        <w:trPr/>
        <w:tc>
          <w:tcPr>
            <w:tcW w:w="425" w:type="dxa"/>
            <w:tcBorders>
              <w:bottom w:val="single" w:sz="8" w:space="0" w:color="000000"/>
            </w:tcBorders>
            <w:shd w:fill="auto" w:val="clear"/>
            <w:tcMar>
              <w:bottom w:w="40" w:type="dxa"/>
            </w:tcMar>
            <w:vAlign w:val="center"/>
          </w:tcPr>
          <w:p>
            <w:pPr>
              <w:pStyle w:val="TableContents"/>
              <w:spacing w:before="0" w:after="283"/>
              <w:jc w:val="center"/>
              <w:rPr/>
            </w:pPr>
            <w:r>
              <w:rPr/>
              <w:drawing>
                <wp:inline distT="0" distB="0" distL="0" distR="0">
                  <wp:extent cx="200025" cy="1485900"/>
                  <wp:effectExtent l="0" t="0" r="0" b="0"/>
                  <wp:docPr id="204"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30" descr=""/>
                          <pic:cNvPicPr>
                            <a:picLocks noChangeAspect="1" noChangeArrowheads="1"/>
                          </pic:cNvPicPr>
                        </pic:nvPicPr>
                        <pic:blipFill>
                          <a:blip r:embed="rId131"/>
                          <a:srcRect l="-5166" t="-661" r="-5166" b="-661"/>
                          <a:stretch>
                            <a:fillRect/>
                          </a:stretch>
                        </pic:blipFill>
                        <pic:spPr bwMode="auto">
                          <a:xfrm>
                            <a:off x="0" y="0"/>
                            <a:ext cx="200025" cy="1485900"/>
                          </a:xfrm>
                          <a:prstGeom prst="rect">
                            <a:avLst/>
                          </a:prstGeom>
                          <a:ln w="635">
                            <a:solidFill>
                              <a:srgbClr val="000000"/>
                            </a:solidFill>
                          </a:ln>
                        </pic:spPr>
                      </pic:pic>
                    </a:graphicData>
                  </a:graphic>
                </wp:inline>
              </w:drawing>
            </w:r>
          </w:p>
        </w:tc>
        <w:tc>
          <w:tcPr>
            <w:tcW w:w="30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740" w:type="dxa"/>
            <w:tcBorders>
              <w:bottom w:val="single" w:sz="8" w:space="0" w:color="000000"/>
            </w:tcBorders>
            <w:shd w:fill="auto" w:val="clear"/>
            <w:tcMar>
              <w:bottom w:w="80" w:type="dxa"/>
            </w:tcMar>
            <w:vAlign w:val="center"/>
          </w:tcPr>
          <w:p>
            <w:pPr>
              <w:pStyle w:val="TableContents"/>
              <w:spacing w:before="0" w:after="0"/>
              <w:jc w:val="left"/>
              <w:rPr>
                <w:rFonts w:ascii="Arial" w:hAnsi="Arial"/>
                <w:b/>
                <w:color w:val="9AD0F0"/>
                <w:sz w:val="20"/>
              </w:rPr>
            </w:pPr>
            <w:r>
              <w:rPr>
                <w:rFonts w:ascii="Arial" w:hAnsi="Arial"/>
                <w:b/>
                <w:color w:val="9AD0F0"/>
                <w:sz w:val="20"/>
              </w:rPr>
              <w:t>Annual</w:t>
              <w:br/>
              <w:t>Cash</w:t>
              <w:br/>
              <w:t>Bonus</w:t>
            </w:r>
          </w:p>
        </w:tc>
        <w:tc>
          <w:tcPr>
            <w:tcW w:w="300" w:type="dxa"/>
            <w:tcBorders>
              <w:bottom w:val="single" w:sz="8" w:space="0" w:color="000000"/>
            </w:tcBorders>
            <w:shd w:fill="auto" w:val="clear"/>
            <w:tcMar>
              <w:bottom w:w="80" w:type="dxa"/>
            </w:tcMar>
            <w:vAlign w:val="center"/>
          </w:tcPr>
          <w:p>
            <w:pPr>
              <w:pStyle w:val="TableContents"/>
              <w:spacing w:before="0" w:after="283"/>
              <w:rPr>
                <w:sz w:val="4"/>
                <w:szCs w:val="4"/>
              </w:rPr>
            </w:pPr>
            <w:r>
              <w:rPr>
                <w:sz w:val="4"/>
                <w:szCs w:val="4"/>
              </w:rPr>
            </w:r>
          </w:p>
        </w:tc>
        <w:tc>
          <w:tcPr>
            <w:tcW w:w="3298" w:type="dxa"/>
            <w:tcBorders>
              <w:bottom w:val="single" w:sz="8" w:space="0" w:color="000000"/>
            </w:tcBorders>
            <w:shd w:fill="auto" w:val="clear"/>
            <w:tcMar>
              <w:bottom w:w="80" w:type="dxa"/>
            </w:tcMar>
            <w:vAlign w:val="center"/>
          </w:tcPr>
          <w:p>
            <w:pPr>
              <w:pStyle w:val="TableContents"/>
              <w:spacing w:before="0" w:after="0"/>
              <w:ind w:left="0" w:right="0" w:hanging="290"/>
              <w:jc w:val="left"/>
              <w:rPr/>
            </w:pPr>
            <w:r>
              <w:rPr>
                <w:color w:val="00A1E0"/>
              </w:rPr>
              <w:t>●</w:t>
            </w:r>
            <w:r>
              <w:rPr>
                <w:rFonts w:ascii="Arial" w:hAnsi="Arial"/>
                <w:sz w:val="20"/>
              </w:rPr>
              <w:t xml:space="preserve">Provides a competitive annual cash bonus opportunity and completes our competitive total annual cash compensation package. </w:t>
            </w:r>
          </w:p>
          <w:p>
            <w:pPr>
              <w:pStyle w:val="TableContents"/>
              <w:spacing w:before="0" w:after="0"/>
              <w:ind w:left="0" w:right="0" w:hanging="290"/>
              <w:jc w:val="left"/>
              <w:rPr/>
            </w:pPr>
            <w:r>
              <w:rPr>
                <w:color w:val="00A1E0"/>
              </w:rPr>
              <w:t>●</w:t>
            </w:r>
            <w:r>
              <w:rPr>
                <w:rFonts w:ascii="Arial" w:hAnsi="Arial"/>
                <w:sz w:val="20"/>
              </w:rPr>
              <w:t xml:space="preserve">Target bonus is based on the CHC Committee’s assessment of the optimal mix of fixed vs. variable cash compensation. </w:t>
            </w:r>
          </w:p>
          <w:p>
            <w:pPr>
              <w:pStyle w:val="TableContents"/>
              <w:spacing w:before="0" w:after="0"/>
              <w:ind w:left="0" w:right="0" w:hanging="290"/>
              <w:jc w:val="left"/>
              <w:rPr/>
            </w:pPr>
            <w:r>
              <w:rPr>
                <w:color w:val="00A1E0"/>
              </w:rPr>
              <w:t>●</w:t>
            </w:r>
            <w:r>
              <w:rPr>
                <w:rFonts w:ascii="Arial" w:hAnsi="Arial"/>
                <w:sz w:val="20"/>
              </w:rPr>
              <w:t xml:space="preserve">Supports our objective that NEOs must balance achieving current year (short-term) goals with long-term value creation. </w:t>
            </w:r>
          </w:p>
        </w:tc>
        <w:tc>
          <w:tcPr>
            <w:tcW w:w="300" w:type="dxa"/>
            <w:tcBorders>
              <w:bottom w:val="single" w:sz="8" w:space="0" w:color="000000"/>
            </w:tcBorders>
            <w:shd w:fill="auto" w:val="clear"/>
            <w:tcMar>
              <w:bottom w:w="80" w:type="dxa"/>
            </w:tcMar>
            <w:vAlign w:val="center"/>
          </w:tcPr>
          <w:p>
            <w:pPr>
              <w:pStyle w:val="TableContents"/>
              <w:spacing w:before="0" w:after="283"/>
              <w:rPr>
                <w:sz w:val="4"/>
                <w:szCs w:val="4"/>
              </w:rPr>
            </w:pPr>
            <w:r>
              <w:rPr>
                <w:sz w:val="4"/>
                <w:szCs w:val="4"/>
              </w:rPr>
            </w:r>
          </w:p>
        </w:tc>
        <w:tc>
          <w:tcPr>
            <w:tcW w:w="4842" w:type="dxa"/>
            <w:tcBorders>
              <w:bottom w:val="single" w:sz="8" w:space="0" w:color="000000"/>
            </w:tcBorders>
            <w:shd w:fill="ECF6FA" w:val="clear"/>
            <w:tcMar>
              <w:bottom w:w="80" w:type="dxa"/>
            </w:tcMar>
            <w:vAlign w:val="center"/>
          </w:tcPr>
          <w:p>
            <w:pPr>
              <w:pStyle w:val="TableContents"/>
              <w:spacing w:before="0" w:after="0"/>
              <w:ind w:left="0" w:right="0" w:hanging="290"/>
              <w:jc w:val="left"/>
              <w:rPr/>
            </w:pPr>
            <w:r>
              <w:rPr>
                <w:color w:val="00A1E0"/>
              </w:rPr>
              <w:t>●</w:t>
            </w:r>
            <w:r>
              <w:rPr>
                <w:rFonts w:ascii="Arial" w:hAnsi="Arial"/>
                <w:sz w:val="20"/>
              </w:rPr>
              <w:t xml:space="preserve">Based on objective quantitative financial performance metrics and quantitative and qualitative goals relating to key operating performance goals. </w:t>
            </w:r>
          </w:p>
          <w:p>
            <w:pPr>
              <w:pStyle w:val="TableContents"/>
              <w:spacing w:before="0" w:after="0"/>
              <w:ind w:left="0" w:right="0" w:hanging="290"/>
              <w:jc w:val="left"/>
              <w:rPr/>
            </w:pPr>
            <w:r>
              <w:rPr>
                <w:color w:val="00A1E0"/>
              </w:rPr>
              <w:t>●</w:t>
            </w:r>
            <w:r>
              <w:rPr>
                <w:rFonts w:ascii="Arial" w:hAnsi="Arial"/>
                <w:sz w:val="20"/>
              </w:rPr>
              <w:t>Includes a qualitative portion based on stakeholder and sustainability initiatives such as continued leadership in addressing the “digital divide,” further progress on our DE&amp;I and environmental sustainability initiatives, and further enhancing our strong culture of integrity and respect.</w:t>
            </w:r>
          </w:p>
        </w:tc>
      </w:tr>
      <w:tr>
        <w:trPr/>
        <w:tc>
          <w:tcPr>
            <w:tcW w:w="425" w:type="dxa"/>
            <w:vMerge w:val="restart"/>
            <w:tcBorders>
              <w:bottom w:val="single" w:sz="8" w:space="0" w:color="000000"/>
            </w:tcBorders>
            <w:shd w:fill="auto" w:val="clear"/>
            <w:tcMar>
              <w:bottom w:w="40" w:type="dxa"/>
            </w:tcMar>
            <w:vAlign w:val="center"/>
          </w:tcPr>
          <w:p>
            <w:pPr>
              <w:pStyle w:val="TableContents"/>
              <w:spacing w:before="0" w:after="283"/>
              <w:jc w:val="center"/>
              <w:rPr/>
            </w:pPr>
            <w:r>
              <w:rPr/>
              <w:drawing>
                <wp:inline distT="0" distB="0" distL="0" distR="0">
                  <wp:extent cx="209550" cy="2352675"/>
                  <wp:effectExtent l="0" t="0" r="0" b="0"/>
                  <wp:docPr id="205"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31" descr=""/>
                          <pic:cNvPicPr>
                            <a:picLocks noChangeAspect="1" noChangeArrowheads="1"/>
                          </pic:cNvPicPr>
                        </pic:nvPicPr>
                        <pic:blipFill>
                          <a:blip r:embed="rId132"/>
                          <a:srcRect l="-1734" t="-133" r="-1734" b="-133"/>
                          <a:stretch>
                            <a:fillRect/>
                          </a:stretch>
                        </pic:blipFill>
                        <pic:spPr bwMode="auto">
                          <a:xfrm>
                            <a:off x="0" y="0"/>
                            <a:ext cx="209550" cy="2352675"/>
                          </a:xfrm>
                          <a:prstGeom prst="rect">
                            <a:avLst/>
                          </a:prstGeom>
                          <a:ln w="635">
                            <a:solidFill>
                              <a:srgbClr val="000000"/>
                            </a:solidFill>
                          </a:ln>
                        </pic:spPr>
                      </pic:pic>
                    </a:graphicData>
                  </a:graphic>
                </wp:inline>
              </w:drawing>
            </w:r>
          </w:p>
        </w:tc>
        <w:tc>
          <w:tcPr>
            <w:tcW w:w="300" w:type="dxa"/>
            <w:tcBorders/>
            <w:shd w:fill="auto" w:val="clear"/>
            <w:tcMar>
              <w:bottom w:w="0" w:type="dxa"/>
            </w:tcMar>
            <w:vAlign w:val="center"/>
          </w:tcPr>
          <w:p>
            <w:pPr>
              <w:pStyle w:val="TableContents"/>
              <w:spacing w:before="0" w:after="283"/>
              <w:rPr>
                <w:sz w:val="4"/>
                <w:szCs w:val="4"/>
              </w:rPr>
            </w:pPr>
            <w:r>
              <w:rPr>
                <w:sz w:val="4"/>
                <w:szCs w:val="4"/>
              </w:rPr>
            </w:r>
          </w:p>
        </w:tc>
        <w:tc>
          <w:tcPr>
            <w:tcW w:w="740" w:type="dxa"/>
            <w:tcBorders>
              <w:bottom w:val="single" w:sz="8" w:space="0" w:color="000000"/>
            </w:tcBorders>
            <w:shd w:fill="auto" w:val="clear"/>
            <w:tcMar>
              <w:bottom w:w="80" w:type="dxa"/>
            </w:tcMar>
            <w:vAlign w:val="center"/>
          </w:tcPr>
          <w:p>
            <w:pPr>
              <w:pStyle w:val="TableContents"/>
              <w:spacing w:before="0" w:after="0"/>
              <w:jc w:val="left"/>
              <w:rPr>
                <w:rFonts w:ascii="Arial" w:hAnsi="Arial"/>
                <w:b/>
                <w:color w:val="00A1E0"/>
                <w:sz w:val="20"/>
              </w:rPr>
            </w:pPr>
            <w:r>
              <w:rPr>
                <w:rFonts w:ascii="Arial" w:hAnsi="Arial"/>
                <w:b/>
                <w:color w:val="00A1E0"/>
                <w:sz w:val="20"/>
              </w:rPr>
              <w:t>Annual</w:t>
              <w:br/>
              <w:t>PSU</w:t>
              <w:br/>
              <w:t>Grants</w:t>
            </w:r>
          </w:p>
        </w:tc>
        <w:tc>
          <w:tcPr>
            <w:tcW w:w="300" w:type="dxa"/>
            <w:tcBorders>
              <w:bottom w:val="single" w:sz="8" w:space="0" w:color="000000"/>
            </w:tcBorders>
            <w:shd w:fill="auto" w:val="clear"/>
            <w:tcMar>
              <w:bottom w:w="80" w:type="dxa"/>
            </w:tcMar>
            <w:vAlign w:val="center"/>
          </w:tcPr>
          <w:p>
            <w:pPr>
              <w:pStyle w:val="TableContents"/>
              <w:spacing w:before="0" w:after="283"/>
              <w:rPr>
                <w:sz w:val="4"/>
                <w:szCs w:val="4"/>
              </w:rPr>
            </w:pPr>
            <w:r>
              <w:rPr>
                <w:sz w:val="4"/>
                <w:szCs w:val="4"/>
              </w:rPr>
            </w:r>
          </w:p>
        </w:tc>
        <w:tc>
          <w:tcPr>
            <w:tcW w:w="3298" w:type="dxa"/>
            <w:tcBorders>
              <w:bottom w:val="single" w:sz="8" w:space="0" w:color="000000"/>
            </w:tcBorders>
            <w:shd w:fill="auto" w:val="clear"/>
            <w:tcMar>
              <w:bottom w:w="80" w:type="dxa"/>
            </w:tcMar>
            <w:vAlign w:val="center"/>
          </w:tcPr>
          <w:p>
            <w:pPr>
              <w:pStyle w:val="TableContents"/>
              <w:spacing w:before="0" w:after="0"/>
              <w:ind w:left="0" w:right="0" w:hanging="290"/>
              <w:jc w:val="left"/>
              <w:rPr/>
            </w:pPr>
            <w:r>
              <w:rPr>
                <w:color w:val="00A1E0"/>
              </w:rPr>
              <w:t>●</w:t>
            </w:r>
            <w:r>
              <w:rPr>
                <w:rFonts w:ascii="Arial" w:hAnsi="Arial"/>
                <w:sz w:val="20"/>
              </w:rPr>
              <w:t xml:space="preserve">Fosters a long-term commitment, motivates executives to improve the long-term market performance of our stock and focuses them on the long-term creation of shareholder value. </w:t>
            </w:r>
          </w:p>
          <w:p>
            <w:pPr>
              <w:pStyle w:val="TableContents"/>
              <w:spacing w:before="0" w:after="0"/>
              <w:ind w:left="0" w:right="0" w:hanging="290"/>
              <w:jc w:val="left"/>
              <w:rPr/>
            </w:pPr>
            <w:r>
              <w:rPr>
                <w:color w:val="00A1E0"/>
              </w:rPr>
              <w:t>●</w:t>
            </w:r>
            <w:r>
              <w:rPr>
                <w:rFonts w:ascii="Arial" w:hAnsi="Arial"/>
                <w:sz w:val="20"/>
              </w:rPr>
              <w:t xml:space="preserve">Links the NEOs’ decision-making with the long-term outcomes of those decisions. </w:t>
            </w:r>
          </w:p>
          <w:p>
            <w:pPr>
              <w:pStyle w:val="TableContents"/>
              <w:spacing w:before="0" w:after="0"/>
              <w:ind w:left="0" w:right="0" w:hanging="290"/>
              <w:jc w:val="left"/>
              <w:rPr/>
            </w:pPr>
            <w:r>
              <w:rPr>
                <w:color w:val="00A1E0"/>
              </w:rPr>
              <w:t>●</w:t>
            </w:r>
            <w:r>
              <w:rPr>
                <w:rFonts w:ascii="Arial" w:hAnsi="Arial"/>
                <w:sz w:val="20"/>
              </w:rPr>
              <w:t xml:space="preserve">Creates a meaningful retention tool and ties value ultimately realized to longer-term performance. </w:t>
            </w:r>
          </w:p>
        </w:tc>
        <w:tc>
          <w:tcPr>
            <w:tcW w:w="300" w:type="dxa"/>
            <w:tcBorders>
              <w:bottom w:val="single" w:sz="8" w:space="0" w:color="000000"/>
            </w:tcBorders>
            <w:shd w:fill="auto" w:val="clear"/>
            <w:tcMar>
              <w:bottom w:w="80" w:type="dxa"/>
            </w:tcMar>
            <w:vAlign w:val="center"/>
          </w:tcPr>
          <w:p>
            <w:pPr>
              <w:pStyle w:val="TableContents"/>
              <w:spacing w:before="0" w:after="283"/>
              <w:rPr>
                <w:sz w:val="4"/>
                <w:szCs w:val="4"/>
              </w:rPr>
            </w:pPr>
            <w:r>
              <w:rPr>
                <w:sz w:val="4"/>
                <w:szCs w:val="4"/>
              </w:rPr>
            </w:r>
          </w:p>
        </w:tc>
        <w:tc>
          <w:tcPr>
            <w:tcW w:w="4842" w:type="dxa"/>
            <w:tcBorders>
              <w:bottom w:val="single" w:sz="8" w:space="0" w:color="000000"/>
            </w:tcBorders>
            <w:shd w:fill="ECF6FA" w:val="clear"/>
            <w:tcMar>
              <w:bottom w:w="80" w:type="dxa"/>
            </w:tcMar>
            <w:vAlign w:val="center"/>
          </w:tcPr>
          <w:p>
            <w:pPr>
              <w:pStyle w:val="TableContents"/>
              <w:spacing w:before="0" w:after="0"/>
              <w:ind w:left="0" w:right="0" w:hanging="290"/>
              <w:jc w:val="left"/>
              <w:rPr/>
            </w:pPr>
            <w:r>
              <w:rPr>
                <w:color w:val="00A1E0"/>
              </w:rPr>
              <w:t>●</w:t>
            </w:r>
            <w:r>
              <w:rPr>
                <w:rFonts w:ascii="Arial" w:hAnsi="Arial"/>
                <w:sz w:val="20"/>
              </w:rPr>
              <w:t xml:space="preserve">Cliff vest after three years. </w:t>
            </w:r>
          </w:p>
          <w:p>
            <w:pPr>
              <w:pStyle w:val="TableContents"/>
              <w:spacing w:before="0" w:after="0"/>
              <w:ind w:left="0" w:right="0" w:hanging="290"/>
              <w:jc w:val="left"/>
              <w:rPr/>
            </w:pPr>
            <w:r>
              <w:rPr>
                <w:color w:val="00A1E0"/>
              </w:rPr>
              <w:t>●</w:t>
            </w:r>
            <w:r>
              <w:rPr>
                <w:rFonts w:ascii="Arial" w:hAnsi="Arial"/>
                <w:sz w:val="20"/>
              </w:rPr>
              <w:t xml:space="preserve">Vesting is dependent upon achievement of absolute and relative performance metrics established at the beginning of the three-year period. </w:t>
            </w:r>
          </w:p>
          <w:p>
            <w:pPr>
              <w:pStyle w:val="TableContents"/>
              <w:spacing w:before="0" w:after="0"/>
              <w:ind w:left="0" w:right="0" w:hanging="290"/>
              <w:jc w:val="left"/>
              <w:rPr/>
            </w:pPr>
            <w:r>
              <w:rPr>
                <w:color w:val="00A1E0"/>
              </w:rPr>
              <w:t>●</w:t>
            </w:r>
            <w:r>
              <w:rPr>
                <w:rFonts w:ascii="Arial" w:hAnsi="Arial"/>
                <w:sz w:val="20"/>
              </w:rPr>
              <w:t xml:space="preserve">Ultimate value of shares acquired upon vesting depends on attainment of metrics and stock price. </w:t>
            </w:r>
          </w:p>
        </w:tc>
      </w:tr>
      <w:tr>
        <w:trPr/>
        <w:tc>
          <w:tcPr>
            <w:tcW w:w="425" w:type="dxa"/>
            <w:vMerge w:val="continue"/>
            <w:tcBorders>
              <w:bottom w:val="single" w:sz="8" w:space="0" w:color="000000"/>
            </w:tcBorders>
            <w:shd w:fill="auto" w:val="clear"/>
            <w:tcMar>
              <w:bottom w:w="40" w:type="dxa"/>
            </w:tcMar>
            <w:vAlign w:val="center"/>
          </w:tcPr>
          <w:p>
            <w:pPr>
              <w:pStyle w:val="Normal"/>
              <w:rPr/>
            </w:pPr>
            <w:r>
              <w:rPr/>
            </w:r>
          </w:p>
        </w:tc>
        <w:tc>
          <w:tcPr>
            <w:tcW w:w="30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740" w:type="dxa"/>
            <w:tcBorders>
              <w:bottom w:val="single" w:sz="8" w:space="0" w:color="000000"/>
            </w:tcBorders>
            <w:shd w:fill="auto" w:val="clear"/>
            <w:tcMar>
              <w:bottom w:w="80" w:type="dxa"/>
            </w:tcMar>
            <w:vAlign w:val="center"/>
          </w:tcPr>
          <w:p>
            <w:pPr>
              <w:pStyle w:val="TableContents"/>
              <w:spacing w:before="0" w:after="0"/>
              <w:jc w:val="left"/>
              <w:rPr>
                <w:rFonts w:ascii="Arial" w:hAnsi="Arial"/>
                <w:b/>
                <w:color w:val="00A1E0"/>
                <w:sz w:val="20"/>
              </w:rPr>
            </w:pPr>
            <w:r>
              <w:rPr>
                <w:rFonts w:ascii="Arial" w:hAnsi="Arial"/>
                <w:b/>
                <w:color w:val="00A1E0"/>
                <w:sz w:val="20"/>
              </w:rPr>
              <w:t>Annual</w:t>
              <w:br/>
              <w:t>Stock</w:t>
              <w:br/>
              <w:t>Option</w:t>
              <w:br/>
              <w:t>Grants</w:t>
            </w:r>
          </w:p>
        </w:tc>
        <w:tc>
          <w:tcPr>
            <w:tcW w:w="300" w:type="dxa"/>
            <w:tcBorders>
              <w:bottom w:val="single" w:sz="8" w:space="0" w:color="000000"/>
            </w:tcBorders>
            <w:shd w:fill="auto" w:val="clear"/>
            <w:tcMar>
              <w:bottom w:w="80" w:type="dxa"/>
            </w:tcMar>
            <w:vAlign w:val="center"/>
          </w:tcPr>
          <w:p>
            <w:pPr>
              <w:pStyle w:val="TableContents"/>
              <w:spacing w:before="0" w:after="283"/>
              <w:rPr>
                <w:sz w:val="4"/>
                <w:szCs w:val="4"/>
              </w:rPr>
            </w:pPr>
            <w:r>
              <w:rPr>
                <w:sz w:val="4"/>
                <w:szCs w:val="4"/>
              </w:rPr>
            </w:r>
          </w:p>
        </w:tc>
        <w:tc>
          <w:tcPr>
            <w:tcW w:w="3298" w:type="dxa"/>
            <w:tcBorders>
              <w:bottom w:val="single" w:sz="8" w:space="0" w:color="000000"/>
            </w:tcBorders>
            <w:shd w:fill="auto" w:val="clear"/>
            <w:tcMar>
              <w:bottom w:w="80" w:type="dxa"/>
            </w:tcMar>
            <w:vAlign w:val="center"/>
          </w:tcPr>
          <w:p>
            <w:pPr>
              <w:pStyle w:val="TableContents"/>
              <w:spacing w:before="0" w:after="0"/>
              <w:ind w:left="0" w:right="0" w:hanging="290"/>
              <w:jc w:val="left"/>
              <w:rPr/>
            </w:pPr>
            <w:r>
              <w:rPr>
                <w:color w:val="00A1E0"/>
              </w:rPr>
              <w:t>●</w:t>
            </w:r>
            <w:r>
              <w:rPr>
                <w:rFonts w:ascii="Arial" w:hAnsi="Arial"/>
                <w:sz w:val="20"/>
              </w:rPr>
              <w:t xml:space="preserve">Fosters a long-term commitment, motivates executives to improve the long-term market performance of our stock and focuses them on the long-term creation of shareholder value. </w:t>
            </w:r>
          </w:p>
          <w:p>
            <w:pPr>
              <w:pStyle w:val="TableContents"/>
              <w:spacing w:before="0" w:after="0"/>
              <w:ind w:left="0" w:right="0" w:hanging="290"/>
              <w:jc w:val="left"/>
              <w:rPr/>
            </w:pPr>
            <w:r>
              <w:rPr>
                <w:color w:val="00A1E0"/>
              </w:rPr>
              <w:t>●</w:t>
            </w:r>
            <w:r>
              <w:rPr>
                <w:rFonts w:ascii="Arial" w:hAnsi="Arial"/>
                <w:sz w:val="20"/>
              </w:rPr>
              <w:t xml:space="preserve">Links the NEOs’ decision-making with the long-term outcomes of those decisions. </w:t>
            </w:r>
          </w:p>
          <w:p>
            <w:pPr>
              <w:pStyle w:val="TableContents"/>
              <w:spacing w:before="0" w:after="0"/>
              <w:ind w:left="0" w:right="0" w:hanging="290"/>
              <w:jc w:val="left"/>
              <w:rPr/>
            </w:pPr>
            <w:r>
              <w:rPr>
                <w:color w:val="00A1E0"/>
              </w:rPr>
              <w:t>●</w:t>
            </w:r>
            <w:r>
              <w:rPr>
                <w:rFonts w:ascii="Arial" w:hAnsi="Arial"/>
                <w:sz w:val="20"/>
              </w:rPr>
              <w:t xml:space="preserve">Relatively long vesting period creates a significant retention tool and ties value ultimately realized to our long-term performance. </w:t>
            </w:r>
          </w:p>
        </w:tc>
        <w:tc>
          <w:tcPr>
            <w:tcW w:w="300" w:type="dxa"/>
            <w:tcBorders>
              <w:bottom w:val="single" w:sz="8" w:space="0" w:color="000000"/>
            </w:tcBorders>
            <w:shd w:fill="auto" w:val="clear"/>
            <w:tcMar>
              <w:bottom w:w="80" w:type="dxa"/>
            </w:tcMar>
            <w:vAlign w:val="center"/>
          </w:tcPr>
          <w:p>
            <w:pPr>
              <w:pStyle w:val="TableContents"/>
              <w:spacing w:before="0" w:after="283"/>
              <w:rPr>
                <w:sz w:val="4"/>
                <w:szCs w:val="4"/>
              </w:rPr>
            </w:pPr>
            <w:r>
              <w:rPr>
                <w:sz w:val="4"/>
                <w:szCs w:val="4"/>
              </w:rPr>
            </w:r>
          </w:p>
        </w:tc>
        <w:tc>
          <w:tcPr>
            <w:tcW w:w="4842" w:type="dxa"/>
            <w:tcBorders>
              <w:bottom w:val="single" w:sz="8" w:space="0" w:color="000000"/>
            </w:tcBorders>
            <w:shd w:fill="ECF6FA" w:val="clear"/>
            <w:tcMar>
              <w:bottom w:w="80" w:type="dxa"/>
            </w:tcMar>
            <w:vAlign w:val="center"/>
          </w:tcPr>
          <w:p>
            <w:pPr>
              <w:pStyle w:val="TableContents"/>
              <w:spacing w:before="0" w:after="0"/>
              <w:ind w:left="0" w:right="0" w:hanging="290"/>
              <w:jc w:val="left"/>
              <w:rPr/>
            </w:pPr>
            <w:r>
              <w:rPr>
                <w:color w:val="00A1E0"/>
              </w:rPr>
              <w:t>●</w:t>
            </w:r>
            <w:r>
              <w:rPr>
                <w:rFonts w:ascii="Arial" w:hAnsi="Arial"/>
                <w:sz w:val="20"/>
              </w:rPr>
              <w:t xml:space="preserve">Vest ratably over a five-year period. </w:t>
            </w:r>
          </w:p>
          <w:p>
            <w:pPr>
              <w:pStyle w:val="TableContents"/>
              <w:spacing w:before="0" w:after="0"/>
              <w:ind w:left="0" w:right="0" w:hanging="290"/>
              <w:jc w:val="left"/>
              <w:rPr/>
            </w:pPr>
            <w:r>
              <w:rPr>
                <w:color w:val="00A1E0"/>
              </w:rPr>
              <w:t>●</w:t>
            </w:r>
            <w:r>
              <w:rPr>
                <w:rFonts w:ascii="Arial" w:hAnsi="Arial"/>
                <w:sz w:val="20"/>
              </w:rPr>
              <w:t xml:space="preserve">Stock price must appreciate for stock options to deliver value. </w:t>
            </w:r>
          </w:p>
          <w:p>
            <w:pPr>
              <w:pStyle w:val="TableContents"/>
              <w:spacing w:before="0" w:after="0"/>
              <w:ind w:left="0" w:right="0" w:hanging="290"/>
              <w:jc w:val="left"/>
              <w:rPr/>
            </w:pPr>
            <w:r>
              <w:rPr>
                <w:color w:val="00A1E0"/>
              </w:rPr>
              <w:t>●</w:t>
            </w:r>
            <w:r>
              <w:rPr>
                <w:rFonts w:ascii="Arial" w:hAnsi="Arial"/>
                <w:sz w:val="20"/>
              </w:rPr>
              <w:t xml:space="preserve">Options are net settled, resulting in fewer shares issued upon exercise. </w:t>
            </w:r>
          </w:p>
        </w:tc>
      </w:tr>
    </w:tbl>
    <w:p>
      <w:pPr>
        <w:pStyle w:val="TextBody"/>
        <w:spacing w:before="0" w:after="0"/>
        <w:rPr/>
      </w:pPr>
      <w:r>
        <w:rPr/>
      </w:r>
    </w:p>
    <w:tbl>
      <w:tblPr>
        <w:tblW w:w="2200" w:type="dxa"/>
        <w:jc w:val="left"/>
        <w:tblInd w:w="0" w:type="dxa"/>
        <w:tblCellMar>
          <w:top w:w="0" w:type="dxa"/>
          <w:left w:w="0" w:type="dxa"/>
          <w:bottom w:w="0" w:type="dxa"/>
          <w:right w:w="0" w:type="dxa"/>
        </w:tblCellMar>
      </w:tblPr>
      <w:tblGrid>
        <w:gridCol w:w="1580"/>
        <w:gridCol w:w="620"/>
      </w:tblGrid>
      <w:tr>
        <w:trPr/>
        <w:tc>
          <w:tcPr>
            <w:tcW w:w="1580" w:type="dxa"/>
            <w:tcBorders/>
            <w:shd w:fill="auto" w:val="clear"/>
            <w:vAlign w:val="center"/>
          </w:tcPr>
          <w:p>
            <w:pPr>
              <w:pStyle w:val="TableContents"/>
              <w:spacing w:before="0" w:after="283"/>
              <w:jc w:val="right"/>
              <w:rPr>
                <w:rFonts w:ascii="Arial" w:hAnsi="Arial"/>
                <w:sz w:val="15"/>
              </w:rPr>
            </w:pPr>
            <w:r>
              <w:rPr>
                <w:rFonts w:ascii="Arial" w:hAnsi="Arial"/>
                <w:sz w:val="15"/>
              </w:rPr>
              <w:t>2023 Proxy Statement</w:t>
            </w:r>
          </w:p>
        </w:tc>
        <w:tc>
          <w:tcPr>
            <w:tcW w:w="620" w:type="dxa"/>
            <w:tcBorders/>
            <w:shd w:fill="auto" w:val="clear"/>
            <w:vAlign w:val="center"/>
          </w:tcPr>
          <w:p>
            <w:pPr>
              <w:pStyle w:val="TableContents"/>
              <w:spacing w:before="0" w:after="283"/>
              <w:jc w:val="right"/>
              <w:rPr/>
            </w:pPr>
            <w:r>
              <w:rPr/>
              <w:t>       </w:t>
            </w:r>
            <w:r>
              <w:rPr>
                <w:rFonts w:ascii="Arial" w:hAnsi="Arial"/>
                <w:b/>
                <w:sz w:val="15"/>
              </w:rPr>
              <w:t>43</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p>
      <w:pPr>
        <w:pStyle w:val="TextBody"/>
        <w:jc w:val="left"/>
        <w:rPr>
          <w:rFonts w:ascii="Arial" w:hAnsi="Arial"/>
          <w:color w:val="00A1E0"/>
          <w:sz w:val="24"/>
        </w:rPr>
      </w:pPr>
      <w:r>
        <w:rPr>
          <w:rFonts w:ascii="Arial" w:hAnsi="Arial"/>
          <w:color w:val="00A1E0"/>
          <w:sz w:val="24"/>
        </w:rPr>
        <w:t>Compensation Decisions</w:t>
      </w:r>
    </w:p>
    <w:p>
      <w:pPr>
        <w:pStyle w:val="TextBody"/>
        <w:jc w:val="left"/>
        <w:rPr>
          <w:rFonts w:ascii="Arial" w:hAnsi="Arial"/>
          <w:sz w:val="24"/>
        </w:rPr>
      </w:pPr>
      <w:r>
        <w:rPr>
          <w:rFonts w:ascii="Arial" w:hAnsi="Arial"/>
          <w:sz w:val="24"/>
        </w:rPr>
        <w:t>Base Salary</w:t>
      </w:r>
    </w:p>
    <w:p>
      <w:pPr>
        <w:pStyle w:val="TextBody"/>
        <w:jc w:val="left"/>
        <w:rPr>
          <w:rFonts w:ascii="Arial" w:hAnsi="Arial"/>
          <w:sz w:val="20"/>
        </w:rPr>
      </w:pPr>
      <w:r>
        <w:rPr>
          <w:rFonts w:ascii="Arial" w:hAnsi="Arial"/>
          <w:sz w:val="20"/>
        </w:rPr>
        <w:t>Pursuant to their new employment agreements and in light of Mr. Cavanagh’s promotion, the base salaries of Messrs. Cavanagh and Watson both increased to $2.5 million effective March 2023.</w:t>
      </w:r>
    </w:p>
    <w:p>
      <w:pPr>
        <w:pStyle w:val="TextBody"/>
        <w:jc w:val="left"/>
        <w:rPr>
          <w:rFonts w:ascii="Arial" w:hAnsi="Arial"/>
          <w:sz w:val="24"/>
        </w:rPr>
      </w:pPr>
      <w:r>
        <w:rPr>
          <w:rFonts w:ascii="Arial" w:hAnsi="Arial"/>
          <w:sz w:val="24"/>
        </w:rPr>
        <w:t>Annual Cash Bonus</w:t>
      </w:r>
    </w:p>
    <w:p>
      <w:pPr>
        <w:pStyle w:val="TextBody"/>
        <w:jc w:val="left"/>
        <w:rPr>
          <w:rFonts w:ascii="Arial" w:hAnsi="Arial"/>
          <w:sz w:val="20"/>
        </w:rPr>
      </w:pPr>
      <w:r>
        <w:rPr>
          <w:rFonts w:ascii="Arial" w:hAnsi="Arial"/>
          <w:sz w:val="20"/>
        </w:rPr>
        <w:t>Our short-term incentive program includes meaningful performance-based elements tied to financial goals, as well as incentives for attainment of operational goals tied to key strategic initiatives and progress toward key stakeholder and sustainability initiatives.</w:t>
      </w:r>
    </w:p>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0"/>
              <w:jc w:val="left"/>
              <w:rPr>
                <w:rFonts w:ascii="Arial" w:hAnsi="Arial"/>
                <w:sz w:val="20"/>
              </w:rPr>
            </w:pPr>
            <w:r>
              <w:rPr>
                <w:rFonts w:ascii="Arial" w:hAnsi="Arial"/>
                <w:sz w:val="20"/>
              </w:rPr>
              <w:t>The target bonus opportunity in 2022 was 300% of salary for each NEO.</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0"/>
              <w:jc w:val="left"/>
              <w:rPr>
                <w:rFonts w:ascii="Arial" w:hAnsi="Arial"/>
                <w:sz w:val="20"/>
              </w:rPr>
            </w:pPr>
            <w:r>
              <w:rPr>
                <w:rFonts w:ascii="Arial" w:hAnsi="Arial"/>
                <w:sz w:val="20"/>
              </w:rPr>
              <w:t>Below are the target weightings for each element of the annual cash bonus plan for our NEOs in 2022. The maximum bonus achievable was 185%, based on a maximum weight of 140% for all of the financial metrics and of 22.5% for each of the operating performance and stakeholder and sustainability-related goals.</w:t>
            </w:r>
          </w:p>
        </w:tc>
      </w:tr>
    </w:tbl>
    <w:p>
      <w:pPr>
        <w:pStyle w:val="TextBody"/>
        <w:spacing w:before="0" w:after="0"/>
        <w:rPr/>
      </w:pPr>
      <w:r>
        <w:rPr/>
      </w:r>
    </w:p>
    <w:tbl>
      <w:tblPr>
        <w:tblW w:w="8963" w:type="dxa"/>
        <w:jc w:val="left"/>
        <w:tblInd w:w="0" w:type="dxa"/>
        <w:tblCellMar>
          <w:top w:w="0" w:type="dxa"/>
          <w:left w:w="0" w:type="dxa"/>
          <w:bottom w:w="0" w:type="dxa"/>
          <w:right w:w="0" w:type="dxa"/>
        </w:tblCellMar>
      </w:tblPr>
      <w:tblGrid>
        <w:gridCol w:w="332"/>
        <w:gridCol w:w="333"/>
        <w:gridCol w:w="300"/>
        <w:gridCol w:w="391"/>
        <w:gridCol w:w="393"/>
        <w:gridCol w:w="300"/>
        <w:gridCol w:w="332"/>
        <w:gridCol w:w="333"/>
        <w:gridCol w:w="300"/>
        <w:gridCol w:w="1494"/>
        <w:gridCol w:w="1495"/>
        <w:gridCol w:w="300"/>
        <w:gridCol w:w="1330"/>
        <w:gridCol w:w="1330"/>
      </w:tblGrid>
      <w:tr>
        <w:trPr/>
        <w:tc>
          <w:tcPr>
            <w:tcW w:w="2714" w:type="dxa"/>
            <w:gridSpan w:val="8"/>
            <w:tcBorders/>
            <w:shd w:fill="00A1E0" w:val="clear"/>
            <w:vAlign w:val="center"/>
          </w:tcPr>
          <w:p>
            <w:pPr>
              <w:pStyle w:val="TableContents"/>
              <w:spacing w:before="0" w:after="283"/>
              <w:jc w:val="center"/>
              <w:rPr>
                <w:rFonts w:ascii="Arial" w:hAnsi="Arial"/>
                <w:b/>
                <w:color w:val="FFFFFF"/>
                <w:sz w:val="20"/>
              </w:rPr>
            </w:pPr>
            <w:r>
              <w:rPr>
                <w:rFonts w:ascii="Arial" w:hAnsi="Arial"/>
                <w:b/>
                <w:color w:val="FFFFFF"/>
                <w:sz w:val="20"/>
              </w:rPr>
              <w:t>Financial</w:t>
              <w:br/>
              <w:t>(70%)</w:t>
            </w:r>
          </w:p>
        </w:tc>
        <w:tc>
          <w:tcPr>
            <w:tcW w:w="300" w:type="dxa"/>
            <w:tcBorders/>
            <w:shd w:fill="auto" w:val="clear"/>
            <w:vAlign w:val="center"/>
          </w:tcPr>
          <w:p>
            <w:pPr>
              <w:pStyle w:val="TableContents"/>
              <w:spacing w:before="0" w:after="283"/>
              <w:jc w:val="center"/>
              <w:rPr/>
            </w:pPr>
            <w:r>
              <w:rPr/>
              <w:t>     </w:t>
            </w:r>
          </w:p>
        </w:tc>
        <w:tc>
          <w:tcPr>
            <w:tcW w:w="2989" w:type="dxa"/>
            <w:gridSpan w:val="2"/>
            <w:tcBorders/>
            <w:shd w:fill="69BDEA" w:val="clear"/>
            <w:vAlign w:val="center"/>
          </w:tcPr>
          <w:p>
            <w:pPr>
              <w:pStyle w:val="TableContents"/>
              <w:spacing w:before="0" w:after="0"/>
              <w:jc w:val="center"/>
              <w:rPr>
                <w:rFonts w:ascii="Arial" w:hAnsi="Arial"/>
                <w:b/>
                <w:color w:val="FFFFFF"/>
                <w:sz w:val="20"/>
              </w:rPr>
            </w:pPr>
            <w:r>
              <w:rPr>
                <w:rFonts w:ascii="Arial" w:hAnsi="Arial"/>
                <w:b/>
                <w:color w:val="FFFFFF"/>
                <w:sz w:val="20"/>
              </w:rPr>
              <w:t>Operating Performance</w:t>
              <w:br/>
              <w:t>(15%)</w:t>
            </w:r>
          </w:p>
        </w:tc>
        <w:tc>
          <w:tcPr>
            <w:tcW w:w="300" w:type="dxa"/>
            <w:tcBorders/>
            <w:shd w:fill="auto" w:val="clear"/>
            <w:vAlign w:val="center"/>
          </w:tcPr>
          <w:p>
            <w:pPr>
              <w:pStyle w:val="TableContents"/>
              <w:spacing w:before="0" w:after="283"/>
              <w:jc w:val="center"/>
              <w:rPr/>
            </w:pPr>
            <w:r>
              <w:rPr/>
              <w:t>     </w:t>
            </w:r>
          </w:p>
        </w:tc>
        <w:tc>
          <w:tcPr>
            <w:tcW w:w="2660" w:type="dxa"/>
            <w:gridSpan w:val="2"/>
            <w:tcBorders/>
            <w:shd w:fill="9AD0F0" w:val="clear"/>
            <w:vAlign w:val="center"/>
          </w:tcPr>
          <w:p>
            <w:pPr>
              <w:pStyle w:val="TableContents"/>
              <w:spacing w:before="0" w:after="0"/>
              <w:jc w:val="center"/>
              <w:rPr>
                <w:rFonts w:ascii="Arial" w:hAnsi="Arial"/>
                <w:b/>
                <w:color w:val="FFFFFF"/>
                <w:sz w:val="20"/>
              </w:rPr>
            </w:pPr>
            <w:r>
              <w:rPr>
                <w:rFonts w:ascii="Arial" w:hAnsi="Arial"/>
                <w:b/>
                <w:color w:val="FFFFFF"/>
                <w:sz w:val="20"/>
              </w:rPr>
              <w:t>Stakeholder &amp; Sustainability</w:t>
              <w:br/>
              <w:t>Initiatives</w:t>
              <w:br/>
              <w:t>(15%)</w:t>
            </w:r>
          </w:p>
        </w:tc>
      </w:tr>
      <w:tr>
        <w:trPr/>
        <w:tc>
          <w:tcPr>
            <w:tcW w:w="332" w:type="dxa"/>
            <w:tcBorders/>
            <w:shd w:fill="auto" w:val="clear"/>
            <w:vAlign w:val="center"/>
          </w:tcPr>
          <w:p>
            <w:pPr>
              <w:pStyle w:val="TableContents"/>
              <w:spacing w:before="0" w:after="283"/>
              <w:jc w:val="left"/>
              <w:rPr/>
            </w:pPr>
            <w:r>
              <w:rPr/>
              <w:t> </w:t>
            </w:r>
          </w:p>
        </w:tc>
        <w:tc>
          <w:tcPr>
            <w:tcW w:w="333"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391" w:type="dxa"/>
            <w:tcBorders>
              <w:right w:val="single" w:sz="12" w:space="0" w:color="000000"/>
            </w:tcBorders>
            <w:shd w:fill="auto" w:val="clear"/>
            <w:tcMar>
              <w:right w:w="28" w:type="dxa"/>
            </w:tcMar>
            <w:vAlign w:val="center"/>
          </w:tcPr>
          <w:p>
            <w:pPr>
              <w:pStyle w:val="TableContents"/>
              <w:spacing w:before="0" w:after="283"/>
              <w:jc w:val="left"/>
              <w:rPr/>
            </w:pPr>
            <w:r>
              <w:rPr/>
              <w:t> </w:t>
            </w:r>
          </w:p>
        </w:tc>
        <w:tc>
          <w:tcPr>
            <w:tcW w:w="393"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332" w:type="dxa"/>
            <w:tcBorders/>
            <w:shd w:fill="auto" w:val="clear"/>
            <w:vAlign w:val="center"/>
          </w:tcPr>
          <w:p>
            <w:pPr>
              <w:pStyle w:val="TableContents"/>
              <w:spacing w:before="0" w:after="283"/>
              <w:jc w:val="left"/>
              <w:rPr/>
            </w:pPr>
            <w:r>
              <w:rPr/>
              <w:t> </w:t>
            </w:r>
          </w:p>
        </w:tc>
        <w:tc>
          <w:tcPr>
            <w:tcW w:w="333"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1494" w:type="dxa"/>
            <w:tcBorders>
              <w:right w:val="single" w:sz="12" w:space="0" w:color="000000"/>
            </w:tcBorders>
            <w:shd w:fill="auto" w:val="clear"/>
            <w:tcMar>
              <w:right w:w="28" w:type="dxa"/>
            </w:tcMar>
            <w:vAlign w:val="center"/>
          </w:tcPr>
          <w:p>
            <w:pPr>
              <w:pStyle w:val="TableContents"/>
              <w:spacing w:before="0" w:after="283"/>
              <w:jc w:val="left"/>
              <w:rPr/>
            </w:pPr>
            <w:r>
              <w:rPr/>
              <w:t> </w:t>
            </w:r>
          </w:p>
        </w:tc>
        <w:tc>
          <w:tcPr>
            <w:tcW w:w="1495"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1330" w:type="dxa"/>
            <w:tcBorders>
              <w:right w:val="single" w:sz="12" w:space="0" w:color="000000"/>
            </w:tcBorders>
            <w:shd w:fill="auto" w:val="clear"/>
            <w:tcMar>
              <w:right w:w="28" w:type="dxa"/>
            </w:tcMar>
            <w:vAlign w:val="center"/>
          </w:tcPr>
          <w:p>
            <w:pPr>
              <w:pStyle w:val="TableContents"/>
              <w:spacing w:before="0" w:after="283"/>
              <w:jc w:val="left"/>
              <w:rPr/>
            </w:pPr>
            <w:r>
              <w:rPr/>
              <w:t> </w:t>
            </w:r>
          </w:p>
        </w:tc>
        <w:tc>
          <w:tcPr>
            <w:tcW w:w="1330" w:type="dxa"/>
            <w:tcBorders/>
            <w:shd w:fill="auto" w:val="clear"/>
            <w:vAlign w:val="center"/>
          </w:tcPr>
          <w:p>
            <w:pPr>
              <w:pStyle w:val="TableContents"/>
              <w:spacing w:before="0" w:after="283"/>
              <w:jc w:val="left"/>
              <w:rPr/>
            </w:pPr>
            <w:r>
              <w:rPr/>
              <w:t> </w:t>
            </w:r>
          </w:p>
        </w:tc>
      </w:tr>
      <w:tr>
        <w:trPr/>
        <w:tc>
          <w:tcPr>
            <w:tcW w:w="332" w:type="dxa"/>
            <w:tcBorders>
              <w:right w:val="single" w:sz="12" w:space="0" w:color="000000"/>
            </w:tcBorders>
            <w:shd w:fill="auto" w:val="clear"/>
            <w:tcMar>
              <w:right w:w="28" w:type="dxa"/>
            </w:tcMar>
            <w:vAlign w:val="center"/>
          </w:tcPr>
          <w:p>
            <w:pPr>
              <w:pStyle w:val="TableContents"/>
              <w:spacing w:before="0" w:after="283"/>
              <w:rPr>
                <w:sz w:val="4"/>
                <w:szCs w:val="4"/>
              </w:rPr>
            </w:pPr>
            <w:r>
              <w:rPr>
                <w:sz w:val="4"/>
                <w:szCs w:val="4"/>
              </w:rPr>
            </w:r>
          </w:p>
        </w:tc>
        <w:tc>
          <w:tcPr>
            <w:tcW w:w="333" w:type="dxa"/>
            <w:tcBorders>
              <w:top w:val="single" w:sz="12" w:space="0" w:color="000000"/>
            </w:tcBorders>
            <w:shd w:fill="auto" w:val="clear"/>
            <w:tcMar>
              <w:top w:w="28" w:type="dxa"/>
            </w:tcMar>
            <w:vAlign w:val="center"/>
          </w:tcPr>
          <w:p>
            <w:pPr>
              <w:pStyle w:val="TableContents"/>
              <w:spacing w:before="0" w:after="283"/>
              <w:rPr>
                <w:sz w:val="4"/>
                <w:szCs w:val="4"/>
              </w:rPr>
            </w:pPr>
            <w:r>
              <w:rPr>
                <w:sz w:val="4"/>
                <w:szCs w:val="4"/>
              </w:rPr>
            </w:r>
          </w:p>
        </w:tc>
        <w:tc>
          <w:tcPr>
            <w:tcW w:w="300" w:type="dxa"/>
            <w:tcBorders>
              <w:top w:val="single" w:sz="12" w:space="0" w:color="000000"/>
            </w:tcBorders>
            <w:shd w:fill="auto" w:val="clear"/>
            <w:tcMar>
              <w:top w:w="28" w:type="dxa"/>
            </w:tcMar>
            <w:vAlign w:val="center"/>
          </w:tcPr>
          <w:p>
            <w:pPr>
              <w:pStyle w:val="TableContents"/>
              <w:spacing w:before="0" w:after="283"/>
              <w:jc w:val="left"/>
              <w:rPr/>
            </w:pPr>
            <w:r>
              <w:rPr/>
              <w:t>     </w:t>
            </w:r>
          </w:p>
        </w:tc>
        <w:tc>
          <w:tcPr>
            <w:tcW w:w="391" w:type="dxa"/>
            <w:tcBorders>
              <w:top w:val="single" w:sz="12" w:space="0" w:color="000000"/>
              <w:right w:val="single" w:sz="12" w:space="0" w:color="000000"/>
            </w:tcBorders>
            <w:shd w:fill="auto" w:val="clear"/>
            <w:tcMar>
              <w:top w:w="28" w:type="dxa"/>
              <w:right w:w="28" w:type="dxa"/>
            </w:tcMar>
            <w:vAlign w:val="center"/>
          </w:tcPr>
          <w:p>
            <w:pPr>
              <w:pStyle w:val="TableContents"/>
              <w:spacing w:before="0" w:after="283"/>
              <w:rPr>
                <w:sz w:val="4"/>
                <w:szCs w:val="4"/>
              </w:rPr>
            </w:pPr>
            <w:r>
              <w:rPr>
                <w:sz w:val="4"/>
                <w:szCs w:val="4"/>
              </w:rPr>
            </w:r>
          </w:p>
        </w:tc>
        <w:tc>
          <w:tcPr>
            <w:tcW w:w="393" w:type="dxa"/>
            <w:tcBorders>
              <w:top w:val="single" w:sz="12" w:space="0" w:color="000000"/>
            </w:tcBorders>
            <w:shd w:fill="auto" w:val="clear"/>
            <w:tcMar>
              <w:top w:w="28" w:type="dxa"/>
            </w:tcMar>
            <w:vAlign w:val="center"/>
          </w:tcPr>
          <w:p>
            <w:pPr>
              <w:pStyle w:val="TableContents"/>
              <w:spacing w:before="0" w:after="283"/>
              <w:rPr>
                <w:sz w:val="4"/>
                <w:szCs w:val="4"/>
              </w:rPr>
            </w:pPr>
            <w:r>
              <w:rPr>
                <w:sz w:val="4"/>
                <w:szCs w:val="4"/>
              </w:rPr>
            </w:r>
          </w:p>
        </w:tc>
        <w:tc>
          <w:tcPr>
            <w:tcW w:w="300" w:type="dxa"/>
            <w:tcBorders>
              <w:top w:val="single" w:sz="12" w:space="0" w:color="000000"/>
            </w:tcBorders>
            <w:shd w:fill="auto" w:val="clear"/>
            <w:tcMar>
              <w:top w:w="28" w:type="dxa"/>
            </w:tcMar>
            <w:vAlign w:val="center"/>
          </w:tcPr>
          <w:p>
            <w:pPr>
              <w:pStyle w:val="TableContents"/>
              <w:spacing w:before="0" w:after="283"/>
              <w:jc w:val="left"/>
              <w:rPr/>
            </w:pPr>
            <w:r>
              <w:rPr/>
              <w:t>     </w:t>
            </w:r>
          </w:p>
        </w:tc>
        <w:tc>
          <w:tcPr>
            <w:tcW w:w="332" w:type="dxa"/>
            <w:tcBorders>
              <w:top w:val="single" w:sz="12" w:space="0" w:color="000000"/>
              <w:right w:val="single" w:sz="12" w:space="0" w:color="000000"/>
            </w:tcBorders>
            <w:shd w:fill="auto" w:val="clear"/>
            <w:tcMar>
              <w:top w:w="28" w:type="dxa"/>
              <w:right w:w="28" w:type="dxa"/>
            </w:tcM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1494" w:type="dxa"/>
            <w:tcBorders>
              <w:right w:val="single" w:sz="12" w:space="0" w:color="000000"/>
            </w:tcBorders>
            <w:shd w:fill="auto" w:val="clear"/>
            <w:tcMar>
              <w:right w:w="28" w:type="dxa"/>
            </w:tcMar>
            <w:vAlign w:val="center"/>
          </w:tcPr>
          <w:p>
            <w:pPr>
              <w:pStyle w:val="TableContents"/>
              <w:spacing w:before="0" w:after="283"/>
              <w:rPr>
                <w:sz w:val="4"/>
                <w:szCs w:val="4"/>
              </w:rPr>
            </w:pPr>
            <w:r>
              <w:rPr>
                <w:sz w:val="4"/>
                <w:szCs w:val="4"/>
              </w:rPr>
            </w:r>
          </w:p>
        </w:tc>
        <w:tc>
          <w:tcPr>
            <w:tcW w:w="1495"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1330" w:type="dxa"/>
            <w:tcBorders>
              <w:right w:val="single" w:sz="12" w:space="0" w:color="000000"/>
            </w:tcBorders>
            <w:shd w:fill="auto" w:val="clear"/>
            <w:tcMar>
              <w:right w:w="28" w:type="dxa"/>
            </w:tcMar>
            <w:vAlign w:val="center"/>
          </w:tcPr>
          <w:p>
            <w:pPr>
              <w:pStyle w:val="TableContents"/>
              <w:spacing w:before="0" w:after="283"/>
              <w:rPr>
                <w:sz w:val="4"/>
                <w:szCs w:val="4"/>
              </w:rPr>
            </w:pPr>
            <w:r>
              <w:rPr>
                <w:sz w:val="4"/>
                <w:szCs w:val="4"/>
              </w:rPr>
            </w:r>
          </w:p>
        </w:tc>
        <w:tc>
          <w:tcPr>
            <w:tcW w:w="1330" w:type="dxa"/>
            <w:tcBorders/>
            <w:shd w:fill="auto" w:val="clear"/>
            <w:vAlign w:val="center"/>
          </w:tcPr>
          <w:p>
            <w:pPr>
              <w:pStyle w:val="TableContents"/>
              <w:spacing w:before="0" w:after="283"/>
              <w:rPr>
                <w:sz w:val="4"/>
                <w:szCs w:val="4"/>
              </w:rPr>
            </w:pPr>
            <w:r>
              <w:rPr>
                <w:sz w:val="4"/>
                <w:szCs w:val="4"/>
              </w:rPr>
            </w:r>
          </w:p>
        </w:tc>
      </w:tr>
      <w:tr>
        <w:trPr/>
        <w:tc>
          <w:tcPr>
            <w:tcW w:w="665" w:type="dxa"/>
            <w:gridSpan w:val="2"/>
            <w:tcBorders>
              <w:top w:val="single" w:sz="12" w:space="0" w:color="00A1E0"/>
              <w:left w:val="single" w:sz="12" w:space="0" w:color="00A1E0"/>
              <w:bottom w:val="single" w:sz="12" w:space="0" w:color="00A1E0"/>
              <w:right w:val="single" w:sz="12" w:space="0" w:color="00A1E0"/>
            </w:tcBorders>
            <w:shd w:fill="auto" w:val="clear"/>
            <w:tcMar>
              <w:top w:w="160" w:type="dxa"/>
              <w:left w:w="120" w:type="dxa"/>
              <w:bottom w:w="160" w:type="dxa"/>
              <w:right w:w="120" w:type="dxa"/>
            </w:tcMar>
            <w:vAlign w:val="center"/>
          </w:tcPr>
          <w:p>
            <w:pPr>
              <w:pStyle w:val="TableContents"/>
              <w:spacing w:before="0" w:after="0"/>
              <w:jc w:val="center"/>
              <w:rPr>
                <w:rFonts w:ascii="Arial" w:hAnsi="Arial"/>
                <w:b/>
                <w:sz w:val="15"/>
              </w:rPr>
            </w:pPr>
            <w:r>
              <w:rPr>
                <w:rFonts w:ascii="Arial" w:hAnsi="Arial"/>
                <w:b/>
                <w:sz w:val="15"/>
              </w:rPr>
              <w:t>Adjusted</w:t>
              <w:br/>
              <w:t>EBITDA</w:t>
              <w:br/>
              <w:t>(35%)</w:t>
            </w:r>
          </w:p>
        </w:tc>
        <w:tc>
          <w:tcPr>
            <w:tcW w:w="300" w:type="dxa"/>
            <w:tcBorders/>
            <w:shd w:fill="auto" w:val="clear"/>
            <w:vAlign w:val="center"/>
          </w:tcPr>
          <w:p>
            <w:pPr>
              <w:pStyle w:val="TableContents"/>
              <w:spacing w:before="0" w:after="283"/>
              <w:rPr>
                <w:sz w:val="4"/>
                <w:szCs w:val="4"/>
              </w:rPr>
            </w:pPr>
            <w:r>
              <w:rPr>
                <w:sz w:val="4"/>
                <w:szCs w:val="4"/>
              </w:rPr>
            </w:r>
          </w:p>
        </w:tc>
        <w:tc>
          <w:tcPr>
            <w:tcW w:w="784" w:type="dxa"/>
            <w:gridSpan w:val="2"/>
            <w:tcBorders>
              <w:top w:val="single" w:sz="12" w:space="0" w:color="00A1E0"/>
              <w:left w:val="single" w:sz="12" w:space="0" w:color="00A1E0"/>
              <w:bottom w:val="single" w:sz="12" w:space="0" w:color="00A1E0"/>
              <w:right w:val="single" w:sz="12" w:space="0" w:color="00A1E0"/>
            </w:tcBorders>
            <w:shd w:fill="auto" w:val="clear"/>
            <w:tcMar>
              <w:top w:w="160" w:type="dxa"/>
              <w:left w:w="120" w:type="dxa"/>
              <w:bottom w:w="160" w:type="dxa"/>
              <w:right w:w="120" w:type="dxa"/>
            </w:tcMar>
            <w:vAlign w:val="center"/>
          </w:tcPr>
          <w:p>
            <w:pPr>
              <w:pStyle w:val="TableContents"/>
              <w:spacing w:before="0" w:after="0"/>
              <w:jc w:val="center"/>
              <w:rPr>
                <w:rFonts w:ascii="Arial" w:hAnsi="Arial"/>
                <w:b/>
                <w:sz w:val="15"/>
              </w:rPr>
            </w:pPr>
            <w:r>
              <w:rPr>
                <w:rFonts w:ascii="Arial" w:hAnsi="Arial"/>
                <w:b/>
                <w:sz w:val="15"/>
              </w:rPr>
              <w:t>Free</w:t>
              <w:br/>
              <w:t>Cash Flow</w:t>
              <w:br/>
              <w:t>(28%)</w:t>
            </w:r>
          </w:p>
        </w:tc>
        <w:tc>
          <w:tcPr>
            <w:tcW w:w="300" w:type="dxa"/>
            <w:tcBorders/>
            <w:shd w:fill="auto" w:val="clear"/>
            <w:vAlign w:val="center"/>
          </w:tcPr>
          <w:p>
            <w:pPr>
              <w:pStyle w:val="TableContents"/>
              <w:spacing w:before="0" w:after="283"/>
              <w:rPr>
                <w:sz w:val="4"/>
                <w:szCs w:val="4"/>
              </w:rPr>
            </w:pPr>
            <w:r>
              <w:rPr>
                <w:sz w:val="4"/>
                <w:szCs w:val="4"/>
              </w:rPr>
            </w:r>
          </w:p>
        </w:tc>
        <w:tc>
          <w:tcPr>
            <w:tcW w:w="665" w:type="dxa"/>
            <w:gridSpan w:val="2"/>
            <w:tcBorders>
              <w:top w:val="single" w:sz="12" w:space="0" w:color="00A1E0"/>
              <w:left w:val="single" w:sz="12" w:space="0" w:color="00A1E0"/>
              <w:bottom w:val="single" w:sz="12" w:space="0" w:color="00A1E0"/>
              <w:right w:val="single" w:sz="12" w:space="0" w:color="00A1E0"/>
            </w:tcBorders>
            <w:shd w:fill="auto" w:val="clear"/>
            <w:tcMar>
              <w:top w:w="160" w:type="dxa"/>
              <w:left w:w="120" w:type="dxa"/>
              <w:bottom w:w="160" w:type="dxa"/>
              <w:right w:w="120" w:type="dxa"/>
            </w:tcMar>
            <w:vAlign w:val="center"/>
          </w:tcPr>
          <w:p>
            <w:pPr>
              <w:pStyle w:val="TableContents"/>
              <w:spacing w:before="0" w:after="0"/>
              <w:jc w:val="center"/>
              <w:rPr>
                <w:rFonts w:ascii="Arial" w:hAnsi="Arial"/>
                <w:b/>
                <w:sz w:val="15"/>
              </w:rPr>
            </w:pPr>
            <w:r>
              <w:rPr>
                <w:rFonts w:ascii="Arial" w:hAnsi="Arial"/>
                <w:b/>
                <w:sz w:val="15"/>
              </w:rPr>
              <w:t>Revenue</w:t>
              <w:br/>
              <w:t>(7%)</w:t>
            </w:r>
          </w:p>
        </w:tc>
        <w:tc>
          <w:tcPr>
            <w:tcW w:w="300" w:type="dxa"/>
            <w:tcBorders/>
            <w:shd w:fill="auto" w:val="clear"/>
            <w:vAlign w:val="center"/>
          </w:tcPr>
          <w:p>
            <w:pPr>
              <w:pStyle w:val="TableContents"/>
              <w:spacing w:before="0" w:after="283"/>
              <w:rPr>
                <w:sz w:val="4"/>
                <w:szCs w:val="4"/>
              </w:rPr>
            </w:pPr>
            <w:r>
              <w:rPr>
                <w:sz w:val="4"/>
                <w:szCs w:val="4"/>
              </w:rPr>
            </w:r>
          </w:p>
        </w:tc>
        <w:tc>
          <w:tcPr>
            <w:tcW w:w="2989" w:type="dxa"/>
            <w:gridSpan w:val="2"/>
            <w:tcBorders>
              <w:top w:val="single" w:sz="12" w:space="0" w:color="69BDEA"/>
              <w:left w:val="single" w:sz="12" w:space="0" w:color="69BDEA"/>
              <w:bottom w:val="single" w:sz="12" w:space="0" w:color="69BDEA"/>
              <w:right w:val="single" w:sz="12" w:space="0" w:color="69BDEA"/>
            </w:tcBorders>
            <w:shd w:fill="auto" w:val="clear"/>
            <w:tcMar>
              <w:top w:w="160" w:type="dxa"/>
              <w:left w:w="120" w:type="dxa"/>
              <w:bottom w:w="160" w:type="dxa"/>
              <w:right w:w="120" w:type="dxa"/>
            </w:tcMar>
            <w:vAlign w:val="center"/>
          </w:tcPr>
          <w:p>
            <w:pPr>
              <w:pStyle w:val="TableContents"/>
              <w:spacing w:before="0" w:after="0"/>
              <w:jc w:val="center"/>
              <w:rPr>
                <w:rFonts w:ascii="Arial" w:hAnsi="Arial"/>
                <w:b/>
                <w:sz w:val="15"/>
              </w:rPr>
            </w:pPr>
            <w:r>
              <w:rPr>
                <w:rFonts w:ascii="Arial" w:hAnsi="Arial"/>
                <w:b/>
                <w:sz w:val="15"/>
              </w:rPr>
              <w:t>Customer Growth, Customer</w:t>
              <w:br/>
              <w:t>Experience, Global Technology Platform</w:t>
              <w:br/>
              <w:t>&amp; Organizational Collaboration</w:t>
            </w:r>
          </w:p>
        </w:tc>
        <w:tc>
          <w:tcPr>
            <w:tcW w:w="300" w:type="dxa"/>
            <w:tcBorders/>
            <w:shd w:fill="auto" w:val="clear"/>
            <w:vAlign w:val="center"/>
          </w:tcPr>
          <w:p>
            <w:pPr>
              <w:pStyle w:val="TableContents"/>
              <w:spacing w:before="0" w:after="283"/>
              <w:rPr>
                <w:sz w:val="4"/>
                <w:szCs w:val="4"/>
              </w:rPr>
            </w:pPr>
            <w:r>
              <w:rPr>
                <w:sz w:val="4"/>
                <w:szCs w:val="4"/>
              </w:rPr>
            </w:r>
          </w:p>
        </w:tc>
        <w:tc>
          <w:tcPr>
            <w:tcW w:w="2660" w:type="dxa"/>
            <w:gridSpan w:val="2"/>
            <w:tcBorders>
              <w:top w:val="single" w:sz="12" w:space="0" w:color="9AD0F0"/>
              <w:left w:val="single" w:sz="12" w:space="0" w:color="9AD0F0"/>
              <w:bottom w:val="single" w:sz="12" w:space="0" w:color="9AD0F0"/>
              <w:right w:val="single" w:sz="12" w:space="0" w:color="9AD0F0"/>
            </w:tcBorders>
            <w:shd w:fill="auto" w:val="clear"/>
            <w:tcMar>
              <w:top w:w="160" w:type="dxa"/>
              <w:left w:w="120" w:type="dxa"/>
              <w:bottom w:w="160" w:type="dxa"/>
              <w:right w:w="120" w:type="dxa"/>
            </w:tcMar>
            <w:vAlign w:val="center"/>
          </w:tcPr>
          <w:p>
            <w:pPr>
              <w:pStyle w:val="TableContents"/>
              <w:spacing w:before="0" w:after="0"/>
              <w:jc w:val="center"/>
              <w:rPr>
                <w:rFonts w:ascii="Arial" w:hAnsi="Arial"/>
                <w:b/>
                <w:sz w:val="15"/>
              </w:rPr>
            </w:pPr>
            <w:r>
              <w:rPr>
                <w:rFonts w:ascii="Arial" w:hAnsi="Arial"/>
                <w:b/>
                <w:sz w:val="15"/>
              </w:rPr>
              <w:t>Bridging the Digital Divide, DE&amp;I,</w:t>
              <w:br/>
              <w:t>Environmental Sustainability &amp;</w:t>
              <w:br/>
              <w:t>Company Culture</w:t>
            </w:r>
          </w:p>
        </w:tc>
      </w:tr>
    </w:tbl>
    <w:p>
      <w:pPr>
        <w:pStyle w:val="TextBody"/>
        <w:jc w:val="left"/>
        <w:rPr>
          <w:rFonts w:ascii="Arial" w:hAnsi="Arial"/>
          <w:b/>
          <w:color w:val="00A1E0"/>
          <w:sz w:val="20"/>
        </w:rPr>
      </w:pPr>
      <w:r>
        <w:rPr>
          <w:rFonts w:ascii="Arial" w:hAnsi="Arial"/>
          <w:b/>
          <w:color w:val="00A1E0"/>
          <w:sz w:val="20"/>
        </w:rPr>
        <w:t>Financial Metrics and Results</w:t>
      </w:r>
    </w:p>
    <w:p>
      <w:pPr>
        <w:pStyle w:val="TextBody"/>
        <w:jc w:val="left"/>
        <w:rPr>
          <w:rFonts w:ascii="Arial" w:hAnsi="Arial"/>
          <w:sz w:val="20"/>
        </w:rPr>
      </w:pPr>
      <w:r>
        <w:rPr>
          <w:rFonts w:ascii="Arial" w:hAnsi="Arial"/>
          <w:sz w:val="20"/>
        </w:rPr>
        <w:t>The performance ranges below were used as the financial performance metrics for the NEOs’ 2022 target bonus. Achievement for each financial metric would be zero if performance is below the minimum threshold of the metric’s range, with potential payouts ranging from 14% if achievement for all three financial metrics is at the low end of the range to a maximum of 140% for achievement of all three metrics at the top end of the range. See “2022 Performance” above for a description of our strong financial performance in 2022.</w:t>
      </w:r>
    </w:p>
    <w:tbl>
      <w:tblPr>
        <w:tblW w:w="5520" w:type="dxa"/>
        <w:jc w:val="left"/>
        <w:tblInd w:w="0" w:type="dxa"/>
        <w:tblCellMar>
          <w:top w:w="0" w:type="dxa"/>
          <w:left w:w="0" w:type="dxa"/>
          <w:bottom w:w="40" w:type="dxa"/>
          <w:right w:w="0" w:type="dxa"/>
        </w:tblCellMar>
      </w:tblPr>
      <w:tblGrid>
        <w:gridCol w:w="1625"/>
        <w:gridCol w:w="2330"/>
        <w:gridCol w:w="300"/>
        <w:gridCol w:w="1265"/>
      </w:tblGrid>
      <w:tr>
        <w:trPr/>
        <w:tc>
          <w:tcPr>
            <w:tcW w:w="1625" w:type="dxa"/>
            <w:tcBorders>
              <w:bottom w:val="single" w:sz="12" w:space="0" w:color="000000"/>
            </w:tcBorders>
            <w:shd w:fill="auto" w:val="clear"/>
            <w:vAlign w:val="center"/>
          </w:tcPr>
          <w:p>
            <w:pPr>
              <w:pStyle w:val="TableContents"/>
              <w:spacing w:before="0" w:after="283"/>
              <w:rPr>
                <w:sz w:val="4"/>
                <w:szCs w:val="4"/>
              </w:rPr>
            </w:pPr>
            <w:r>
              <w:rPr>
                <w:sz w:val="4"/>
                <w:szCs w:val="4"/>
              </w:rPr>
            </w:r>
          </w:p>
        </w:tc>
        <w:tc>
          <w:tcPr>
            <w:tcW w:w="2330" w:type="dxa"/>
            <w:tcBorders>
              <w:bottom w:val="single" w:sz="12" w:space="0" w:color="000000"/>
            </w:tcBorders>
            <w:shd w:fill="auto" w:val="clear"/>
            <w:vAlign w:val="center"/>
          </w:tcPr>
          <w:p>
            <w:pPr>
              <w:pStyle w:val="TableContents"/>
              <w:spacing w:before="0" w:after="283"/>
              <w:jc w:val="center"/>
              <w:rPr>
                <w:rFonts w:ascii="Arial" w:hAnsi="Arial"/>
                <w:b/>
                <w:sz w:val="15"/>
              </w:rPr>
            </w:pPr>
            <w:r>
              <w:rPr>
                <w:rFonts w:ascii="Arial" w:hAnsi="Arial"/>
                <w:b/>
                <w:sz w:val="15"/>
              </w:rPr>
              <w:t>2022 PERFORMANCE RANGE</w:t>
            </w:r>
            <w:r>
              <w:rPr>
                <w:rFonts w:ascii="Arial" w:hAnsi="Arial"/>
                <w:b/>
                <w:position w:val="5"/>
                <w:sz w:val="12"/>
                <w:sz w:val="15"/>
              </w:rPr>
              <w:t>(1)</w:t>
            </w:r>
            <w:r>
              <w:rPr>
                <w:rFonts w:ascii="Arial" w:hAnsi="Arial"/>
                <w:b/>
                <w:sz w:val="15"/>
              </w:rPr>
              <w:br/>
              <w:t>($ IN BILLIONS)</w:t>
            </w:r>
          </w:p>
        </w:tc>
        <w:tc>
          <w:tcPr>
            <w:tcW w:w="300" w:type="dxa"/>
            <w:tcBorders>
              <w:bottom w:val="single" w:sz="12" w:space="0" w:color="000000"/>
            </w:tcBorders>
            <w:shd w:fill="auto" w:val="clear"/>
            <w:vAlign w:val="center"/>
          </w:tcPr>
          <w:p>
            <w:pPr>
              <w:pStyle w:val="TableContents"/>
              <w:spacing w:before="0" w:after="283"/>
              <w:jc w:val="center"/>
              <w:rPr/>
            </w:pPr>
            <w:r>
              <w:rPr/>
              <w:t>     </w:t>
            </w:r>
          </w:p>
        </w:tc>
        <w:tc>
          <w:tcPr>
            <w:tcW w:w="1265" w:type="dxa"/>
            <w:tcBorders>
              <w:bottom w:val="single" w:sz="12" w:space="0" w:color="000000"/>
            </w:tcBorders>
            <w:shd w:fill="auto" w:val="clear"/>
            <w:vAlign w:val="center"/>
          </w:tcPr>
          <w:p>
            <w:pPr>
              <w:pStyle w:val="TableContents"/>
              <w:spacing w:before="0" w:after="283"/>
              <w:jc w:val="right"/>
              <w:rPr>
                <w:rFonts w:ascii="Arial" w:hAnsi="Arial"/>
                <w:b/>
                <w:sz w:val="15"/>
              </w:rPr>
            </w:pPr>
            <w:r>
              <w:rPr>
                <w:rFonts w:ascii="Arial" w:hAnsi="Arial"/>
                <w:b/>
                <w:sz w:val="15"/>
              </w:rPr>
              <w:t>2022 ACTUAL</w:t>
              <w:br/>
              <w:t>ACHIEVEMENT</w:t>
            </w:r>
            <w:r>
              <w:rPr>
                <w:rFonts w:ascii="Arial" w:hAnsi="Arial"/>
                <w:b/>
                <w:position w:val="5"/>
                <w:sz w:val="12"/>
                <w:sz w:val="15"/>
              </w:rPr>
              <w:t>(2)</w:t>
            </w:r>
          </w:p>
        </w:tc>
      </w:tr>
      <w:tr>
        <w:trPr/>
        <w:tc>
          <w:tcPr>
            <w:tcW w:w="1625" w:type="dxa"/>
            <w:tcBorders>
              <w:bottom w:val="single" w:sz="8" w:space="0" w:color="000000"/>
            </w:tcBorders>
            <w:shd w:fill="auto" w:val="clear"/>
            <w:tcMar>
              <w:bottom w:w="28" w:type="dxa"/>
            </w:tcMar>
            <w:vAlign w:val="center"/>
          </w:tcPr>
          <w:p>
            <w:pPr>
              <w:pStyle w:val="TableContents"/>
              <w:spacing w:before="0" w:after="283"/>
              <w:jc w:val="left"/>
              <w:rPr>
                <w:rFonts w:ascii="Arial" w:hAnsi="Arial"/>
                <w:b/>
                <w:sz w:val="20"/>
              </w:rPr>
            </w:pPr>
            <w:r>
              <w:rPr>
                <w:rFonts w:ascii="Arial" w:hAnsi="Arial"/>
                <w:b/>
                <w:sz w:val="20"/>
              </w:rPr>
              <w:t>Adjusted EBITDA</w:t>
            </w:r>
          </w:p>
        </w:tc>
        <w:tc>
          <w:tcPr>
            <w:tcW w:w="233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35.099 – 40.641</w:t>
            </w:r>
          </w:p>
        </w:tc>
        <w:tc>
          <w:tcPr>
            <w:tcW w:w="3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65"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33%</w:t>
            </w:r>
          </w:p>
        </w:tc>
      </w:tr>
      <w:tr>
        <w:trPr/>
        <w:tc>
          <w:tcPr>
            <w:tcW w:w="1625" w:type="dxa"/>
            <w:tcBorders>
              <w:bottom w:val="single" w:sz="8" w:space="0" w:color="000000"/>
            </w:tcBorders>
            <w:shd w:fill="auto" w:val="clear"/>
            <w:tcMar>
              <w:bottom w:w="28" w:type="dxa"/>
            </w:tcMar>
            <w:vAlign w:val="center"/>
          </w:tcPr>
          <w:p>
            <w:pPr>
              <w:pStyle w:val="TableContents"/>
              <w:spacing w:before="0" w:after="283"/>
              <w:jc w:val="left"/>
              <w:rPr>
                <w:rFonts w:ascii="Arial" w:hAnsi="Arial"/>
                <w:b/>
                <w:sz w:val="20"/>
              </w:rPr>
            </w:pPr>
            <w:r>
              <w:rPr>
                <w:rFonts w:ascii="Arial" w:hAnsi="Arial"/>
                <w:b/>
                <w:sz w:val="20"/>
              </w:rPr>
              <w:t>Free Cash Flow</w:t>
            </w:r>
          </w:p>
        </w:tc>
        <w:tc>
          <w:tcPr>
            <w:tcW w:w="233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10.888 – 16.652</w:t>
            </w:r>
          </w:p>
        </w:tc>
        <w:tc>
          <w:tcPr>
            <w:tcW w:w="3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65"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28%</w:t>
            </w:r>
          </w:p>
        </w:tc>
      </w:tr>
      <w:tr>
        <w:trPr/>
        <w:tc>
          <w:tcPr>
            <w:tcW w:w="1625" w:type="dxa"/>
            <w:tcBorders>
              <w:bottom w:val="single" w:sz="8" w:space="0" w:color="000000"/>
            </w:tcBorders>
            <w:shd w:fill="auto" w:val="clear"/>
            <w:tcMar>
              <w:bottom w:w="28" w:type="dxa"/>
            </w:tcMar>
            <w:vAlign w:val="center"/>
          </w:tcPr>
          <w:p>
            <w:pPr>
              <w:pStyle w:val="TableContents"/>
              <w:spacing w:before="0" w:after="283"/>
              <w:jc w:val="left"/>
              <w:rPr>
                <w:rFonts w:ascii="Arial" w:hAnsi="Arial"/>
                <w:b/>
                <w:sz w:val="20"/>
              </w:rPr>
            </w:pPr>
            <w:r>
              <w:rPr>
                <w:rFonts w:ascii="Arial" w:hAnsi="Arial"/>
                <w:b/>
                <w:sz w:val="20"/>
              </w:rPr>
              <w:t>Revenue</w:t>
            </w:r>
          </w:p>
        </w:tc>
        <w:tc>
          <w:tcPr>
            <w:tcW w:w="233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120.034 – 138.987</w:t>
            </w:r>
          </w:p>
        </w:tc>
        <w:tc>
          <w:tcPr>
            <w:tcW w:w="3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65"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6%</w:t>
            </w:r>
          </w:p>
        </w:tc>
      </w:tr>
      <w:tr>
        <w:trPr/>
        <w:tc>
          <w:tcPr>
            <w:tcW w:w="1625" w:type="dxa"/>
            <w:tcBorders>
              <w:bottom w:val="single" w:sz="8" w:space="0" w:color="000000"/>
            </w:tcBorders>
            <w:shd w:fill="auto" w:val="clear"/>
            <w:tcMar>
              <w:bottom w:w="28" w:type="dxa"/>
            </w:tcMar>
            <w:vAlign w:val="center"/>
          </w:tcPr>
          <w:p>
            <w:pPr>
              <w:pStyle w:val="TableContents"/>
              <w:spacing w:before="0" w:after="283"/>
              <w:jc w:val="left"/>
              <w:rPr>
                <w:rFonts w:ascii="Arial" w:hAnsi="Arial"/>
                <w:b/>
                <w:sz w:val="20"/>
              </w:rPr>
            </w:pPr>
            <w:r>
              <w:rPr>
                <w:rFonts w:ascii="Arial" w:hAnsi="Arial"/>
                <w:b/>
                <w:sz w:val="20"/>
              </w:rPr>
              <w:t>Total</w:t>
            </w:r>
          </w:p>
        </w:tc>
        <w:tc>
          <w:tcPr>
            <w:tcW w:w="233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3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65"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67%</w:t>
            </w:r>
          </w:p>
        </w:tc>
      </w:tr>
    </w:tbl>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(1)</w:t>
            </w:r>
          </w:p>
        </w:tc>
        <w:tc>
          <w:tcPr>
            <w:tcW w:w="10050" w:type="dxa"/>
            <w:tcBorders/>
            <w:shd w:fill="auto" w:val="clear"/>
            <w:vAlign w:val="center"/>
          </w:tcPr>
          <w:p>
            <w:pPr>
              <w:pStyle w:val="TableContents"/>
              <w:spacing w:before="0" w:after="283"/>
              <w:jc w:val="left"/>
              <w:rPr>
                <w:rFonts w:ascii="Arial" w:hAnsi="Arial"/>
                <w:sz w:val="15"/>
              </w:rPr>
            </w:pPr>
            <w:r>
              <w:rPr>
                <w:rFonts w:ascii="Arial" w:hAnsi="Arial"/>
                <w:sz w:val="15"/>
              </w:rPr>
              <w:t>Amounts reflected are on a consolidated basis and have been adjusted to reflect Sky results on a constant currency basis.</w:t>
            </w:r>
          </w:p>
        </w:tc>
      </w:tr>
      <w:tr>
        <w:trPr/>
        <w:tc>
          <w:tcPr>
            <w:tcW w:w="155"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(2)</w:t>
            </w:r>
          </w:p>
        </w:tc>
        <w:tc>
          <w:tcPr>
            <w:tcW w:w="10050" w:type="dxa"/>
            <w:tcBorders/>
            <w:shd w:fill="auto" w:val="clear"/>
            <w:vAlign w:val="center"/>
          </w:tcPr>
          <w:p>
            <w:pPr>
              <w:pStyle w:val="TableContents"/>
              <w:spacing w:before="0" w:after="283"/>
              <w:jc w:val="left"/>
              <w:rPr>
                <w:rFonts w:ascii="Arial" w:hAnsi="Arial"/>
                <w:sz w:val="15"/>
              </w:rPr>
            </w:pPr>
            <w:r>
              <w:rPr>
                <w:rFonts w:ascii="Arial" w:hAnsi="Arial"/>
                <w:sz w:val="15"/>
              </w:rPr>
              <w:t>Achievement percentages are interpolated linearly between specified achievement levels and are presented based on the maximum weighted levels of achievement described in the section immediately above.</w:t>
            </w:r>
          </w:p>
        </w:tc>
      </w:tr>
    </w:tbl>
    <w:p>
      <w:pPr>
        <w:pStyle w:val="TextBody"/>
        <w:spacing w:before="240" w:after="283"/>
        <w:jc w:val="left"/>
        <w:rPr>
          <w:rFonts w:ascii="Arial" w:hAnsi="Arial"/>
          <w:color w:val="00A1E0"/>
          <w:sz w:val="20"/>
        </w:rPr>
      </w:pPr>
      <w:r>
        <w:rPr>
          <w:rFonts w:ascii="Arial" w:hAnsi="Arial"/>
          <w:color w:val="00A1E0"/>
          <w:sz w:val="20"/>
        </w:rPr>
        <w:t>Operating Performance Goals and Results</w:t>
      </w:r>
    </w:p>
    <w:p>
      <w:pPr>
        <w:pStyle w:val="TextBody"/>
        <w:jc w:val="left"/>
        <w:rPr>
          <w:rFonts w:ascii="Arial" w:hAnsi="Arial"/>
          <w:sz w:val="20"/>
        </w:rPr>
      </w:pPr>
      <w:r>
        <w:rPr>
          <w:rFonts w:ascii="Arial" w:hAnsi="Arial"/>
          <w:sz w:val="20"/>
        </w:rPr>
        <w:t>Operating performance goals accounted for 15% of the 2022 target annual bonus, with potential payouts ranging from 0% to 22.5%. The following goals and performance against those goals were evaluated by the CHC Committee in determining that achievement for 2022 was 17%. These considerations included both quantifiable outcomes as to whether we met or exceeded expectations of achievement and the CHC Committee’s holistic evaluation of the NEOs’ performance, collectively and individually, in executing against strategic operational priorities as described immediately below and in “2022 NEO Performance.” Certain details about the performance of our operating goals are not disclosed due to competitive concerns.</w:t>
      </w:r>
    </w:p>
    <w:tbl>
      <w:tblPr>
        <w:tblW w:w="223" w:type="dxa"/>
        <w:jc w:val="left"/>
        <w:tblInd w:w="0" w:type="dxa"/>
        <w:tblCellMar>
          <w:top w:w="0" w:type="dxa"/>
          <w:left w:w="0" w:type="dxa"/>
          <w:bottom w:w="0" w:type="dxa"/>
          <w:right w:w="0" w:type="dxa"/>
        </w:tblCellMar>
      </w:tblPr>
      <w:tblGrid>
        <w:gridCol w:w="200"/>
        <w:gridCol w:w="23"/>
      </w:tblGrid>
      <w:tr>
        <w:trPr/>
        <w:tc>
          <w:tcPr>
            <w:tcW w:w="200" w:type="dxa"/>
            <w:tcBorders/>
            <w:shd w:fill="auto" w:val="clear"/>
            <w:vAlign w:val="center"/>
          </w:tcPr>
          <w:p>
            <w:pPr>
              <w:pStyle w:val="TableContents"/>
              <w:spacing w:before="0" w:after="283"/>
              <w:jc w:val="left"/>
              <w:rPr>
                <w:rFonts w:ascii="Arial" w:hAnsi="Arial"/>
                <w:b/>
                <w:sz w:val="15"/>
              </w:rPr>
            </w:pPr>
            <w:r>
              <w:rPr>
                <w:rFonts w:ascii="Arial" w:hAnsi="Arial"/>
                <w:b/>
                <w:sz w:val="15"/>
              </w:rPr>
              <w:t>44</w:t>
            </w:r>
          </w:p>
        </w:tc>
        <w:tc>
          <w:tcPr>
            <w:tcW w:w="2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10205" w:type="dxa"/>
        <w:jc w:val="left"/>
        <w:tblInd w:w="0" w:type="dxa"/>
        <w:tblCellMar>
          <w:top w:w="0" w:type="dxa"/>
          <w:left w:w="0" w:type="dxa"/>
          <w:bottom w:w="40" w:type="dxa"/>
          <w:right w:w="0" w:type="dxa"/>
        </w:tblCellMar>
      </w:tblPr>
      <w:tblGrid>
        <w:gridCol w:w="1580"/>
        <w:gridCol w:w="8625"/>
      </w:tblGrid>
      <w:tr>
        <w:trPr/>
        <w:tc>
          <w:tcPr>
            <w:tcW w:w="1580" w:type="dxa"/>
            <w:tcBorders>
              <w:bottom w:val="single" w:sz="16" w:space="0" w:color="000000"/>
            </w:tcBorders>
            <w:shd w:fill="auto" w:val="clear"/>
            <w:vAlign w:val="center"/>
          </w:tcPr>
          <w:p>
            <w:pPr>
              <w:pStyle w:val="TableContents"/>
              <w:spacing w:before="0" w:after="283"/>
              <w:jc w:val="left"/>
              <w:rPr>
                <w:rFonts w:ascii="Arial" w:hAnsi="Arial"/>
                <w:b/>
                <w:sz w:val="15"/>
              </w:rPr>
            </w:pPr>
            <w:r>
              <w:rPr>
                <w:rFonts w:ascii="Arial" w:hAnsi="Arial"/>
                <w:b/>
                <w:sz w:val="15"/>
              </w:rPr>
              <w:t>GOALS</w:t>
            </w:r>
          </w:p>
        </w:tc>
        <w:tc>
          <w:tcPr>
            <w:tcW w:w="8625" w:type="dxa"/>
            <w:tcBorders>
              <w:bottom w:val="single" w:sz="16" w:space="0" w:color="000000"/>
            </w:tcBorders>
            <w:shd w:fill="auto" w:val="clear"/>
            <w:vAlign w:val="center"/>
          </w:tcPr>
          <w:p>
            <w:pPr>
              <w:pStyle w:val="TableContents"/>
              <w:spacing w:before="0" w:after="283"/>
              <w:jc w:val="left"/>
              <w:rPr>
                <w:rFonts w:ascii="Arial" w:hAnsi="Arial"/>
                <w:b/>
                <w:sz w:val="15"/>
              </w:rPr>
            </w:pPr>
            <w:r>
              <w:rPr>
                <w:rFonts w:ascii="Arial" w:hAnsi="Arial"/>
                <w:b/>
                <w:sz w:val="15"/>
              </w:rPr>
              <w:t>2022 PERFORMANCE CONSIDERATIONS</w:t>
            </w:r>
          </w:p>
        </w:tc>
      </w:tr>
      <w:tr>
        <w:trPr/>
        <w:tc>
          <w:tcPr>
            <w:tcW w:w="1580" w:type="dxa"/>
            <w:tcBorders>
              <w:bottom w:val="single" w:sz="8" w:space="0" w:color="000000"/>
            </w:tcBorders>
            <w:shd w:fill="ECF6FA" w:val="clear"/>
            <w:tcMar>
              <w:bottom w:w="80" w:type="dxa"/>
            </w:tcMar>
            <w:vAlign w:val="center"/>
          </w:tcPr>
          <w:p>
            <w:pPr>
              <w:pStyle w:val="TableContents"/>
              <w:spacing w:before="0" w:after="283"/>
              <w:jc w:val="left"/>
              <w:rPr>
                <w:rFonts w:ascii="Arial" w:hAnsi="Arial"/>
                <w:b/>
                <w:sz w:val="20"/>
              </w:rPr>
            </w:pPr>
            <w:r>
              <w:rPr>
                <w:rFonts w:ascii="Arial" w:hAnsi="Arial"/>
                <w:b/>
                <w:sz w:val="20"/>
              </w:rPr>
              <w:t>Xfinity Mobile Performance</w:t>
            </w:r>
          </w:p>
        </w:tc>
        <w:tc>
          <w:tcPr>
            <w:tcW w:w="8625" w:type="dxa"/>
            <w:tcBorders>
              <w:bottom w:val="single" w:sz="8" w:space="0" w:color="000000"/>
            </w:tcBorders>
            <w:shd w:fill="ECF6FA" w:val="clear"/>
            <w:tcMar>
              <w:bottom w:w="80" w:type="dxa"/>
            </w:tcMar>
            <w:vAlign w:val="center"/>
          </w:tcPr>
          <w:p>
            <w:pPr>
              <w:pStyle w:val="TableContents"/>
              <w:spacing w:before="0" w:after="283"/>
              <w:jc w:val="left"/>
              <w:rPr>
                <w:rFonts w:ascii="Arial" w:hAnsi="Arial"/>
                <w:sz w:val="20"/>
              </w:rPr>
            </w:pPr>
            <w:r>
              <w:rPr>
                <w:rFonts w:ascii="Arial" w:hAnsi="Arial"/>
                <w:sz w:val="20"/>
              </w:rPr>
              <w:t>Comcast Cable wireless customer line net additions were 1.3 million, the best annual result since we launched Xfinity Mobile in 2017, surpassing 5 million customer lines in just 5 years.</w:t>
            </w:r>
          </w:p>
        </w:tc>
      </w:tr>
      <w:tr>
        <w:trPr/>
        <w:tc>
          <w:tcPr>
            <w:tcW w:w="1580" w:type="dxa"/>
            <w:tcBorders>
              <w:bottom w:val="single" w:sz="8" w:space="0" w:color="000000"/>
            </w:tcBorders>
            <w:shd w:fill="auto" w:val="clear"/>
            <w:tcMar>
              <w:bottom w:w="80" w:type="dxa"/>
            </w:tcMar>
            <w:vAlign w:val="center"/>
          </w:tcPr>
          <w:p>
            <w:pPr>
              <w:pStyle w:val="TableContents"/>
              <w:spacing w:before="0" w:after="283"/>
              <w:jc w:val="left"/>
              <w:rPr>
                <w:rFonts w:ascii="Arial" w:hAnsi="Arial"/>
                <w:b/>
                <w:sz w:val="20"/>
              </w:rPr>
            </w:pPr>
            <w:r>
              <w:rPr>
                <w:rFonts w:ascii="Arial" w:hAnsi="Arial"/>
                <w:b/>
                <w:sz w:val="20"/>
              </w:rPr>
              <w:t>Customer Growth</w:t>
            </w:r>
          </w:p>
        </w:tc>
        <w:tc>
          <w:tcPr>
            <w:tcW w:w="8625" w:type="dxa"/>
            <w:tcBorders>
              <w:bottom w:val="single" w:sz="8" w:space="0" w:color="000000"/>
            </w:tcBorders>
            <w:shd w:fill="auto" w:val="clear"/>
            <w:tcMar>
              <w:bottom w:w="80" w:type="dxa"/>
            </w:tcMar>
            <w:vAlign w:val="center"/>
          </w:tcPr>
          <w:p>
            <w:pPr>
              <w:pStyle w:val="TableContents"/>
              <w:spacing w:before="0" w:after="283"/>
              <w:jc w:val="left"/>
              <w:rPr>
                <w:rFonts w:ascii="Arial" w:hAnsi="Arial"/>
                <w:sz w:val="20"/>
              </w:rPr>
            </w:pPr>
            <w:r>
              <w:rPr>
                <w:rFonts w:ascii="Arial" w:hAnsi="Arial"/>
                <w:sz w:val="20"/>
              </w:rPr>
              <w:t>Customer relationships across our business totaled over 57 million at the end of 2022, with Comcast Cable and Sky adding 75,000 and 88,000 net customer relationships in 2022, respectively. Peacock also continued its growth – doubling paid subscribers in the U.S. to more than 20 million, and our U.S. theme parks experienced exceptionally strong attendance.</w:t>
            </w:r>
          </w:p>
        </w:tc>
      </w:tr>
      <w:tr>
        <w:trPr/>
        <w:tc>
          <w:tcPr>
            <w:tcW w:w="1580" w:type="dxa"/>
            <w:tcBorders>
              <w:bottom w:val="single" w:sz="8" w:space="0" w:color="000000"/>
            </w:tcBorders>
            <w:shd w:fill="ECF6FA" w:val="clear"/>
            <w:tcMar>
              <w:bottom w:w="80" w:type="dxa"/>
            </w:tcMar>
            <w:vAlign w:val="center"/>
          </w:tcPr>
          <w:p>
            <w:pPr>
              <w:pStyle w:val="TableContents"/>
              <w:spacing w:before="0" w:after="283"/>
              <w:jc w:val="left"/>
              <w:rPr>
                <w:rFonts w:ascii="Arial" w:hAnsi="Arial"/>
                <w:b/>
                <w:sz w:val="20"/>
              </w:rPr>
            </w:pPr>
            <w:r>
              <w:rPr>
                <w:rFonts w:ascii="Arial" w:hAnsi="Arial"/>
                <w:b/>
                <w:sz w:val="20"/>
              </w:rPr>
              <w:t>Customer Experience</w:t>
            </w:r>
          </w:p>
        </w:tc>
        <w:tc>
          <w:tcPr>
            <w:tcW w:w="8625" w:type="dxa"/>
            <w:tcBorders>
              <w:bottom w:val="single" w:sz="8" w:space="0" w:color="000000"/>
            </w:tcBorders>
            <w:shd w:fill="ECF6FA" w:val="clear"/>
            <w:tcMar>
              <w:bottom w:w="80" w:type="dxa"/>
            </w:tcMar>
            <w:vAlign w:val="center"/>
          </w:tcPr>
          <w:p>
            <w:pPr>
              <w:pStyle w:val="TableContents"/>
              <w:spacing w:before="0" w:after="283"/>
              <w:jc w:val="left"/>
              <w:rPr>
                <w:rFonts w:ascii="Arial" w:hAnsi="Arial"/>
                <w:sz w:val="20"/>
              </w:rPr>
            </w:pPr>
            <w:r>
              <w:rPr>
                <w:rFonts w:ascii="Arial" w:hAnsi="Arial"/>
                <w:sz w:val="20"/>
              </w:rPr>
              <w:t>Comcast Cable’s customer experience includes our net promoter score (“NPS”), unique and agent contact rate and other customer experience metrics. In 2022, we improved our transactional NPS, reduced our unique and agent contact rate, and through our continued enhancement and promotion of our digital tools, reduced the number of truck rolls. These metrics, together with maintaining customer churn at near record low levels and growing customer relationships, reflect continued progress in further improving the customer experience.</w:t>
            </w:r>
          </w:p>
        </w:tc>
      </w:tr>
      <w:tr>
        <w:trPr/>
        <w:tc>
          <w:tcPr>
            <w:tcW w:w="1580" w:type="dxa"/>
            <w:tcBorders>
              <w:bottom w:val="single" w:sz="8" w:space="0" w:color="000000"/>
            </w:tcBorders>
            <w:shd w:fill="auto" w:val="clear"/>
            <w:tcMar>
              <w:bottom w:w="80" w:type="dxa"/>
            </w:tcMar>
            <w:vAlign w:val="center"/>
          </w:tcPr>
          <w:p>
            <w:pPr>
              <w:pStyle w:val="TableContents"/>
              <w:spacing w:before="0" w:after="283"/>
              <w:jc w:val="left"/>
              <w:rPr>
                <w:rFonts w:ascii="Arial" w:hAnsi="Arial"/>
                <w:b/>
                <w:sz w:val="20"/>
              </w:rPr>
            </w:pPr>
            <w:r>
              <w:rPr>
                <w:rFonts w:ascii="Arial" w:hAnsi="Arial"/>
                <w:b/>
                <w:sz w:val="20"/>
              </w:rPr>
              <w:t>Global Technology Platform</w:t>
            </w:r>
          </w:p>
        </w:tc>
        <w:tc>
          <w:tcPr>
            <w:tcW w:w="8625" w:type="dxa"/>
            <w:tcBorders>
              <w:bottom w:val="single" w:sz="8" w:space="0" w:color="000000"/>
            </w:tcBorders>
            <w:shd w:fill="auto" w:val="clear"/>
            <w:tcMar>
              <w:bottom w:w="80" w:type="dxa"/>
            </w:tcMar>
            <w:vAlign w:val="center"/>
          </w:tcPr>
          <w:p>
            <w:pPr>
              <w:pStyle w:val="TableContents"/>
              <w:spacing w:before="0" w:after="283"/>
              <w:jc w:val="left"/>
              <w:rPr>
                <w:rFonts w:ascii="Arial" w:hAnsi="Arial"/>
                <w:sz w:val="20"/>
              </w:rPr>
            </w:pPr>
            <w:r>
              <w:rPr>
                <w:rFonts w:ascii="Arial" w:hAnsi="Arial"/>
                <w:sz w:val="20"/>
              </w:rPr>
              <w:t>In 2022, leveraging products and technologies developed through our global technology platform, we formed a joint venture with Charter named Xumo to develop and offer a next-generation streaming platform on a variety of branded 4K streaming devices and smart TVs to millions of new customers. We also made progress toward working collaboratively on our global technology platforms such as Sky Glass, Xfinity X1, Flex and Xumo, as we continue to work on providing more ways to bring the best of our entertainment operating system to more consumers around the world.</w:t>
            </w:r>
          </w:p>
        </w:tc>
      </w:tr>
      <w:tr>
        <w:trPr/>
        <w:tc>
          <w:tcPr>
            <w:tcW w:w="1580" w:type="dxa"/>
            <w:tcBorders>
              <w:bottom w:val="single" w:sz="8" w:space="0" w:color="000000"/>
            </w:tcBorders>
            <w:shd w:fill="ECF6FA" w:val="clear"/>
            <w:tcMar>
              <w:bottom w:w="80" w:type="dxa"/>
            </w:tcMar>
            <w:vAlign w:val="center"/>
          </w:tcPr>
          <w:p>
            <w:pPr>
              <w:pStyle w:val="TableContents"/>
              <w:spacing w:before="0" w:after="283"/>
              <w:jc w:val="left"/>
              <w:rPr>
                <w:rFonts w:ascii="Arial" w:hAnsi="Arial"/>
                <w:b/>
                <w:sz w:val="20"/>
              </w:rPr>
            </w:pPr>
            <w:r>
              <w:rPr>
                <w:rFonts w:ascii="Arial" w:hAnsi="Arial"/>
                <w:b/>
                <w:sz w:val="20"/>
              </w:rPr>
              <w:t>Organizational Collaboration</w:t>
            </w:r>
          </w:p>
        </w:tc>
        <w:tc>
          <w:tcPr>
            <w:tcW w:w="8625" w:type="dxa"/>
            <w:tcBorders>
              <w:bottom w:val="single" w:sz="8" w:space="0" w:color="000000"/>
            </w:tcBorders>
            <w:shd w:fill="ECF6FA" w:val="clear"/>
            <w:tcMar>
              <w:bottom w:w="80" w:type="dxa"/>
            </w:tcMar>
            <w:vAlign w:val="center"/>
          </w:tcPr>
          <w:p>
            <w:pPr>
              <w:pStyle w:val="TableContents"/>
              <w:spacing w:before="0" w:after="283"/>
              <w:jc w:val="left"/>
              <w:rPr>
                <w:rFonts w:ascii="Arial" w:hAnsi="Arial"/>
                <w:sz w:val="20"/>
              </w:rPr>
            </w:pPr>
            <w:r>
              <w:rPr>
                <w:rFonts w:ascii="Arial" w:hAnsi="Arial"/>
                <w:sz w:val="20"/>
              </w:rPr>
              <w:t>Our businesses continued their strong collaboration with one another. For example, Peacock has benefited from distribution domestically through Comcast Cable’s X1 video service and Flex customers, as well as internationally from Sky, and we continued to collaborate on our global technology platform as noted above.</w:t>
            </w:r>
          </w:p>
        </w:tc>
      </w:tr>
    </w:tbl>
    <w:p>
      <w:pPr>
        <w:pStyle w:val="TextBody"/>
        <w:spacing w:before="240" w:after="283"/>
        <w:jc w:val="left"/>
        <w:rPr>
          <w:rFonts w:ascii="Arial" w:hAnsi="Arial"/>
          <w:color w:val="00A1E0"/>
          <w:sz w:val="20"/>
        </w:rPr>
      </w:pPr>
      <w:r>
        <w:rPr>
          <w:rFonts w:ascii="Arial" w:hAnsi="Arial"/>
          <w:color w:val="00A1E0"/>
          <w:sz w:val="20"/>
        </w:rPr>
        <w:t>Stakeholder and Sustainability-Related Goals and Results</w:t>
      </w:r>
    </w:p>
    <w:p>
      <w:pPr>
        <w:pStyle w:val="TextBody"/>
        <w:jc w:val="left"/>
        <w:rPr>
          <w:rFonts w:ascii="Arial" w:hAnsi="Arial"/>
          <w:sz w:val="20"/>
        </w:rPr>
      </w:pPr>
      <w:r>
        <w:rPr>
          <w:rFonts w:ascii="Arial" w:hAnsi="Arial"/>
          <w:sz w:val="20"/>
        </w:rPr>
        <w:t>Stakeholder and sustainability-related goals accounted for 15% of the 2022 target annual bonus, with potential payouts ranging from 0% to 22.5%. The following goals and performance against those goals were considered by the CHC Committee in determining that achievement merited target payout levels. Rather than reducing our stakeholder and sustainability goals to any one metric or set of metrics, these considerations were primarily based on the CHC Committee’s independent and holistic evaluation of the NEOs’ efforts, collectively and individually, to further progress key stakeholder and sustainability initiatives and priorities as described immediately below and in “2022 NEO Performance.”</w:t>
      </w:r>
    </w:p>
    <w:tbl>
      <w:tblPr>
        <w:tblW w:w="10205" w:type="dxa"/>
        <w:jc w:val="left"/>
        <w:tblInd w:w="0" w:type="dxa"/>
        <w:tblCellMar>
          <w:top w:w="0" w:type="dxa"/>
          <w:left w:w="0" w:type="dxa"/>
          <w:bottom w:w="40" w:type="dxa"/>
          <w:right w:w="0" w:type="dxa"/>
        </w:tblCellMar>
      </w:tblPr>
      <w:tblGrid>
        <w:gridCol w:w="1200"/>
        <w:gridCol w:w="9005"/>
      </w:tblGrid>
      <w:tr>
        <w:trPr/>
        <w:tc>
          <w:tcPr>
            <w:tcW w:w="1200" w:type="dxa"/>
            <w:tcBorders>
              <w:bottom w:val="single" w:sz="16" w:space="0" w:color="000000"/>
            </w:tcBorders>
            <w:shd w:fill="auto" w:val="clear"/>
            <w:vAlign w:val="center"/>
          </w:tcPr>
          <w:p>
            <w:pPr>
              <w:pStyle w:val="TableContents"/>
              <w:spacing w:before="0" w:after="283"/>
              <w:jc w:val="left"/>
              <w:rPr>
                <w:rFonts w:ascii="Arial" w:hAnsi="Arial"/>
                <w:b/>
                <w:sz w:val="15"/>
              </w:rPr>
            </w:pPr>
            <w:r>
              <w:rPr>
                <w:rFonts w:ascii="Arial" w:hAnsi="Arial"/>
                <w:b/>
                <w:sz w:val="15"/>
              </w:rPr>
              <w:t>GOALS</w:t>
            </w:r>
          </w:p>
        </w:tc>
        <w:tc>
          <w:tcPr>
            <w:tcW w:w="9005" w:type="dxa"/>
            <w:tcBorders>
              <w:bottom w:val="single" w:sz="16" w:space="0" w:color="000000"/>
            </w:tcBorders>
            <w:shd w:fill="auto" w:val="clear"/>
            <w:vAlign w:val="center"/>
          </w:tcPr>
          <w:p>
            <w:pPr>
              <w:pStyle w:val="TableContents"/>
              <w:spacing w:before="0" w:after="283"/>
              <w:jc w:val="left"/>
              <w:rPr>
                <w:rFonts w:ascii="Arial" w:hAnsi="Arial"/>
                <w:b/>
                <w:sz w:val="15"/>
              </w:rPr>
            </w:pPr>
            <w:r>
              <w:rPr>
                <w:rFonts w:ascii="Arial" w:hAnsi="Arial"/>
                <w:b/>
                <w:sz w:val="15"/>
              </w:rPr>
              <w:t>2022 PERFORMANCE CONSIDERATIONS</w:t>
            </w:r>
          </w:p>
        </w:tc>
      </w:tr>
      <w:tr>
        <w:trPr/>
        <w:tc>
          <w:tcPr>
            <w:tcW w:w="1200" w:type="dxa"/>
            <w:tcBorders>
              <w:bottom w:val="single" w:sz="8" w:space="0" w:color="000000"/>
            </w:tcBorders>
            <w:shd w:fill="ECF6FA" w:val="clear"/>
            <w:tcMar>
              <w:bottom w:w="80" w:type="dxa"/>
            </w:tcMar>
            <w:vAlign w:val="center"/>
          </w:tcPr>
          <w:p>
            <w:pPr>
              <w:pStyle w:val="TableContents"/>
              <w:spacing w:before="0" w:after="283"/>
              <w:jc w:val="left"/>
              <w:rPr>
                <w:rFonts w:ascii="Arial" w:hAnsi="Arial"/>
                <w:b/>
                <w:sz w:val="20"/>
              </w:rPr>
            </w:pPr>
            <w:r>
              <w:rPr>
                <w:rFonts w:ascii="Arial" w:hAnsi="Arial"/>
                <w:b/>
                <w:sz w:val="20"/>
              </w:rPr>
              <w:t>Bridging the Digital Divide</w:t>
            </w:r>
          </w:p>
        </w:tc>
        <w:tc>
          <w:tcPr>
            <w:tcW w:w="9005" w:type="dxa"/>
            <w:tcBorders>
              <w:bottom w:val="single" w:sz="8" w:space="0" w:color="000000"/>
            </w:tcBorders>
            <w:shd w:fill="ECF6FA" w:val="clear"/>
            <w:tcMar>
              <w:bottom w:w="80" w:type="dxa"/>
            </w:tcMar>
            <w:vAlign w:val="center"/>
          </w:tcPr>
          <w:p>
            <w:pPr>
              <w:pStyle w:val="TableContents"/>
              <w:spacing w:before="0" w:after="0"/>
              <w:jc w:val="left"/>
              <w:rPr>
                <w:rFonts w:ascii="Arial" w:hAnsi="Arial"/>
                <w:sz w:val="20"/>
              </w:rPr>
            </w:pPr>
            <w:r>
              <w:rPr>
                <w:rFonts w:ascii="Arial" w:hAnsi="Arial"/>
                <w:sz w:val="20"/>
              </w:rPr>
              <w:t>We continued our strong leadership in bridging the digital divide by actively sponsoring and participating in programs designed to extend our broadband services to underserved and unserved Americans in 2022 by:</w:t>
            </w:r>
          </w:p>
          <w:p>
            <w:pPr>
              <w:pStyle w:val="TableContents"/>
              <w:spacing w:before="0" w:after="0"/>
              <w:ind w:left="0" w:right="0" w:hanging="290"/>
              <w:jc w:val="left"/>
              <w:rPr/>
            </w:pPr>
            <w:r>
              <w:rPr>
                <w:color w:val="00A1E0"/>
              </w:rPr>
              <w:t>●</w:t>
            </w:r>
            <w:r>
              <w:rPr>
                <w:rFonts w:ascii="Arial" w:hAnsi="Arial"/>
                <w:sz w:val="20"/>
              </w:rPr>
              <w:t>Supporting and participating in the federal government’s Affordable Connectivity Program, which enables qualifying low-income customers to apply a financial subsidy to our broadband services, allowing them to receive our Internet Essentials service or our new enhanced Internet Essentials Plus service with twice the download speed – up to 100 Mbps – effectively for free.</w:t>
            </w:r>
          </w:p>
          <w:p>
            <w:pPr>
              <w:pStyle w:val="TableContents"/>
              <w:spacing w:before="0" w:after="0"/>
              <w:ind w:left="0" w:right="0" w:hanging="290"/>
              <w:jc w:val="left"/>
              <w:rPr/>
            </w:pPr>
            <w:r>
              <w:rPr>
                <w:color w:val="00A1E0"/>
              </w:rPr>
              <w:t>●</w:t>
            </w:r>
            <w:r>
              <w:rPr>
                <w:rFonts w:ascii="Arial" w:hAnsi="Arial"/>
                <w:sz w:val="20"/>
              </w:rPr>
              <w:t>Participating in federal, state and local programs designed to fund the expansion of broadband to unserved Americans and extending our network to new areas where reliable, high-speed internet services had been unavailable.</w:t>
            </w:r>
          </w:p>
          <w:p>
            <w:pPr>
              <w:pStyle w:val="TableContents"/>
              <w:spacing w:before="0" w:after="0"/>
              <w:ind w:left="0" w:right="0" w:hanging="290"/>
              <w:jc w:val="left"/>
              <w:rPr/>
            </w:pPr>
            <w:r>
              <w:rPr>
                <w:color w:val="00A1E0"/>
              </w:rPr>
              <w:t>●</w:t>
            </w:r>
            <w:r>
              <w:rPr>
                <w:rFonts w:ascii="Arial" w:hAnsi="Arial"/>
                <w:sz w:val="20"/>
              </w:rPr>
              <w:t>Investing directly in community-based initiatives and programs to launch, support and scale digital navigator programs across the country. Digital navigators are trusted individuals affiliated with local nonprofits, educational institutions or governmental organizations who are trained to help more people sign up for internet service, get devices and connect to skills training and other digital literacy resources.</w:t>
            </w:r>
          </w:p>
        </w:tc>
      </w:tr>
    </w:tbl>
    <w:p>
      <w:pPr>
        <w:pStyle w:val="TextBody"/>
        <w:spacing w:before="0" w:after="0"/>
        <w:rPr/>
      </w:pPr>
      <w:r>
        <w:rPr/>
      </w:r>
    </w:p>
    <w:tbl>
      <w:tblPr>
        <w:tblW w:w="2200" w:type="dxa"/>
        <w:jc w:val="left"/>
        <w:tblInd w:w="0" w:type="dxa"/>
        <w:tblCellMar>
          <w:top w:w="0" w:type="dxa"/>
          <w:left w:w="0" w:type="dxa"/>
          <w:bottom w:w="0" w:type="dxa"/>
          <w:right w:w="0" w:type="dxa"/>
        </w:tblCellMar>
      </w:tblPr>
      <w:tblGrid>
        <w:gridCol w:w="1580"/>
        <w:gridCol w:w="620"/>
      </w:tblGrid>
      <w:tr>
        <w:trPr/>
        <w:tc>
          <w:tcPr>
            <w:tcW w:w="1580" w:type="dxa"/>
            <w:tcBorders/>
            <w:shd w:fill="auto" w:val="clear"/>
            <w:vAlign w:val="center"/>
          </w:tcPr>
          <w:p>
            <w:pPr>
              <w:pStyle w:val="TableContents"/>
              <w:spacing w:before="0" w:after="283"/>
              <w:jc w:val="right"/>
              <w:rPr>
                <w:rFonts w:ascii="Arial" w:hAnsi="Arial"/>
                <w:sz w:val="15"/>
              </w:rPr>
            </w:pPr>
            <w:r>
              <w:rPr>
                <w:rFonts w:ascii="Arial" w:hAnsi="Arial"/>
                <w:sz w:val="15"/>
              </w:rPr>
              <w:t>2023 Proxy Statement</w:t>
            </w:r>
          </w:p>
        </w:tc>
        <w:tc>
          <w:tcPr>
            <w:tcW w:w="620" w:type="dxa"/>
            <w:tcBorders/>
            <w:shd w:fill="auto" w:val="clear"/>
            <w:vAlign w:val="center"/>
          </w:tcPr>
          <w:p>
            <w:pPr>
              <w:pStyle w:val="TableContents"/>
              <w:spacing w:before="0" w:after="283"/>
              <w:jc w:val="right"/>
              <w:rPr/>
            </w:pPr>
            <w:r>
              <w:rPr/>
              <w:t>       </w:t>
            </w:r>
            <w:r>
              <w:rPr>
                <w:rFonts w:ascii="Arial" w:hAnsi="Arial"/>
                <w:b/>
                <w:sz w:val="15"/>
              </w:rPr>
              <w:t>45</w:t>
            </w:r>
          </w:p>
        </w:tc>
      </w:tr>
    </w:tbl>
    <w:p>
      <w:pPr>
        <w:pStyle w:val="HorizontalLine"/>
        <w:rPr/>
      </w:pPr>
      <w:r>
        <w:rPr/>
      </w:r>
    </w:p>
    <w:p>
      <w:pPr>
        <w:pStyle w:val="TextBody"/>
        <w:jc w:val="left"/>
        <w:rPr/>
      </w:pPr>
      <w:hyperlink w:anchor="toc">
        <w:r>
          <w:rPr>
            <w:rStyle w:val="InternetLink"/>
            <w:rFonts w:ascii="Arial" w:hAnsi="Arial"/>
            <w:b/>
            <w:sz w:val="20"/>
          </w:rPr>
          <w:t>Table of Contents</w:t>
        </w:r>
      </w:hyperlink>
    </w:p>
    <w:tbl>
      <w:tblPr>
        <w:tblW w:w="10205" w:type="dxa"/>
        <w:jc w:val="left"/>
        <w:tblInd w:w="0" w:type="dxa"/>
        <w:tblCellMar>
          <w:top w:w="0" w:type="dxa"/>
          <w:left w:w="0" w:type="dxa"/>
          <w:bottom w:w="40" w:type="dxa"/>
          <w:right w:w="0" w:type="dxa"/>
        </w:tblCellMar>
      </w:tblPr>
      <w:tblGrid>
        <w:gridCol w:w="1716"/>
        <w:gridCol w:w="8489"/>
      </w:tblGrid>
      <w:tr>
        <w:trPr/>
        <w:tc>
          <w:tcPr>
            <w:tcW w:w="1716" w:type="dxa"/>
            <w:tcBorders>
              <w:bottom w:val="single" w:sz="16" w:space="0" w:color="000000"/>
            </w:tcBorders>
            <w:shd w:fill="auto" w:val="clear"/>
            <w:vAlign w:val="center"/>
          </w:tcPr>
          <w:p>
            <w:pPr>
              <w:pStyle w:val="TableContents"/>
              <w:spacing w:before="0" w:after="283"/>
              <w:jc w:val="left"/>
              <w:rPr>
                <w:rFonts w:ascii="Arial" w:hAnsi="Arial"/>
                <w:b/>
                <w:sz w:val="15"/>
              </w:rPr>
            </w:pPr>
            <w:r>
              <w:rPr>
                <w:rFonts w:ascii="Arial" w:hAnsi="Arial"/>
                <w:b/>
                <w:sz w:val="15"/>
              </w:rPr>
              <w:t>GOALS</w:t>
            </w:r>
          </w:p>
        </w:tc>
        <w:tc>
          <w:tcPr>
            <w:tcW w:w="8489" w:type="dxa"/>
            <w:tcBorders>
              <w:bottom w:val="single" w:sz="16" w:space="0" w:color="000000"/>
            </w:tcBorders>
            <w:shd w:fill="auto" w:val="clear"/>
            <w:vAlign w:val="center"/>
          </w:tcPr>
          <w:p>
            <w:pPr>
              <w:pStyle w:val="TableContents"/>
              <w:spacing w:before="0" w:after="283"/>
              <w:jc w:val="left"/>
              <w:rPr>
                <w:rFonts w:ascii="Arial" w:hAnsi="Arial"/>
                <w:b/>
                <w:sz w:val="15"/>
              </w:rPr>
            </w:pPr>
            <w:r>
              <w:rPr>
                <w:rFonts w:ascii="Arial" w:hAnsi="Arial"/>
                <w:b/>
                <w:sz w:val="15"/>
              </w:rPr>
              <w:t>2022 PERFORMANCE CONSIDERATIONS</w:t>
            </w:r>
          </w:p>
        </w:tc>
      </w:tr>
      <w:tr>
        <w:trPr/>
        <w:tc>
          <w:tcPr>
            <w:tcW w:w="1716" w:type="dxa"/>
            <w:tcBorders>
              <w:bottom w:val="single" w:sz="8" w:space="0" w:color="000000"/>
            </w:tcBorders>
            <w:shd w:fill="ECF6FA" w:val="clear"/>
            <w:tcMar>
              <w:bottom w:w="80" w:type="dxa"/>
            </w:tcMar>
            <w:vAlign w:val="center"/>
          </w:tcPr>
          <w:p>
            <w:pPr>
              <w:pStyle w:val="TableContents"/>
              <w:spacing w:before="0" w:after="283"/>
              <w:jc w:val="left"/>
              <w:rPr>
                <w:rFonts w:ascii="Arial" w:hAnsi="Arial"/>
                <w:b/>
                <w:sz w:val="20"/>
              </w:rPr>
            </w:pPr>
            <w:r>
              <w:rPr>
                <w:rFonts w:ascii="Arial" w:hAnsi="Arial"/>
                <w:b/>
                <w:sz w:val="20"/>
              </w:rPr>
              <w:t>DE&amp;I</w:t>
            </w:r>
          </w:p>
        </w:tc>
        <w:tc>
          <w:tcPr>
            <w:tcW w:w="8489" w:type="dxa"/>
            <w:tcBorders>
              <w:bottom w:val="single" w:sz="8" w:space="0" w:color="000000"/>
            </w:tcBorders>
            <w:shd w:fill="ECF6FA" w:val="clear"/>
            <w:tcMar>
              <w:bottom w:w="80" w:type="dxa"/>
            </w:tcMar>
            <w:vAlign w:val="center"/>
          </w:tcPr>
          <w:p>
            <w:pPr>
              <w:pStyle w:val="TableContents"/>
              <w:spacing w:before="0" w:after="0"/>
              <w:jc w:val="left"/>
              <w:rPr>
                <w:rFonts w:ascii="Arial" w:hAnsi="Arial"/>
                <w:sz w:val="20"/>
              </w:rPr>
            </w:pPr>
            <w:r>
              <w:rPr>
                <w:rFonts w:ascii="Arial" w:hAnsi="Arial"/>
                <w:sz w:val="20"/>
              </w:rPr>
              <w:t>Our DE&amp;I efforts focus on areas where we believe we can make the most impact given the nature of our business, such as workforce, the programming we create and distribute and the supplier relationships we have. In 2022, we:</w:t>
            </w:r>
          </w:p>
          <w:p>
            <w:pPr>
              <w:pStyle w:val="TableContents"/>
              <w:spacing w:before="0" w:after="0"/>
              <w:ind w:left="0" w:right="0" w:hanging="290"/>
              <w:jc w:val="left"/>
              <w:rPr/>
            </w:pPr>
            <w:r>
              <w:rPr>
                <w:color w:val="00A1E0"/>
              </w:rPr>
              <w:t>●</w:t>
            </w:r>
            <w:r>
              <w:rPr>
                <w:rFonts w:ascii="Arial" w:hAnsi="Arial"/>
                <w:sz w:val="20"/>
              </w:rPr>
              <w:t>Continued our efforts to increase representation in leadership roles, increasing representation of women and people of color in vice president-level and above positions in the United States to approximately 43.7% and 25.3%, respectively.</w:t>
            </w:r>
          </w:p>
          <w:p>
            <w:pPr>
              <w:pStyle w:val="TableContents"/>
              <w:spacing w:before="0" w:after="0"/>
              <w:ind w:left="0" w:right="0" w:hanging="290"/>
              <w:jc w:val="left"/>
              <w:rPr/>
            </w:pPr>
            <w:r>
              <w:rPr>
                <w:color w:val="00A1E0"/>
              </w:rPr>
              <w:t>●</w:t>
            </w:r>
            <w:r>
              <w:rPr>
                <w:rFonts w:ascii="Arial" w:hAnsi="Arial"/>
                <w:sz w:val="20"/>
              </w:rPr>
              <w:t>Continued to amplify diverse voices and cultures through our media platforms, including Xfinity’s curated On Demand special collections, NBCUniversal’s ‘The More You Know’ series of public service announcements and diverse representation in front of and behind the camera of NBCUniversal filmed entertainment and news productions.</w:t>
            </w:r>
          </w:p>
          <w:p>
            <w:pPr>
              <w:pStyle w:val="TableContents"/>
              <w:spacing w:before="0" w:after="0"/>
              <w:ind w:left="0" w:right="0" w:hanging="290"/>
              <w:jc w:val="left"/>
              <w:rPr/>
            </w:pPr>
            <w:r>
              <w:rPr>
                <w:color w:val="00A1E0"/>
              </w:rPr>
              <w:t>●</w:t>
            </w:r>
            <w:r>
              <w:rPr>
                <w:rFonts w:ascii="Arial" w:hAnsi="Arial"/>
                <w:sz w:val="20"/>
              </w:rPr>
              <w:t>Spent nearly $5 billion with diverse Tier 1 vendors.</w:t>
            </w:r>
          </w:p>
        </w:tc>
      </w:tr>
      <w:tr>
        <w:trPr/>
        <w:tc>
          <w:tcPr>
            <w:tcW w:w="1716" w:type="dxa"/>
            <w:tcBorders>
              <w:bottom w:val="single" w:sz="8" w:space="0" w:color="000000"/>
            </w:tcBorders>
            <w:shd w:fill="auto" w:val="clear"/>
            <w:tcMar>
              <w:bottom w:w="80" w:type="dxa"/>
            </w:tcMar>
            <w:vAlign w:val="center"/>
          </w:tcPr>
          <w:p>
            <w:pPr>
              <w:pStyle w:val="TableContents"/>
              <w:spacing w:before="0" w:after="283"/>
              <w:jc w:val="left"/>
              <w:rPr>
                <w:rFonts w:ascii="Arial" w:hAnsi="Arial"/>
                <w:b/>
                <w:sz w:val="20"/>
              </w:rPr>
            </w:pPr>
            <w:r>
              <w:rPr>
                <w:rFonts w:ascii="Arial" w:hAnsi="Arial"/>
                <w:b/>
                <w:sz w:val="20"/>
              </w:rPr>
              <w:t>Environmental Sustainability</w:t>
            </w:r>
          </w:p>
        </w:tc>
        <w:tc>
          <w:tcPr>
            <w:tcW w:w="8489" w:type="dxa"/>
            <w:tcBorders>
              <w:bottom w:val="single" w:sz="8" w:space="0" w:color="000000"/>
            </w:tcBorders>
            <w:shd w:fill="auto" w:val="clear"/>
            <w:tcMar>
              <w:bottom w:w="80" w:type="dxa"/>
            </w:tcMar>
            <w:vAlign w:val="center"/>
          </w:tcPr>
          <w:p>
            <w:pPr>
              <w:pStyle w:val="TableContents"/>
              <w:spacing w:before="0" w:after="283"/>
              <w:jc w:val="left"/>
              <w:rPr>
                <w:rFonts w:ascii="Arial" w:hAnsi="Arial"/>
                <w:sz w:val="20"/>
              </w:rPr>
            </w:pPr>
            <w:r>
              <w:rPr>
                <w:rFonts w:ascii="Arial" w:hAnsi="Arial"/>
                <w:sz w:val="20"/>
              </w:rPr>
              <w:t>Continued to make progress toward our goal to be carbon neutral by 2035 in Scope 1 and 2 greenhouse gas emissions across our global operations, reducing such emissions by 28% between our 2019 base year and 2021. In 2022, we joined the Science-Based targets initiative on climate action, committing to set near-term emissions reduction goals in line with pathways designed to limit global warming.</w:t>
            </w:r>
          </w:p>
        </w:tc>
      </w:tr>
      <w:tr>
        <w:trPr/>
        <w:tc>
          <w:tcPr>
            <w:tcW w:w="1716" w:type="dxa"/>
            <w:tcBorders>
              <w:bottom w:val="single" w:sz="8" w:space="0" w:color="000000"/>
            </w:tcBorders>
            <w:shd w:fill="ECF6FA" w:val="clear"/>
            <w:tcMar>
              <w:bottom w:w="80" w:type="dxa"/>
            </w:tcMar>
            <w:vAlign w:val="center"/>
          </w:tcPr>
          <w:p>
            <w:pPr>
              <w:pStyle w:val="TableContents"/>
              <w:spacing w:before="0" w:after="283"/>
              <w:jc w:val="left"/>
              <w:rPr>
                <w:rFonts w:ascii="Arial" w:hAnsi="Arial"/>
                <w:b/>
                <w:sz w:val="20"/>
              </w:rPr>
            </w:pPr>
            <w:r>
              <w:rPr>
                <w:rFonts w:ascii="Arial" w:hAnsi="Arial"/>
                <w:b/>
                <w:sz w:val="20"/>
              </w:rPr>
              <w:t>Culture of Integrity and Respect</w:t>
            </w:r>
          </w:p>
        </w:tc>
        <w:tc>
          <w:tcPr>
            <w:tcW w:w="8489" w:type="dxa"/>
            <w:tcBorders>
              <w:bottom w:val="single" w:sz="8" w:space="0" w:color="000000"/>
            </w:tcBorders>
            <w:shd w:fill="ECF6FA" w:val="clear"/>
            <w:tcMar>
              <w:bottom w:w="80" w:type="dxa"/>
            </w:tcMar>
            <w:vAlign w:val="center"/>
          </w:tcPr>
          <w:p>
            <w:pPr>
              <w:pStyle w:val="TableContents"/>
              <w:spacing w:before="0" w:after="283"/>
              <w:jc w:val="left"/>
              <w:rPr>
                <w:rFonts w:ascii="Arial" w:hAnsi="Arial"/>
                <w:sz w:val="20"/>
              </w:rPr>
            </w:pPr>
            <w:r>
              <w:rPr>
                <w:rFonts w:ascii="Arial" w:hAnsi="Arial"/>
                <w:sz w:val="20"/>
              </w:rPr>
              <w:t>Our company furthered each of the important stakeholder and sustainability initiatives described above during 2022 and reinforced our strong commitment to a workplace culture that emphasizes integrity and respect and intolerance of harassment and discrimination.</w:t>
            </w:r>
          </w:p>
        </w:tc>
      </w:tr>
    </w:tbl>
    <w:p>
      <w:pPr>
        <w:pStyle w:val="TextBody"/>
        <w:spacing w:before="240" w:after="283"/>
        <w:jc w:val="left"/>
        <w:rPr>
          <w:rFonts w:ascii="Arial" w:hAnsi="Arial"/>
          <w:color w:val="00A1E0"/>
          <w:sz w:val="20"/>
        </w:rPr>
      </w:pPr>
      <w:r>
        <w:rPr>
          <w:rFonts w:ascii="Arial" w:hAnsi="Arial"/>
          <w:color w:val="00A1E0"/>
          <w:sz w:val="20"/>
        </w:rPr>
        <w:t>2022 NEO Performance</w:t>
      </w:r>
    </w:p>
    <w:p>
      <w:pPr>
        <w:pStyle w:val="TextBody"/>
        <w:jc w:val="left"/>
        <w:rPr>
          <w:rFonts w:ascii="Arial" w:hAnsi="Arial"/>
          <w:sz w:val="20"/>
        </w:rPr>
      </w:pPr>
      <w:r>
        <w:rPr>
          <w:rFonts w:ascii="Arial" w:hAnsi="Arial"/>
          <w:sz w:val="20"/>
        </w:rPr>
        <w:t>In evaluating the strategic operating performance goals and stakeholder and sustainability initiatives portions of the annual cash bonus, in February 2023, the CHC Committee also considered the contribution of each NEO toward our company’s overall achievement of, and progress toward, those goals, as well as each NEO’s overall management and leadership of our company.</w:t>
      </w:r>
    </w:p>
    <w:tbl>
      <w:tblPr>
        <w:tblW w:w="10205" w:type="dxa"/>
        <w:jc w:val="left"/>
        <w:tblInd w:w="0" w:type="dxa"/>
        <w:tblCellMar>
          <w:top w:w="80" w:type="dxa"/>
          <w:left w:w="0" w:type="dxa"/>
          <w:bottom w:w="80" w:type="dxa"/>
          <w:right w:w="0" w:type="dxa"/>
        </w:tblCellMar>
      </w:tblPr>
      <w:tblGrid>
        <w:gridCol w:w="1057"/>
        <w:gridCol w:w="9148"/>
      </w:tblGrid>
      <w:tr>
        <w:trPr/>
        <w:tc>
          <w:tcPr>
            <w:tcW w:w="1057" w:type="dxa"/>
            <w:tcBorders>
              <w:top w:val="single" w:sz="16" w:space="0" w:color="000000"/>
              <w:bottom w:val="single" w:sz="8" w:space="0" w:color="000000"/>
            </w:tcBorders>
            <w:shd w:fill="ECF6FA" w:val="clear"/>
            <w:vAlign w:val="center"/>
          </w:tcPr>
          <w:p>
            <w:pPr>
              <w:pStyle w:val="TableContents"/>
              <w:spacing w:before="0" w:after="283"/>
              <w:jc w:val="left"/>
              <w:rPr>
                <w:rFonts w:ascii="Arial" w:hAnsi="Arial"/>
                <w:b/>
                <w:sz w:val="20"/>
              </w:rPr>
            </w:pPr>
            <w:r>
              <w:rPr>
                <w:rFonts w:ascii="Arial" w:hAnsi="Arial"/>
                <w:b/>
                <w:sz w:val="20"/>
              </w:rPr>
              <w:t>Brian L. Roberts</w:t>
            </w:r>
          </w:p>
        </w:tc>
        <w:tc>
          <w:tcPr>
            <w:tcW w:w="9148" w:type="dxa"/>
            <w:tcBorders>
              <w:top w:val="single" w:sz="16" w:space="0" w:color="000000"/>
              <w:bottom w:val="single" w:sz="8" w:space="0" w:color="000000"/>
            </w:tcBorders>
            <w:shd w:fill="ECF6FA" w:val="clear"/>
            <w:vAlign w:val="center"/>
          </w:tcPr>
          <w:p>
            <w:pPr>
              <w:pStyle w:val="TableContents"/>
              <w:spacing w:before="0" w:after="283"/>
              <w:jc w:val="left"/>
              <w:rPr>
                <w:rFonts w:ascii="Arial" w:hAnsi="Arial"/>
                <w:sz w:val="20"/>
              </w:rPr>
            </w:pPr>
            <w:r>
              <w:rPr>
                <w:rFonts w:ascii="Arial" w:hAnsi="Arial"/>
                <w:sz w:val="20"/>
              </w:rPr>
              <w:t>Mr. Roberts continued to lead the execution of our company’s strategic focus on connectivity, aggregation and streaming, which we believe will better position our company for the long term. Mr. Roberts sets the tone for our businesses to execute at the highest level, to work together and to continue to accelerate convergence in media and technology and leverage our global technology platform. Mr. Roberts also furthered the thoughtful development of senior leadership, including through the promotion of Mr. Cavanagh to President of the Company in 2022. At the same time, he continued our company’s commitment to DE&amp;I, environmental sustainability and bridging the digital divide, all with a focus on doing the right thing for our stakeholders and society at large.</w:t>
            </w:r>
          </w:p>
        </w:tc>
      </w:tr>
      <w:tr>
        <w:trPr/>
        <w:tc>
          <w:tcPr>
            <w:tcW w:w="1057" w:type="dxa"/>
            <w:tcBorders>
              <w:bottom w:val="single" w:sz="8" w:space="0" w:color="000000"/>
            </w:tcBorders>
            <w:shd w:fill="auto" w:val="clear"/>
            <w:tcMar>
              <w:top w:w="0" w:type="dxa"/>
            </w:tcMar>
            <w:vAlign w:val="center"/>
          </w:tcPr>
          <w:p>
            <w:pPr>
              <w:pStyle w:val="TableContents"/>
              <w:spacing w:before="0" w:after="283"/>
              <w:jc w:val="left"/>
              <w:rPr>
                <w:rFonts w:ascii="Arial" w:hAnsi="Arial"/>
                <w:b/>
                <w:sz w:val="20"/>
              </w:rPr>
            </w:pPr>
            <w:r>
              <w:rPr>
                <w:rFonts w:ascii="Arial" w:hAnsi="Arial"/>
                <w:b/>
                <w:sz w:val="20"/>
              </w:rPr>
              <w:t>Michael J. Cavanagh</w:t>
            </w:r>
          </w:p>
        </w:tc>
        <w:tc>
          <w:tcPr>
            <w:tcW w:w="9148" w:type="dxa"/>
            <w:tcBorders>
              <w:bottom w:val="single" w:sz="8" w:space="0" w:color="000000"/>
            </w:tcBorders>
            <w:shd w:fill="auto" w:val="clear"/>
            <w:tcMar>
              <w:top w:w="0" w:type="dxa"/>
            </w:tcMar>
            <w:vAlign w:val="center"/>
          </w:tcPr>
          <w:p>
            <w:pPr>
              <w:pStyle w:val="TableContents"/>
              <w:spacing w:before="0" w:after="283"/>
              <w:jc w:val="left"/>
              <w:rPr>
                <w:rFonts w:ascii="Arial" w:hAnsi="Arial"/>
                <w:sz w:val="20"/>
              </w:rPr>
            </w:pPr>
            <w:r>
              <w:rPr>
                <w:rFonts w:ascii="Arial" w:hAnsi="Arial"/>
                <w:sz w:val="20"/>
              </w:rPr>
              <w:t>Mr. Cavanagh was named President of the Company in October 2022 as a result of his exceptional leadership since joining our company. Alongside Mr. Roberts, he led the execution of key decisions on critical strategic and operational initiatives across all of our businesses. He also provided critical financial and strategic leadership to our company, focusing on capital allocation, balance sheet strength and liquidity, particularly during the COVID pandemic. Under his leadership, we returned $17.7 billion to shareholders in 2022 through a combination of dividends and our share repurchase program, and raised our dividend to $1.16 a share on an annualized basis for 2023, an increase of 7% year-over-year.</w:t>
            </w:r>
          </w:p>
        </w:tc>
      </w:tr>
    </w:tbl>
    <w:p>
      <w:pPr>
        <w:pStyle w:val="TextBody"/>
        <w:spacing w:before="0" w:after="0"/>
        <w:rPr/>
      </w:pPr>
      <w:r>
        <w:rPr/>
      </w:r>
    </w:p>
    <w:tbl>
      <w:tblPr>
        <w:tblW w:w="223" w:type="dxa"/>
        <w:jc w:val="left"/>
        <w:tblInd w:w="0" w:type="dxa"/>
        <w:tblCellMar>
          <w:top w:w="0" w:type="dxa"/>
          <w:left w:w="0" w:type="dxa"/>
          <w:bottom w:w="0" w:type="dxa"/>
          <w:right w:w="0" w:type="dxa"/>
        </w:tblCellMar>
      </w:tblPr>
      <w:tblGrid>
        <w:gridCol w:w="200"/>
        <w:gridCol w:w="23"/>
      </w:tblGrid>
      <w:tr>
        <w:trPr/>
        <w:tc>
          <w:tcPr>
            <w:tcW w:w="200" w:type="dxa"/>
            <w:tcBorders/>
            <w:shd w:fill="auto" w:val="clear"/>
            <w:vAlign w:val="center"/>
          </w:tcPr>
          <w:p>
            <w:pPr>
              <w:pStyle w:val="TableContents"/>
              <w:spacing w:before="0" w:after="283"/>
              <w:jc w:val="left"/>
              <w:rPr>
                <w:rFonts w:ascii="Arial" w:hAnsi="Arial"/>
                <w:b/>
                <w:sz w:val="15"/>
              </w:rPr>
            </w:pPr>
            <w:r>
              <w:rPr>
                <w:rFonts w:ascii="Arial" w:hAnsi="Arial"/>
                <w:b/>
                <w:sz w:val="15"/>
              </w:rPr>
              <w:t>46</w:t>
            </w:r>
          </w:p>
        </w:tc>
        <w:tc>
          <w:tcPr>
            <w:tcW w:w="2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10205" w:type="dxa"/>
        <w:jc w:val="left"/>
        <w:tblInd w:w="0" w:type="dxa"/>
        <w:tblCellMar>
          <w:top w:w="80" w:type="dxa"/>
          <w:left w:w="0" w:type="dxa"/>
          <w:bottom w:w="80" w:type="dxa"/>
          <w:right w:w="0" w:type="dxa"/>
        </w:tblCellMar>
      </w:tblPr>
      <w:tblGrid>
        <w:gridCol w:w="820"/>
        <w:gridCol w:w="9385"/>
      </w:tblGrid>
      <w:tr>
        <w:trPr/>
        <w:tc>
          <w:tcPr>
            <w:tcW w:w="820" w:type="dxa"/>
            <w:tcBorders>
              <w:top w:val="single" w:sz="16" w:space="0" w:color="000000"/>
              <w:bottom w:val="single" w:sz="8" w:space="0" w:color="000000"/>
            </w:tcBorders>
            <w:shd w:fill="ECF6FA" w:val="clear"/>
            <w:vAlign w:val="center"/>
          </w:tcPr>
          <w:p>
            <w:pPr>
              <w:pStyle w:val="TableContents"/>
              <w:spacing w:before="0" w:after="283"/>
              <w:jc w:val="left"/>
              <w:rPr>
                <w:rFonts w:ascii="Arial" w:hAnsi="Arial"/>
                <w:b/>
                <w:sz w:val="20"/>
              </w:rPr>
            </w:pPr>
            <w:r>
              <w:rPr>
                <w:rFonts w:ascii="Arial" w:hAnsi="Arial"/>
                <w:b/>
                <w:sz w:val="20"/>
              </w:rPr>
              <w:t>David N. Watson</w:t>
            </w:r>
          </w:p>
        </w:tc>
        <w:tc>
          <w:tcPr>
            <w:tcW w:w="9385" w:type="dxa"/>
            <w:tcBorders>
              <w:top w:val="single" w:sz="16" w:space="0" w:color="000000"/>
              <w:bottom w:val="single" w:sz="8" w:space="0" w:color="000000"/>
            </w:tcBorders>
            <w:shd w:fill="ECF6FA" w:val="clear"/>
            <w:vAlign w:val="center"/>
          </w:tcPr>
          <w:p>
            <w:pPr>
              <w:pStyle w:val="TableContents"/>
              <w:spacing w:before="0" w:after="283"/>
              <w:jc w:val="left"/>
              <w:rPr>
                <w:rFonts w:ascii="Arial" w:hAnsi="Arial"/>
                <w:sz w:val="20"/>
              </w:rPr>
            </w:pPr>
            <w:r>
              <w:rPr>
                <w:rFonts w:ascii="Arial" w:hAnsi="Arial"/>
                <w:sz w:val="20"/>
              </w:rPr>
              <w:t>Mr. Watson successfully led Comcast Cable, which had strong financial results and added 250,000 net new broadband customers even with depressed home move activity and increased competition in 2022. Under Mr. Watson’s leadership, in anticipation of the future needs of our network, we continued to invest significantly in our evolution to a virtual, software-based broadband network capable of 10G speeds through our DOCSIS 4.0 transition, with nearly one-third of our broadband customers now receiving gigabit or higher speeds. Comcast Cable continued its strong financial performance in 2022, with its revenue increasing by 3.1% to $66.3 billion and its Adjusted EBITDA increasing by 4.6% to $29.4 billion.</w:t>
            </w:r>
          </w:p>
        </w:tc>
      </w:tr>
      <w:tr>
        <w:trPr/>
        <w:tc>
          <w:tcPr>
            <w:tcW w:w="820" w:type="dxa"/>
            <w:tcBorders>
              <w:bottom w:val="single" w:sz="8" w:space="0" w:color="000000"/>
            </w:tcBorders>
            <w:shd w:fill="auto" w:val="clear"/>
            <w:tcMar>
              <w:top w:w="0" w:type="dxa"/>
            </w:tcMar>
            <w:vAlign w:val="center"/>
          </w:tcPr>
          <w:p>
            <w:pPr>
              <w:pStyle w:val="TableContents"/>
              <w:spacing w:before="0" w:after="283"/>
              <w:jc w:val="left"/>
              <w:rPr>
                <w:rFonts w:ascii="Arial" w:hAnsi="Arial"/>
                <w:b/>
                <w:sz w:val="20"/>
              </w:rPr>
            </w:pPr>
            <w:r>
              <w:rPr>
                <w:rFonts w:ascii="Arial" w:hAnsi="Arial"/>
                <w:b/>
                <w:sz w:val="20"/>
              </w:rPr>
              <w:t>Jeffrey Shell</w:t>
            </w:r>
          </w:p>
        </w:tc>
        <w:tc>
          <w:tcPr>
            <w:tcW w:w="9385" w:type="dxa"/>
            <w:tcBorders>
              <w:bottom w:val="single" w:sz="8" w:space="0" w:color="000000"/>
            </w:tcBorders>
            <w:shd w:fill="auto" w:val="clear"/>
            <w:tcMar>
              <w:top w:w="0" w:type="dxa"/>
            </w:tcMar>
            <w:vAlign w:val="center"/>
          </w:tcPr>
          <w:p>
            <w:pPr>
              <w:pStyle w:val="TableContents"/>
              <w:spacing w:before="0" w:after="120"/>
              <w:jc w:val="left"/>
              <w:rPr>
                <w:rFonts w:ascii="Arial" w:hAnsi="Arial"/>
                <w:sz w:val="20"/>
              </w:rPr>
            </w:pPr>
            <w:r>
              <w:rPr>
                <w:rFonts w:ascii="Arial" w:hAnsi="Arial"/>
                <w:sz w:val="20"/>
              </w:rPr>
              <w:t>After the CHC Committee had determined annual cash bonus outcomes in February 2023, Mr. Shell’s employment with the Company was terminated with cause in April 2023 as previously disclosed. See “Agreements with Our Named Executive Officers” below for additional information.</w:t>
            </w:r>
          </w:p>
          <w:p>
            <w:pPr>
              <w:pStyle w:val="TableContents"/>
              <w:spacing w:before="0" w:after="283"/>
              <w:jc w:val="left"/>
              <w:rPr>
                <w:rFonts w:ascii="Arial" w:hAnsi="Arial"/>
                <w:sz w:val="20"/>
              </w:rPr>
            </w:pPr>
            <w:r>
              <w:rPr>
                <w:rFonts w:ascii="Arial" w:hAnsi="Arial"/>
                <w:sz w:val="20"/>
              </w:rPr>
              <w:t>In 2022, when Mr. Shell led NBCUniversal, it continued its momentum in Peacock, which more than doubled its paying subscribers to over 20 million, and our theme parks performed exceptionally well, generating Adjusted EBITDA of $2.7 billion in 2022. NBCUniversal also innovated with new pay windows for early viewing opportunities to better monetize our media content and intellectual property. NBCUniversal’s financial performance was strong in 2022, with its revenue increasing by 14.2% to $39.2 billion and its Adjusted EBITDA increasing by 4.9% to $6.0 billion.</w:t>
            </w:r>
          </w:p>
        </w:tc>
      </w:tr>
      <w:tr>
        <w:trPr/>
        <w:tc>
          <w:tcPr>
            <w:tcW w:w="820" w:type="dxa"/>
            <w:tcBorders>
              <w:bottom w:val="single" w:sz="8" w:space="0" w:color="000000"/>
            </w:tcBorders>
            <w:shd w:fill="ECF6FA" w:val="clear"/>
            <w:tcMar>
              <w:top w:w="0" w:type="dxa"/>
            </w:tcMar>
            <w:vAlign w:val="center"/>
          </w:tcPr>
          <w:p>
            <w:pPr>
              <w:pStyle w:val="TableContents"/>
              <w:spacing w:before="0" w:after="283"/>
              <w:jc w:val="left"/>
              <w:rPr>
                <w:rFonts w:ascii="Arial" w:hAnsi="Arial"/>
                <w:b/>
                <w:sz w:val="20"/>
              </w:rPr>
            </w:pPr>
            <w:r>
              <w:rPr>
                <w:rFonts w:ascii="Arial" w:hAnsi="Arial"/>
                <w:b/>
                <w:sz w:val="20"/>
              </w:rPr>
              <w:t>Dana Strong</w:t>
            </w:r>
          </w:p>
        </w:tc>
        <w:tc>
          <w:tcPr>
            <w:tcW w:w="9385" w:type="dxa"/>
            <w:tcBorders>
              <w:bottom w:val="single" w:sz="8" w:space="0" w:color="000000"/>
            </w:tcBorders>
            <w:shd w:fill="ECF6FA" w:val="clear"/>
            <w:tcMar>
              <w:top w:w="0" w:type="dxa"/>
            </w:tcMar>
            <w:vAlign w:val="center"/>
          </w:tcPr>
          <w:p>
            <w:pPr>
              <w:pStyle w:val="TableContents"/>
              <w:spacing w:before="0" w:after="283"/>
              <w:jc w:val="left"/>
              <w:rPr/>
            </w:pPr>
            <w:r>
              <w:rPr>
                <w:rFonts w:ascii="Arial" w:hAnsi="Arial"/>
                <w:sz w:val="20"/>
              </w:rPr>
              <w:t xml:space="preserve">Ms.Strong provided strong leadership, adding 88,000 net new customers across Sky’s territories, while managing through extremely challenging macroeconomic conditions in the United Kingdom and the rest of Europe. Under Ms. Strong’s leadership, Sky continued to focus on customer retention and providing customers with the best entertainment and connectivity experiences. Sky revenue decreased 11.5% to $17.9 billion, or 1.2% excluding the impact of foreign currency, while Sky Adjusted EBITDA increased 7.0% to $2.5 billion, or 20.3% excluding the impact of foreign currency. See </w:t>
            </w:r>
            <w:r>
              <w:rPr>
                <w:rFonts w:ascii="Arial" w:hAnsi="Arial"/>
                <w:sz w:val="20"/>
                <w:u w:val="single"/>
              </w:rPr>
              <w:t xml:space="preserve">Appendix A </w:t>
            </w:r>
            <w:r>
              <w:rPr>
                <w:rFonts w:ascii="Arial" w:hAnsi="Arial"/>
                <w:sz w:val="20"/>
              </w:rPr>
              <w:t>for a reconciliation.</w:t>
            </w:r>
          </w:p>
        </w:tc>
      </w:tr>
    </w:tbl>
    <w:p>
      <w:pPr>
        <w:pStyle w:val="TextBody"/>
        <w:spacing w:before="240" w:after="283"/>
        <w:jc w:val="left"/>
        <w:rPr>
          <w:rFonts w:ascii="Arial" w:hAnsi="Arial"/>
          <w:color w:val="00A1E0"/>
          <w:sz w:val="20"/>
        </w:rPr>
      </w:pPr>
      <w:r>
        <w:rPr>
          <w:rFonts w:ascii="Arial" w:hAnsi="Arial"/>
          <w:color w:val="00A1E0"/>
          <w:sz w:val="20"/>
        </w:rPr>
        <w:t>2022 Bonus Achievement</w:t>
      </w:r>
    </w:p>
    <w:p>
      <w:pPr>
        <w:pStyle w:val="TextBody"/>
        <w:jc w:val="left"/>
        <w:rPr>
          <w:rFonts w:ascii="Arial" w:hAnsi="Arial"/>
          <w:sz w:val="20"/>
        </w:rPr>
      </w:pPr>
      <w:r>
        <w:rPr>
          <w:rFonts w:ascii="Arial" w:hAnsi="Arial"/>
          <w:sz w:val="20"/>
        </w:rPr>
        <w:t>Based on our strong 2022 performance, bonus achievements were as follows.</w:t>
      </w:r>
    </w:p>
    <w:tbl>
      <w:tblPr>
        <w:tblW w:w="8520" w:type="dxa"/>
        <w:jc w:val="left"/>
        <w:tblInd w:w="0" w:type="dxa"/>
        <w:tblCellMar>
          <w:top w:w="0" w:type="dxa"/>
          <w:left w:w="0" w:type="dxa"/>
          <w:bottom w:w="40" w:type="dxa"/>
          <w:right w:w="0" w:type="dxa"/>
        </w:tblCellMar>
      </w:tblPr>
      <w:tblGrid>
        <w:gridCol w:w="2210"/>
        <w:gridCol w:w="980"/>
        <w:gridCol w:w="300"/>
        <w:gridCol w:w="980"/>
        <w:gridCol w:w="300"/>
        <w:gridCol w:w="980"/>
        <w:gridCol w:w="300"/>
        <w:gridCol w:w="980"/>
        <w:gridCol w:w="300"/>
        <w:gridCol w:w="1190"/>
      </w:tblGrid>
      <w:tr>
        <w:trPr/>
        <w:tc>
          <w:tcPr>
            <w:tcW w:w="2210" w:type="dxa"/>
            <w:tcBorders>
              <w:bottom w:val="single" w:sz="16" w:space="0" w:color="000000"/>
            </w:tcBorders>
            <w:shd w:fill="auto" w:val="clear"/>
            <w:vAlign w:val="center"/>
          </w:tcPr>
          <w:p>
            <w:pPr>
              <w:pStyle w:val="TableContents"/>
              <w:spacing w:before="0" w:after="283"/>
              <w:rPr>
                <w:sz w:val="4"/>
                <w:szCs w:val="4"/>
              </w:rPr>
            </w:pPr>
            <w:r>
              <w:rPr>
                <w:sz w:val="4"/>
                <w:szCs w:val="4"/>
              </w:rPr>
            </w:r>
          </w:p>
        </w:tc>
        <w:tc>
          <w:tcPr>
            <w:tcW w:w="980" w:type="dxa"/>
            <w:tcBorders>
              <w:bottom w:val="single" w:sz="16" w:space="0" w:color="000000"/>
            </w:tcBorders>
            <w:shd w:fill="auto" w:val="clear"/>
            <w:vAlign w:val="center"/>
          </w:tcPr>
          <w:p>
            <w:pPr>
              <w:pStyle w:val="TableContents"/>
              <w:spacing w:before="0" w:after="283"/>
              <w:jc w:val="right"/>
              <w:rPr>
                <w:rFonts w:ascii="Arial" w:hAnsi="Arial"/>
                <w:b/>
                <w:sz w:val="15"/>
              </w:rPr>
            </w:pPr>
            <w:r>
              <w:rPr>
                <w:rFonts w:ascii="Arial" w:hAnsi="Arial"/>
                <w:b/>
                <w:sz w:val="15"/>
              </w:rPr>
              <w:t>ROBERTS</w:t>
            </w:r>
          </w:p>
        </w:tc>
        <w:tc>
          <w:tcPr>
            <w:tcW w:w="300" w:type="dxa"/>
            <w:tcBorders>
              <w:bottom w:val="single" w:sz="16" w:space="0" w:color="000000"/>
            </w:tcBorders>
            <w:shd w:fill="auto" w:val="clear"/>
            <w:vAlign w:val="center"/>
          </w:tcPr>
          <w:p>
            <w:pPr>
              <w:pStyle w:val="TableContents"/>
              <w:spacing w:before="0" w:after="283"/>
              <w:jc w:val="right"/>
              <w:rPr/>
            </w:pPr>
            <w:r>
              <w:rPr/>
              <w:t>     </w:t>
            </w:r>
          </w:p>
        </w:tc>
        <w:tc>
          <w:tcPr>
            <w:tcW w:w="980" w:type="dxa"/>
            <w:tcBorders>
              <w:bottom w:val="single" w:sz="16" w:space="0" w:color="000000"/>
            </w:tcBorders>
            <w:shd w:fill="auto" w:val="clear"/>
            <w:vAlign w:val="center"/>
          </w:tcPr>
          <w:p>
            <w:pPr>
              <w:pStyle w:val="TableContents"/>
              <w:spacing w:before="0" w:after="283"/>
              <w:jc w:val="right"/>
              <w:rPr>
                <w:rFonts w:ascii="Arial" w:hAnsi="Arial"/>
                <w:b/>
                <w:sz w:val="15"/>
              </w:rPr>
            </w:pPr>
            <w:r>
              <w:rPr>
                <w:rFonts w:ascii="Arial" w:hAnsi="Arial"/>
                <w:b/>
                <w:sz w:val="15"/>
              </w:rPr>
              <w:t>CAVANAGH</w:t>
            </w:r>
          </w:p>
        </w:tc>
        <w:tc>
          <w:tcPr>
            <w:tcW w:w="300" w:type="dxa"/>
            <w:tcBorders>
              <w:bottom w:val="single" w:sz="16" w:space="0" w:color="000000"/>
            </w:tcBorders>
            <w:shd w:fill="auto" w:val="clear"/>
            <w:vAlign w:val="center"/>
          </w:tcPr>
          <w:p>
            <w:pPr>
              <w:pStyle w:val="TableContents"/>
              <w:spacing w:before="0" w:after="283"/>
              <w:jc w:val="right"/>
              <w:rPr/>
            </w:pPr>
            <w:r>
              <w:rPr/>
              <w:t>     </w:t>
            </w:r>
          </w:p>
        </w:tc>
        <w:tc>
          <w:tcPr>
            <w:tcW w:w="980" w:type="dxa"/>
            <w:tcBorders>
              <w:bottom w:val="single" w:sz="16" w:space="0" w:color="000000"/>
            </w:tcBorders>
            <w:shd w:fill="auto" w:val="clear"/>
            <w:vAlign w:val="center"/>
          </w:tcPr>
          <w:p>
            <w:pPr>
              <w:pStyle w:val="TableContents"/>
              <w:spacing w:before="0" w:after="283"/>
              <w:jc w:val="right"/>
              <w:rPr>
                <w:rFonts w:ascii="Arial" w:hAnsi="Arial"/>
                <w:b/>
                <w:sz w:val="15"/>
              </w:rPr>
            </w:pPr>
            <w:r>
              <w:rPr>
                <w:rFonts w:ascii="Arial" w:hAnsi="Arial"/>
                <w:b/>
                <w:sz w:val="15"/>
              </w:rPr>
              <w:t>WATSON</w:t>
            </w:r>
          </w:p>
        </w:tc>
        <w:tc>
          <w:tcPr>
            <w:tcW w:w="300" w:type="dxa"/>
            <w:tcBorders>
              <w:bottom w:val="single" w:sz="16" w:space="0" w:color="000000"/>
            </w:tcBorders>
            <w:shd w:fill="auto" w:val="clear"/>
            <w:vAlign w:val="center"/>
          </w:tcPr>
          <w:p>
            <w:pPr>
              <w:pStyle w:val="TableContents"/>
              <w:spacing w:before="0" w:after="283"/>
              <w:jc w:val="right"/>
              <w:rPr/>
            </w:pPr>
            <w:r>
              <w:rPr/>
              <w:t>     </w:t>
            </w:r>
          </w:p>
        </w:tc>
        <w:tc>
          <w:tcPr>
            <w:tcW w:w="980" w:type="dxa"/>
            <w:tcBorders>
              <w:bottom w:val="single" w:sz="16" w:space="0" w:color="000000"/>
            </w:tcBorders>
            <w:shd w:fill="auto" w:val="clear"/>
            <w:vAlign w:val="center"/>
          </w:tcPr>
          <w:p>
            <w:pPr>
              <w:pStyle w:val="TableContents"/>
              <w:spacing w:before="0" w:after="283"/>
              <w:jc w:val="right"/>
              <w:rPr>
                <w:rFonts w:ascii="Arial" w:hAnsi="Arial"/>
                <w:b/>
                <w:sz w:val="15"/>
              </w:rPr>
            </w:pPr>
            <w:r>
              <w:rPr>
                <w:rFonts w:ascii="Arial" w:hAnsi="Arial"/>
                <w:b/>
                <w:sz w:val="15"/>
              </w:rPr>
              <w:t>SHELL</w:t>
            </w:r>
          </w:p>
        </w:tc>
        <w:tc>
          <w:tcPr>
            <w:tcW w:w="300" w:type="dxa"/>
            <w:tcBorders>
              <w:bottom w:val="single" w:sz="16" w:space="0" w:color="000000"/>
            </w:tcBorders>
            <w:shd w:fill="auto" w:val="clear"/>
            <w:vAlign w:val="center"/>
          </w:tcPr>
          <w:p>
            <w:pPr>
              <w:pStyle w:val="TableContents"/>
              <w:spacing w:before="0" w:after="283"/>
              <w:jc w:val="right"/>
              <w:rPr/>
            </w:pPr>
            <w:r>
              <w:rPr/>
              <w:t>     </w:t>
            </w:r>
          </w:p>
        </w:tc>
        <w:tc>
          <w:tcPr>
            <w:tcW w:w="1190" w:type="dxa"/>
            <w:tcBorders>
              <w:bottom w:val="single" w:sz="16" w:space="0" w:color="000000"/>
            </w:tcBorders>
            <w:shd w:fill="auto" w:val="clear"/>
            <w:vAlign w:val="center"/>
          </w:tcPr>
          <w:p>
            <w:pPr>
              <w:pStyle w:val="TableContents"/>
              <w:spacing w:before="0" w:after="283"/>
              <w:jc w:val="right"/>
              <w:rPr>
                <w:rFonts w:ascii="Arial" w:hAnsi="Arial"/>
                <w:b/>
                <w:sz w:val="15"/>
              </w:rPr>
            </w:pPr>
            <w:r>
              <w:rPr>
                <w:rFonts w:ascii="Arial" w:hAnsi="Arial"/>
                <w:b/>
                <w:sz w:val="15"/>
              </w:rPr>
              <w:t>STRONG</w:t>
            </w:r>
          </w:p>
        </w:tc>
      </w:tr>
      <w:tr>
        <w:trPr/>
        <w:tc>
          <w:tcPr>
            <w:tcW w:w="2210" w:type="dxa"/>
            <w:tcBorders>
              <w:bottom w:val="single" w:sz="8" w:space="0" w:color="000000"/>
            </w:tcBorders>
            <w:shd w:fill="auto" w:val="clear"/>
            <w:tcMar>
              <w:bottom w:w="28" w:type="dxa"/>
            </w:tcMar>
            <w:vAlign w:val="center"/>
          </w:tcPr>
          <w:p>
            <w:pPr>
              <w:pStyle w:val="TableContents"/>
              <w:spacing w:before="0" w:after="283"/>
              <w:jc w:val="left"/>
              <w:rPr>
                <w:rFonts w:ascii="Arial" w:hAnsi="Arial"/>
                <w:b/>
                <w:sz w:val="20"/>
              </w:rPr>
            </w:pPr>
            <w:r>
              <w:rPr>
                <w:rFonts w:ascii="Arial" w:hAnsi="Arial"/>
                <w:b/>
                <w:sz w:val="20"/>
              </w:rPr>
              <w:t>Total Paid (% of Target)</w:t>
            </w:r>
          </w:p>
        </w:tc>
        <w:tc>
          <w:tcPr>
            <w:tcW w:w="98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100%</w:t>
            </w:r>
          </w:p>
        </w:tc>
        <w:tc>
          <w:tcPr>
            <w:tcW w:w="3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8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100%</w:t>
            </w:r>
          </w:p>
        </w:tc>
        <w:tc>
          <w:tcPr>
            <w:tcW w:w="3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8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100%</w:t>
            </w:r>
          </w:p>
        </w:tc>
        <w:tc>
          <w:tcPr>
            <w:tcW w:w="3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8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100%</w:t>
            </w:r>
          </w:p>
        </w:tc>
        <w:tc>
          <w:tcPr>
            <w:tcW w:w="3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9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100%</w:t>
            </w:r>
          </w:p>
        </w:tc>
      </w:tr>
      <w:tr>
        <w:trPr/>
        <w:tc>
          <w:tcPr>
            <w:tcW w:w="2210" w:type="dxa"/>
            <w:tcBorders>
              <w:bottom w:val="single" w:sz="8" w:space="0" w:color="000000"/>
            </w:tcBorders>
            <w:shd w:fill="auto" w:val="clear"/>
            <w:tcMar>
              <w:bottom w:w="28" w:type="dxa"/>
            </w:tcMar>
            <w:vAlign w:val="center"/>
          </w:tcPr>
          <w:p>
            <w:pPr>
              <w:pStyle w:val="TableContents"/>
              <w:spacing w:before="0" w:after="283"/>
              <w:jc w:val="left"/>
              <w:rPr>
                <w:rFonts w:ascii="Arial" w:hAnsi="Arial"/>
                <w:b/>
                <w:sz w:val="20"/>
              </w:rPr>
            </w:pPr>
            <w:r>
              <w:rPr>
                <w:rFonts w:ascii="Arial" w:hAnsi="Arial"/>
                <w:b/>
                <w:sz w:val="20"/>
              </w:rPr>
              <w:t>Total Cash Bonus Paid</w:t>
            </w:r>
          </w:p>
        </w:tc>
        <w:tc>
          <w:tcPr>
            <w:tcW w:w="98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$7,500,000</w:t>
            </w:r>
          </w:p>
        </w:tc>
        <w:tc>
          <w:tcPr>
            <w:tcW w:w="3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8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$6,900,000</w:t>
            </w:r>
          </w:p>
        </w:tc>
        <w:tc>
          <w:tcPr>
            <w:tcW w:w="3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8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$6,900,000</w:t>
            </w:r>
          </w:p>
        </w:tc>
        <w:tc>
          <w:tcPr>
            <w:tcW w:w="3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8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$7,500,000</w:t>
            </w:r>
          </w:p>
        </w:tc>
        <w:tc>
          <w:tcPr>
            <w:tcW w:w="3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9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$6,250,000</w:t>
            </w:r>
            <w:r>
              <w:rPr>
                <w:rFonts w:ascii="Arial" w:hAnsi="Arial"/>
                <w:position w:val="7"/>
                <w:sz w:val="16"/>
                <w:sz w:val="20"/>
              </w:rPr>
              <w:t>(1)</w:t>
            </w:r>
          </w:p>
        </w:tc>
      </w:tr>
    </w:tbl>
    <w:tbl>
      <w:tblPr>
        <w:tblW w:w="10205" w:type="dxa"/>
        <w:jc w:val="left"/>
        <w:tblInd w:w="0" w:type="dxa"/>
        <w:tblCellMar>
          <w:top w:w="0" w:type="dxa"/>
          <w:left w:w="0" w:type="dxa"/>
          <w:bottom w:w="0" w:type="dxa"/>
          <w:right w:w="0" w:type="dxa"/>
        </w:tblCellMar>
      </w:tblPr>
      <w:tblGrid>
        <w:gridCol w:w="227"/>
        <w:gridCol w:w="9978"/>
      </w:tblGrid>
      <w:tr>
        <w:trPr/>
        <w:tc>
          <w:tcPr>
            <w:tcW w:w="227" w:type="dxa"/>
            <w:tcBorders/>
            <w:shd w:fill="auto" w:val="clear"/>
            <w:vAlign w:val="center"/>
          </w:tcPr>
          <w:p>
            <w:pPr>
              <w:pStyle w:val="TableContents"/>
              <w:spacing w:before="0" w:after="283"/>
              <w:jc w:val="left"/>
              <w:rPr>
                <w:rFonts w:ascii="Arial" w:hAnsi="Arial"/>
                <w:sz w:val="15"/>
              </w:rPr>
            </w:pPr>
            <w:r>
              <w:rPr>
                <w:rFonts w:ascii="Arial" w:hAnsi="Arial"/>
                <w:position w:val="5"/>
                <w:sz w:val="12"/>
                <w:sz w:val="15"/>
              </w:rPr>
              <w:t xml:space="preserve">(1) </w:t>
            </w:r>
            <w:r>
              <w:rPr>
                <w:rFonts w:ascii="Arial" w:hAnsi="Arial"/>
                <w:sz w:val="15"/>
              </w:rPr>
              <w:t> </w:t>
            </w:r>
          </w:p>
        </w:tc>
        <w:tc>
          <w:tcPr>
            <w:tcW w:w="9978" w:type="dxa"/>
            <w:tcBorders/>
            <w:shd w:fill="auto" w:val="clear"/>
            <w:vAlign w:val="center"/>
          </w:tcPr>
          <w:p>
            <w:pPr>
              <w:pStyle w:val="TableContents"/>
              <w:spacing w:before="0" w:after="283"/>
              <w:jc w:val="left"/>
              <w:rPr>
                <w:rFonts w:ascii="Arial" w:hAnsi="Arial"/>
                <w:sz w:val="15"/>
              </w:rPr>
            </w:pPr>
            <w:r>
              <w:rPr>
                <w:rFonts w:ascii="Arial" w:hAnsi="Arial"/>
                <w:sz w:val="15"/>
              </w:rPr>
              <w:t>Ms. Strong’s bonus was determined with reference to a U.S. dollar equivalent salary for 2022. It was paid in British pounds sterling using a daily spot rate of £1 to $1.2103.</w:t>
            </w:r>
          </w:p>
        </w:tc>
      </w:tr>
    </w:tbl>
    <w:p>
      <w:pPr>
        <w:pStyle w:val="TextBody"/>
        <w:pBdr/>
        <w:jc w:val="left"/>
        <w:rPr>
          <w:rFonts w:ascii="Arial" w:hAnsi="Arial"/>
          <w:color w:val="00A1E0"/>
          <w:sz w:val="26"/>
        </w:rPr>
      </w:pPr>
      <w:r>
        <w:rPr>
          <w:rFonts w:ascii="Arial" w:hAnsi="Arial"/>
          <w:color w:val="00A1E0"/>
          <w:sz w:val="26"/>
        </w:rPr>
        <w:t>Equity-Based Incentive Compensation</w:t>
      </w:r>
    </w:p>
    <w:p>
      <w:pPr>
        <w:pStyle w:val="TextBody"/>
        <w:jc w:val="left"/>
        <w:rPr>
          <w:rFonts w:ascii="Arial" w:hAnsi="Arial"/>
          <w:sz w:val="20"/>
        </w:rPr>
      </w:pPr>
      <w:r>
        <w:rPr>
          <w:rFonts w:ascii="Arial" w:hAnsi="Arial"/>
          <w:sz w:val="20"/>
        </w:rPr>
        <w:t>The CHC Committee believes that the structure of our equity-based compensation program reinforces our performance culture and the incentive for long-term shareholder value creation by incorporating the achievement of longer-term absolute and relative financial and share-based performance metrics into our PSU awards as a further complement to the annual financial and operational metrics used under our annual cash bonus program.</w:t>
      </w:r>
    </w:p>
    <w:p>
      <w:pPr>
        <w:pStyle w:val="TextBody"/>
        <w:spacing w:before="0" w:after="0"/>
        <w:rPr/>
      </w:pPr>
      <w:r>
        <w:rPr/>
      </w:r>
    </w:p>
    <w:tbl>
      <w:tblPr>
        <w:tblW w:w="2200" w:type="dxa"/>
        <w:jc w:val="left"/>
        <w:tblInd w:w="0" w:type="dxa"/>
        <w:tblCellMar>
          <w:top w:w="0" w:type="dxa"/>
          <w:left w:w="0" w:type="dxa"/>
          <w:bottom w:w="0" w:type="dxa"/>
          <w:right w:w="0" w:type="dxa"/>
        </w:tblCellMar>
      </w:tblPr>
      <w:tblGrid>
        <w:gridCol w:w="1580"/>
        <w:gridCol w:w="620"/>
      </w:tblGrid>
      <w:tr>
        <w:trPr/>
        <w:tc>
          <w:tcPr>
            <w:tcW w:w="1580" w:type="dxa"/>
            <w:tcBorders/>
            <w:shd w:fill="auto" w:val="clear"/>
            <w:vAlign w:val="center"/>
          </w:tcPr>
          <w:p>
            <w:pPr>
              <w:pStyle w:val="TableContents"/>
              <w:spacing w:before="0" w:after="283"/>
              <w:jc w:val="right"/>
              <w:rPr>
                <w:rFonts w:ascii="Arial" w:hAnsi="Arial"/>
                <w:sz w:val="15"/>
              </w:rPr>
            </w:pPr>
            <w:r>
              <w:rPr>
                <w:rFonts w:ascii="Arial" w:hAnsi="Arial"/>
                <w:sz w:val="15"/>
              </w:rPr>
              <w:t>2023 Proxy Statement</w:t>
            </w:r>
          </w:p>
        </w:tc>
        <w:tc>
          <w:tcPr>
            <w:tcW w:w="620" w:type="dxa"/>
            <w:tcBorders/>
            <w:shd w:fill="auto" w:val="clear"/>
            <w:vAlign w:val="center"/>
          </w:tcPr>
          <w:p>
            <w:pPr>
              <w:pStyle w:val="TableContents"/>
              <w:spacing w:before="0" w:after="283"/>
              <w:jc w:val="right"/>
              <w:rPr/>
            </w:pPr>
            <w:r>
              <w:rPr/>
              <w:t>       </w:t>
            </w:r>
            <w:r>
              <w:rPr>
                <w:rFonts w:ascii="Arial" w:hAnsi="Arial"/>
                <w:b/>
                <w:sz w:val="15"/>
              </w:rPr>
              <w:t>47</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p>
      <w:pPr>
        <w:pStyle w:val="TextBody"/>
        <w:jc w:val="left"/>
        <w:rPr>
          <w:rFonts w:ascii="Arial" w:hAnsi="Arial"/>
          <w:sz w:val="20"/>
        </w:rPr>
      </w:pPr>
      <w:r>
        <w:rPr>
          <w:rFonts w:ascii="Arial" w:hAnsi="Arial"/>
          <w:sz w:val="20"/>
        </w:rPr>
        <w:t>The table below reflects the key features of our annual equity compensation program:</w:t>
      </w:r>
    </w:p>
    <w:tbl>
      <w:tblPr>
        <w:tblW w:w="10205" w:type="dxa"/>
        <w:jc w:val="left"/>
        <w:tblInd w:w="0" w:type="dxa"/>
        <w:tblCellMar>
          <w:top w:w="0" w:type="dxa"/>
          <w:left w:w="0" w:type="dxa"/>
          <w:bottom w:w="40" w:type="dxa"/>
          <w:right w:w="0" w:type="dxa"/>
        </w:tblCellMar>
      </w:tblPr>
      <w:tblGrid>
        <w:gridCol w:w="1834"/>
        <w:gridCol w:w="8371"/>
      </w:tblGrid>
      <w:tr>
        <w:trPr/>
        <w:tc>
          <w:tcPr>
            <w:tcW w:w="1834" w:type="dxa"/>
            <w:tcBorders>
              <w:bottom w:val="single" w:sz="16" w:space="0" w:color="000000"/>
            </w:tcBorders>
            <w:shd w:fill="auto" w:val="clear"/>
            <w:vAlign w:val="center"/>
          </w:tcPr>
          <w:p>
            <w:pPr>
              <w:pStyle w:val="TableContents"/>
              <w:spacing w:before="0" w:after="283"/>
              <w:jc w:val="left"/>
              <w:rPr>
                <w:rFonts w:ascii="Arial" w:hAnsi="Arial"/>
                <w:b/>
                <w:sz w:val="15"/>
              </w:rPr>
            </w:pPr>
            <w:r>
              <w:rPr>
                <w:rFonts w:ascii="Arial" w:hAnsi="Arial"/>
                <w:b/>
                <w:sz w:val="15"/>
              </w:rPr>
              <w:t>KEY FEATURES</w:t>
            </w:r>
          </w:p>
        </w:tc>
        <w:tc>
          <w:tcPr>
            <w:tcW w:w="8371" w:type="dxa"/>
            <w:tcBorders>
              <w:bottom w:val="single" w:sz="16" w:space="0" w:color="000000"/>
            </w:tcBorders>
            <w:shd w:fill="auto" w:val="clear"/>
            <w:vAlign w:val="center"/>
          </w:tcPr>
          <w:p>
            <w:pPr>
              <w:pStyle w:val="TableContents"/>
              <w:spacing w:before="0" w:after="283"/>
              <w:jc w:val="center"/>
              <w:rPr>
                <w:rFonts w:ascii="Arial" w:hAnsi="Arial"/>
                <w:b/>
                <w:sz w:val="15"/>
              </w:rPr>
            </w:pPr>
            <w:r>
              <w:rPr>
                <w:rFonts w:ascii="Arial" w:hAnsi="Arial"/>
                <w:b/>
                <w:sz w:val="15"/>
              </w:rPr>
              <w:t>2022 EQUITY COMPENSATION PROGRAM</w:t>
            </w:r>
          </w:p>
        </w:tc>
      </w:tr>
      <w:tr>
        <w:trPr/>
        <w:tc>
          <w:tcPr>
            <w:tcW w:w="1834" w:type="dxa"/>
            <w:tcBorders>
              <w:bottom w:val="single" w:sz="8" w:space="0" w:color="000000"/>
            </w:tcBorders>
            <w:shd w:fill="auto" w:val="clear"/>
            <w:tcMar>
              <w:bottom w:w="80" w:type="dxa"/>
            </w:tcMar>
            <w:vAlign w:val="center"/>
          </w:tcPr>
          <w:p>
            <w:pPr>
              <w:pStyle w:val="TableContents"/>
              <w:spacing w:before="0" w:after="283"/>
              <w:jc w:val="left"/>
              <w:rPr>
                <w:rFonts w:ascii="Arial" w:hAnsi="Arial"/>
                <w:b/>
                <w:sz w:val="20"/>
              </w:rPr>
            </w:pPr>
            <w:r>
              <w:rPr>
                <w:rFonts w:ascii="Arial" w:hAnsi="Arial"/>
                <w:b/>
                <w:sz w:val="20"/>
              </w:rPr>
              <w:t>PSU Performance Period</w:t>
            </w:r>
          </w:p>
        </w:tc>
        <w:tc>
          <w:tcPr>
            <w:tcW w:w="8371" w:type="dxa"/>
            <w:tcBorders>
              <w:bottom w:val="single" w:sz="8" w:space="0" w:color="000000"/>
            </w:tcBorders>
            <w:shd w:fill="auto" w:val="clear"/>
            <w:tcMar>
              <w:bottom w:w="80" w:type="dxa"/>
            </w:tcMar>
            <w:vAlign w:val="center"/>
          </w:tcPr>
          <w:p>
            <w:pPr>
              <w:pStyle w:val="TableContents"/>
              <w:spacing w:before="0" w:after="0"/>
              <w:ind w:left="0" w:right="0" w:hanging="290"/>
              <w:jc w:val="left"/>
              <w:rPr/>
            </w:pPr>
            <w:r>
              <w:rPr>
                <w:color w:val="00A1E0"/>
              </w:rPr>
              <w:t>●</w:t>
            </w:r>
            <w:r>
              <w:rPr>
                <w:rFonts w:ascii="Arial" w:hAnsi="Arial"/>
                <w:sz w:val="20"/>
              </w:rPr>
              <w:t>Three-year cumulative performance period, with all performance goals measured over the three-year period</w:t>
            </w:r>
          </w:p>
          <w:p>
            <w:pPr>
              <w:pStyle w:val="TableContents"/>
              <w:spacing w:before="0" w:after="0"/>
              <w:ind w:left="0" w:right="0" w:hanging="290"/>
              <w:jc w:val="left"/>
              <w:rPr/>
            </w:pPr>
            <w:r>
              <w:rPr>
                <w:color w:val="00A1E0"/>
              </w:rPr>
              <w:t>●</w:t>
            </w:r>
            <w:r>
              <w:rPr>
                <w:rFonts w:ascii="Arial" w:hAnsi="Arial"/>
                <w:sz w:val="20"/>
              </w:rPr>
              <w:t>Cliff-vests based on payout levels three years following grant</w:t>
            </w:r>
          </w:p>
        </w:tc>
      </w:tr>
      <w:tr>
        <w:trPr/>
        <w:tc>
          <w:tcPr>
            <w:tcW w:w="1834" w:type="dxa"/>
            <w:tcBorders>
              <w:bottom w:val="single" w:sz="8" w:space="0" w:color="000000"/>
            </w:tcBorders>
            <w:shd w:fill="auto" w:val="clear"/>
            <w:tcMar>
              <w:bottom w:w="80" w:type="dxa"/>
            </w:tcMar>
            <w:vAlign w:val="center"/>
          </w:tcPr>
          <w:p>
            <w:pPr>
              <w:pStyle w:val="TableContents"/>
              <w:spacing w:before="0" w:after="283"/>
              <w:jc w:val="left"/>
              <w:rPr>
                <w:rFonts w:ascii="Arial" w:hAnsi="Arial"/>
                <w:b/>
                <w:sz w:val="20"/>
              </w:rPr>
            </w:pPr>
            <w:r>
              <w:rPr>
                <w:rFonts w:ascii="Arial" w:hAnsi="Arial"/>
                <w:b/>
                <w:sz w:val="20"/>
              </w:rPr>
              <w:t>PSU Performance Goals</w:t>
            </w:r>
          </w:p>
        </w:tc>
        <w:tc>
          <w:tcPr>
            <w:tcW w:w="8371" w:type="dxa"/>
            <w:tcBorders>
              <w:bottom w:val="single" w:sz="8" w:space="0" w:color="000000"/>
            </w:tcBorders>
            <w:shd w:fill="auto" w:val="clear"/>
            <w:tcMar>
              <w:bottom w:w="80" w:type="dxa"/>
            </w:tcMar>
            <w:vAlign w:val="center"/>
          </w:tcPr>
          <w:p>
            <w:pPr>
              <w:pStyle w:val="TableContents"/>
              <w:spacing w:before="0" w:after="0"/>
              <w:ind w:left="0" w:right="0" w:hanging="290"/>
              <w:jc w:val="left"/>
              <w:rPr/>
            </w:pPr>
            <w:r>
              <w:rPr>
                <w:color w:val="00A1E0"/>
              </w:rPr>
              <w:t>●</w:t>
            </w:r>
            <w:r>
              <w:rPr>
                <w:rFonts w:ascii="Arial" w:hAnsi="Arial"/>
                <w:sz w:val="20"/>
              </w:rPr>
              <w:t>PSUs earned based on achievement of two primary performance metrics, each weighted 50%: (1) absolute ROIC and (2) relative Adjusted EPS growth</w:t>
            </w:r>
          </w:p>
          <w:p>
            <w:pPr>
              <w:pStyle w:val="TableContents"/>
              <w:spacing w:before="0" w:after="0"/>
              <w:ind w:left="0" w:right="0" w:hanging="290"/>
              <w:jc w:val="left"/>
              <w:rPr/>
            </w:pPr>
            <w:r>
              <w:rPr>
                <w:color w:val="00A1E0"/>
              </w:rPr>
              <w:t>●</w:t>
            </w:r>
            <w:r>
              <w:rPr>
                <w:rFonts w:ascii="Arial" w:hAnsi="Arial"/>
                <w:sz w:val="20"/>
              </w:rPr>
              <w:t xml:space="preserve">Attainment of primary performance metrics is subject to a relative TSR modifier, with no positive modifier applied if TSR is negative over the performance period </w:t>
            </w:r>
          </w:p>
        </w:tc>
      </w:tr>
      <w:tr>
        <w:trPr/>
        <w:tc>
          <w:tcPr>
            <w:tcW w:w="1834" w:type="dxa"/>
            <w:tcBorders>
              <w:bottom w:val="single" w:sz="8" w:space="0" w:color="000000"/>
            </w:tcBorders>
            <w:shd w:fill="auto" w:val="clear"/>
            <w:tcMar>
              <w:bottom w:w="80" w:type="dxa"/>
            </w:tcMar>
            <w:vAlign w:val="center"/>
          </w:tcPr>
          <w:p>
            <w:pPr>
              <w:pStyle w:val="TableContents"/>
              <w:spacing w:before="0" w:after="283"/>
              <w:jc w:val="left"/>
              <w:rPr>
                <w:rFonts w:ascii="Arial" w:hAnsi="Arial"/>
                <w:b/>
                <w:sz w:val="20"/>
              </w:rPr>
            </w:pPr>
            <w:r>
              <w:rPr>
                <w:rFonts w:ascii="Arial" w:hAnsi="Arial"/>
                <w:b/>
                <w:sz w:val="20"/>
              </w:rPr>
              <w:t>PSU Award Payouts</w:t>
            </w:r>
          </w:p>
        </w:tc>
        <w:tc>
          <w:tcPr>
            <w:tcW w:w="8371" w:type="dxa"/>
            <w:tcBorders>
              <w:bottom w:val="single" w:sz="8" w:space="0" w:color="000000"/>
            </w:tcBorders>
            <w:shd w:fill="auto" w:val="clear"/>
            <w:tcMar>
              <w:bottom w:w="80" w:type="dxa"/>
            </w:tcMar>
            <w:vAlign w:val="center"/>
          </w:tcPr>
          <w:p>
            <w:pPr>
              <w:pStyle w:val="TableContents"/>
              <w:spacing w:before="0" w:after="0"/>
              <w:ind w:left="0" w:right="0" w:hanging="290"/>
              <w:jc w:val="left"/>
              <w:rPr/>
            </w:pPr>
            <w:r>
              <w:rPr>
                <w:color w:val="00A1E0"/>
              </w:rPr>
              <w:t>●</w:t>
            </w:r>
            <w:r>
              <w:rPr>
                <w:rFonts w:ascii="Arial" w:hAnsi="Arial"/>
                <w:sz w:val="20"/>
              </w:rPr>
              <w:t>Performance must be achieved through a cumulative three-year period</w:t>
            </w:r>
          </w:p>
          <w:p>
            <w:pPr>
              <w:pStyle w:val="TableContents"/>
              <w:spacing w:before="0" w:after="0"/>
              <w:ind w:left="0" w:right="0" w:hanging="290"/>
              <w:jc w:val="left"/>
              <w:rPr/>
            </w:pPr>
            <w:r>
              <w:rPr>
                <w:color w:val="00A1E0"/>
              </w:rPr>
              <w:t>●</w:t>
            </w:r>
            <w:r>
              <w:rPr>
                <w:rFonts w:ascii="Arial" w:hAnsi="Arial"/>
                <w:sz w:val="20"/>
              </w:rPr>
              <w:t>Potential payout up to 250% of target, which rewards for outperformance against rigorous goals and significant returns to our investors</w:t>
            </w:r>
          </w:p>
        </w:tc>
      </w:tr>
      <w:tr>
        <w:trPr/>
        <w:tc>
          <w:tcPr>
            <w:tcW w:w="1834" w:type="dxa"/>
            <w:tcBorders>
              <w:bottom w:val="single" w:sz="8" w:space="0" w:color="000000"/>
            </w:tcBorders>
            <w:shd w:fill="auto" w:val="clear"/>
            <w:tcMar>
              <w:bottom w:w="80" w:type="dxa"/>
            </w:tcMar>
            <w:vAlign w:val="center"/>
          </w:tcPr>
          <w:p>
            <w:pPr>
              <w:pStyle w:val="TableContents"/>
              <w:spacing w:before="0" w:after="283"/>
              <w:jc w:val="left"/>
              <w:rPr>
                <w:rFonts w:ascii="Arial" w:hAnsi="Arial"/>
                <w:b/>
                <w:sz w:val="20"/>
              </w:rPr>
            </w:pPr>
            <w:r>
              <w:rPr>
                <w:rFonts w:ascii="Arial" w:hAnsi="Arial"/>
                <w:b/>
                <w:sz w:val="20"/>
              </w:rPr>
              <w:t>Stock Option</w:t>
              <w:br/>
              <w:t>Vesting Period</w:t>
            </w:r>
          </w:p>
        </w:tc>
        <w:tc>
          <w:tcPr>
            <w:tcW w:w="8371" w:type="dxa"/>
            <w:tcBorders>
              <w:bottom w:val="single" w:sz="8" w:space="0" w:color="000000"/>
            </w:tcBorders>
            <w:shd w:fill="auto" w:val="clear"/>
            <w:tcMar>
              <w:bottom w:w="80" w:type="dxa"/>
            </w:tcMar>
            <w:vAlign w:val="center"/>
          </w:tcPr>
          <w:p>
            <w:pPr>
              <w:pStyle w:val="TableContents"/>
              <w:spacing w:before="0" w:after="0"/>
              <w:ind w:left="0" w:right="0" w:hanging="290"/>
              <w:jc w:val="left"/>
              <w:rPr/>
            </w:pPr>
            <w:r>
              <w:rPr>
                <w:color w:val="00A1E0"/>
              </w:rPr>
              <w:t>●</w:t>
            </w:r>
            <w:r>
              <w:rPr>
                <w:rFonts w:ascii="Arial" w:hAnsi="Arial"/>
                <w:sz w:val="20"/>
              </w:rPr>
              <w:t>Stock options vest over a five-year period to reinforce a long-term focus</w:t>
            </w:r>
          </w:p>
        </w:tc>
      </w:tr>
    </w:tbl>
    <w:p>
      <w:pPr>
        <w:pStyle w:val="TextBody"/>
        <w:spacing w:before="240" w:after="283"/>
        <w:jc w:val="left"/>
        <w:rPr>
          <w:rFonts w:ascii="Arial" w:hAnsi="Arial"/>
          <w:sz w:val="20"/>
        </w:rPr>
      </w:pPr>
      <w:r>
        <w:rPr>
          <w:rFonts w:ascii="Arial" w:hAnsi="Arial"/>
          <w:sz w:val="20"/>
        </w:rPr>
        <w:t>We believe that our PSU structure closely aligns the interests of our NEOs with shareholders and long-term value creation, with the ROIC and relative Adjusted EPS growth metrics serving as meaningful inputs to value creation and the relative TSR modifier providing an output measure of value creation. The combination of these performance metrics, together with the financial metrics (revenue, Adjusted EBITDA and Free Cash Flow), operating performance goals and the evaluation of stakeholder and sustainability initiatives under our annual cash bonus program, provide company-specific performance goals that are directly linked with our NEOs’ management of our company, while also satisfying shareholder return expectations. The maximum payout under the PSU awards of 250% of target provides additional incentive for outperformance and is in recognition of the fact that a significant portion of our NEOs’ compensation is delivered in the form of at-risk PSU awards, the value of which may only be realized by our NEOs upon achievement of financial and shareholder return performance measures over a three-year period.</w:t>
      </w:r>
    </w:p>
    <w:p>
      <w:pPr>
        <w:pStyle w:val="TextBody"/>
        <w:jc w:val="left"/>
        <w:rPr>
          <w:rFonts w:ascii="Arial" w:hAnsi="Arial"/>
          <w:sz w:val="20"/>
        </w:rPr>
      </w:pPr>
      <w:r>
        <w:rPr>
          <w:rFonts w:ascii="Arial" w:hAnsi="Arial"/>
          <w:sz w:val="20"/>
        </w:rPr>
        <w:t>Consistent with historical practice, our 2022 equity compensation program for NEOs consisted of a mix of both PSU awards and stock options – in 2022, 60% of the target value of our NEOs’ equity awards was in the form of PSUs and 40% was in the form of stock options. In determining the total value of equity-based compensation, the CHC Committee considers, among other things, the overall performance mix of an NEO’s total direct compensation and the value of awards made to other executives, as well as the value of equity-based compensation awarded to comparable NEOs at our peer companies.</w:t>
      </w:r>
    </w:p>
    <w:p>
      <w:pPr>
        <w:pStyle w:val="TextBody"/>
        <w:jc w:val="left"/>
        <w:rPr>
          <w:rFonts w:ascii="Arial" w:hAnsi="Arial"/>
          <w:sz w:val="24"/>
        </w:rPr>
      </w:pPr>
      <w:r>
        <w:rPr>
          <w:rFonts w:ascii="Arial" w:hAnsi="Arial"/>
          <w:sz w:val="24"/>
        </w:rPr>
        <w:t>PSUs</w:t>
      </w:r>
    </w:p>
    <w:p>
      <w:pPr>
        <w:pStyle w:val="TextBody"/>
        <w:jc w:val="left"/>
        <w:rPr>
          <w:rFonts w:ascii="Arial" w:hAnsi="Arial"/>
          <w:color w:val="00A1E0"/>
          <w:sz w:val="20"/>
        </w:rPr>
      </w:pPr>
      <w:r>
        <w:rPr>
          <w:rFonts w:ascii="Arial" w:hAnsi="Arial"/>
          <w:color w:val="00A1E0"/>
          <w:sz w:val="20"/>
        </w:rPr>
        <w:t>2022 PSU Awards</w:t>
      </w:r>
    </w:p>
    <w:p>
      <w:pPr>
        <w:pStyle w:val="TextBody"/>
        <w:jc w:val="left"/>
        <w:rPr>
          <w:rFonts w:ascii="Arial" w:hAnsi="Arial"/>
          <w:sz w:val="20"/>
        </w:rPr>
      </w:pPr>
      <w:r>
        <w:rPr>
          <w:rFonts w:ascii="Arial" w:hAnsi="Arial"/>
          <w:sz w:val="20"/>
        </w:rPr>
        <w:t>PSUs granted in 2022 have two equally weighted primary performance metrics that are each measured over a cumulative three-year performance period beginning January 1 in the year of grant:</w:t>
      </w:r>
    </w:p>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jc w:val="left"/>
              <w:rPr/>
            </w:pPr>
            <w:r>
              <w:rPr>
                <w:rStyle w:val="StrongEmphasis"/>
                <w:rFonts w:ascii="Arial" w:hAnsi="Arial"/>
                <w:sz w:val="20"/>
              </w:rPr>
              <w:t>ROIC</w:t>
            </w:r>
            <w:r>
              <w:rPr>
                <w:rFonts w:ascii="Arial" w:hAnsi="Arial"/>
                <w:sz w:val="20"/>
              </w:rPr>
              <w:t>: measured on an absolute basis for each year during the three-year period and averaged to yield an average ROIC for the cumulative three-year period</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jc w:val="left"/>
              <w:rPr/>
            </w:pPr>
            <w:r>
              <w:rPr>
                <w:rStyle w:val="StrongEmphasis"/>
                <w:rFonts w:ascii="Arial" w:hAnsi="Arial"/>
                <w:sz w:val="20"/>
              </w:rPr>
              <w:t>Relative Adjusted EPS Growth</w:t>
            </w:r>
            <w:r>
              <w:rPr>
                <w:rFonts w:ascii="Arial" w:hAnsi="Arial"/>
                <w:sz w:val="20"/>
              </w:rPr>
              <w:t>: compound annual growth rate measured on a relative basis at the end of the cumulative three-year performance period against the companies comprising the S&amp;P 100 Index</w:t>
            </w:r>
          </w:p>
        </w:tc>
      </w:tr>
    </w:tbl>
    <w:p>
      <w:pPr>
        <w:pStyle w:val="TextBody"/>
        <w:spacing w:before="240" w:after="283"/>
        <w:jc w:val="left"/>
        <w:rPr>
          <w:rFonts w:ascii="Arial" w:hAnsi="Arial"/>
          <w:sz w:val="20"/>
        </w:rPr>
      </w:pPr>
      <w:r>
        <w:rPr>
          <w:rFonts w:ascii="Arial" w:hAnsi="Arial"/>
          <w:sz w:val="20"/>
        </w:rPr>
        <w:t>The ultimate payout of the PSUs is then subject to a relative TSR performance modifier based on the percentile ranking of our TSR over the three-year performance period relative to that of the companies comprising the S&amp;P 100 Index (“Relative TSR Modifier”). The Relative TSR Modifier is interpolated for performance between the bottom and top quartiles (25</w:t>
      </w:r>
      <w:r>
        <w:rPr>
          <w:rFonts w:ascii="Arial" w:hAnsi="Arial"/>
          <w:position w:val="7"/>
          <w:sz w:val="16"/>
          <w:sz w:val="20"/>
        </w:rPr>
        <w:t xml:space="preserve">th </w:t>
      </w:r>
      <w:r>
        <w:rPr>
          <w:rFonts w:ascii="Arial" w:hAnsi="Arial"/>
          <w:sz w:val="20"/>
        </w:rPr>
        <w:t>– 75</w:t>
      </w:r>
      <w:r>
        <w:rPr>
          <w:rFonts w:ascii="Arial" w:hAnsi="Arial"/>
          <w:position w:val="7"/>
          <w:sz w:val="16"/>
          <w:sz w:val="20"/>
        </w:rPr>
        <w:t xml:space="preserve">th </w:t>
      </w:r>
      <w:r>
        <w:rPr>
          <w:rFonts w:ascii="Arial" w:hAnsi="Arial"/>
          <w:sz w:val="20"/>
        </w:rPr>
        <w:t>percentile), with no positive modifier applied if TSR is negative over the performance period. We believe this modifier more directly links our equity compensation program to shareholder returns by rewarding our executives for sustained market outperformance, as well as regulating payouts for market underperformance, even if financial metrics are achieved at or above target.</w:t>
      </w:r>
    </w:p>
    <w:tbl>
      <w:tblPr>
        <w:tblW w:w="223" w:type="dxa"/>
        <w:jc w:val="left"/>
        <w:tblInd w:w="0" w:type="dxa"/>
        <w:tblCellMar>
          <w:top w:w="0" w:type="dxa"/>
          <w:left w:w="0" w:type="dxa"/>
          <w:bottom w:w="0" w:type="dxa"/>
          <w:right w:w="0" w:type="dxa"/>
        </w:tblCellMar>
      </w:tblPr>
      <w:tblGrid>
        <w:gridCol w:w="200"/>
        <w:gridCol w:w="23"/>
      </w:tblGrid>
      <w:tr>
        <w:trPr/>
        <w:tc>
          <w:tcPr>
            <w:tcW w:w="200" w:type="dxa"/>
            <w:tcBorders/>
            <w:shd w:fill="auto" w:val="clear"/>
            <w:vAlign w:val="center"/>
          </w:tcPr>
          <w:p>
            <w:pPr>
              <w:pStyle w:val="TableContents"/>
              <w:spacing w:before="0" w:after="283"/>
              <w:jc w:val="left"/>
              <w:rPr>
                <w:rFonts w:ascii="Arial" w:hAnsi="Arial"/>
                <w:b/>
                <w:sz w:val="15"/>
              </w:rPr>
            </w:pPr>
            <w:r>
              <w:rPr>
                <w:rFonts w:ascii="Arial" w:hAnsi="Arial"/>
                <w:b/>
                <w:sz w:val="15"/>
              </w:rPr>
              <w:t>48</w:t>
            </w:r>
          </w:p>
        </w:tc>
        <w:tc>
          <w:tcPr>
            <w:tcW w:w="2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p>
      <w:pPr>
        <w:pStyle w:val="TextBody"/>
        <w:jc w:val="left"/>
        <w:rPr>
          <w:rFonts w:ascii="Arial" w:hAnsi="Arial"/>
          <w:sz w:val="20"/>
        </w:rPr>
      </w:pPr>
      <w:r>
        <w:rPr>
          <w:rFonts w:ascii="Arial" w:hAnsi="Arial"/>
          <w:sz w:val="20"/>
        </w:rPr>
        <w:t>Earned PSUs will cliff-vest on the third anniversary of the date of grant, generally subject to continued employment through such date.</w:t>
      </w:r>
    </w:p>
    <w:p>
      <w:pPr>
        <w:pStyle w:val="TextBody"/>
        <w:jc w:val="left"/>
        <w:rPr>
          <w:rFonts w:ascii="Arial" w:hAnsi="Arial"/>
          <w:sz w:val="20"/>
        </w:rPr>
      </w:pPr>
      <w:r>
        <w:rPr>
          <w:rFonts w:ascii="Arial" w:hAnsi="Arial"/>
          <w:sz w:val="20"/>
        </w:rPr>
        <w:t>We believe the combination of our performance goals closely aligns the potential payout of the PSUs to the value ultimately realized by shareholders over a similar time horizon.</w:t>
      </w:r>
    </w:p>
    <w:p>
      <w:pPr>
        <w:pStyle w:val="TextBody"/>
        <w:jc w:val="left"/>
        <w:rPr>
          <w:rFonts w:ascii="Arial" w:hAnsi="Arial"/>
          <w:sz w:val="20"/>
        </w:rPr>
      </w:pPr>
      <w:r>
        <w:rPr>
          <w:rFonts w:ascii="Arial" w:hAnsi="Arial"/>
          <w:sz w:val="20"/>
        </w:rPr>
        <w:t>The target PSU values that the CHC Committee approved for 2022 PSUs are set forth below. These target values are lower than the accounting values required to be set forth in the Summary Compensation Table as a result of certain assumptions and valuation methodologies required under applicable accounting standards.</w:t>
      </w:r>
    </w:p>
    <w:tbl>
      <w:tblPr>
        <w:tblW w:w="2575" w:type="dxa"/>
        <w:jc w:val="left"/>
        <w:tblInd w:w="0" w:type="dxa"/>
        <w:tblCellMar>
          <w:top w:w="0" w:type="dxa"/>
          <w:left w:w="0" w:type="dxa"/>
          <w:bottom w:w="40" w:type="dxa"/>
          <w:right w:w="0" w:type="dxa"/>
        </w:tblCellMar>
      </w:tblPr>
      <w:tblGrid>
        <w:gridCol w:w="1295"/>
        <w:gridCol w:w="300"/>
        <w:gridCol w:w="980"/>
      </w:tblGrid>
      <w:tr>
        <w:trPr/>
        <w:tc>
          <w:tcPr>
            <w:tcW w:w="1295" w:type="dxa"/>
            <w:tcBorders>
              <w:bottom w:val="single" w:sz="12" w:space="0" w:color="000000"/>
            </w:tcBorders>
            <w:shd w:fill="auto" w:val="clear"/>
            <w:vAlign w:val="center"/>
          </w:tcPr>
          <w:p>
            <w:pPr>
              <w:pStyle w:val="TableContents"/>
              <w:spacing w:before="0" w:after="283"/>
              <w:jc w:val="left"/>
              <w:rPr/>
            </w:pPr>
            <w:r>
              <w:rPr>
                <w:rStyle w:val="StrongEmphasis"/>
                <w:rFonts w:ascii="Arial" w:hAnsi="Arial"/>
                <w:sz w:val="15"/>
              </w:rPr>
              <w:t>NAME</w:t>
            </w:r>
          </w:p>
        </w:tc>
        <w:tc>
          <w:tcPr>
            <w:tcW w:w="300" w:type="dxa"/>
            <w:tcBorders>
              <w:bottom w:val="single" w:sz="12" w:space="0" w:color="000000"/>
            </w:tcBorders>
            <w:shd w:fill="auto" w:val="clear"/>
            <w:vAlign w:val="center"/>
          </w:tcPr>
          <w:p>
            <w:pPr>
              <w:pStyle w:val="TableContents"/>
              <w:spacing w:before="0" w:after="283"/>
              <w:jc w:val="left"/>
              <w:rPr/>
            </w:pPr>
            <w:r>
              <w:rPr/>
              <w:t>     </w:t>
            </w:r>
          </w:p>
        </w:tc>
        <w:tc>
          <w:tcPr>
            <w:tcW w:w="980" w:type="dxa"/>
            <w:tcBorders>
              <w:bottom w:val="single" w:sz="12" w:space="0" w:color="000000"/>
            </w:tcBorders>
            <w:shd w:fill="auto" w:val="clear"/>
            <w:vAlign w:val="center"/>
          </w:tcPr>
          <w:p>
            <w:pPr>
              <w:pStyle w:val="TableContents"/>
              <w:spacing w:before="0" w:after="283"/>
              <w:jc w:val="center"/>
              <w:rPr/>
            </w:pPr>
            <w:r>
              <w:rPr>
                <w:rStyle w:val="StrongEmphasis"/>
                <w:rFonts w:ascii="Arial" w:hAnsi="Arial"/>
                <w:sz w:val="15"/>
              </w:rPr>
              <w:t>PSUs</w:t>
              <w:br/>
              <w:t>($)</w:t>
            </w:r>
          </w:p>
        </w:tc>
      </w:tr>
      <w:tr>
        <w:trPr/>
        <w:tc>
          <w:tcPr>
            <w:tcW w:w="1295" w:type="dxa"/>
            <w:tcBorders>
              <w:bottom w:val="single" w:sz="8" w:space="0" w:color="000000"/>
            </w:tcBorders>
            <w:shd w:fill="auto" w:val="clear"/>
            <w:tcMar>
              <w:bottom w:w="28" w:type="dxa"/>
            </w:tcMar>
            <w:vAlign w:val="center"/>
          </w:tcPr>
          <w:p>
            <w:pPr>
              <w:pStyle w:val="TableContents"/>
              <w:spacing w:before="0" w:after="283"/>
              <w:jc w:val="left"/>
              <w:rPr/>
            </w:pPr>
            <w:r>
              <w:rPr>
                <w:rStyle w:val="StrongEmphasis"/>
                <w:rFonts w:ascii="Arial" w:hAnsi="Arial"/>
                <w:sz w:val="20"/>
              </w:rPr>
              <w:t>Mr. Roberts</w:t>
            </w:r>
          </w:p>
        </w:tc>
        <w:tc>
          <w:tcPr>
            <w:tcW w:w="3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8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12,720,000</w:t>
            </w:r>
          </w:p>
        </w:tc>
      </w:tr>
      <w:tr>
        <w:trPr/>
        <w:tc>
          <w:tcPr>
            <w:tcW w:w="1295" w:type="dxa"/>
            <w:tcBorders>
              <w:bottom w:val="single" w:sz="8" w:space="0" w:color="000000"/>
            </w:tcBorders>
            <w:shd w:fill="auto" w:val="clear"/>
            <w:tcMar>
              <w:bottom w:w="28" w:type="dxa"/>
            </w:tcMar>
            <w:vAlign w:val="center"/>
          </w:tcPr>
          <w:p>
            <w:pPr>
              <w:pStyle w:val="TableContents"/>
              <w:spacing w:before="0" w:after="283"/>
              <w:jc w:val="left"/>
              <w:rPr/>
            </w:pPr>
            <w:r>
              <w:rPr>
                <w:rStyle w:val="StrongEmphasis"/>
                <w:rFonts w:ascii="Arial" w:hAnsi="Arial"/>
                <w:sz w:val="20"/>
              </w:rPr>
              <w:t>Mr. Cavanagh</w:t>
            </w:r>
          </w:p>
        </w:tc>
        <w:tc>
          <w:tcPr>
            <w:tcW w:w="3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8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9,480,000</w:t>
            </w:r>
          </w:p>
        </w:tc>
      </w:tr>
      <w:tr>
        <w:trPr/>
        <w:tc>
          <w:tcPr>
            <w:tcW w:w="1295" w:type="dxa"/>
            <w:tcBorders>
              <w:bottom w:val="single" w:sz="8" w:space="0" w:color="000000"/>
            </w:tcBorders>
            <w:shd w:fill="auto" w:val="clear"/>
            <w:tcMar>
              <w:bottom w:w="28" w:type="dxa"/>
            </w:tcMar>
            <w:vAlign w:val="center"/>
          </w:tcPr>
          <w:p>
            <w:pPr>
              <w:pStyle w:val="TableContents"/>
              <w:spacing w:before="0" w:after="283"/>
              <w:jc w:val="left"/>
              <w:rPr/>
            </w:pPr>
            <w:r>
              <w:rPr>
                <w:rStyle w:val="StrongEmphasis"/>
                <w:rFonts w:ascii="Arial" w:hAnsi="Arial"/>
                <w:sz w:val="20"/>
              </w:rPr>
              <w:t>Mr. Watson</w:t>
            </w:r>
          </w:p>
        </w:tc>
        <w:tc>
          <w:tcPr>
            <w:tcW w:w="3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8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7,335,000</w:t>
            </w:r>
          </w:p>
        </w:tc>
      </w:tr>
      <w:tr>
        <w:trPr/>
        <w:tc>
          <w:tcPr>
            <w:tcW w:w="1295" w:type="dxa"/>
            <w:tcBorders>
              <w:bottom w:val="single" w:sz="8" w:space="0" w:color="000000"/>
            </w:tcBorders>
            <w:shd w:fill="auto" w:val="clear"/>
            <w:tcMar>
              <w:bottom w:w="28" w:type="dxa"/>
            </w:tcMar>
            <w:vAlign w:val="center"/>
          </w:tcPr>
          <w:p>
            <w:pPr>
              <w:pStyle w:val="TableContents"/>
              <w:spacing w:before="0" w:after="283"/>
              <w:jc w:val="left"/>
              <w:rPr/>
            </w:pPr>
            <w:r>
              <w:rPr>
                <w:rStyle w:val="StrongEmphasis"/>
                <w:rFonts w:ascii="Arial" w:hAnsi="Arial"/>
                <w:sz w:val="20"/>
              </w:rPr>
              <w:t>Mr. Shell</w:t>
            </w:r>
            <w:r>
              <w:rPr>
                <w:rStyle w:val="StrongEmphasis"/>
                <w:rFonts w:ascii="Arial" w:hAnsi="Arial"/>
                <w:position w:val="7"/>
                <w:sz w:val="16"/>
                <w:sz w:val="20"/>
              </w:rPr>
              <w:t>(1)</w:t>
            </w:r>
          </w:p>
        </w:tc>
        <w:tc>
          <w:tcPr>
            <w:tcW w:w="3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8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6,285,000</w:t>
            </w:r>
          </w:p>
        </w:tc>
      </w:tr>
      <w:tr>
        <w:trPr/>
        <w:tc>
          <w:tcPr>
            <w:tcW w:w="1295" w:type="dxa"/>
            <w:tcBorders>
              <w:bottom w:val="single" w:sz="8" w:space="0" w:color="000000"/>
            </w:tcBorders>
            <w:shd w:fill="auto" w:val="clear"/>
            <w:tcMar>
              <w:bottom w:w="28" w:type="dxa"/>
            </w:tcMar>
            <w:vAlign w:val="center"/>
          </w:tcPr>
          <w:p>
            <w:pPr>
              <w:pStyle w:val="TableContents"/>
              <w:spacing w:before="0" w:after="283"/>
              <w:jc w:val="left"/>
              <w:rPr/>
            </w:pPr>
            <w:r>
              <w:rPr>
                <w:rStyle w:val="StrongEmphasis"/>
                <w:rFonts w:ascii="Arial" w:hAnsi="Arial"/>
                <w:sz w:val="20"/>
              </w:rPr>
              <w:t>Ms. Strong</w:t>
            </w:r>
          </w:p>
        </w:tc>
        <w:tc>
          <w:tcPr>
            <w:tcW w:w="3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8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4,095,000</w:t>
            </w:r>
          </w:p>
        </w:tc>
      </w:tr>
    </w:tbl>
    <w:tbl>
      <w:tblPr>
        <w:tblW w:w="6550" w:type="dxa"/>
        <w:jc w:val="left"/>
        <w:tblInd w:w="0" w:type="dxa"/>
        <w:tblCellMar>
          <w:top w:w="0" w:type="dxa"/>
          <w:left w:w="0" w:type="dxa"/>
          <w:bottom w:w="0" w:type="dxa"/>
          <w:right w:w="0" w:type="dxa"/>
        </w:tblCellMar>
      </w:tblPr>
      <w:tblGrid>
        <w:gridCol w:w="245"/>
        <w:gridCol w:w="6305"/>
      </w:tblGrid>
      <w:tr>
        <w:trPr/>
        <w:tc>
          <w:tcPr>
            <w:tcW w:w="245" w:type="dxa"/>
            <w:tcBorders/>
            <w:shd w:fill="auto" w:val="clear"/>
            <w:vAlign w:val="center"/>
          </w:tcPr>
          <w:p>
            <w:pPr>
              <w:pStyle w:val="TableContents"/>
              <w:spacing w:before="0" w:after="283"/>
              <w:jc w:val="left"/>
              <w:rPr>
                <w:rFonts w:ascii="Arial" w:hAnsi="Arial"/>
                <w:sz w:val="15"/>
              </w:rPr>
            </w:pPr>
            <w:r>
              <w:rPr>
                <w:rFonts w:ascii="Arial" w:hAnsi="Arial"/>
                <w:position w:val="5"/>
                <w:sz w:val="12"/>
                <w:sz w:val="15"/>
              </w:rPr>
              <w:t xml:space="preserve">(1) </w:t>
            </w:r>
            <w:r>
              <w:rPr>
                <w:rFonts w:ascii="Arial" w:hAnsi="Arial"/>
                <w:sz w:val="15"/>
              </w:rPr>
              <w:t> </w:t>
            </w:r>
          </w:p>
        </w:tc>
        <w:tc>
          <w:tcPr>
            <w:tcW w:w="6305" w:type="dxa"/>
            <w:tcBorders/>
            <w:shd w:fill="auto" w:val="clear"/>
            <w:vAlign w:val="center"/>
          </w:tcPr>
          <w:p>
            <w:pPr>
              <w:pStyle w:val="TableContents"/>
              <w:spacing w:before="0" w:after="283"/>
              <w:jc w:val="left"/>
              <w:rPr>
                <w:rFonts w:ascii="Arial" w:hAnsi="Arial"/>
                <w:sz w:val="15"/>
              </w:rPr>
            </w:pPr>
            <w:r>
              <w:rPr>
                <w:rFonts w:ascii="Arial" w:hAnsi="Arial"/>
                <w:sz w:val="15"/>
              </w:rPr>
              <w:t xml:space="preserve">Mr. Shell forfeited his 2022 PSU awards upon termination of his employment in April 2023. </w:t>
            </w:r>
          </w:p>
        </w:tc>
      </w:tr>
    </w:tbl>
    <w:p>
      <w:pPr>
        <w:pStyle w:val="TextBody"/>
        <w:spacing w:before="240" w:after="283"/>
        <w:jc w:val="left"/>
        <w:rPr>
          <w:rFonts w:ascii="Arial" w:hAnsi="Arial"/>
          <w:sz w:val="20"/>
        </w:rPr>
      </w:pPr>
      <w:r>
        <w:rPr>
          <w:rFonts w:ascii="Arial" w:hAnsi="Arial"/>
          <w:sz w:val="20"/>
        </w:rPr>
        <w:t>For more information on PSUs granted in 2022, see “Grants of Plan-Based Awards” table below.</w:t>
      </w:r>
    </w:p>
    <w:p>
      <w:pPr>
        <w:pStyle w:val="TextBody"/>
        <w:jc w:val="left"/>
        <w:rPr>
          <w:rFonts w:ascii="Arial" w:hAnsi="Arial"/>
          <w:sz w:val="20"/>
        </w:rPr>
      </w:pPr>
      <w:r>
        <w:rPr>
          <w:rFonts w:ascii="Arial" w:hAnsi="Arial"/>
          <w:sz w:val="20"/>
        </w:rPr>
        <w:t>There were no prior PSU awards that vested in 2022, as the performance metrics for awards granted in 2017 through 2020 were fully achieved in 2021.</w:t>
      </w:r>
    </w:p>
    <w:p>
      <w:pPr>
        <w:pStyle w:val="TextBody"/>
        <w:jc w:val="left"/>
        <w:rPr>
          <w:rFonts w:ascii="Arial" w:hAnsi="Arial"/>
          <w:sz w:val="24"/>
        </w:rPr>
      </w:pPr>
      <w:r>
        <w:rPr>
          <w:rFonts w:ascii="Arial" w:hAnsi="Arial"/>
          <w:sz w:val="24"/>
        </w:rPr>
        <w:t>Stock Options</w:t>
      </w:r>
    </w:p>
    <w:p>
      <w:pPr>
        <w:pStyle w:val="TextBody"/>
        <w:jc w:val="left"/>
        <w:rPr>
          <w:rFonts w:ascii="Arial" w:hAnsi="Arial"/>
          <w:sz w:val="20"/>
        </w:rPr>
      </w:pPr>
      <w:r>
        <w:rPr>
          <w:rFonts w:ascii="Arial" w:hAnsi="Arial"/>
          <w:sz w:val="20"/>
        </w:rPr>
        <w:t>Approximately 40% of the target value of our NEOs’ 2022 equity awards was in the form of stock options, which vest 20% on each of the first five anniversaries of the grant date. While the stock options granted to our NEOs do not have any express performance conditions, the value ultimately realized for such awards is dependent on the appreciation of our stock price from the date of grant, which further aligns our NEOs’ interests with those of our shareholders.</w:t>
      </w:r>
    </w:p>
    <w:p>
      <w:pPr>
        <w:pStyle w:val="TextBody"/>
        <w:jc w:val="left"/>
        <w:rPr>
          <w:rFonts w:ascii="Arial" w:hAnsi="Arial"/>
          <w:color w:val="00A1E0"/>
          <w:sz w:val="20"/>
        </w:rPr>
      </w:pPr>
      <w:r>
        <w:rPr>
          <w:rFonts w:ascii="Arial" w:hAnsi="Arial"/>
          <w:color w:val="00A1E0"/>
          <w:sz w:val="20"/>
        </w:rPr>
        <w:t>Special Performance-Based Stock Option Award</w:t>
      </w:r>
    </w:p>
    <w:p>
      <w:pPr>
        <w:pStyle w:val="TextBody"/>
        <w:jc w:val="left"/>
        <w:rPr>
          <w:rFonts w:ascii="Arial" w:hAnsi="Arial"/>
          <w:sz w:val="20"/>
        </w:rPr>
      </w:pPr>
      <w:r>
        <w:rPr>
          <w:rFonts w:ascii="Arial" w:hAnsi="Arial"/>
          <w:sz w:val="20"/>
        </w:rPr>
        <w:t>In connection with his promotion to President of the Company, Mr. Cavanagh was awarded a special performance-based stock option award (the “Performance Option”) designed to ensure leadership continuity over the longer term, enhance retention in response to increasing competition for high-performing talent, incent financial performance by aligning compensation with rigorous performance targets that drive long-term shareholder value creation and further align his interests with those of our shareholders by promoting increased share ownership over an extended period. The stock option, once vested, allows Mr. Cavanagh to purchase 2,000,000 shares (at target performance) of our Class A common stock and was valued at $14.8 million using the Black-Scholes option-pricing model.</w:t>
      </w:r>
    </w:p>
    <w:p>
      <w:pPr>
        <w:pStyle w:val="TextBody"/>
        <w:jc w:val="left"/>
        <w:rPr>
          <w:rFonts w:ascii="Arial" w:hAnsi="Arial"/>
          <w:sz w:val="20"/>
        </w:rPr>
      </w:pPr>
      <w:r>
        <w:rPr>
          <w:rFonts w:ascii="Arial" w:hAnsi="Arial"/>
          <w:sz w:val="20"/>
        </w:rPr>
        <w:t>The Performance Option will vest and become exercisable upon satisfaction of both a time-based and a performance-based component. The time-based component will vest in full on February 1, 2028, generally subject to continued employment through such date. The Performance Option also contains a restriction on the sale of any shares issued upon exercise until after the expiration date of the Performance Option (i.e., after the 10th anniversary of the grant date).</w:t>
      </w:r>
    </w:p>
    <w:p>
      <w:pPr>
        <w:pStyle w:val="TextBody"/>
        <w:jc w:val="left"/>
        <w:rPr>
          <w:rFonts w:ascii="Arial" w:hAnsi="Arial"/>
          <w:sz w:val="20"/>
        </w:rPr>
      </w:pPr>
      <w:r>
        <w:rPr>
          <w:rFonts w:ascii="Arial" w:hAnsi="Arial"/>
          <w:sz w:val="20"/>
        </w:rPr>
        <w:t>The performance-based component will vest on the attainment of specified metrics relating to average annual growth in Free Cash Flow per share (FCF per Share) over a five-year performance period. Achievement will be calculated based on growth in FCF per Share for each year during the five-year period, which will be averaged for the cumulative five-year period, and will be measured against a pre-established target approved by the CHC Committee. At target performance (which equals average annual growth of 8%), 100% of the award would vest. At threshold performance (which equals average annual growth of 6%), 50% of the award would vest and at maximum performance (which equals average annual growth of at least 12%), 200% of the award would vest (with straight line interpolation if results are between the FCF goals). If the average annual growth in FCF is less than 6%, then the award will not vest and will be forfeited. We believe that FCF per Share is an important metric as discussed in more detail above in Our Approach to Compensation. For a discussion of the treatment of the Performance Option on a termination of employment, please see the Potential Payments upon Termination or Change in Control table below.</w:t>
      </w:r>
    </w:p>
    <w:tbl>
      <w:tblPr>
        <w:tblW w:w="2200" w:type="dxa"/>
        <w:jc w:val="left"/>
        <w:tblInd w:w="0" w:type="dxa"/>
        <w:tblCellMar>
          <w:top w:w="0" w:type="dxa"/>
          <w:left w:w="0" w:type="dxa"/>
          <w:bottom w:w="0" w:type="dxa"/>
          <w:right w:w="0" w:type="dxa"/>
        </w:tblCellMar>
      </w:tblPr>
      <w:tblGrid>
        <w:gridCol w:w="1580"/>
        <w:gridCol w:w="620"/>
      </w:tblGrid>
      <w:tr>
        <w:trPr/>
        <w:tc>
          <w:tcPr>
            <w:tcW w:w="1580" w:type="dxa"/>
            <w:tcBorders/>
            <w:shd w:fill="auto" w:val="clear"/>
            <w:vAlign w:val="center"/>
          </w:tcPr>
          <w:p>
            <w:pPr>
              <w:pStyle w:val="TableContents"/>
              <w:spacing w:before="0" w:after="283"/>
              <w:jc w:val="right"/>
              <w:rPr>
                <w:rFonts w:ascii="Arial" w:hAnsi="Arial"/>
                <w:sz w:val="15"/>
              </w:rPr>
            </w:pPr>
            <w:r>
              <w:rPr>
                <w:rFonts w:ascii="Arial" w:hAnsi="Arial"/>
                <w:sz w:val="15"/>
              </w:rPr>
              <w:t>2023 Proxy Statement</w:t>
            </w:r>
          </w:p>
        </w:tc>
        <w:tc>
          <w:tcPr>
            <w:tcW w:w="620" w:type="dxa"/>
            <w:tcBorders/>
            <w:shd w:fill="auto" w:val="clear"/>
            <w:vAlign w:val="center"/>
          </w:tcPr>
          <w:p>
            <w:pPr>
              <w:pStyle w:val="TableContents"/>
              <w:spacing w:before="0" w:after="283"/>
              <w:jc w:val="right"/>
              <w:rPr/>
            </w:pPr>
            <w:r>
              <w:rPr/>
              <w:t>       </w:t>
            </w:r>
            <w:r>
              <w:rPr>
                <w:rFonts w:ascii="Arial" w:hAnsi="Arial"/>
                <w:b/>
                <w:sz w:val="15"/>
              </w:rPr>
              <w:t>49</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p>
      <w:pPr>
        <w:pStyle w:val="TextBody"/>
        <w:jc w:val="left"/>
        <w:rPr>
          <w:rFonts w:ascii="Arial" w:hAnsi="Arial"/>
          <w:sz w:val="28"/>
        </w:rPr>
      </w:pPr>
      <w:r>
        <w:rPr>
          <w:rFonts w:ascii="Arial" w:hAnsi="Arial"/>
          <w:sz w:val="28"/>
        </w:rPr>
        <w:t xml:space="preserve">Procedures for Determining Compensation </w:t>
      </w:r>
    </w:p>
    <w:p>
      <w:pPr>
        <w:pStyle w:val="TextBody"/>
        <w:jc w:val="left"/>
        <w:rPr>
          <w:rFonts w:ascii="Arial" w:hAnsi="Arial"/>
          <w:color w:val="00A1E0"/>
          <w:sz w:val="26"/>
        </w:rPr>
      </w:pPr>
      <w:r>
        <w:rPr>
          <w:rFonts w:ascii="Arial" w:hAnsi="Arial"/>
          <w:color w:val="00A1E0"/>
          <w:sz w:val="26"/>
        </w:rPr>
        <w:t>CHC Committees Role, Process and Assessments</w:t>
      </w:r>
    </w:p>
    <w:p>
      <w:pPr>
        <w:pStyle w:val="TextBody"/>
        <w:jc w:val="left"/>
        <w:rPr>
          <w:rFonts w:ascii="Arial" w:hAnsi="Arial"/>
          <w:sz w:val="20"/>
        </w:rPr>
      </w:pPr>
      <w:r>
        <w:rPr>
          <w:rFonts w:ascii="Arial" w:hAnsi="Arial"/>
          <w:sz w:val="20"/>
        </w:rPr>
        <w:t>The CHC Committee approves the nature and amount of compensation paid to, and the employment and related agreements entered into with, our executive officers, and oversees broad-based cash bonus and equity-based plans, approving guidelines for grants of awards under these plans and determining and overseeing our compensation and benefits policies generally.</w:t>
      </w:r>
    </w:p>
    <w:p>
      <w:pPr>
        <w:pStyle w:val="TextBody"/>
        <w:jc w:val="left"/>
        <w:rPr>
          <w:rFonts w:ascii="Arial" w:hAnsi="Arial"/>
          <w:sz w:val="20"/>
        </w:rPr>
      </w:pPr>
      <w:r>
        <w:rPr>
          <w:rFonts w:ascii="Arial" w:hAnsi="Arial"/>
          <w:sz w:val="20"/>
        </w:rPr>
        <w:t>In 2022, the CHC Committee reviewed for our NEOs:</w:t>
      </w:r>
    </w:p>
    <w:tbl>
      <w:tblPr>
        <w:tblW w:w="7315" w:type="dxa"/>
        <w:jc w:val="left"/>
        <w:tblInd w:w="0" w:type="dxa"/>
        <w:tblCellMar>
          <w:top w:w="0" w:type="dxa"/>
          <w:left w:w="0" w:type="dxa"/>
          <w:bottom w:w="0" w:type="dxa"/>
          <w:right w:w="0" w:type="dxa"/>
        </w:tblCellMar>
      </w:tblPr>
      <w:tblGrid>
        <w:gridCol w:w="170"/>
        <w:gridCol w:w="7145"/>
      </w:tblGrid>
      <w:tr>
        <w:trPr/>
        <w:tc>
          <w:tcPr>
            <w:tcW w:w="170" w:type="dxa"/>
            <w:tcBorders/>
            <w:shd w:fill="auto" w:val="clear"/>
            <w:vAlign w:val="center"/>
          </w:tcPr>
          <w:p>
            <w:pPr>
              <w:pStyle w:val="TableContents"/>
              <w:spacing w:before="0" w:after="283"/>
              <w:rPr>
                <w:color w:val="00A1E0"/>
              </w:rPr>
            </w:pPr>
            <w:r>
              <w:rPr>
                <w:color w:val="00A1E0"/>
              </w:rPr>
              <w:t>●</w:t>
            </w:r>
          </w:p>
        </w:tc>
        <w:tc>
          <w:tcPr>
            <w:tcW w:w="7145" w:type="dxa"/>
            <w:tcBorders/>
            <w:shd w:fill="auto" w:val="clear"/>
            <w:vAlign w:val="center"/>
          </w:tcPr>
          <w:p>
            <w:pPr>
              <w:pStyle w:val="TableContents"/>
              <w:spacing w:before="0" w:after="283"/>
              <w:jc w:val="left"/>
              <w:rPr>
                <w:rFonts w:ascii="Arial" w:hAnsi="Arial"/>
                <w:sz w:val="20"/>
              </w:rPr>
            </w:pPr>
            <w:r>
              <w:rPr>
                <w:rFonts w:ascii="Arial" w:hAnsi="Arial"/>
                <w:sz w:val="20"/>
              </w:rPr>
              <w:t>Each element of our NEOs compensation for internal consistency.</w:t>
            </w:r>
          </w:p>
        </w:tc>
      </w:tr>
      <w:tr>
        <w:trPr/>
        <w:tc>
          <w:tcPr>
            <w:tcW w:w="170" w:type="dxa"/>
            <w:tcBorders/>
            <w:shd w:fill="auto" w:val="clear"/>
            <w:vAlign w:val="center"/>
          </w:tcPr>
          <w:p>
            <w:pPr>
              <w:pStyle w:val="TableContents"/>
              <w:spacing w:before="0" w:after="283"/>
              <w:rPr>
                <w:color w:val="00A1E0"/>
              </w:rPr>
            </w:pPr>
            <w:r>
              <w:rPr>
                <w:color w:val="00A1E0"/>
              </w:rPr>
              <w:t>●</w:t>
            </w:r>
          </w:p>
        </w:tc>
        <w:tc>
          <w:tcPr>
            <w:tcW w:w="7145" w:type="dxa"/>
            <w:tcBorders/>
            <w:shd w:fill="auto" w:val="clear"/>
            <w:vAlign w:val="center"/>
          </w:tcPr>
          <w:p>
            <w:pPr>
              <w:pStyle w:val="TableContents"/>
              <w:spacing w:before="0" w:after="283"/>
              <w:jc w:val="left"/>
              <w:rPr>
                <w:rFonts w:ascii="Arial" w:hAnsi="Arial"/>
                <w:sz w:val="20"/>
              </w:rPr>
            </w:pPr>
            <w:r>
              <w:rPr>
                <w:rFonts w:ascii="Arial" w:hAnsi="Arial"/>
                <w:sz w:val="20"/>
              </w:rPr>
              <w:t>Various analyses provided by its independent compensation consultant, including:</w:t>
            </w:r>
          </w:p>
        </w:tc>
      </w:tr>
      <w:tr>
        <w:trPr/>
        <w:tc>
          <w:tcPr>
            <w:tcW w:w="170" w:type="dxa"/>
            <w:tcBorders/>
            <w:shd w:fill="auto" w:val="clear"/>
            <w:vAlign w:val="center"/>
          </w:tcPr>
          <w:p>
            <w:pPr>
              <w:pStyle w:val="TableContents"/>
              <w:spacing w:before="0" w:after="283"/>
              <w:rPr/>
            </w:pPr>
            <w:r>
              <w:rPr/>
              <w:t> </w:t>
            </w:r>
          </w:p>
        </w:tc>
        <w:tc>
          <w:tcPr>
            <w:tcW w:w="7145" w:type="dxa"/>
            <w:tcBorders/>
            <w:shd w:fill="auto" w:val="clear"/>
            <w:vAlign w:val="center"/>
          </w:tcPr>
          <w:p>
            <w:pPr>
              <w:pStyle w:val="TableContents"/>
              <w:spacing w:before="0" w:after="283"/>
              <w:jc w:val="left"/>
              <w:rPr/>
            </w:pPr>
            <w:r>
              <w:rPr/>
              <w:t> </w:t>
            </w:r>
          </w:p>
        </w:tc>
      </w:tr>
    </w:tbl>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jc w:val="left"/>
              <w:rPr>
                <w:rFonts w:ascii="Arial" w:hAnsi="Arial"/>
                <w:sz w:val="20"/>
              </w:rPr>
            </w:pPr>
            <w:r>
              <w:rPr>
                <w:rFonts w:ascii="Arial" w:hAnsi="Arial"/>
                <w:sz w:val="20"/>
              </w:rPr>
              <w:t>an assessment of the composition of our peer groups;</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jc w:val="left"/>
              <w:rPr>
                <w:rFonts w:ascii="Arial" w:hAnsi="Arial"/>
                <w:sz w:val="20"/>
              </w:rPr>
            </w:pPr>
            <w:r>
              <w:rPr>
                <w:rFonts w:ascii="Arial" w:hAnsi="Arial"/>
                <w:sz w:val="20"/>
              </w:rPr>
              <w:t>a competitive pay assessment (comparing NEO compensation to that of executives holding comparable positions at our peer group companies as disclosed in proxy statements and to broad groups of companies in published surveys, and analyzing components of pay compared to those of our peer group companies (e.g., target pay levels, fixed vs. variable, components of long-term equity));</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jc w:val="left"/>
              <w:rPr>
                <w:rFonts w:ascii="Arial" w:hAnsi="Arial"/>
                <w:sz w:val="20"/>
              </w:rPr>
            </w:pPr>
            <w:r>
              <w:rPr>
                <w:rFonts w:ascii="Arial" w:hAnsi="Arial"/>
                <w:sz w:val="20"/>
              </w:rPr>
              <w:t>an assessment of the special performance-based stock option award granted to Mr. Cavanagh;</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jc w:val="left"/>
              <w:rPr>
                <w:rFonts w:ascii="Arial" w:hAnsi="Arial"/>
                <w:sz w:val="20"/>
              </w:rPr>
            </w:pPr>
            <w:r>
              <w:rPr>
                <w:rFonts w:ascii="Arial" w:hAnsi="Arial"/>
                <w:sz w:val="20"/>
              </w:rPr>
              <w:t>a financial performance review (comparing our performance relative to our peer group companies with respect to growth in Adjusted EBITDA, Free Cash Flow, revenue and TSR, based on financial data from a third-party source);</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jc w:val="left"/>
              <w:rPr>
                <w:rFonts w:ascii="Arial" w:hAnsi="Arial"/>
                <w:sz w:val="20"/>
              </w:rPr>
            </w:pPr>
            <w:r>
              <w:rPr>
                <w:rFonts w:ascii="Arial" w:hAnsi="Arial"/>
                <w:sz w:val="20"/>
              </w:rPr>
              <w:t>a compensation sharing analysis (analyzing the actual pay delivered to our NEOs as a percentage of our Adjusted EBITDA and Free Cash Flow as compared to our peer group companies);</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jc w:val="left"/>
              <w:rPr>
                <w:rFonts w:ascii="Arial" w:hAnsi="Arial"/>
                <w:sz w:val="20"/>
              </w:rPr>
            </w:pPr>
            <w:r>
              <w:rPr>
                <w:rFonts w:ascii="Arial" w:hAnsi="Arial"/>
                <w:sz w:val="20"/>
              </w:rPr>
              <w:t>an incentive compensation design analysis (analyzing various annual bonus and long-term incentive design elements); and</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jc w:val="left"/>
              <w:rPr>
                <w:rFonts w:ascii="Arial" w:hAnsi="Arial"/>
                <w:sz w:val="20"/>
              </w:rPr>
            </w:pPr>
            <w:r>
              <w:rPr>
                <w:rFonts w:ascii="Arial" w:hAnsi="Arial"/>
                <w:sz w:val="20"/>
              </w:rPr>
              <w:t>an analysis of equity dilution resulting from, and annual usage rates in, our equity-based compensation plans as compared to our peer group companies (i.e., overhang and burn rates).</w:t>
            </w:r>
          </w:p>
        </w:tc>
      </w:tr>
    </w:tbl>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rPr/>
            </w:pPr>
            <w:r>
              <w:rPr/>
              <w:t> </w:t>
            </w:r>
          </w:p>
        </w:tc>
        <w:tc>
          <w:tcPr>
            <w:tcW w:w="10035" w:type="dxa"/>
            <w:tcBorders/>
            <w:shd w:fill="auto" w:val="clear"/>
            <w:vAlign w:val="center"/>
          </w:tcPr>
          <w:p>
            <w:pPr>
              <w:pStyle w:val="TableContents"/>
              <w:spacing w:before="0" w:after="283"/>
              <w:jc w:val="left"/>
              <w:rPr/>
            </w:pPr>
            <w:r>
              <w:rPr/>
              <w:t> </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jc w:val="left"/>
              <w:rPr>
                <w:rFonts w:ascii="Arial" w:hAnsi="Arial"/>
                <w:sz w:val="20"/>
              </w:rPr>
            </w:pPr>
            <w:r>
              <w:rPr>
                <w:rFonts w:ascii="Arial" w:hAnsi="Arial"/>
                <w:sz w:val="20"/>
              </w:rPr>
              <w:t>After taking into account the analyses above, the CHC Committee evaluated our financial performance, as compared to our peers over time, as it related to our strongly competitive compensation philosophy.</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jc w:val="left"/>
              <w:rPr>
                <w:rFonts w:ascii="Arial" w:hAnsi="Arial"/>
                <w:sz w:val="20"/>
              </w:rPr>
            </w:pPr>
            <w:r>
              <w:rPr>
                <w:rFonts w:ascii="Arial" w:hAnsi="Arial"/>
                <w:sz w:val="20"/>
              </w:rPr>
              <w:t>In addition, the CHC Committee annually reviews the nature and mix of compensation elements, as well as compensation plan design and award terms, to ensure that our compensation program does not include inadvertent incentives for our NEOs to take inappropriate business risks by making decisions that may be in their best interests but not in the best interests of our shareholders. In conducting this review, the CHC Committee also considers specific business risks identified through our ERM process.</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jc w:val="left"/>
              <w:rPr>
                <w:rFonts w:ascii="Arial" w:hAnsi="Arial"/>
                <w:sz w:val="20"/>
              </w:rPr>
            </w:pPr>
            <w:r>
              <w:rPr>
                <w:rFonts w:ascii="Arial" w:hAnsi="Arial"/>
                <w:sz w:val="20"/>
              </w:rPr>
              <w:t xml:space="preserve">In determining individual compensation, the CHC Committee annually evaluates Mr. Roberts performance, and Mr. Roberts discusses with the CHC Committee the performance of our other NEOs. The CHC Committee, among other things, assesses each NEOs responsibilities and roles with respect to corporate policy-making, management and contribution to our overall performance, both in terms of financial results and progress on key initiatives, as well as the importance of retaining the NEO. This evaluation helps inform compensation decisions, including those related to base salary, annual equity awards and annual cash bonuses, including any operating or qualitative portions of the bonus. This approach allows our CHC Committee to employ a holistic evaluation process that may include factors both within and outside of managements control, balanced with individual and company performance and shareholder outcomes. See Compensation Decisions above for information on NEO performance and decisions made in respect of 2022. </w:t>
            </w:r>
          </w:p>
        </w:tc>
      </w:tr>
    </w:tbl>
    <w:p>
      <w:pPr>
        <w:pStyle w:val="TextBody"/>
        <w:spacing w:before="240" w:after="283"/>
        <w:jc w:val="left"/>
        <w:rPr>
          <w:rFonts w:ascii="Arial" w:hAnsi="Arial"/>
          <w:color w:val="00A1E0"/>
          <w:sz w:val="26"/>
        </w:rPr>
      </w:pPr>
      <w:r>
        <w:rPr>
          <w:rFonts w:ascii="Arial" w:hAnsi="Arial"/>
          <w:color w:val="00A1E0"/>
          <w:sz w:val="26"/>
        </w:rPr>
        <w:t>Role of Compensation Consultants</w:t>
      </w:r>
    </w:p>
    <w:p>
      <w:pPr>
        <w:pStyle w:val="TextBody"/>
        <w:jc w:val="left"/>
        <w:rPr>
          <w:rFonts w:ascii="Arial" w:hAnsi="Arial"/>
          <w:sz w:val="20"/>
        </w:rPr>
      </w:pPr>
      <w:r>
        <w:rPr>
          <w:rFonts w:ascii="Arial" w:hAnsi="Arial"/>
          <w:sz w:val="20"/>
        </w:rPr>
        <w:t>The CHC Committee has directly engaged Korn Ferry as its own independent compensation consultant. In determining 2022 compensation, the CHC Committee directed Korn Ferry to provide it with various compensation analyses as described below; Korn Ferry did not recommend or determine compensation levels or elements, performance targets or compensation plan design.</w:t>
      </w:r>
    </w:p>
    <w:p>
      <w:pPr>
        <w:pStyle w:val="TextBody"/>
        <w:jc w:val="left"/>
        <w:rPr>
          <w:rFonts w:ascii="Arial" w:hAnsi="Arial"/>
          <w:sz w:val="20"/>
        </w:rPr>
      </w:pPr>
      <w:r>
        <w:rPr>
          <w:rFonts w:ascii="Arial" w:hAnsi="Arial"/>
          <w:sz w:val="20"/>
        </w:rPr>
        <w:t>The CHC Committee assessed Korn Ferry’s work as required under SEC rules and concluded that its work for the CHC Committee in 2022 did not raise any conflicts of interest. The CHC Committee reached this determination by reviewing fees paid to Korn Ferry and evaluating its work under applicable SEC and Nasdaq rules on conflicts of interest.</w:t>
      </w:r>
    </w:p>
    <w:p>
      <w:pPr>
        <w:pStyle w:val="TextBody"/>
        <w:spacing w:before="0" w:after="160"/>
        <w:jc w:val="left"/>
        <w:rPr>
          <w:rFonts w:ascii="Arial" w:hAnsi="Arial"/>
          <w:sz w:val="24"/>
        </w:rPr>
      </w:pPr>
      <w:r>
        <w:rPr>
          <w:rFonts w:ascii="Arial" w:hAnsi="Arial"/>
          <w:sz w:val="24"/>
        </w:rPr>
        <w:t>Compensation Consultant Services</w:t>
      </w:r>
    </w:p>
    <w:p>
      <w:pPr>
        <w:pStyle w:val="TextBody"/>
        <w:spacing w:before="0" w:after="80"/>
        <w:jc w:val="left"/>
        <w:rPr>
          <w:rFonts w:ascii="Arial" w:hAnsi="Arial"/>
          <w:sz w:val="20"/>
        </w:rPr>
      </w:pPr>
      <w:r>
        <w:rPr>
          <w:rFonts w:ascii="Arial" w:hAnsi="Arial"/>
          <w:sz w:val="20"/>
        </w:rPr>
        <w:t>Korn Ferry provides research, analysis and input as to the form and amount of executive and director compensation, which generally includes market research utilizing information derived from proxy statements, surveys and its own consulting experience and insight, as well as the provision of other methodological standards and policies in accordance with its established procedures. This research, analysis and input has been provided to both our CHC Committee and to management. The CHC Committee collaborated with Korn Ferry to determine and approve the parameters used to conduct the assessment work, including items such as the composition of peer groups, the relevant market statistical reference points within the data (e.g., median) and the elements of compensation. Korn Ferry did not determine or recommend the form or amount of compensation of our NEOs for 2022.</w:t>
      </w:r>
    </w:p>
    <w:tbl>
      <w:tblPr>
        <w:tblW w:w="223" w:type="dxa"/>
        <w:jc w:val="left"/>
        <w:tblInd w:w="0" w:type="dxa"/>
        <w:tblCellMar>
          <w:top w:w="0" w:type="dxa"/>
          <w:left w:w="0" w:type="dxa"/>
          <w:bottom w:w="0" w:type="dxa"/>
          <w:right w:w="0" w:type="dxa"/>
        </w:tblCellMar>
      </w:tblPr>
      <w:tblGrid>
        <w:gridCol w:w="200"/>
        <w:gridCol w:w="23"/>
      </w:tblGrid>
      <w:tr>
        <w:trPr/>
        <w:tc>
          <w:tcPr>
            <w:tcW w:w="200" w:type="dxa"/>
            <w:tcBorders/>
            <w:shd w:fill="auto" w:val="clear"/>
            <w:vAlign w:val="center"/>
          </w:tcPr>
          <w:p>
            <w:pPr>
              <w:pStyle w:val="TableContents"/>
              <w:spacing w:before="0" w:after="283"/>
              <w:jc w:val="left"/>
              <w:rPr>
                <w:rFonts w:ascii="Arial" w:hAnsi="Arial"/>
                <w:b/>
                <w:sz w:val="15"/>
              </w:rPr>
            </w:pPr>
            <w:r>
              <w:rPr>
                <w:rFonts w:ascii="Arial" w:hAnsi="Arial"/>
                <w:b/>
                <w:sz w:val="15"/>
              </w:rPr>
              <w:t>50</w:t>
            </w:r>
          </w:p>
        </w:tc>
        <w:tc>
          <w:tcPr>
            <w:tcW w:w="23"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extBody"/>
        <w:jc w:val="left"/>
        <w:rPr/>
      </w:pPr>
      <w:hyperlink w:anchor="toc">
        <w:r>
          <w:rPr>
            <w:rStyle w:val="InternetLink"/>
            <w:rFonts w:ascii="Arial" w:hAnsi="Arial"/>
            <w:b/>
            <w:sz w:val="20"/>
          </w:rPr>
          <w:t>Table of Contents</w:t>
        </w:r>
      </w:hyperlink>
    </w:p>
    <w:p>
      <w:pPr>
        <w:pStyle w:val="TextBody"/>
        <w:jc w:val="left"/>
        <w:rPr>
          <w:rFonts w:ascii="Arial" w:hAnsi="Arial"/>
          <w:sz w:val="20"/>
        </w:rPr>
      </w:pPr>
      <w:r>
        <w:rPr>
          <w:rFonts w:ascii="Arial" w:hAnsi="Arial"/>
          <w:sz w:val="20"/>
        </w:rPr>
        <w:t>In 2022, we paid Korn Ferry approximately $455,000 for services related to executive and director compensation and approximately $1,711,000 for leadership, succession, organizational strategy and talent consulting services and executive search services. As part of their job responsibilities, certain of our executive officers participate both in gathering and presenting facts related to compensation and benefits matters as requested by the CHC Committee and in formulating and making recommendations to the CHC Committee in these areas. These executives, together with our employees who work in the compensation area, also conduct research and consult with compensation consultants, legal counsel and other expert sources to keep abreast of developments in these areas. All decisions, however, regarding the compensation of our NEOs are made by the CHC Committee and are reviewed by the Board, following reviews and discussions held in executive sessions.</w:t>
      </w:r>
    </w:p>
    <w:p>
      <w:pPr>
        <w:pStyle w:val="TextBody"/>
        <w:jc w:val="left"/>
        <w:rPr>
          <w:rFonts w:ascii="Arial" w:hAnsi="Arial"/>
          <w:color w:val="00A1E0"/>
          <w:sz w:val="26"/>
        </w:rPr>
      </w:pPr>
      <w:r>
        <w:rPr>
          <w:rFonts w:ascii="Arial" w:hAnsi="Arial"/>
          <w:color w:val="00A1E0"/>
          <w:sz w:val="26"/>
        </w:rPr>
        <w:t>Use of Competitive Data</w:t>
      </w:r>
    </w:p>
    <w:p>
      <w:pPr>
        <w:pStyle w:val="TextBody"/>
        <w:jc w:val="left"/>
        <w:rPr>
          <w:rFonts w:ascii="Arial" w:hAnsi="Arial"/>
          <w:sz w:val="20"/>
        </w:rPr>
      </w:pPr>
      <w:r>
        <w:rPr>
          <w:rFonts w:ascii="Arial" w:hAnsi="Arial"/>
          <w:sz w:val="20"/>
        </w:rPr>
        <w:t>While peer group and various compensation survey analyses are considered important and valuable by the CHC Committee, the CHC Committee does not make any determination of, or change to, compensation in reaction to market data alone. Rather, it uses this information as one of several considerations to inform its decision and put it in context in determining compensation levels (and when to change compensation levels).</w:t>
      </w:r>
    </w:p>
    <w:p>
      <w:pPr>
        <w:pStyle w:val="TextBody"/>
        <w:jc w:val="left"/>
        <w:rPr>
          <w:rFonts w:ascii="Arial" w:hAnsi="Arial"/>
          <w:sz w:val="24"/>
        </w:rPr>
      </w:pPr>
      <w:r>
        <w:rPr>
          <w:rFonts w:ascii="Arial" w:hAnsi="Arial"/>
          <w:sz w:val="24"/>
        </w:rPr>
        <w:t>Peer Group</w:t>
      </w:r>
    </w:p>
    <w:p>
      <w:pPr>
        <w:pStyle w:val="TextBody"/>
        <w:jc w:val="left"/>
        <w:rPr>
          <w:rFonts w:ascii="Arial" w:hAnsi="Arial"/>
          <w:sz w:val="20"/>
        </w:rPr>
      </w:pPr>
      <w:r>
        <w:rPr>
          <w:rFonts w:ascii="Arial" w:hAnsi="Arial"/>
          <w:sz w:val="20"/>
        </w:rPr>
        <w:t>The CHC Committee, advised by Korn Ferry, reviewed the criteria for selecting members of our peer groups and determined that due to its smaller market capitalization, DISH Network Corporation was no longer a suitable peer company for comparison. In all other respects, the composition of our core peer group for 2022 is unchanged from our 2021 core peer group.</w:t>
      </w:r>
    </w:p>
    <w:p>
      <w:pPr>
        <w:pStyle w:val="TextBody"/>
        <w:jc w:val="left"/>
        <w:rPr>
          <w:rFonts w:ascii="Arial" w:hAnsi="Arial"/>
          <w:sz w:val="20"/>
        </w:rPr>
      </w:pPr>
      <w:r>
        <w:rPr>
          <w:rFonts w:ascii="Arial" w:hAnsi="Arial"/>
          <w:sz w:val="20"/>
        </w:rPr>
        <w:t>Below are the companies in our core peer group for 2022:</w:t>
      </w:r>
    </w:p>
    <w:p>
      <w:pPr>
        <w:pStyle w:val="TextBody"/>
        <w:spacing w:before="240" w:after="283"/>
        <w:jc w:val="left"/>
        <w:rPr>
          <w:rFonts w:ascii="Arial" w:hAnsi="Arial"/>
          <w:sz w:val="20"/>
        </w:rPr>
      </w:pPr>
      <w:r>
        <w:rPr>
          <w:rFonts w:ascii="Arial" w:hAnsi="Arial"/>
          <w:sz w:val="20"/>
        </w:rPr>
        <w:t>Our peer group analyses indicate that overall, our “pay at risk” practices are generally aligned with peer group practices.</w:t>
      </w:r>
      <w:r>
        <mc:AlternateContent>
          <mc:Choice Requires="wps">
            <w:drawing>
              <wp:anchor behindDoc="0" distT="0" distB="0" distL="0" distR="0" simplePos="0" locked="0" layoutInCell="1" allowOverlap="1" relativeHeight="104">
                <wp:simplePos x="0" y="0"/>
                <wp:positionH relativeFrom="column">
                  <wp:align>left</wp:align>
                </wp:positionH>
                <wp:positionV relativeFrom="line">
                  <wp:posOffset>635</wp:posOffset>
                </wp:positionV>
                <wp:extent cx="3110230" cy="2421890"/>
                <wp:effectExtent l="0" t="0" r="0" b="0"/>
                <wp:wrapSquare wrapText="largest"/>
                <wp:docPr id="206" name="Frame23"/>
                <a:graphic xmlns:a="http://schemas.openxmlformats.org/drawingml/2006/main">
                  <a:graphicData uri="http://schemas.microsoft.com/office/word/2010/wordprocessingShape">
                    <wps:wsp>
                      <wps:cNvSpPr txBox="1"/>
                      <wps:spPr>
                        <a:xfrm>
                          <a:off x="0" y="0"/>
                          <a:ext cx="3110230" cy="2421890"/>
                        </a:xfrm>
                        <a:prstGeom prst="rect"/>
                      </wps:spPr>
                      <wps:txbx>
                        <w:txbxContent>
                          <w:tbl>
                            <w:tblPr>
                              <w:tblW w:w="2785" w:type="dxa"/>
                              <w:jc w:val="left"/>
                              <w:tblInd w:w="0" w:type="dxa"/>
                              <w:tblCellMar>
                                <w:top w:w="0" w:type="dxa"/>
                                <w:left w:w="0" w:type="dxa"/>
                                <w:bottom w:w="0" w:type="dxa"/>
                                <w:right w:w="0" w:type="dxa"/>
                              </w:tblCellMar>
                            </w:tblPr>
                            <w:tblGrid>
                              <w:gridCol w:w="170"/>
                              <w:gridCol w:w="2615"/>
                            </w:tblGrid>
                            <w:tr>
                              <w:trPr/>
                              <w:tc>
                                <w:tcPr>
                                  <w:tcW w:w="170" w:type="dxa"/>
                                  <w:tcBorders/>
                                  <w:shd w:fill="auto" w:val="clear"/>
                                  <w:vAlign w:val="center"/>
                                </w:tcPr>
                                <w:p>
                                  <w:pPr>
                                    <w:pStyle w:val="TableContents"/>
                                    <w:spacing w:before="0" w:after="283"/>
                                    <w:rPr>
                                      <w:color w:val="00A1E0"/>
                                    </w:rPr>
                                  </w:pPr>
                                  <w:r>
                                    <w:rPr>
                                      <w:color w:val="00A1E0"/>
                                    </w:rPr>
                                    <w:t>●</w:t>
                                  </w:r>
                                </w:p>
                              </w:tc>
                              <w:tc>
                                <w:tcPr>
                                  <w:tcW w:w="2615" w:type="dxa"/>
                                  <w:tcBorders/>
                                  <w:shd w:fill="auto" w:val="clear"/>
                                  <w:vAlign w:val="center"/>
                                </w:tcPr>
                                <w:p>
                                  <w:pPr>
                                    <w:pStyle w:val="TableContents"/>
                                    <w:spacing w:before="0" w:after="283"/>
                                    <w:jc w:val="left"/>
                                    <w:rPr>
                                      <w:rFonts w:ascii="Arial" w:hAnsi="Arial"/>
                                      <w:sz w:val="20"/>
                                    </w:rPr>
                                  </w:pPr>
                                  <w:r>
                                    <w:rPr>
                                      <w:rFonts w:ascii="Arial" w:hAnsi="Arial"/>
                                      <w:sz w:val="20"/>
                                    </w:rPr>
                                    <w:t>Alphabet, Inc.</w:t>
                                  </w:r>
                                </w:p>
                              </w:tc>
                            </w:tr>
                            <w:tr>
                              <w:trPr/>
                              <w:tc>
                                <w:tcPr>
                                  <w:tcW w:w="170" w:type="dxa"/>
                                  <w:tcBorders/>
                                  <w:shd w:fill="auto" w:val="clear"/>
                                  <w:vAlign w:val="center"/>
                                </w:tcPr>
                                <w:p>
                                  <w:pPr>
                                    <w:pStyle w:val="TableContents"/>
                                    <w:spacing w:before="0" w:after="283"/>
                                    <w:rPr>
                                      <w:color w:val="00A1E0"/>
                                    </w:rPr>
                                  </w:pPr>
                                  <w:r>
                                    <w:rPr>
                                      <w:color w:val="00A1E0"/>
                                    </w:rPr>
                                    <w:t>●</w:t>
                                  </w:r>
                                </w:p>
                              </w:tc>
                              <w:tc>
                                <w:tcPr>
                                  <w:tcW w:w="2615" w:type="dxa"/>
                                  <w:tcBorders/>
                                  <w:shd w:fill="auto" w:val="clear"/>
                                  <w:vAlign w:val="center"/>
                                </w:tcPr>
                                <w:p>
                                  <w:pPr>
                                    <w:pStyle w:val="TableContents"/>
                                    <w:spacing w:before="0" w:after="283"/>
                                    <w:jc w:val="left"/>
                                    <w:rPr>
                                      <w:rFonts w:ascii="Arial" w:hAnsi="Arial"/>
                                      <w:sz w:val="20"/>
                                    </w:rPr>
                                  </w:pPr>
                                  <w:r>
                                    <w:rPr>
                                      <w:rFonts w:ascii="Arial" w:hAnsi="Arial"/>
                                      <w:sz w:val="20"/>
                                    </w:rPr>
                                    <w:t>AT&amp;T Inc.</w:t>
                                  </w:r>
                                </w:p>
                              </w:tc>
                            </w:tr>
                            <w:tr>
                              <w:trPr/>
                              <w:tc>
                                <w:tcPr>
                                  <w:tcW w:w="170" w:type="dxa"/>
                                  <w:tcBorders/>
                                  <w:shd w:fill="auto" w:val="clear"/>
                                  <w:vAlign w:val="center"/>
                                </w:tcPr>
                                <w:p>
                                  <w:pPr>
                                    <w:pStyle w:val="TableContents"/>
                                    <w:spacing w:before="0" w:after="283"/>
                                    <w:rPr>
                                      <w:color w:val="00A1E0"/>
                                    </w:rPr>
                                  </w:pPr>
                                  <w:r>
                                    <w:rPr>
                                      <w:color w:val="00A1E0"/>
                                    </w:rPr>
                                    <w:t>●</w:t>
                                  </w:r>
                                </w:p>
                              </w:tc>
                              <w:tc>
                                <w:tcPr>
                                  <w:tcW w:w="2615" w:type="dxa"/>
                                  <w:tcBorders/>
                                  <w:shd w:fill="auto" w:val="clear"/>
                                  <w:vAlign w:val="center"/>
                                </w:tcPr>
                                <w:p>
                                  <w:pPr>
                                    <w:pStyle w:val="TableContents"/>
                                    <w:spacing w:before="0" w:after="283"/>
                                    <w:jc w:val="left"/>
                                    <w:rPr>
                                      <w:rFonts w:ascii="Arial" w:hAnsi="Arial"/>
                                      <w:sz w:val="20"/>
                                    </w:rPr>
                                  </w:pPr>
                                  <w:r>
                                    <w:rPr>
                                      <w:rFonts w:ascii="Arial" w:hAnsi="Arial"/>
                                      <w:sz w:val="20"/>
                                    </w:rPr>
                                    <w:t>Charter Communications, Inc.</w:t>
                                  </w:r>
                                </w:p>
                              </w:tc>
                            </w:tr>
                            <w:tr>
                              <w:trPr/>
                              <w:tc>
                                <w:tcPr>
                                  <w:tcW w:w="170" w:type="dxa"/>
                                  <w:tcBorders/>
                                  <w:shd w:fill="auto" w:val="clear"/>
                                  <w:vAlign w:val="center"/>
                                </w:tcPr>
                                <w:p>
                                  <w:pPr>
                                    <w:pStyle w:val="TableContents"/>
                                    <w:spacing w:before="0" w:after="283"/>
                                    <w:rPr>
                                      <w:color w:val="00A1E0"/>
                                    </w:rPr>
                                  </w:pPr>
                                  <w:r>
                                    <w:rPr>
                                      <w:color w:val="00A1E0"/>
                                    </w:rPr>
                                    <w:t>●</w:t>
                                  </w:r>
                                </w:p>
                              </w:tc>
                              <w:tc>
                                <w:tcPr>
                                  <w:tcW w:w="2615" w:type="dxa"/>
                                  <w:tcBorders/>
                                  <w:shd w:fill="auto" w:val="clear"/>
                                  <w:vAlign w:val="center"/>
                                </w:tcPr>
                                <w:p>
                                  <w:pPr>
                                    <w:pStyle w:val="TableContents"/>
                                    <w:spacing w:before="0" w:after="283"/>
                                    <w:jc w:val="left"/>
                                    <w:rPr>
                                      <w:rFonts w:ascii="Arial" w:hAnsi="Arial"/>
                                      <w:sz w:val="20"/>
                                    </w:rPr>
                                  </w:pPr>
                                  <w:r>
                                    <w:rPr>
                                      <w:rFonts w:ascii="Arial" w:hAnsi="Arial"/>
                                      <w:sz w:val="20"/>
                                    </w:rPr>
                                    <w:t>Warner Bros. Discovery, Inc.</w:t>
                                  </w:r>
                                </w:p>
                              </w:tc>
                            </w:tr>
                            <w:tr>
                              <w:trPr/>
                              <w:tc>
                                <w:tcPr>
                                  <w:tcW w:w="170" w:type="dxa"/>
                                  <w:tcBorders/>
                                  <w:shd w:fill="auto" w:val="clear"/>
                                  <w:vAlign w:val="center"/>
                                </w:tcPr>
                                <w:p>
                                  <w:pPr>
                                    <w:pStyle w:val="TableContents"/>
                                    <w:spacing w:before="0" w:after="283"/>
                                    <w:rPr>
                                      <w:color w:val="00A1E0"/>
                                    </w:rPr>
                                  </w:pPr>
                                  <w:r>
                                    <w:rPr>
                                      <w:color w:val="00A1E0"/>
                                    </w:rPr>
                                    <w:t>●</w:t>
                                  </w:r>
                                </w:p>
                              </w:tc>
                              <w:tc>
                                <w:tcPr>
                                  <w:tcW w:w="2615" w:type="dxa"/>
                                  <w:tcBorders/>
                                  <w:shd w:fill="auto" w:val="clear"/>
                                  <w:vAlign w:val="center"/>
                                </w:tcPr>
                                <w:p>
                                  <w:pPr>
                                    <w:pStyle w:val="TableContents"/>
                                    <w:spacing w:before="0" w:after="283"/>
                                    <w:jc w:val="left"/>
                                    <w:rPr>
                                      <w:rFonts w:ascii="Arial" w:hAnsi="Arial"/>
                                      <w:sz w:val="20"/>
                                    </w:rPr>
                                  </w:pPr>
                                  <w:r>
                                    <w:rPr>
                                      <w:rFonts w:ascii="Arial" w:hAnsi="Arial"/>
                                      <w:sz w:val="20"/>
                                    </w:rPr>
                                    <w:t>Fox Corp</w:t>
                                  </w:r>
                                </w:p>
                              </w:tc>
                            </w:tr>
                            <w:tr>
                              <w:trPr/>
                              <w:tc>
                                <w:tcPr>
                                  <w:tcW w:w="170" w:type="dxa"/>
                                  <w:tcBorders/>
                                  <w:shd w:fill="auto" w:val="clear"/>
                                  <w:vAlign w:val="center"/>
                                </w:tcPr>
                                <w:p>
                                  <w:pPr>
                                    <w:pStyle w:val="TableContents"/>
                                    <w:spacing w:before="0" w:after="283"/>
                                    <w:rPr>
                                      <w:color w:val="00A1E0"/>
                                    </w:rPr>
                                  </w:pPr>
                                  <w:r>
                                    <w:rPr>
                                      <w:color w:val="00A1E0"/>
                                    </w:rPr>
                                    <w:t>●</w:t>
                                  </w:r>
                                </w:p>
                              </w:tc>
                              <w:tc>
                                <w:tcPr>
                                  <w:tcW w:w="2615" w:type="dxa"/>
                                  <w:tcBorders/>
                                  <w:shd w:fill="auto" w:val="clear"/>
                                  <w:vAlign w:val="center"/>
                                </w:tcPr>
                                <w:p>
                                  <w:pPr>
                                    <w:pStyle w:val="TableContents"/>
                                    <w:spacing w:before="0" w:after="283"/>
                                    <w:jc w:val="left"/>
                                    <w:rPr>
                                      <w:rFonts w:ascii="Arial" w:hAnsi="Arial"/>
                                      <w:sz w:val="20"/>
                                    </w:rPr>
                                  </w:pPr>
                                  <w:r>
                                    <w:rPr>
                                      <w:rFonts w:ascii="Arial" w:hAnsi="Arial"/>
                                      <w:sz w:val="20"/>
                                    </w:rPr>
                                    <w:t>Lumen Technologies, Inc.</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90.7pt;mso-wrap-distance-left:0pt;mso-wrap-distance-right:0pt;mso-wrap-distance-top:0pt;mso-wrap-distance-bottom:0pt;margin-top:0pt;mso-position-vertical:top;mso-position-vertical-relative:text;margin-left:0pt;mso-position-horizontal:left;mso-position-horizontal-relative:text">
                <v:textbox>
                  <w:txbxContent>
                    <w:tbl>
                      <w:tblPr>
                        <w:tblW w:w="2785" w:type="dxa"/>
                        <w:jc w:val="left"/>
                        <w:tblInd w:w="0" w:type="dxa"/>
                        <w:tblCellMar>
                          <w:top w:w="0" w:type="dxa"/>
                          <w:left w:w="0" w:type="dxa"/>
                          <w:bottom w:w="0" w:type="dxa"/>
                          <w:right w:w="0" w:type="dxa"/>
                        </w:tblCellMar>
                      </w:tblPr>
                      <w:tblGrid>
                        <w:gridCol w:w="170"/>
                        <w:gridCol w:w="2615"/>
                      </w:tblGrid>
                      <w:tr>
                        <w:trPr/>
                        <w:tc>
                          <w:tcPr>
                            <w:tcW w:w="170" w:type="dxa"/>
                            <w:tcBorders/>
                            <w:shd w:fill="auto" w:val="clear"/>
                            <w:vAlign w:val="center"/>
                          </w:tcPr>
                          <w:p>
                            <w:pPr>
                              <w:pStyle w:val="TableContents"/>
                              <w:spacing w:before="0" w:after="283"/>
                              <w:rPr>
                                <w:color w:val="00A1E0"/>
                              </w:rPr>
                            </w:pPr>
                            <w:r>
                              <w:rPr>
                                <w:color w:val="00A1E0"/>
                              </w:rPr>
                              <w:t>●</w:t>
                            </w:r>
                          </w:p>
                        </w:tc>
                        <w:tc>
                          <w:tcPr>
                            <w:tcW w:w="2615" w:type="dxa"/>
                            <w:tcBorders/>
                            <w:shd w:fill="auto" w:val="clear"/>
                            <w:vAlign w:val="center"/>
                          </w:tcPr>
                          <w:p>
                            <w:pPr>
                              <w:pStyle w:val="TableContents"/>
                              <w:spacing w:before="0" w:after="283"/>
                              <w:jc w:val="left"/>
                              <w:rPr>
                                <w:rFonts w:ascii="Arial" w:hAnsi="Arial"/>
                                <w:sz w:val="20"/>
                              </w:rPr>
                            </w:pPr>
                            <w:r>
                              <w:rPr>
                                <w:rFonts w:ascii="Arial" w:hAnsi="Arial"/>
                                <w:sz w:val="20"/>
                              </w:rPr>
                              <w:t>Alphabet, Inc.</w:t>
                            </w:r>
                          </w:p>
                        </w:tc>
                      </w:tr>
                      <w:tr>
                        <w:trPr/>
                        <w:tc>
                          <w:tcPr>
                            <w:tcW w:w="170" w:type="dxa"/>
                            <w:tcBorders/>
                            <w:shd w:fill="auto" w:val="clear"/>
                            <w:vAlign w:val="center"/>
                          </w:tcPr>
                          <w:p>
                            <w:pPr>
                              <w:pStyle w:val="TableContents"/>
                              <w:spacing w:before="0" w:after="283"/>
                              <w:rPr>
                                <w:color w:val="00A1E0"/>
                              </w:rPr>
                            </w:pPr>
                            <w:r>
                              <w:rPr>
                                <w:color w:val="00A1E0"/>
                              </w:rPr>
                              <w:t>●</w:t>
                            </w:r>
                          </w:p>
                        </w:tc>
                        <w:tc>
                          <w:tcPr>
                            <w:tcW w:w="2615" w:type="dxa"/>
                            <w:tcBorders/>
                            <w:shd w:fill="auto" w:val="clear"/>
                            <w:vAlign w:val="center"/>
                          </w:tcPr>
                          <w:p>
                            <w:pPr>
                              <w:pStyle w:val="TableContents"/>
                              <w:spacing w:before="0" w:after="283"/>
                              <w:jc w:val="left"/>
                              <w:rPr>
                                <w:rFonts w:ascii="Arial" w:hAnsi="Arial"/>
                                <w:sz w:val="20"/>
                              </w:rPr>
                            </w:pPr>
                            <w:r>
                              <w:rPr>
                                <w:rFonts w:ascii="Arial" w:hAnsi="Arial"/>
                                <w:sz w:val="20"/>
                              </w:rPr>
                              <w:t>AT&amp;T Inc.</w:t>
                            </w:r>
                          </w:p>
                        </w:tc>
                      </w:tr>
                      <w:tr>
                        <w:trPr/>
                        <w:tc>
                          <w:tcPr>
                            <w:tcW w:w="170" w:type="dxa"/>
                            <w:tcBorders/>
                            <w:shd w:fill="auto" w:val="clear"/>
                            <w:vAlign w:val="center"/>
                          </w:tcPr>
                          <w:p>
                            <w:pPr>
                              <w:pStyle w:val="TableContents"/>
                              <w:spacing w:before="0" w:after="283"/>
                              <w:rPr>
                                <w:color w:val="00A1E0"/>
                              </w:rPr>
                            </w:pPr>
                            <w:r>
                              <w:rPr>
                                <w:color w:val="00A1E0"/>
                              </w:rPr>
                              <w:t>●</w:t>
                            </w:r>
                          </w:p>
                        </w:tc>
                        <w:tc>
                          <w:tcPr>
                            <w:tcW w:w="2615" w:type="dxa"/>
                            <w:tcBorders/>
                            <w:shd w:fill="auto" w:val="clear"/>
                            <w:vAlign w:val="center"/>
                          </w:tcPr>
                          <w:p>
                            <w:pPr>
                              <w:pStyle w:val="TableContents"/>
                              <w:spacing w:before="0" w:after="283"/>
                              <w:jc w:val="left"/>
                              <w:rPr>
                                <w:rFonts w:ascii="Arial" w:hAnsi="Arial"/>
                                <w:sz w:val="20"/>
                              </w:rPr>
                            </w:pPr>
                            <w:r>
                              <w:rPr>
                                <w:rFonts w:ascii="Arial" w:hAnsi="Arial"/>
                                <w:sz w:val="20"/>
                              </w:rPr>
                              <w:t>Charter Communications, Inc.</w:t>
                            </w:r>
                          </w:p>
                        </w:tc>
                      </w:tr>
                      <w:tr>
                        <w:trPr/>
                        <w:tc>
                          <w:tcPr>
                            <w:tcW w:w="170" w:type="dxa"/>
                            <w:tcBorders/>
                            <w:shd w:fill="auto" w:val="clear"/>
                            <w:vAlign w:val="center"/>
                          </w:tcPr>
                          <w:p>
                            <w:pPr>
                              <w:pStyle w:val="TableContents"/>
                              <w:spacing w:before="0" w:after="283"/>
                              <w:rPr>
                                <w:color w:val="00A1E0"/>
                              </w:rPr>
                            </w:pPr>
                            <w:r>
                              <w:rPr>
                                <w:color w:val="00A1E0"/>
                              </w:rPr>
                              <w:t>●</w:t>
                            </w:r>
                          </w:p>
                        </w:tc>
                        <w:tc>
                          <w:tcPr>
                            <w:tcW w:w="2615" w:type="dxa"/>
                            <w:tcBorders/>
                            <w:shd w:fill="auto" w:val="clear"/>
                            <w:vAlign w:val="center"/>
                          </w:tcPr>
                          <w:p>
                            <w:pPr>
                              <w:pStyle w:val="TableContents"/>
                              <w:spacing w:before="0" w:after="283"/>
                              <w:jc w:val="left"/>
                              <w:rPr>
                                <w:rFonts w:ascii="Arial" w:hAnsi="Arial"/>
                                <w:sz w:val="20"/>
                              </w:rPr>
                            </w:pPr>
                            <w:r>
                              <w:rPr>
                                <w:rFonts w:ascii="Arial" w:hAnsi="Arial"/>
                                <w:sz w:val="20"/>
                              </w:rPr>
                              <w:t>Warner Bros. Discovery, Inc.</w:t>
                            </w:r>
                          </w:p>
                        </w:tc>
                      </w:tr>
                      <w:tr>
                        <w:trPr/>
                        <w:tc>
                          <w:tcPr>
                            <w:tcW w:w="170" w:type="dxa"/>
                            <w:tcBorders/>
                            <w:shd w:fill="auto" w:val="clear"/>
                            <w:vAlign w:val="center"/>
                          </w:tcPr>
                          <w:p>
                            <w:pPr>
                              <w:pStyle w:val="TableContents"/>
                              <w:spacing w:before="0" w:after="283"/>
                              <w:rPr>
                                <w:color w:val="00A1E0"/>
                              </w:rPr>
                            </w:pPr>
                            <w:r>
                              <w:rPr>
                                <w:color w:val="00A1E0"/>
                              </w:rPr>
                              <w:t>●</w:t>
                            </w:r>
                          </w:p>
                        </w:tc>
                        <w:tc>
                          <w:tcPr>
                            <w:tcW w:w="2615" w:type="dxa"/>
                            <w:tcBorders/>
                            <w:shd w:fill="auto" w:val="clear"/>
                            <w:vAlign w:val="center"/>
                          </w:tcPr>
                          <w:p>
                            <w:pPr>
                              <w:pStyle w:val="TableContents"/>
                              <w:spacing w:before="0" w:after="283"/>
                              <w:jc w:val="left"/>
                              <w:rPr>
                                <w:rFonts w:ascii="Arial" w:hAnsi="Arial"/>
                                <w:sz w:val="20"/>
                              </w:rPr>
                            </w:pPr>
                            <w:r>
                              <w:rPr>
                                <w:rFonts w:ascii="Arial" w:hAnsi="Arial"/>
                                <w:sz w:val="20"/>
                              </w:rPr>
                              <w:t>Fox Corp</w:t>
                            </w:r>
                          </w:p>
                        </w:tc>
                      </w:tr>
                      <w:tr>
                        <w:trPr/>
                        <w:tc>
                          <w:tcPr>
                            <w:tcW w:w="170" w:type="dxa"/>
                            <w:tcBorders/>
                            <w:shd w:fill="auto" w:val="clear"/>
                            <w:vAlign w:val="center"/>
                          </w:tcPr>
                          <w:p>
                            <w:pPr>
                              <w:pStyle w:val="TableContents"/>
                              <w:spacing w:before="0" w:after="283"/>
                              <w:rPr>
                                <w:color w:val="00A1E0"/>
                              </w:rPr>
                            </w:pPr>
                            <w:r>
                              <w:rPr>
                                <w:color w:val="00A1E0"/>
                              </w:rPr>
                              <w:t>●</w:t>
                            </w:r>
                          </w:p>
                        </w:tc>
                        <w:tc>
                          <w:tcPr>
                            <w:tcW w:w="2615" w:type="dxa"/>
                            <w:tcBorders/>
                            <w:shd w:fill="auto" w:val="clear"/>
                            <w:vAlign w:val="center"/>
                          </w:tcPr>
                          <w:p>
                            <w:pPr>
                              <w:pStyle w:val="TableContents"/>
                              <w:spacing w:before="0" w:after="283"/>
                              <w:jc w:val="left"/>
                              <w:rPr>
                                <w:rFonts w:ascii="Arial" w:hAnsi="Arial"/>
                                <w:sz w:val="20"/>
                              </w:rPr>
                            </w:pPr>
                            <w:r>
                              <w:rPr>
                                <w:rFonts w:ascii="Arial" w:hAnsi="Arial"/>
                                <w:sz w:val="20"/>
                              </w:rPr>
                              <w:t>Lumen Technologies, Inc.</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06">
                <wp:simplePos x="0" y="0"/>
                <wp:positionH relativeFrom="column">
                  <wp:align>right</wp:align>
                </wp:positionH>
                <wp:positionV relativeFrom="line">
                  <wp:posOffset>635</wp:posOffset>
                </wp:positionV>
                <wp:extent cx="3110230" cy="2421890"/>
                <wp:effectExtent l="0" t="0" r="0" b="0"/>
                <wp:wrapSquare wrapText="largest"/>
                <wp:docPr id="207" name="Frame24"/>
                <a:graphic xmlns:a="http://schemas.openxmlformats.org/drawingml/2006/main">
                  <a:graphicData uri="http://schemas.microsoft.com/office/word/2010/wordprocessingShape">
                    <wps:wsp>
                      <wps:cNvSpPr txBox="1"/>
                      <wps:spPr>
                        <a:xfrm>
                          <a:off x="0" y="0"/>
                          <a:ext cx="3110230" cy="2421890"/>
                        </a:xfrm>
                        <a:prstGeom prst="rect"/>
                      </wps:spPr>
                      <wps:txbx>
                        <w:txbxContent>
                          <w:tbl>
                            <w:tblPr>
                              <w:tblW w:w="2755" w:type="dxa"/>
                              <w:jc w:val="left"/>
                              <w:tblInd w:w="0" w:type="dxa"/>
                              <w:tblCellMar>
                                <w:top w:w="0" w:type="dxa"/>
                                <w:left w:w="0" w:type="dxa"/>
                                <w:bottom w:w="0" w:type="dxa"/>
                                <w:right w:w="0" w:type="dxa"/>
                              </w:tblCellMar>
                            </w:tblPr>
                            <w:tblGrid>
                              <w:gridCol w:w="170"/>
                              <w:gridCol w:w="2585"/>
                            </w:tblGrid>
                            <w:tr>
                              <w:trPr/>
                              <w:tc>
                                <w:tcPr>
                                  <w:tcW w:w="170" w:type="dxa"/>
                                  <w:tcBorders/>
                                  <w:shd w:fill="auto" w:val="clear"/>
                                  <w:vAlign w:val="center"/>
                                </w:tcPr>
                                <w:p>
                                  <w:pPr>
                                    <w:pStyle w:val="TableContents"/>
                                    <w:spacing w:before="0" w:after="283"/>
                                    <w:rPr>
                                      <w:color w:val="00A1E0"/>
                                    </w:rPr>
                                  </w:pPr>
                                  <w:r>
                                    <w:rPr>
                                      <w:color w:val="00A1E0"/>
                                    </w:rPr>
                                    <w:t>●</w:t>
                                  </w:r>
                                </w:p>
                              </w:tc>
                              <w:tc>
                                <w:tcPr>
                                  <w:tcW w:w="2585" w:type="dxa"/>
                                  <w:tcBorders/>
                                  <w:shd w:fill="auto" w:val="clear"/>
                                  <w:vAlign w:val="center"/>
                                </w:tcPr>
                                <w:p>
                                  <w:pPr>
                                    <w:pStyle w:val="TableContents"/>
                                    <w:spacing w:before="0" w:after="283"/>
                                    <w:jc w:val="left"/>
                                    <w:rPr>
                                      <w:rFonts w:ascii="Arial" w:hAnsi="Arial"/>
                                      <w:sz w:val="20"/>
                                    </w:rPr>
                                  </w:pPr>
                                  <w:r>
                                    <w:rPr>
                                      <w:rFonts w:ascii="Arial" w:hAnsi="Arial"/>
                                      <w:sz w:val="20"/>
                                    </w:rPr>
                                    <w:t>Meta Platforms, Inc.</w:t>
                                  </w:r>
                                </w:p>
                              </w:tc>
                            </w:tr>
                            <w:tr>
                              <w:trPr/>
                              <w:tc>
                                <w:tcPr>
                                  <w:tcW w:w="170" w:type="dxa"/>
                                  <w:tcBorders/>
                                  <w:shd w:fill="auto" w:val="clear"/>
                                  <w:vAlign w:val="center"/>
                                </w:tcPr>
                                <w:p>
                                  <w:pPr>
                                    <w:pStyle w:val="TableContents"/>
                                    <w:spacing w:before="0" w:after="283"/>
                                    <w:rPr>
                                      <w:color w:val="00A1E0"/>
                                    </w:rPr>
                                  </w:pPr>
                                  <w:r>
                                    <w:rPr>
                                      <w:color w:val="00A1E0"/>
                                    </w:rPr>
                                    <w:t>●</w:t>
                                  </w:r>
                                </w:p>
                              </w:tc>
                              <w:tc>
                                <w:tcPr>
                                  <w:tcW w:w="2585" w:type="dxa"/>
                                  <w:tcBorders/>
                                  <w:shd w:fill="auto" w:val="clear"/>
                                  <w:vAlign w:val="center"/>
                                </w:tcPr>
                                <w:p>
                                  <w:pPr>
                                    <w:pStyle w:val="TableContents"/>
                                    <w:spacing w:before="0" w:after="283"/>
                                    <w:jc w:val="left"/>
                                    <w:rPr>
                                      <w:rFonts w:ascii="Arial" w:hAnsi="Arial"/>
                                      <w:sz w:val="20"/>
                                    </w:rPr>
                                  </w:pPr>
                                  <w:r>
                                    <w:rPr>
                                      <w:rFonts w:ascii="Arial" w:hAnsi="Arial"/>
                                      <w:sz w:val="20"/>
                                    </w:rPr>
                                    <w:t>Netflix, Inc.</w:t>
                                  </w:r>
                                </w:p>
                              </w:tc>
                            </w:tr>
                            <w:tr>
                              <w:trPr/>
                              <w:tc>
                                <w:tcPr>
                                  <w:tcW w:w="170" w:type="dxa"/>
                                  <w:tcBorders/>
                                  <w:shd w:fill="auto" w:val="clear"/>
                                  <w:vAlign w:val="center"/>
                                </w:tcPr>
                                <w:p>
                                  <w:pPr>
                                    <w:pStyle w:val="TableContents"/>
                                    <w:spacing w:before="0" w:after="283"/>
                                    <w:rPr>
                                      <w:color w:val="00A1E0"/>
                                    </w:rPr>
                                  </w:pPr>
                                  <w:r>
                                    <w:rPr>
                                      <w:color w:val="00A1E0"/>
                                    </w:rPr>
                                    <w:t>●</w:t>
                                  </w:r>
                                </w:p>
                              </w:tc>
                              <w:tc>
                                <w:tcPr>
                                  <w:tcW w:w="2585" w:type="dxa"/>
                                  <w:tcBorders/>
                                  <w:shd w:fill="auto" w:val="clear"/>
                                  <w:vAlign w:val="center"/>
                                </w:tcPr>
                                <w:p>
                                  <w:pPr>
                                    <w:pStyle w:val="TableContents"/>
                                    <w:spacing w:before="0" w:after="283"/>
                                    <w:jc w:val="left"/>
                                    <w:rPr>
                                      <w:rFonts w:ascii="Arial" w:hAnsi="Arial"/>
                                      <w:sz w:val="20"/>
                                    </w:rPr>
                                  </w:pPr>
                                  <w:r>
                                    <w:rPr>
                                      <w:rFonts w:ascii="Arial" w:hAnsi="Arial"/>
                                      <w:sz w:val="20"/>
                                    </w:rPr>
                                    <w:t>Paramount Global</w:t>
                                  </w:r>
                                </w:p>
                              </w:tc>
                            </w:tr>
                            <w:tr>
                              <w:trPr/>
                              <w:tc>
                                <w:tcPr>
                                  <w:tcW w:w="170" w:type="dxa"/>
                                  <w:tcBorders/>
                                  <w:shd w:fill="auto" w:val="clear"/>
                                  <w:vAlign w:val="center"/>
                                </w:tcPr>
                                <w:p>
                                  <w:pPr>
                                    <w:pStyle w:val="TableContents"/>
                                    <w:spacing w:before="0" w:after="283"/>
                                    <w:rPr>
                                      <w:color w:val="00A1E0"/>
                                    </w:rPr>
                                  </w:pPr>
                                  <w:r>
                                    <w:rPr>
                                      <w:color w:val="00A1E0"/>
                                    </w:rPr>
                                    <w:t>●</w:t>
                                  </w:r>
                                </w:p>
                              </w:tc>
                              <w:tc>
                                <w:tcPr>
                                  <w:tcW w:w="2585" w:type="dxa"/>
                                  <w:tcBorders/>
                                  <w:shd w:fill="auto" w:val="clear"/>
                                  <w:vAlign w:val="center"/>
                                </w:tcPr>
                                <w:p>
                                  <w:pPr>
                                    <w:pStyle w:val="TableContents"/>
                                    <w:spacing w:before="0" w:after="283"/>
                                    <w:jc w:val="left"/>
                                    <w:rPr>
                                      <w:rFonts w:ascii="Arial" w:hAnsi="Arial"/>
                                      <w:sz w:val="20"/>
                                    </w:rPr>
                                  </w:pPr>
                                  <w:r>
                                    <w:rPr>
                                      <w:rFonts w:ascii="Arial" w:hAnsi="Arial"/>
                                      <w:sz w:val="20"/>
                                    </w:rPr>
                                    <w:t>T-Mobile US, Inc.</w:t>
                                  </w:r>
                                </w:p>
                              </w:tc>
                            </w:tr>
                            <w:tr>
                              <w:trPr/>
                              <w:tc>
                                <w:tcPr>
                                  <w:tcW w:w="170" w:type="dxa"/>
                                  <w:tcBorders/>
                                  <w:shd w:fill="auto" w:val="clear"/>
                                  <w:vAlign w:val="center"/>
                                </w:tcPr>
                                <w:p>
                                  <w:pPr>
                                    <w:pStyle w:val="TableContents"/>
                                    <w:spacing w:before="0" w:after="283"/>
                                    <w:rPr>
                                      <w:color w:val="00A1E0"/>
                                    </w:rPr>
                                  </w:pPr>
                                  <w:r>
                                    <w:rPr>
                                      <w:color w:val="00A1E0"/>
                                    </w:rPr>
                                    <w:t>●</w:t>
                                  </w:r>
                                </w:p>
                              </w:tc>
                              <w:tc>
                                <w:tcPr>
                                  <w:tcW w:w="2585" w:type="dxa"/>
                                  <w:tcBorders/>
                                  <w:shd w:fill="auto" w:val="clear"/>
                                  <w:vAlign w:val="center"/>
                                </w:tcPr>
                                <w:p>
                                  <w:pPr>
                                    <w:pStyle w:val="TableContents"/>
                                    <w:spacing w:before="0" w:after="283"/>
                                    <w:jc w:val="left"/>
                                    <w:rPr>
                                      <w:rFonts w:ascii="Arial" w:hAnsi="Arial"/>
                                      <w:sz w:val="20"/>
                                    </w:rPr>
                                  </w:pPr>
                                  <w:r>
                                    <w:rPr>
                                      <w:rFonts w:ascii="Arial" w:hAnsi="Arial"/>
                                      <w:sz w:val="20"/>
                                    </w:rPr>
                                    <w:t>The Walt Disney Company</w:t>
                                  </w:r>
                                </w:p>
                              </w:tc>
                            </w:tr>
                            <w:tr>
                              <w:trPr/>
                              <w:tc>
                                <w:tcPr>
                                  <w:tcW w:w="170" w:type="dxa"/>
                                  <w:tcBorders/>
                                  <w:shd w:fill="auto" w:val="clear"/>
                                  <w:vAlign w:val="center"/>
                                </w:tcPr>
                                <w:p>
                                  <w:pPr>
                                    <w:pStyle w:val="TableContents"/>
                                    <w:spacing w:before="0" w:after="283"/>
                                    <w:rPr>
                                      <w:color w:val="00A1E0"/>
                                    </w:rPr>
                                  </w:pPr>
                                  <w:r>
                                    <w:rPr>
                                      <w:color w:val="00A1E0"/>
                                    </w:rPr>
                                    <w:t>●</w:t>
                                  </w:r>
                                </w:p>
                              </w:tc>
                              <w:tc>
                                <w:tcPr>
                                  <w:tcW w:w="2585" w:type="dxa"/>
                                  <w:tcBorders/>
                                  <w:shd w:fill="auto" w:val="clear"/>
                                  <w:vAlign w:val="center"/>
                                </w:tcPr>
                                <w:p>
                                  <w:pPr>
                                    <w:pStyle w:val="TableContents"/>
                                    <w:spacing w:before="0" w:after="283"/>
                                    <w:jc w:val="left"/>
                                    <w:rPr>
                                      <w:rFonts w:ascii="Arial" w:hAnsi="Arial"/>
                                      <w:sz w:val="20"/>
                                    </w:rPr>
                                  </w:pPr>
                                  <w:r>
                                    <w:rPr>
                                      <w:rFonts w:ascii="Arial" w:hAnsi="Arial"/>
                                      <w:sz w:val="20"/>
                                    </w:rPr>
                                    <w:t>Verizon Communications Inc.</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90.7pt;mso-wrap-distance-left:0pt;mso-wrap-distance-right:0pt;mso-wrap-distance-top:0pt;mso-wrap-distance-bottom:0pt;margin-top:0pt;mso-position-vertical:top;mso-position-vertical-relative:text;margin-left:265.35pt;mso-position-horizontal:right;mso-position-horizontal-relative:text">
                <v:textbox>
                  <w:txbxContent>
                    <w:tbl>
                      <w:tblPr>
                        <w:tblW w:w="2755" w:type="dxa"/>
                        <w:jc w:val="left"/>
                        <w:tblInd w:w="0" w:type="dxa"/>
                        <w:tblCellMar>
                          <w:top w:w="0" w:type="dxa"/>
                          <w:left w:w="0" w:type="dxa"/>
                          <w:bottom w:w="0" w:type="dxa"/>
                          <w:right w:w="0" w:type="dxa"/>
                        </w:tblCellMar>
                      </w:tblPr>
                      <w:tblGrid>
                        <w:gridCol w:w="170"/>
                        <w:gridCol w:w="2585"/>
                      </w:tblGrid>
                      <w:tr>
                        <w:trPr/>
                        <w:tc>
                          <w:tcPr>
                            <w:tcW w:w="170" w:type="dxa"/>
                            <w:tcBorders/>
                            <w:shd w:fill="auto" w:val="clear"/>
                            <w:vAlign w:val="center"/>
                          </w:tcPr>
                          <w:p>
                            <w:pPr>
                              <w:pStyle w:val="TableContents"/>
                              <w:spacing w:before="0" w:after="283"/>
                              <w:rPr>
                                <w:color w:val="00A1E0"/>
                              </w:rPr>
                            </w:pPr>
                            <w:r>
                              <w:rPr>
                                <w:color w:val="00A1E0"/>
                              </w:rPr>
                              <w:t>●</w:t>
                            </w:r>
                          </w:p>
                        </w:tc>
                        <w:tc>
                          <w:tcPr>
                            <w:tcW w:w="2585" w:type="dxa"/>
                            <w:tcBorders/>
                            <w:shd w:fill="auto" w:val="clear"/>
                            <w:vAlign w:val="center"/>
                          </w:tcPr>
                          <w:p>
                            <w:pPr>
                              <w:pStyle w:val="TableContents"/>
                              <w:spacing w:before="0" w:after="283"/>
                              <w:jc w:val="left"/>
                              <w:rPr>
                                <w:rFonts w:ascii="Arial" w:hAnsi="Arial"/>
                                <w:sz w:val="20"/>
                              </w:rPr>
                            </w:pPr>
                            <w:r>
                              <w:rPr>
                                <w:rFonts w:ascii="Arial" w:hAnsi="Arial"/>
                                <w:sz w:val="20"/>
                              </w:rPr>
                              <w:t>Meta Platforms, Inc.</w:t>
                            </w:r>
                          </w:p>
                        </w:tc>
                      </w:tr>
                      <w:tr>
                        <w:trPr/>
                        <w:tc>
                          <w:tcPr>
                            <w:tcW w:w="170" w:type="dxa"/>
                            <w:tcBorders/>
                            <w:shd w:fill="auto" w:val="clear"/>
                            <w:vAlign w:val="center"/>
                          </w:tcPr>
                          <w:p>
                            <w:pPr>
                              <w:pStyle w:val="TableContents"/>
                              <w:spacing w:before="0" w:after="283"/>
                              <w:rPr>
                                <w:color w:val="00A1E0"/>
                              </w:rPr>
                            </w:pPr>
                            <w:r>
                              <w:rPr>
                                <w:color w:val="00A1E0"/>
                              </w:rPr>
                              <w:t>●</w:t>
                            </w:r>
                          </w:p>
                        </w:tc>
                        <w:tc>
                          <w:tcPr>
                            <w:tcW w:w="2585" w:type="dxa"/>
                            <w:tcBorders/>
                            <w:shd w:fill="auto" w:val="clear"/>
                            <w:vAlign w:val="center"/>
                          </w:tcPr>
                          <w:p>
                            <w:pPr>
                              <w:pStyle w:val="TableContents"/>
                              <w:spacing w:before="0" w:after="283"/>
                              <w:jc w:val="left"/>
                              <w:rPr>
                                <w:rFonts w:ascii="Arial" w:hAnsi="Arial"/>
                                <w:sz w:val="20"/>
                              </w:rPr>
                            </w:pPr>
                            <w:r>
                              <w:rPr>
                                <w:rFonts w:ascii="Arial" w:hAnsi="Arial"/>
                                <w:sz w:val="20"/>
                              </w:rPr>
                              <w:t>Netflix, Inc.</w:t>
                            </w:r>
                          </w:p>
                        </w:tc>
                      </w:tr>
                      <w:tr>
                        <w:trPr/>
                        <w:tc>
                          <w:tcPr>
                            <w:tcW w:w="170" w:type="dxa"/>
                            <w:tcBorders/>
                            <w:shd w:fill="auto" w:val="clear"/>
                            <w:vAlign w:val="center"/>
                          </w:tcPr>
                          <w:p>
                            <w:pPr>
                              <w:pStyle w:val="TableContents"/>
                              <w:spacing w:before="0" w:after="283"/>
                              <w:rPr>
                                <w:color w:val="00A1E0"/>
                              </w:rPr>
                            </w:pPr>
                            <w:r>
                              <w:rPr>
                                <w:color w:val="00A1E0"/>
                              </w:rPr>
                              <w:t>●</w:t>
                            </w:r>
                          </w:p>
                        </w:tc>
                        <w:tc>
                          <w:tcPr>
                            <w:tcW w:w="2585" w:type="dxa"/>
                            <w:tcBorders/>
                            <w:shd w:fill="auto" w:val="clear"/>
                            <w:vAlign w:val="center"/>
                          </w:tcPr>
                          <w:p>
                            <w:pPr>
                              <w:pStyle w:val="TableContents"/>
                              <w:spacing w:before="0" w:after="283"/>
                              <w:jc w:val="left"/>
                              <w:rPr>
                                <w:rFonts w:ascii="Arial" w:hAnsi="Arial"/>
                                <w:sz w:val="20"/>
                              </w:rPr>
                            </w:pPr>
                            <w:r>
                              <w:rPr>
                                <w:rFonts w:ascii="Arial" w:hAnsi="Arial"/>
                                <w:sz w:val="20"/>
                              </w:rPr>
                              <w:t>Paramount Global</w:t>
                            </w:r>
                          </w:p>
                        </w:tc>
                      </w:tr>
                      <w:tr>
                        <w:trPr/>
                        <w:tc>
                          <w:tcPr>
                            <w:tcW w:w="170" w:type="dxa"/>
                            <w:tcBorders/>
                            <w:shd w:fill="auto" w:val="clear"/>
                            <w:vAlign w:val="center"/>
                          </w:tcPr>
                          <w:p>
                            <w:pPr>
                              <w:pStyle w:val="TableContents"/>
                              <w:spacing w:before="0" w:after="283"/>
                              <w:rPr>
                                <w:color w:val="00A1E0"/>
                              </w:rPr>
                            </w:pPr>
                            <w:r>
                              <w:rPr>
                                <w:color w:val="00A1E0"/>
                              </w:rPr>
                              <w:t>●</w:t>
                            </w:r>
                          </w:p>
                        </w:tc>
                        <w:tc>
                          <w:tcPr>
                            <w:tcW w:w="2585" w:type="dxa"/>
                            <w:tcBorders/>
                            <w:shd w:fill="auto" w:val="clear"/>
                            <w:vAlign w:val="center"/>
                          </w:tcPr>
                          <w:p>
                            <w:pPr>
                              <w:pStyle w:val="TableContents"/>
                              <w:spacing w:before="0" w:after="283"/>
                              <w:jc w:val="left"/>
                              <w:rPr>
                                <w:rFonts w:ascii="Arial" w:hAnsi="Arial"/>
                                <w:sz w:val="20"/>
                              </w:rPr>
                            </w:pPr>
                            <w:r>
                              <w:rPr>
                                <w:rFonts w:ascii="Arial" w:hAnsi="Arial"/>
                                <w:sz w:val="20"/>
                              </w:rPr>
                              <w:t>T-Mobile US, Inc.</w:t>
                            </w:r>
                          </w:p>
                        </w:tc>
                      </w:tr>
                      <w:tr>
                        <w:trPr/>
                        <w:tc>
                          <w:tcPr>
                            <w:tcW w:w="170" w:type="dxa"/>
                            <w:tcBorders/>
                            <w:shd w:fill="auto" w:val="clear"/>
                            <w:vAlign w:val="center"/>
                          </w:tcPr>
                          <w:p>
                            <w:pPr>
                              <w:pStyle w:val="TableContents"/>
                              <w:spacing w:before="0" w:after="283"/>
                              <w:rPr>
                                <w:color w:val="00A1E0"/>
                              </w:rPr>
                            </w:pPr>
                            <w:r>
                              <w:rPr>
                                <w:color w:val="00A1E0"/>
                              </w:rPr>
                              <w:t>●</w:t>
                            </w:r>
                          </w:p>
                        </w:tc>
                        <w:tc>
                          <w:tcPr>
                            <w:tcW w:w="2585" w:type="dxa"/>
                            <w:tcBorders/>
                            <w:shd w:fill="auto" w:val="clear"/>
                            <w:vAlign w:val="center"/>
                          </w:tcPr>
                          <w:p>
                            <w:pPr>
                              <w:pStyle w:val="TableContents"/>
                              <w:spacing w:before="0" w:after="283"/>
                              <w:jc w:val="left"/>
                              <w:rPr>
                                <w:rFonts w:ascii="Arial" w:hAnsi="Arial"/>
                                <w:sz w:val="20"/>
                              </w:rPr>
                            </w:pPr>
                            <w:r>
                              <w:rPr>
                                <w:rFonts w:ascii="Arial" w:hAnsi="Arial"/>
                                <w:sz w:val="20"/>
                              </w:rPr>
                              <w:t>The Walt Disney Company</w:t>
                            </w:r>
                          </w:p>
                        </w:tc>
                      </w:tr>
                      <w:tr>
                        <w:trPr/>
                        <w:tc>
                          <w:tcPr>
                            <w:tcW w:w="170" w:type="dxa"/>
                            <w:tcBorders/>
                            <w:shd w:fill="auto" w:val="clear"/>
                            <w:vAlign w:val="center"/>
                          </w:tcPr>
                          <w:p>
                            <w:pPr>
                              <w:pStyle w:val="TableContents"/>
                              <w:spacing w:before="0" w:after="283"/>
                              <w:rPr>
                                <w:color w:val="00A1E0"/>
                              </w:rPr>
                            </w:pPr>
                            <w:r>
                              <w:rPr>
                                <w:color w:val="00A1E0"/>
                              </w:rPr>
                              <w:t>●</w:t>
                            </w:r>
                          </w:p>
                        </w:tc>
                        <w:tc>
                          <w:tcPr>
                            <w:tcW w:w="2585" w:type="dxa"/>
                            <w:tcBorders/>
                            <w:shd w:fill="auto" w:val="clear"/>
                            <w:vAlign w:val="center"/>
                          </w:tcPr>
                          <w:p>
                            <w:pPr>
                              <w:pStyle w:val="TableContents"/>
                              <w:spacing w:before="0" w:after="283"/>
                              <w:jc w:val="left"/>
                              <w:rPr>
                                <w:rFonts w:ascii="Arial" w:hAnsi="Arial"/>
                                <w:sz w:val="20"/>
                              </w:rPr>
                            </w:pPr>
                            <w:r>
                              <w:rPr>
                                <w:rFonts w:ascii="Arial" w:hAnsi="Arial"/>
                                <w:sz w:val="20"/>
                              </w:rPr>
                              <w:t>Verizon Communications Inc.</w:t>
                            </w:r>
                          </w:p>
                        </w:tc>
                      </w:tr>
                    </w:tbl>
                    <w:p>
                      <w:pPr>
                        <w:pStyle w:val="TextBody"/>
                        <w:spacing w:before="0" w:after="283"/>
                        <w:rPr/>
                      </w:pPr>
                      <w:r>
                        <w:rPr/>
                      </w:r>
                    </w:p>
                  </w:txbxContent>
                </v:textbox>
                <w10:wrap type="square" side="left"/>
              </v:rect>
            </w:pict>
          </mc:Fallback>
        </mc:AlternateContent>
      </w:r>
    </w:p>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jc w:val="left"/>
              <w:rPr>
                <w:rFonts w:ascii="Arial" w:hAnsi="Arial"/>
                <w:sz w:val="20"/>
              </w:rPr>
            </w:pPr>
            <w:r>
              <w:rPr>
                <w:rFonts w:ascii="Arial" w:hAnsi="Arial"/>
                <w:sz w:val="20"/>
              </w:rPr>
              <w:t>Comparisons for (i) Mr. Roberts were made to peer chief executive officers for the peer group, (ii) Mr. Cavanagh were made to peer chief financial officers for the peer group, with supplemental comparisons by ordinal rank (i.e., the position in the Summary Compensation Table) due to his promotion to President, and (iii) Messrs. Watson and Shell and Ms. Strong were made by ordinal rank, with supplemental comparisons to peer chief executive officers of the peer group.</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jc w:val="left"/>
              <w:rPr>
                <w:rFonts w:ascii="Arial" w:hAnsi="Arial"/>
                <w:sz w:val="20"/>
              </w:rPr>
            </w:pPr>
            <w:r>
              <w:rPr>
                <w:rFonts w:ascii="Arial" w:hAnsi="Arial"/>
                <w:sz w:val="20"/>
              </w:rPr>
              <w:t>As a supplemental reference point to further inform the CHC Committee, comparisons were made to general industry peer groups with revenues similar in size to our business as a whole and our business units.</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jc w:val="left"/>
              <w:rPr>
                <w:rFonts w:ascii="Arial" w:hAnsi="Arial"/>
                <w:sz w:val="20"/>
              </w:rPr>
            </w:pPr>
            <w:r>
              <w:rPr>
                <w:rFonts w:ascii="Arial" w:hAnsi="Arial"/>
                <w:sz w:val="20"/>
              </w:rPr>
              <w:t>The CHC Committee does not determine an NEO’s target compensation solely based on a specific reference point within our peer group; instead, it reviews our peer group analyses, as well as the other analyses discussed in “CHC Committee’s Role, Process and Assessments,” both to validate our compensation program design and to inform its judgment in determining target compensation.</w:t>
            </w:r>
          </w:p>
        </w:tc>
      </w:tr>
    </w:tbl>
    <w:p>
      <w:pPr>
        <w:pStyle w:val="TextBody"/>
        <w:spacing w:before="0" w:after="0"/>
        <w:rPr/>
      </w:pPr>
      <w:r>
        <w:rPr/>
      </w:r>
    </w:p>
    <w:tbl>
      <w:tblPr>
        <w:tblW w:w="2200" w:type="dxa"/>
        <w:jc w:val="left"/>
        <w:tblInd w:w="0" w:type="dxa"/>
        <w:tblCellMar>
          <w:top w:w="0" w:type="dxa"/>
          <w:left w:w="0" w:type="dxa"/>
          <w:bottom w:w="0" w:type="dxa"/>
          <w:right w:w="0" w:type="dxa"/>
        </w:tblCellMar>
      </w:tblPr>
      <w:tblGrid>
        <w:gridCol w:w="1580"/>
        <w:gridCol w:w="620"/>
      </w:tblGrid>
      <w:tr>
        <w:trPr/>
        <w:tc>
          <w:tcPr>
            <w:tcW w:w="1580" w:type="dxa"/>
            <w:tcBorders/>
            <w:shd w:fill="auto" w:val="clear"/>
            <w:vAlign w:val="center"/>
          </w:tcPr>
          <w:p>
            <w:pPr>
              <w:pStyle w:val="TableContents"/>
              <w:spacing w:before="0" w:after="283"/>
              <w:jc w:val="right"/>
              <w:rPr>
                <w:rFonts w:ascii="Arial" w:hAnsi="Arial"/>
                <w:sz w:val="15"/>
              </w:rPr>
            </w:pPr>
            <w:r>
              <w:rPr>
                <w:rFonts w:ascii="Arial" w:hAnsi="Arial"/>
                <w:sz w:val="15"/>
              </w:rPr>
              <w:t>2023 Proxy Statement</w:t>
            </w:r>
          </w:p>
        </w:tc>
        <w:tc>
          <w:tcPr>
            <w:tcW w:w="620" w:type="dxa"/>
            <w:tcBorders/>
            <w:shd w:fill="auto" w:val="clear"/>
            <w:vAlign w:val="center"/>
          </w:tcPr>
          <w:p>
            <w:pPr>
              <w:pStyle w:val="TableContents"/>
              <w:spacing w:before="0" w:after="283"/>
              <w:jc w:val="right"/>
              <w:rPr/>
            </w:pPr>
            <w:r>
              <w:rPr/>
              <w:t>       </w:t>
            </w:r>
            <w:r>
              <w:rPr>
                <w:rFonts w:ascii="Arial" w:hAnsi="Arial"/>
                <w:b/>
                <w:sz w:val="15"/>
              </w:rPr>
              <w:t>51</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p>
      <w:pPr>
        <w:pStyle w:val="TextBody"/>
        <w:spacing w:before="240" w:after="283"/>
        <w:jc w:val="left"/>
        <w:rPr>
          <w:rFonts w:ascii="Arial" w:hAnsi="Arial"/>
          <w:sz w:val="28"/>
        </w:rPr>
      </w:pPr>
      <w:r>
        <w:rPr>
          <w:rFonts w:ascii="Arial" w:hAnsi="Arial"/>
          <w:sz w:val="28"/>
        </w:rPr>
        <w:t xml:space="preserve">Other Compensation Policies and Considerations </w:t>
      </w:r>
    </w:p>
    <w:p>
      <w:pPr>
        <w:pStyle w:val="TextBody"/>
        <w:jc w:val="left"/>
        <w:rPr>
          <w:rFonts w:ascii="Arial" w:hAnsi="Arial"/>
          <w:color w:val="00A1E0"/>
          <w:sz w:val="26"/>
        </w:rPr>
      </w:pPr>
      <w:r>
        <w:rPr>
          <w:rFonts w:ascii="Arial" w:hAnsi="Arial"/>
          <w:color w:val="00A1E0"/>
          <w:sz w:val="26"/>
        </w:rPr>
        <w:t>Executive Stock Ownership Policy</w:t>
      </w:r>
    </w:p>
    <w:p>
      <w:pPr>
        <w:pStyle w:val="TextBody"/>
        <w:jc w:val="left"/>
        <w:rPr>
          <w:rFonts w:ascii="Arial" w:hAnsi="Arial"/>
          <w:sz w:val="20"/>
        </w:rPr>
      </w:pPr>
      <w:r>
        <w:rPr>
          <w:rFonts w:ascii="Arial" w:hAnsi="Arial"/>
          <w:sz w:val="20"/>
        </w:rPr>
        <w:t>We have a stock ownership policy for members of our senior management, including our NEOs, that is designed to increase our executives’ ownership stake in our company and align their interests with those of our shareholders.</w:t>
      </w:r>
    </w:p>
    <w:tbl>
      <w:tblPr>
        <w:tblW w:w="6870" w:type="dxa"/>
        <w:jc w:val="left"/>
        <w:tblInd w:w="0" w:type="dxa"/>
        <w:tblCellMar>
          <w:top w:w="0" w:type="dxa"/>
          <w:left w:w="0" w:type="dxa"/>
          <w:bottom w:w="40" w:type="dxa"/>
          <w:right w:w="0" w:type="dxa"/>
        </w:tblCellMar>
      </w:tblPr>
      <w:tblGrid>
        <w:gridCol w:w="1940"/>
        <w:gridCol w:w="300"/>
        <w:gridCol w:w="2150"/>
        <w:gridCol w:w="300"/>
        <w:gridCol w:w="2180"/>
      </w:tblGrid>
      <w:tr>
        <w:trPr/>
        <w:tc>
          <w:tcPr>
            <w:tcW w:w="1940" w:type="dxa"/>
            <w:tcBorders>
              <w:bottom w:val="single" w:sz="12" w:space="0" w:color="000000"/>
            </w:tcBorders>
            <w:shd w:fill="auto" w:val="clear"/>
            <w:vAlign w:val="center"/>
          </w:tcPr>
          <w:p>
            <w:pPr>
              <w:pStyle w:val="TableContents"/>
              <w:spacing w:before="0" w:after="283"/>
              <w:rPr>
                <w:sz w:val="4"/>
                <w:szCs w:val="4"/>
              </w:rPr>
            </w:pPr>
            <w:r>
              <w:rPr>
                <w:sz w:val="4"/>
                <w:szCs w:val="4"/>
              </w:rPr>
            </w:r>
          </w:p>
        </w:tc>
        <w:tc>
          <w:tcPr>
            <w:tcW w:w="300" w:type="dxa"/>
            <w:tcBorders>
              <w:bottom w:val="single" w:sz="12" w:space="0" w:color="000000"/>
            </w:tcBorders>
            <w:shd w:fill="auto" w:val="clear"/>
            <w:vAlign w:val="center"/>
          </w:tcPr>
          <w:p>
            <w:pPr>
              <w:pStyle w:val="TableContents"/>
              <w:spacing w:before="0" w:after="283"/>
              <w:jc w:val="center"/>
              <w:rPr/>
            </w:pPr>
            <w:r>
              <w:rPr/>
              <w:t>     </w:t>
            </w:r>
          </w:p>
        </w:tc>
        <w:tc>
          <w:tcPr>
            <w:tcW w:w="2150" w:type="dxa"/>
            <w:tcBorders>
              <w:bottom w:val="single" w:sz="12" w:space="0" w:color="000000"/>
            </w:tcBorders>
            <w:shd w:fill="auto" w:val="clear"/>
            <w:vAlign w:val="center"/>
          </w:tcPr>
          <w:p>
            <w:pPr>
              <w:pStyle w:val="TableContents"/>
              <w:spacing w:before="0" w:after="283"/>
              <w:jc w:val="center"/>
              <w:rPr/>
            </w:pPr>
            <w:r>
              <w:rPr>
                <w:rStyle w:val="StrongEmphasis"/>
                <w:rFonts w:ascii="Arial" w:hAnsi="Arial"/>
                <w:sz w:val="15"/>
              </w:rPr>
              <w:t>MULTIPLE OF BASE SALARY</w:t>
              <w:br/>
              <w:t>REQUIRED</w:t>
            </w:r>
          </w:p>
        </w:tc>
        <w:tc>
          <w:tcPr>
            <w:tcW w:w="300" w:type="dxa"/>
            <w:tcBorders>
              <w:bottom w:val="single" w:sz="12" w:space="0" w:color="000000"/>
            </w:tcBorders>
            <w:shd w:fill="auto" w:val="clear"/>
            <w:tcMar>
              <w:bottom w:w="28" w:type="dxa"/>
            </w:tcMar>
            <w:vAlign w:val="center"/>
          </w:tcPr>
          <w:p>
            <w:pPr>
              <w:pStyle w:val="TableContents"/>
              <w:spacing w:before="0" w:after="283"/>
              <w:rPr/>
            </w:pPr>
            <w:r>
              <w:rPr/>
              <w:t>     </w:t>
            </w:r>
          </w:p>
        </w:tc>
        <w:tc>
          <w:tcPr>
            <w:tcW w:w="2180" w:type="dxa"/>
            <w:tcBorders>
              <w:bottom w:val="single" w:sz="12" w:space="0" w:color="000000"/>
            </w:tcBorders>
            <w:shd w:fill="auto" w:val="clear"/>
            <w:vAlign w:val="center"/>
          </w:tcPr>
          <w:p>
            <w:pPr>
              <w:pStyle w:val="TableContents"/>
              <w:spacing w:before="0" w:after="283"/>
              <w:jc w:val="center"/>
              <w:rPr/>
            </w:pPr>
            <w:r>
              <w:rPr>
                <w:rStyle w:val="StrongEmphasis"/>
                <w:rFonts w:ascii="Arial" w:hAnsi="Arial"/>
                <w:sz w:val="15"/>
              </w:rPr>
              <w:t>COMPLIANCE STATUS AS OF</w:t>
              <w:br/>
              <w:t>DECEMBER 31, 2022</w:t>
            </w:r>
          </w:p>
        </w:tc>
      </w:tr>
      <w:tr>
        <w:trPr/>
        <w:tc>
          <w:tcPr>
            <w:tcW w:w="1940" w:type="dxa"/>
            <w:tcBorders>
              <w:bottom w:val="single" w:sz="8" w:space="0" w:color="000000"/>
            </w:tcBorders>
            <w:shd w:fill="auto" w:val="clear"/>
            <w:tcMar>
              <w:bottom w:w="28" w:type="dxa"/>
            </w:tcMar>
            <w:vAlign w:val="center"/>
          </w:tcPr>
          <w:p>
            <w:pPr>
              <w:pStyle w:val="TableContents"/>
              <w:spacing w:before="0" w:after="283"/>
              <w:jc w:val="left"/>
              <w:rPr/>
            </w:pPr>
            <w:r>
              <w:rPr>
                <w:rStyle w:val="StrongEmphasis"/>
                <w:rFonts w:ascii="Arial" w:hAnsi="Arial"/>
                <w:sz w:val="20"/>
              </w:rPr>
              <w:t>Brian L. Roberts</w:t>
            </w:r>
          </w:p>
        </w:tc>
        <w:tc>
          <w:tcPr>
            <w:tcW w:w="3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215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10x</w:t>
            </w:r>
          </w:p>
        </w:tc>
        <w:tc>
          <w:tcPr>
            <w:tcW w:w="300" w:type="dxa"/>
            <w:tcBorders>
              <w:bottom w:val="single" w:sz="8" w:space="0" w:color="000000"/>
            </w:tcBorders>
            <w:shd w:fill="auto" w:val="clear"/>
            <w:tcMar>
              <w:bottom w:w="28" w:type="dxa"/>
            </w:tcMar>
            <w:vAlign w:val="center"/>
          </w:tcPr>
          <w:p>
            <w:pPr>
              <w:pStyle w:val="TableContents"/>
              <w:spacing w:before="0" w:after="283"/>
              <w:rPr/>
            </w:pPr>
            <w:r>
              <w:rPr/>
              <w:t> </w:t>
            </w:r>
          </w:p>
        </w:tc>
        <w:tc>
          <w:tcPr>
            <w:tcW w:w="218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In compliance</w:t>
            </w:r>
          </w:p>
        </w:tc>
      </w:tr>
      <w:tr>
        <w:trPr/>
        <w:tc>
          <w:tcPr>
            <w:tcW w:w="1940" w:type="dxa"/>
            <w:tcBorders>
              <w:bottom w:val="single" w:sz="8" w:space="0" w:color="000000"/>
            </w:tcBorders>
            <w:shd w:fill="auto" w:val="clear"/>
            <w:tcMar>
              <w:bottom w:w="28" w:type="dxa"/>
            </w:tcMar>
            <w:vAlign w:val="center"/>
          </w:tcPr>
          <w:p>
            <w:pPr>
              <w:pStyle w:val="TableContents"/>
              <w:spacing w:before="0" w:after="283"/>
              <w:jc w:val="left"/>
              <w:rPr/>
            </w:pPr>
            <w:r>
              <w:rPr>
                <w:rStyle w:val="StrongEmphasis"/>
                <w:rFonts w:ascii="Arial" w:hAnsi="Arial"/>
                <w:sz w:val="20"/>
              </w:rPr>
              <w:t>Michael J. Cavanagh</w:t>
            </w:r>
          </w:p>
        </w:tc>
        <w:tc>
          <w:tcPr>
            <w:tcW w:w="3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215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5x</w:t>
            </w:r>
          </w:p>
        </w:tc>
        <w:tc>
          <w:tcPr>
            <w:tcW w:w="300" w:type="dxa"/>
            <w:tcBorders>
              <w:bottom w:val="single" w:sz="8" w:space="0" w:color="000000"/>
            </w:tcBorders>
            <w:shd w:fill="auto" w:val="clear"/>
            <w:tcMar>
              <w:bottom w:w="28" w:type="dxa"/>
            </w:tcMar>
            <w:vAlign w:val="center"/>
          </w:tcPr>
          <w:p>
            <w:pPr>
              <w:pStyle w:val="TableContents"/>
              <w:spacing w:before="0" w:after="283"/>
              <w:rPr/>
            </w:pPr>
            <w:r>
              <w:rPr/>
              <w:t> </w:t>
            </w:r>
          </w:p>
        </w:tc>
        <w:tc>
          <w:tcPr>
            <w:tcW w:w="218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In compliance</w:t>
            </w:r>
          </w:p>
        </w:tc>
      </w:tr>
      <w:tr>
        <w:trPr/>
        <w:tc>
          <w:tcPr>
            <w:tcW w:w="1940" w:type="dxa"/>
            <w:tcBorders>
              <w:bottom w:val="single" w:sz="8" w:space="0" w:color="000000"/>
            </w:tcBorders>
            <w:shd w:fill="auto" w:val="clear"/>
            <w:tcMar>
              <w:bottom w:w="28" w:type="dxa"/>
            </w:tcMar>
            <w:vAlign w:val="center"/>
          </w:tcPr>
          <w:p>
            <w:pPr>
              <w:pStyle w:val="TableContents"/>
              <w:spacing w:before="0" w:after="283"/>
              <w:jc w:val="left"/>
              <w:rPr/>
            </w:pPr>
            <w:r>
              <w:rPr>
                <w:rStyle w:val="StrongEmphasis"/>
                <w:rFonts w:ascii="Arial" w:hAnsi="Arial"/>
                <w:sz w:val="20"/>
              </w:rPr>
              <w:t>David N. Watson</w:t>
            </w:r>
          </w:p>
        </w:tc>
        <w:tc>
          <w:tcPr>
            <w:tcW w:w="3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215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3x</w:t>
            </w:r>
          </w:p>
        </w:tc>
        <w:tc>
          <w:tcPr>
            <w:tcW w:w="300" w:type="dxa"/>
            <w:tcBorders>
              <w:bottom w:val="single" w:sz="8" w:space="0" w:color="000000"/>
            </w:tcBorders>
            <w:shd w:fill="auto" w:val="clear"/>
            <w:tcMar>
              <w:bottom w:w="28" w:type="dxa"/>
            </w:tcMar>
            <w:vAlign w:val="center"/>
          </w:tcPr>
          <w:p>
            <w:pPr>
              <w:pStyle w:val="TableContents"/>
              <w:spacing w:before="0" w:after="283"/>
              <w:rPr/>
            </w:pPr>
            <w:r>
              <w:rPr/>
              <w:t> </w:t>
            </w:r>
          </w:p>
        </w:tc>
        <w:tc>
          <w:tcPr>
            <w:tcW w:w="218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In compliance</w:t>
            </w:r>
          </w:p>
        </w:tc>
      </w:tr>
      <w:tr>
        <w:trPr/>
        <w:tc>
          <w:tcPr>
            <w:tcW w:w="1940" w:type="dxa"/>
            <w:tcBorders>
              <w:bottom w:val="single" w:sz="8" w:space="0" w:color="000000"/>
            </w:tcBorders>
            <w:shd w:fill="auto" w:val="clear"/>
            <w:tcMar>
              <w:bottom w:w="28" w:type="dxa"/>
            </w:tcMar>
            <w:vAlign w:val="center"/>
          </w:tcPr>
          <w:p>
            <w:pPr>
              <w:pStyle w:val="TableContents"/>
              <w:spacing w:before="0" w:after="283"/>
              <w:jc w:val="left"/>
              <w:rPr/>
            </w:pPr>
            <w:r>
              <w:rPr>
                <w:rStyle w:val="StrongEmphasis"/>
                <w:rFonts w:ascii="Arial" w:hAnsi="Arial"/>
                <w:sz w:val="20"/>
              </w:rPr>
              <w:t>Jeffrey Shell</w:t>
            </w:r>
          </w:p>
        </w:tc>
        <w:tc>
          <w:tcPr>
            <w:tcW w:w="3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215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3x</w:t>
            </w:r>
          </w:p>
        </w:tc>
        <w:tc>
          <w:tcPr>
            <w:tcW w:w="300" w:type="dxa"/>
            <w:tcBorders>
              <w:bottom w:val="single" w:sz="8" w:space="0" w:color="000000"/>
            </w:tcBorders>
            <w:shd w:fill="auto" w:val="clear"/>
            <w:tcMar>
              <w:bottom w:w="28" w:type="dxa"/>
            </w:tcMar>
            <w:vAlign w:val="center"/>
          </w:tcPr>
          <w:p>
            <w:pPr>
              <w:pStyle w:val="TableContents"/>
              <w:spacing w:before="0" w:after="283"/>
              <w:rPr/>
            </w:pPr>
            <w:r>
              <w:rPr/>
              <w:t> </w:t>
            </w:r>
          </w:p>
        </w:tc>
        <w:tc>
          <w:tcPr>
            <w:tcW w:w="218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In compliance</w:t>
            </w:r>
          </w:p>
        </w:tc>
      </w:tr>
      <w:tr>
        <w:trPr/>
        <w:tc>
          <w:tcPr>
            <w:tcW w:w="1940" w:type="dxa"/>
            <w:tcBorders>
              <w:bottom w:val="single" w:sz="8" w:space="0" w:color="000000"/>
            </w:tcBorders>
            <w:shd w:fill="auto" w:val="clear"/>
            <w:tcMar>
              <w:bottom w:w="28" w:type="dxa"/>
            </w:tcMar>
            <w:vAlign w:val="center"/>
          </w:tcPr>
          <w:p>
            <w:pPr>
              <w:pStyle w:val="TableContents"/>
              <w:spacing w:before="0" w:after="283"/>
              <w:jc w:val="left"/>
              <w:rPr/>
            </w:pPr>
            <w:r>
              <w:rPr>
                <w:rStyle w:val="StrongEmphasis"/>
                <w:rFonts w:ascii="Arial" w:hAnsi="Arial"/>
                <w:sz w:val="20"/>
              </w:rPr>
              <w:t>Dana Strong</w:t>
            </w:r>
          </w:p>
        </w:tc>
        <w:tc>
          <w:tcPr>
            <w:tcW w:w="3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215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3x</w:t>
            </w:r>
          </w:p>
        </w:tc>
        <w:tc>
          <w:tcPr>
            <w:tcW w:w="300" w:type="dxa"/>
            <w:tcBorders>
              <w:bottom w:val="single" w:sz="8" w:space="0" w:color="000000"/>
            </w:tcBorders>
            <w:shd w:fill="auto" w:val="clear"/>
            <w:tcMar>
              <w:bottom w:w="28" w:type="dxa"/>
            </w:tcMar>
            <w:vAlign w:val="center"/>
          </w:tcPr>
          <w:p>
            <w:pPr>
              <w:pStyle w:val="TableContents"/>
              <w:spacing w:before="0" w:after="283"/>
              <w:rPr/>
            </w:pPr>
            <w:r>
              <w:rPr/>
              <w:t> </w:t>
            </w:r>
          </w:p>
        </w:tc>
        <w:tc>
          <w:tcPr>
            <w:tcW w:w="218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In compliance</w:t>
            </w:r>
          </w:p>
        </w:tc>
      </w:tr>
    </w:tbl>
    <w:p>
      <w:pPr>
        <w:pStyle w:val="TextBody"/>
        <w:spacing w:before="240" w:after="283"/>
        <w:jc w:val="left"/>
        <w:rPr/>
      </w:pPr>
      <w:r>
        <w:rPr/>
        <w:t>“</w:t>
      </w:r>
      <w:r>
        <w:rPr>
          <w:rFonts w:ascii="Arial" w:hAnsi="Arial"/>
          <w:sz w:val="20"/>
        </w:rPr>
        <w:t>Ownership” includes (i) stock owned directly or indirectly, (ii) shares credited under our employee stock purchase plan, which must be held for one year from the date credited, and (iii) 60% of deferred vested shares, shares deemed invested in the Company stock fund under our deferred compensation plans and the pre-tax net number of shares deliverable upon the exercise of vested stock options. There is a phase-in period of six years after the year in which an executive first becomes subject to the policy to allow the executive to meet the full stock ownership requirement. If an executive is subject to a phase-in period, we consider them to be in compliance with the policy if they meet the reduced stock ownership requirements over time under such phase-in. In determining compliance, the CHC Committee may consider any noncompliance that occurs solely or primarily from a decline in the market price of our stock. If an executive is not in compliance, he or she is prohibited from selling our stock (unless a hardship exemption is granted).</w:t>
      </w:r>
    </w:p>
    <w:p>
      <w:pPr>
        <w:pStyle w:val="TextBody"/>
        <w:jc w:val="left"/>
        <w:rPr>
          <w:rFonts w:ascii="Arial" w:hAnsi="Arial"/>
          <w:color w:val="00A1E0"/>
          <w:sz w:val="26"/>
        </w:rPr>
      </w:pPr>
      <w:r>
        <w:rPr>
          <w:rFonts w:ascii="Arial" w:hAnsi="Arial"/>
          <w:color w:val="00A1E0"/>
          <w:sz w:val="26"/>
        </w:rPr>
        <w:t>Policies Regarding Trading Activities and Prohibitions on Hedging and Pledging</w:t>
      </w:r>
    </w:p>
    <w:p>
      <w:pPr>
        <w:pStyle w:val="TextBody"/>
        <w:jc w:val="left"/>
        <w:rPr>
          <w:rFonts w:ascii="Arial" w:hAnsi="Arial"/>
          <w:sz w:val="20"/>
        </w:rPr>
      </w:pPr>
      <w:r>
        <w:rPr>
          <w:rFonts w:ascii="Arial" w:hAnsi="Arial"/>
          <w:sz w:val="20"/>
        </w:rPr>
        <w:t>Our trading policy prohibits our executive officers, certain other high-level employees and directors from buying or selling any of our securities during specified blackout periods, and, when outside of those blackout periods, they may only buy or sell our securities with prior approval in accordance with internal procedures. This helps ensure that our executive officers and directors will not trade in our securities at a time when they are aware of material, nonpublic information.</w:t>
      </w:r>
    </w:p>
    <w:p>
      <w:pPr>
        <w:pStyle w:val="TextBody"/>
        <w:jc w:val="left"/>
        <w:rPr>
          <w:rFonts w:ascii="Arial" w:hAnsi="Arial"/>
          <w:sz w:val="20"/>
        </w:rPr>
      </w:pPr>
      <w:r>
        <w:rPr>
          <w:rFonts w:ascii="Arial" w:hAnsi="Arial"/>
          <w:sz w:val="20"/>
        </w:rPr>
        <w:t>Our policies prohibit our executive officers and directors from (i) using any strategies or products (including derivative securities, such as put or call options, or short-selling techniques) to hedge against potential changes in the value of our stock and (ii) holding our stock in margin accounts or pledging our stock as collateral for a loan.</w:t>
      </w:r>
    </w:p>
    <w:p>
      <w:pPr>
        <w:pStyle w:val="TextBody"/>
        <w:jc w:val="left"/>
        <w:rPr>
          <w:rFonts w:ascii="Arial" w:hAnsi="Arial"/>
          <w:color w:val="00A1E0"/>
          <w:sz w:val="26"/>
        </w:rPr>
      </w:pPr>
      <w:r>
        <w:rPr>
          <w:rFonts w:ascii="Arial" w:hAnsi="Arial"/>
          <w:color w:val="00A1E0"/>
          <w:sz w:val="26"/>
        </w:rPr>
        <w:t>No Automatic Payments in Connection with a Change in Control</w:t>
      </w:r>
    </w:p>
    <w:p>
      <w:pPr>
        <w:pStyle w:val="TextBody"/>
        <w:jc w:val="left"/>
        <w:rPr>
          <w:rFonts w:ascii="Arial" w:hAnsi="Arial"/>
          <w:sz w:val="20"/>
        </w:rPr>
      </w:pPr>
      <w:r>
        <w:rPr>
          <w:rFonts w:ascii="Arial" w:hAnsi="Arial"/>
          <w:sz w:val="20"/>
        </w:rPr>
        <w:t>We generally do not have any benefits, such as accelerated vesting of equity awards, that are “triggered” automatically as a result of a “change in control” (a “single trigger”) or the occurrence of one or more specified events (a “double trigger”) that may follow a change in control, such as termination of employment without cause. Instead, we believe it is in the best interests of our company for our Board and CHC Committee, who are subject to fiduciary obligations to act in a manner they believe to be in the best interests of our company and shareholders, to retain the discretion to determine whether it is appropriate to accelerate the vesting of stock options and/or stock units or provide other benefits in connection with a particular change in control transaction.</w:t>
      </w:r>
    </w:p>
    <w:p>
      <w:pPr>
        <w:pStyle w:val="TextBody"/>
        <w:jc w:val="left"/>
        <w:rPr>
          <w:rFonts w:ascii="Arial" w:hAnsi="Arial"/>
          <w:sz w:val="20"/>
        </w:rPr>
      </w:pPr>
      <w:r>
        <w:rPr>
          <w:rFonts w:ascii="Arial" w:hAnsi="Arial"/>
          <w:sz w:val="20"/>
        </w:rPr>
        <w:t>Mr. Roberts’ employment agreement provides that if his employment is terminated following a change in control, that termination will be treated as a termination without cause for the purpose of determining his benefits in those circumstances under his employment agreement. The CHC Committee approved this provision as a fair and reasonable protection for our Chief Executive Officer in the event of a change in control.</w:t>
      </w:r>
    </w:p>
    <w:p>
      <w:pPr>
        <w:pStyle w:val="TextBody"/>
        <w:jc w:val="left"/>
        <w:rPr>
          <w:rFonts w:ascii="Arial" w:hAnsi="Arial"/>
          <w:color w:val="00A1E0"/>
          <w:sz w:val="26"/>
        </w:rPr>
      </w:pPr>
      <w:r>
        <w:rPr>
          <w:rFonts w:ascii="Arial" w:hAnsi="Arial"/>
          <w:color w:val="00A1E0"/>
          <w:sz w:val="26"/>
        </w:rPr>
        <w:t>Payments in Connection with a Termination of Employment</w:t>
      </w:r>
    </w:p>
    <w:p>
      <w:pPr>
        <w:pStyle w:val="TextBody"/>
        <w:jc w:val="left"/>
        <w:rPr>
          <w:rFonts w:ascii="Arial" w:hAnsi="Arial"/>
          <w:sz w:val="20"/>
        </w:rPr>
      </w:pPr>
      <w:r>
        <w:rPr>
          <w:rFonts w:ascii="Arial" w:hAnsi="Arial"/>
          <w:sz w:val="20"/>
        </w:rPr>
        <w:t>Payments to our NEOs upon a termination of employment are described under the “Potential Payments upon Termination or Change in Control” table below. These compensation arrangements are contained in each NEO’s employment or other agreements and are not a factor in the CHC Committee’s determination of current year compensation elements. These arrangements were arrived at as a result of arm’s-length negotiations in connection with entering into each such agreement.</w:t>
      </w:r>
    </w:p>
    <w:tbl>
      <w:tblPr>
        <w:tblW w:w="223" w:type="dxa"/>
        <w:jc w:val="left"/>
        <w:tblInd w:w="0" w:type="dxa"/>
        <w:tblCellMar>
          <w:top w:w="0" w:type="dxa"/>
          <w:left w:w="0" w:type="dxa"/>
          <w:bottom w:w="0" w:type="dxa"/>
          <w:right w:w="0" w:type="dxa"/>
        </w:tblCellMar>
      </w:tblPr>
      <w:tblGrid>
        <w:gridCol w:w="200"/>
        <w:gridCol w:w="23"/>
      </w:tblGrid>
      <w:tr>
        <w:trPr/>
        <w:tc>
          <w:tcPr>
            <w:tcW w:w="200" w:type="dxa"/>
            <w:tcBorders/>
            <w:shd w:fill="auto" w:val="clear"/>
            <w:vAlign w:val="center"/>
          </w:tcPr>
          <w:p>
            <w:pPr>
              <w:pStyle w:val="TableContents"/>
              <w:spacing w:before="0" w:after="283"/>
              <w:jc w:val="left"/>
              <w:rPr>
                <w:rFonts w:ascii="Arial" w:hAnsi="Arial"/>
                <w:b/>
                <w:sz w:val="15"/>
              </w:rPr>
            </w:pPr>
            <w:r>
              <w:rPr>
                <w:rFonts w:ascii="Arial" w:hAnsi="Arial"/>
                <w:b/>
                <w:sz w:val="15"/>
              </w:rPr>
              <w:t>52</w:t>
            </w:r>
          </w:p>
        </w:tc>
        <w:tc>
          <w:tcPr>
            <w:tcW w:w="2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p>
      <w:pPr>
        <w:pStyle w:val="TextBody"/>
        <w:jc w:val="left"/>
        <w:rPr>
          <w:rFonts w:ascii="Arial" w:hAnsi="Arial"/>
          <w:color w:val="00A1E0"/>
          <w:sz w:val="26"/>
        </w:rPr>
      </w:pPr>
      <w:r>
        <w:rPr>
          <w:rFonts w:ascii="Arial" w:hAnsi="Arial"/>
          <w:color w:val="00A1E0"/>
          <w:sz w:val="26"/>
        </w:rPr>
        <w:t>Recoupment (or “Clawback”) Policy</w:t>
      </w:r>
    </w:p>
    <w:p>
      <w:pPr>
        <w:pStyle w:val="TextBody"/>
        <w:jc w:val="left"/>
        <w:rPr>
          <w:rFonts w:ascii="Arial" w:hAnsi="Arial"/>
          <w:sz w:val="20"/>
        </w:rPr>
      </w:pPr>
      <w:r>
        <w:rPr>
          <w:rFonts w:ascii="Arial" w:hAnsi="Arial"/>
          <w:sz w:val="20"/>
        </w:rPr>
        <w:t>We have an incentive compensation recoupment (or “clawback”) policy providing that, if it is determined by our Board that gross negligence, intentional misconduct or fraud by one of our executive officers or former executive officers caused or partially caused the restatement of all or a portion of our financial statements, the Board, in its sole discretion, may, to the extent permitted by law and our benefit plans, policies and agreements, and to the extent it determines in its sole judgment that it is in our best interests to do so, require repayment of all or a portion of any annual cash bonus, vested stock units (time- or performance-based) or other incentive-based compensation paid to such executive officer or former executive officer (and/or effect the cancellation of unvested stock units) if: (i) the amount or vesting of the incentive-based compensation was calculated based upon, or contingent on, the achievement of financial or operating results that were the subject of or affected by the restatement and (ii) the amount or vesting of the incentive-based compensation would have been less had the financial statements been correct. The CHC Committee reviews this policy from time to time, and in light of the SEC’s adoption of Rule 10D-1 under the Exchange Act regarding incentive-based compensation recoupment, has updated it to also require, once effective, the clawback of any incentive compensation in circumstances required by the SEC’s final rule, as implemented by Nasdaq listing requirements.</w:t>
      </w:r>
    </w:p>
    <w:p>
      <w:pPr>
        <w:pStyle w:val="TextBody"/>
        <w:jc w:val="left"/>
        <w:rPr>
          <w:rFonts w:ascii="Arial" w:hAnsi="Arial"/>
          <w:color w:val="00A1E0"/>
          <w:sz w:val="26"/>
        </w:rPr>
      </w:pPr>
      <w:r>
        <w:rPr>
          <w:rFonts w:ascii="Arial" w:hAnsi="Arial"/>
          <w:color w:val="00A1E0"/>
          <w:sz w:val="26"/>
        </w:rPr>
        <w:t>Award Timing</w:t>
      </w:r>
    </w:p>
    <w:p>
      <w:pPr>
        <w:pStyle w:val="TextBody"/>
        <w:jc w:val="left"/>
        <w:rPr>
          <w:rFonts w:ascii="Arial" w:hAnsi="Arial"/>
          <w:sz w:val="20"/>
        </w:rPr>
      </w:pPr>
      <w:r>
        <w:rPr>
          <w:rFonts w:ascii="Arial" w:hAnsi="Arial"/>
          <w:sz w:val="20"/>
        </w:rPr>
        <w:t>Our current practice is to grant annual equity incentive awards each year on the first business day in March. The value of these annual awards is approved by the CHC Committee at a meeting prior to the grant date. Our off-cycle awards (for new hires, mid-year promotions, etc.) are granted in accordance with pre-established grant date schedules.</w:t>
      </w:r>
    </w:p>
    <w:p>
      <w:pPr>
        <w:pStyle w:val="TextBody"/>
        <w:jc w:val="left"/>
        <w:rPr>
          <w:rFonts w:ascii="Arial" w:hAnsi="Arial"/>
          <w:color w:val="00A1E0"/>
          <w:sz w:val="26"/>
        </w:rPr>
      </w:pPr>
      <w:r>
        <w:rPr>
          <w:rFonts w:ascii="Arial" w:hAnsi="Arial"/>
          <w:color w:val="00A1E0"/>
          <w:sz w:val="26"/>
        </w:rPr>
        <w:t>Tax and Accounting Considerations</w:t>
      </w:r>
    </w:p>
    <w:p>
      <w:pPr>
        <w:pStyle w:val="TextBody"/>
        <w:jc w:val="left"/>
        <w:rPr>
          <w:rFonts w:ascii="Arial" w:hAnsi="Arial"/>
          <w:sz w:val="20"/>
        </w:rPr>
      </w:pPr>
      <w:r>
        <w:rPr>
          <w:rFonts w:ascii="Arial" w:hAnsi="Arial"/>
          <w:sz w:val="20"/>
        </w:rPr>
        <w:t>The CHC Committee considers accounting and tax implications of our compensation and benefit programs, including with respect to the tax deductibility of our executive compensation. Section 162(m) of the Internal Revenue Code generally limits the tax deductibility of compensation paid by public companies to certain executive officers to $1 million. In the exercise of its business judgment and in accordance with its compensation philosophy, the CHC Committee has previously awarded, and continues to have the flexibility to award, compensation that is not tax deductible if it determines that such award is in our shareholders’ best interests.</w:t>
      </w:r>
    </w:p>
    <w:p>
      <w:pPr>
        <w:pStyle w:val="TextBody"/>
        <w:jc w:val="left"/>
        <w:rPr>
          <w:rFonts w:ascii="Arial" w:hAnsi="Arial"/>
          <w:sz w:val="20"/>
        </w:rPr>
      </w:pPr>
      <w:r>
        <w:rPr>
          <w:rFonts w:ascii="Arial" w:hAnsi="Arial"/>
          <w:sz w:val="20"/>
        </w:rPr>
        <w:t>In addition, the Internal Revenue Code limits the amount that companies can deduct for the personal use of Company-provided aircraft to the amount recognized as income by the executives who used the aircraft. In 2022, the total amount of our disallowed tax deduction resulting from the personal use of Company-provided aircraft by our NEOs and any guests was approximately $8 million.</w:t>
      </w:r>
    </w:p>
    <w:p>
      <w:pPr>
        <w:pStyle w:val="TextBody"/>
        <w:jc w:val="left"/>
        <w:rPr>
          <w:rFonts w:ascii="Arial" w:hAnsi="Arial"/>
          <w:color w:val="00A1E0"/>
          <w:sz w:val="26"/>
        </w:rPr>
      </w:pPr>
      <w:r>
        <w:rPr>
          <w:rFonts w:ascii="Arial" w:hAnsi="Arial"/>
          <w:color w:val="00A1E0"/>
          <w:sz w:val="26"/>
        </w:rPr>
        <w:t>Other Considerations</w:t>
      </w:r>
    </w:p>
    <w:p>
      <w:pPr>
        <w:pStyle w:val="TextBody"/>
        <w:jc w:val="left"/>
        <w:rPr>
          <w:rFonts w:ascii="Arial" w:hAnsi="Arial"/>
          <w:sz w:val="20"/>
        </w:rPr>
      </w:pPr>
      <w:r>
        <w:rPr>
          <w:rFonts w:ascii="Arial" w:hAnsi="Arial"/>
          <w:sz w:val="20"/>
        </w:rPr>
        <w:t>The CHC Committee is aware that Mr. Roberts is our shareholder with the greatest beneficial voting power. The CHC Committee maintains an objective stance toward Mr. Roberts’ compensation. The CHC Committee uses the same methods, tools and processes to determine Mr. Roberts’ compensation as it does for our other NEOs.</w:t>
      </w:r>
    </w:p>
    <w:p>
      <w:pPr>
        <w:pStyle w:val="TextBody"/>
        <w:jc w:val="left"/>
        <w:rPr>
          <w:rFonts w:ascii="Arial" w:hAnsi="Arial"/>
          <w:b/>
          <w:color w:val="00A1E0"/>
          <w:sz w:val="32"/>
        </w:rPr>
      </w:pPr>
      <w:bookmarkStart w:id="22" w:name="compensationhumancapital"/>
      <w:bookmarkEnd w:id="22"/>
      <w:r>
        <w:rPr>
          <w:rFonts w:ascii="Arial" w:hAnsi="Arial"/>
          <w:b/>
          <w:color w:val="00A1E0"/>
          <w:sz w:val="32"/>
        </w:rPr>
        <w:t>Compensation and Human Capital Committee Report</w:t>
      </w:r>
    </w:p>
    <w:p>
      <w:pPr>
        <w:pStyle w:val="TextBody"/>
        <w:jc w:val="left"/>
        <w:rPr>
          <w:rFonts w:ascii="Arial" w:hAnsi="Arial"/>
          <w:sz w:val="20"/>
        </w:rPr>
      </w:pPr>
      <w:r>
        <w:rPr>
          <w:rFonts w:ascii="Arial" w:hAnsi="Arial"/>
          <w:sz w:val="20"/>
        </w:rPr>
        <w:t>We, the members of the CHC Committee of the Board of Directors, have reviewed and discussed with management the Compensation Discussion and Analysis. Based on this review and discussion, we have recommended to the Board of Directors that the Compensation Discussion and Analysis be included in this proxy statement.</w:t>
      </w:r>
    </w:p>
    <w:p>
      <w:pPr>
        <w:pStyle w:val="TextBody"/>
        <w:jc w:val="left"/>
        <w:rPr>
          <w:rFonts w:ascii="Arial" w:hAnsi="Arial"/>
          <w:color w:val="00A1E0"/>
          <w:sz w:val="20"/>
        </w:rPr>
      </w:pPr>
      <w:r>
        <w:rPr>
          <w:rFonts w:ascii="Arial" w:hAnsi="Arial"/>
          <w:color w:val="00A1E0"/>
          <w:sz w:val="20"/>
        </w:rPr>
        <w:t>Members of the Compensation and Human Capital Committee</w:t>
      </w:r>
    </w:p>
    <w:p>
      <w:pPr>
        <w:pStyle w:val="TextBody"/>
        <w:jc w:val="left"/>
        <w:rPr>
          <w:rFonts w:ascii="Arial" w:hAnsi="Arial"/>
          <w:sz w:val="20"/>
        </w:rPr>
      </w:pPr>
      <w:r>
        <w:rPr>
          <w:rFonts w:ascii="Arial" w:hAnsi="Arial"/>
          <w:sz w:val="20"/>
        </w:rPr>
        <w:t xml:space="preserve">Edward D. Breen (Chair) </w:t>
        <w:br/>
        <w:t xml:space="preserve">Gerald L. Hassell </w:t>
        <w:br/>
        <w:t>David C. Novak</w:t>
      </w:r>
    </w:p>
    <w:tbl>
      <w:tblPr>
        <w:tblW w:w="2095" w:type="dxa"/>
        <w:jc w:val="left"/>
        <w:tblInd w:w="0" w:type="dxa"/>
        <w:tblCellMar>
          <w:top w:w="0" w:type="dxa"/>
          <w:left w:w="0" w:type="dxa"/>
          <w:bottom w:w="0" w:type="dxa"/>
          <w:right w:w="0" w:type="dxa"/>
        </w:tblCellMar>
      </w:tblPr>
      <w:tblGrid>
        <w:gridCol w:w="1895"/>
        <w:gridCol w:w="200"/>
      </w:tblGrid>
      <w:tr>
        <w:trPr/>
        <w:tc>
          <w:tcPr>
            <w:tcW w:w="1895" w:type="dxa"/>
            <w:tcBorders/>
            <w:shd w:fill="auto" w:val="clear"/>
            <w:vAlign w:val="center"/>
          </w:tcPr>
          <w:p>
            <w:pPr>
              <w:pStyle w:val="TableContents"/>
              <w:spacing w:before="0" w:after="283"/>
              <w:jc w:val="right"/>
              <w:rPr>
                <w:rFonts w:ascii="Arial" w:hAnsi="Arial"/>
                <w:sz w:val="15"/>
              </w:rPr>
            </w:pPr>
            <w:r>
              <w:rPr>
                <w:rFonts w:ascii="Arial" w:hAnsi="Arial"/>
                <w:sz w:val="15"/>
              </w:rPr>
              <w:t>2023 Proxy Statement       </w:t>
            </w:r>
          </w:p>
        </w:tc>
        <w:tc>
          <w:tcPr>
            <w:tcW w:w="200" w:type="dxa"/>
            <w:tcBorders/>
            <w:shd w:fill="auto" w:val="clear"/>
            <w:vAlign w:val="center"/>
          </w:tcPr>
          <w:p>
            <w:pPr>
              <w:pStyle w:val="TableContents"/>
              <w:spacing w:before="0" w:after="283"/>
              <w:jc w:val="right"/>
              <w:rPr/>
            </w:pPr>
            <w:r>
              <w:rPr>
                <w:rStyle w:val="StrongEmphasis"/>
                <w:rFonts w:ascii="Arial" w:hAnsi="Arial"/>
                <w:sz w:val="15"/>
              </w:rPr>
              <w:t>53</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p>
      <w:pPr>
        <w:pStyle w:val="TextBody"/>
        <w:jc w:val="left"/>
        <w:rPr>
          <w:rFonts w:ascii="Arial" w:hAnsi="Arial"/>
          <w:b/>
          <w:color w:val="00A1E0"/>
          <w:sz w:val="32"/>
        </w:rPr>
      </w:pPr>
      <w:bookmarkStart w:id="23" w:name="executivecompensationtable"/>
      <w:bookmarkEnd w:id="23"/>
      <w:r>
        <w:rPr>
          <w:rFonts w:ascii="Arial" w:hAnsi="Arial"/>
          <w:b/>
          <w:color w:val="00A1E0"/>
          <w:sz w:val="32"/>
        </w:rPr>
        <w:t>Executive Compensation Tables</w:t>
      </w:r>
    </w:p>
    <w:p>
      <w:pPr>
        <w:pStyle w:val="TextBody"/>
        <w:jc w:val="left"/>
        <w:rPr>
          <w:rFonts w:ascii="Arial" w:hAnsi="Arial"/>
          <w:sz w:val="28"/>
        </w:rPr>
      </w:pPr>
      <w:bookmarkStart w:id="24" w:name="summarycompensationtable"/>
      <w:bookmarkEnd w:id="24"/>
      <w:r>
        <w:rPr>
          <w:rFonts w:ascii="Arial" w:hAnsi="Arial"/>
          <w:sz w:val="28"/>
        </w:rPr>
        <w:t>Summary Compensation Table</w:t>
      </w:r>
    </w:p>
    <w:p>
      <w:pPr>
        <w:pStyle w:val="TextBody"/>
        <w:jc w:val="left"/>
        <w:rPr>
          <w:rFonts w:ascii="Arial" w:hAnsi="Arial"/>
          <w:sz w:val="20"/>
        </w:rPr>
      </w:pPr>
      <w:r>
        <w:rPr>
          <w:rFonts w:ascii="Arial" w:hAnsi="Arial"/>
          <w:sz w:val="20"/>
        </w:rPr>
        <w:t>Our NEOs for 2022 are: Mr. Brian L. Roberts, Chairman of the Board and Chief Executive Officer, Mr. Michael J. Cavanagh, Chief Financial Officer during 2022, who is currently our President, and our next three most highly compensated executive officers as of December 31, 2022 (Messrs. David N. Watson and Jeffrey Shell and Ms. Dana Strong).</w:t>
      </w:r>
    </w:p>
    <w:tbl>
      <w:tblPr>
        <w:tblW w:w="10205" w:type="dxa"/>
        <w:jc w:val="left"/>
        <w:tblInd w:w="0" w:type="dxa"/>
        <w:tblCellMar>
          <w:top w:w="0" w:type="dxa"/>
          <w:left w:w="0" w:type="dxa"/>
          <w:bottom w:w="40" w:type="dxa"/>
          <w:right w:w="0" w:type="dxa"/>
        </w:tblCellMar>
      </w:tblPr>
      <w:tblGrid>
        <w:gridCol w:w="1508"/>
        <w:gridCol w:w="120"/>
        <w:gridCol w:w="440"/>
        <w:gridCol w:w="120"/>
        <w:gridCol w:w="762"/>
        <w:gridCol w:w="120"/>
        <w:gridCol w:w="830"/>
        <w:gridCol w:w="120"/>
        <w:gridCol w:w="830"/>
        <w:gridCol w:w="120"/>
        <w:gridCol w:w="1347"/>
        <w:gridCol w:w="120"/>
        <w:gridCol w:w="1347"/>
        <w:gridCol w:w="120"/>
        <w:gridCol w:w="1347"/>
        <w:gridCol w:w="120"/>
        <w:gridCol w:w="834"/>
      </w:tblGrid>
      <w:tr>
        <w:trPr/>
        <w:tc>
          <w:tcPr>
            <w:tcW w:w="1508" w:type="dxa"/>
            <w:tcBorders>
              <w:bottom w:val="single" w:sz="12" w:space="0" w:color="000000"/>
            </w:tcBorders>
            <w:shd w:fill="auto" w:val="clear"/>
            <w:vAlign w:val="center"/>
          </w:tcPr>
          <w:p>
            <w:pPr>
              <w:pStyle w:val="TableContents"/>
              <w:spacing w:before="0" w:after="283"/>
              <w:jc w:val="left"/>
              <w:rPr/>
            </w:pPr>
            <w:r>
              <w:rPr>
                <w:rStyle w:val="StrongEmphasis"/>
                <w:rFonts w:ascii="Arial" w:hAnsi="Arial"/>
                <w:sz w:val="15"/>
              </w:rPr>
              <w:t>NAME AND</w:t>
              <w:br/>
              <w:t>PRINCIPAL POSITION</w:t>
            </w:r>
          </w:p>
        </w:tc>
        <w:tc>
          <w:tcPr>
            <w:tcW w:w="120" w:type="dxa"/>
            <w:tcBorders>
              <w:bottom w:val="single" w:sz="12" w:space="0" w:color="000000"/>
            </w:tcBorders>
            <w:shd w:fill="auto" w:val="clear"/>
            <w:vAlign w:val="center"/>
          </w:tcPr>
          <w:p>
            <w:pPr>
              <w:pStyle w:val="TableContents"/>
              <w:spacing w:before="0" w:after="283"/>
              <w:jc w:val="left"/>
              <w:rPr/>
            </w:pPr>
            <w:r>
              <w:rPr/>
              <w:t>  </w:t>
            </w:r>
          </w:p>
        </w:tc>
        <w:tc>
          <w:tcPr>
            <w:tcW w:w="440" w:type="dxa"/>
            <w:tcBorders>
              <w:bottom w:val="single" w:sz="12" w:space="0" w:color="000000"/>
            </w:tcBorders>
            <w:shd w:fill="auto" w:val="clear"/>
            <w:vAlign w:val="center"/>
          </w:tcPr>
          <w:p>
            <w:pPr>
              <w:pStyle w:val="TableContents"/>
              <w:spacing w:before="0" w:after="283"/>
              <w:jc w:val="center"/>
              <w:rPr/>
            </w:pPr>
            <w:r>
              <w:rPr>
                <w:rStyle w:val="StrongEmphasis"/>
                <w:rFonts w:ascii="Arial" w:hAnsi="Arial"/>
                <w:sz w:val="15"/>
              </w:rPr>
              <w:t>YEAR</w:t>
            </w:r>
          </w:p>
        </w:tc>
        <w:tc>
          <w:tcPr>
            <w:tcW w:w="120" w:type="dxa"/>
            <w:tcBorders>
              <w:bottom w:val="single" w:sz="12" w:space="0" w:color="000000"/>
            </w:tcBorders>
            <w:shd w:fill="auto" w:val="clear"/>
            <w:vAlign w:val="center"/>
          </w:tcPr>
          <w:p>
            <w:pPr>
              <w:pStyle w:val="TableContents"/>
              <w:spacing w:before="0" w:after="283"/>
              <w:jc w:val="center"/>
              <w:rPr/>
            </w:pPr>
            <w:r>
              <w:rPr/>
              <w:t>  </w:t>
            </w:r>
          </w:p>
        </w:tc>
        <w:tc>
          <w:tcPr>
            <w:tcW w:w="762" w:type="dxa"/>
            <w:tcBorders>
              <w:bottom w:val="single" w:sz="12" w:space="0" w:color="000000"/>
            </w:tcBorders>
            <w:shd w:fill="auto" w:val="clear"/>
            <w:vAlign w:val="center"/>
          </w:tcPr>
          <w:p>
            <w:pPr>
              <w:pStyle w:val="TableContents"/>
              <w:spacing w:before="0" w:after="283"/>
              <w:jc w:val="center"/>
              <w:rPr/>
            </w:pPr>
            <w:r>
              <w:rPr>
                <w:rStyle w:val="StrongEmphasis"/>
                <w:rFonts w:ascii="Arial" w:hAnsi="Arial"/>
                <w:sz w:val="15"/>
              </w:rPr>
              <w:t>SALARY</w:t>
            </w:r>
            <w:r>
              <w:rPr>
                <w:rStyle w:val="StrongEmphasis"/>
                <w:rFonts w:ascii="Arial" w:hAnsi="Arial"/>
                <w:position w:val="5"/>
                <w:sz w:val="12"/>
                <w:sz w:val="15"/>
              </w:rPr>
              <w:t>(1)</w:t>
            </w:r>
            <w:r>
              <w:rPr>
                <w:rStyle w:val="StrongEmphasis"/>
                <w:rFonts w:ascii="Arial" w:hAnsi="Arial"/>
                <w:sz w:val="15"/>
              </w:rPr>
              <w:br/>
              <w:t>($)</w:t>
            </w:r>
          </w:p>
        </w:tc>
        <w:tc>
          <w:tcPr>
            <w:tcW w:w="120" w:type="dxa"/>
            <w:tcBorders>
              <w:bottom w:val="single" w:sz="12" w:space="0" w:color="000000"/>
            </w:tcBorders>
            <w:shd w:fill="auto" w:val="clear"/>
            <w:vAlign w:val="center"/>
          </w:tcPr>
          <w:p>
            <w:pPr>
              <w:pStyle w:val="TableContents"/>
              <w:spacing w:before="0" w:after="283"/>
              <w:jc w:val="center"/>
              <w:rPr/>
            </w:pPr>
            <w:r>
              <w:rPr/>
              <w:t>  </w:t>
            </w:r>
          </w:p>
        </w:tc>
        <w:tc>
          <w:tcPr>
            <w:tcW w:w="830" w:type="dxa"/>
            <w:tcBorders>
              <w:bottom w:val="single" w:sz="12" w:space="0" w:color="000000"/>
            </w:tcBorders>
            <w:shd w:fill="auto" w:val="clear"/>
            <w:vAlign w:val="center"/>
          </w:tcPr>
          <w:p>
            <w:pPr>
              <w:pStyle w:val="TableContents"/>
              <w:spacing w:before="0" w:after="283"/>
              <w:jc w:val="center"/>
              <w:rPr/>
            </w:pPr>
            <w:r>
              <w:rPr>
                <w:rStyle w:val="StrongEmphasis"/>
                <w:rFonts w:ascii="Arial" w:hAnsi="Arial"/>
                <w:sz w:val="15"/>
              </w:rPr>
              <w:t>STOCK</w:t>
              <w:br/>
              <w:t>AWARDS</w:t>
            </w:r>
            <w:r>
              <w:rPr>
                <w:rStyle w:val="StrongEmphasis"/>
                <w:rFonts w:ascii="Arial" w:hAnsi="Arial"/>
                <w:position w:val="5"/>
                <w:sz w:val="12"/>
                <w:sz w:val="15"/>
              </w:rPr>
              <w:t>(2)</w:t>
            </w:r>
            <w:r>
              <w:rPr>
                <w:rStyle w:val="StrongEmphasis"/>
                <w:rFonts w:ascii="Arial" w:hAnsi="Arial"/>
                <w:sz w:val="15"/>
              </w:rPr>
              <w:br/>
              <w:t>($)</w:t>
            </w:r>
          </w:p>
        </w:tc>
        <w:tc>
          <w:tcPr>
            <w:tcW w:w="120" w:type="dxa"/>
            <w:tcBorders>
              <w:bottom w:val="single" w:sz="12" w:space="0" w:color="000000"/>
            </w:tcBorders>
            <w:shd w:fill="auto" w:val="clear"/>
            <w:vAlign w:val="center"/>
          </w:tcPr>
          <w:p>
            <w:pPr>
              <w:pStyle w:val="TableContents"/>
              <w:spacing w:before="0" w:after="283"/>
              <w:jc w:val="center"/>
              <w:rPr/>
            </w:pPr>
            <w:r>
              <w:rPr/>
              <w:t>  </w:t>
            </w:r>
          </w:p>
        </w:tc>
        <w:tc>
          <w:tcPr>
            <w:tcW w:w="830" w:type="dxa"/>
            <w:tcBorders>
              <w:bottom w:val="single" w:sz="12" w:space="0" w:color="000000"/>
            </w:tcBorders>
            <w:shd w:fill="auto" w:val="clear"/>
            <w:vAlign w:val="center"/>
          </w:tcPr>
          <w:p>
            <w:pPr>
              <w:pStyle w:val="TableContents"/>
              <w:spacing w:before="0" w:after="283"/>
              <w:jc w:val="center"/>
              <w:rPr/>
            </w:pPr>
            <w:r>
              <w:rPr>
                <w:rStyle w:val="StrongEmphasis"/>
                <w:rFonts w:ascii="Arial" w:hAnsi="Arial"/>
                <w:sz w:val="15"/>
              </w:rPr>
              <w:t xml:space="preserve">OPTION </w:t>
              <w:br/>
              <w:t>AWARDS</w:t>
            </w:r>
            <w:r>
              <w:rPr>
                <w:rStyle w:val="StrongEmphasis"/>
                <w:rFonts w:ascii="Arial" w:hAnsi="Arial"/>
                <w:position w:val="5"/>
                <w:sz w:val="12"/>
                <w:sz w:val="15"/>
              </w:rPr>
              <w:t>(3)</w:t>
            </w:r>
            <w:r>
              <w:rPr>
                <w:rStyle w:val="StrongEmphasis"/>
                <w:rFonts w:ascii="Arial" w:hAnsi="Arial"/>
                <w:sz w:val="15"/>
              </w:rPr>
              <w:br/>
              <w:t>($)</w:t>
            </w:r>
          </w:p>
        </w:tc>
        <w:tc>
          <w:tcPr>
            <w:tcW w:w="120" w:type="dxa"/>
            <w:tcBorders>
              <w:bottom w:val="single" w:sz="12" w:space="0" w:color="000000"/>
            </w:tcBorders>
            <w:shd w:fill="auto" w:val="clear"/>
            <w:vAlign w:val="center"/>
          </w:tcPr>
          <w:p>
            <w:pPr>
              <w:pStyle w:val="TableContents"/>
              <w:spacing w:before="0" w:after="283"/>
              <w:jc w:val="center"/>
              <w:rPr/>
            </w:pPr>
            <w:r>
              <w:rPr/>
              <w:t>  </w:t>
            </w:r>
          </w:p>
        </w:tc>
        <w:tc>
          <w:tcPr>
            <w:tcW w:w="1347" w:type="dxa"/>
            <w:tcBorders>
              <w:bottom w:val="single" w:sz="12" w:space="0" w:color="000000"/>
            </w:tcBorders>
            <w:shd w:fill="auto" w:val="clear"/>
            <w:vAlign w:val="center"/>
          </w:tcPr>
          <w:p>
            <w:pPr>
              <w:pStyle w:val="TableContents"/>
              <w:spacing w:before="0" w:after="283"/>
              <w:jc w:val="center"/>
              <w:rPr/>
            </w:pPr>
            <w:r>
              <w:rPr>
                <w:rStyle w:val="StrongEmphasis"/>
                <w:rFonts w:ascii="Arial" w:hAnsi="Arial"/>
                <w:sz w:val="15"/>
              </w:rPr>
              <w:t>NON-EQUITY</w:t>
              <w:br/>
              <w:t>INCENTIVE PLAN</w:t>
              <w:br/>
              <w:t>COMPENSATION</w:t>
            </w:r>
            <w:r>
              <w:rPr>
                <w:rStyle w:val="StrongEmphasis"/>
                <w:rFonts w:ascii="Arial" w:hAnsi="Arial"/>
                <w:position w:val="5"/>
                <w:sz w:val="12"/>
                <w:sz w:val="15"/>
              </w:rPr>
              <w:t>(4)</w:t>
            </w:r>
            <w:r>
              <w:rPr>
                <w:rStyle w:val="StrongEmphasis"/>
                <w:rFonts w:ascii="Arial" w:hAnsi="Arial"/>
                <w:sz w:val="15"/>
              </w:rPr>
              <w:br/>
              <w:t>($)</w:t>
            </w:r>
          </w:p>
        </w:tc>
        <w:tc>
          <w:tcPr>
            <w:tcW w:w="120" w:type="dxa"/>
            <w:tcBorders>
              <w:bottom w:val="single" w:sz="12" w:space="0" w:color="000000"/>
            </w:tcBorders>
            <w:shd w:fill="auto" w:val="clear"/>
            <w:vAlign w:val="center"/>
          </w:tcPr>
          <w:p>
            <w:pPr>
              <w:pStyle w:val="TableContents"/>
              <w:spacing w:before="0" w:after="283"/>
              <w:jc w:val="center"/>
              <w:rPr/>
            </w:pPr>
            <w:r>
              <w:rPr/>
              <w:t>  </w:t>
            </w:r>
          </w:p>
        </w:tc>
        <w:tc>
          <w:tcPr>
            <w:tcW w:w="1347" w:type="dxa"/>
            <w:tcBorders>
              <w:bottom w:val="single" w:sz="12" w:space="0" w:color="000000"/>
            </w:tcBorders>
            <w:shd w:fill="auto" w:val="clear"/>
            <w:vAlign w:val="center"/>
          </w:tcPr>
          <w:p>
            <w:pPr>
              <w:pStyle w:val="TableContents"/>
              <w:spacing w:before="0" w:after="283"/>
              <w:jc w:val="center"/>
              <w:rPr/>
            </w:pPr>
            <w:r>
              <w:rPr>
                <w:rStyle w:val="StrongEmphasis"/>
                <w:rFonts w:ascii="Arial" w:hAnsi="Arial"/>
                <w:sz w:val="15"/>
              </w:rPr>
              <w:t>CHANGE IN</w:t>
              <w:br/>
              <w:t>PENSION</w:t>
              <w:br/>
              <w:t>VALUE AND</w:t>
              <w:br/>
              <w:t>EARNINGS ON</w:t>
              <w:br/>
              <w:t>NONQUALIFIED</w:t>
              <w:br/>
              <w:t>DEFERRED</w:t>
              <w:br/>
              <w:t>COMPENSATION</w:t>
            </w:r>
            <w:r>
              <w:rPr>
                <w:rStyle w:val="StrongEmphasis"/>
                <w:rFonts w:ascii="Arial" w:hAnsi="Arial"/>
                <w:position w:val="5"/>
                <w:sz w:val="12"/>
                <w:sz w:val="15"/>
              </w:rPr>
              <w:t>(5)</w:t>
            </w:r>
            <w:r>
              <w:rPr>
                <w:rStyle w:val="StrongEmphasis"/>
                <w:rFonts w:ascii="Arial" w:hAnsi="Arial"/>
                <w:sz w:val="15"/>
              </w:rPr>
              <w:br/>
              <w:t>($)</w:t>
            </w:r>
          </w:p>
        </w:tc>
        <w:tc>
          <w:tcPr>
            <w:tcW w:w="120" w:type="dxa"/>
            <w:tcBorders>
              <w:bottom w:val="single" w:sz="12" w:space="0" w:color="000000"/>
            </w:tcBorders>
            <w:shd w:fill="auto" w:val="clear"/>
            <w:vAlign w:val="center"/>
          </w:tcPr>
          <w:p>
            <w:pPr>
              <w:pStyle w:val="TableContents"/>
              <w:spacing w:before="0" w:after="283"/>
              <w:jc w:val="center"/>
              <w:rPr/>
            </w:pPr>
            <w:r>
              <w:rPr/>
              <w:t>  </w:t>
            </w:r>
          </w:p>
        </w:tc>
        <w:tc>
          <w:tcPr>
            <w:tcW w:w="1347" w:type="dxa"/>
            <w:tcBorders>
              <w:bottom w:val="single" w:sz="12" w:space="0" w:color="000000"/>
            </w:tcBorders>
            <w:shd w:fill="auto" w:val="clear"/>
            <w:vAlign w:val="center"/>
          </w:tcPr>
          <w:p>
            <w:pPr>
              <w:pStyle w:val="TableContents"/>
              <w:spacing w:before="0" w:after="283"/>
              <w:jc w:val="center"/>
              <w:rPr/>
            </w:pPr>
            <w:r>
              <w:rPr>
                <w:rStyle w:val="StrongEmphasis"/>
                <w:rFonts w:ascii="Arial" w:hAnsi="Arial"/>
                <w:sz w:val="15"/>
              </w:rPr>
              <w:t>ALL OTHER</w:t>
              <w:br/>
              <w:t>COMPENSATION</w:t>
            </w:r>
            <w:r>
              <w:rPr>
                <w:rStyle w:val="StrongEmphasis"/>
                <w:rFonts w:ascii="Arial" w:hAnsi="Arial"/>
                <w:position w:val="5"/>
                <w:sz w:val="12"/>
                <w:sz w:val="15"/>
              </w:rPr>
              <w:t>(6)</w:t>
            </w:r>
            <w:r>
              <w:rPr>
                <w:rStyle w:val="StrongEmphasis"/>
                <w:rFonts w:ascii="Arial" w:hAnsi="Arial"/>
                <w:sz w:val="15"/>
              </w:rPr>
              <w:br/>
              <w:t>($)</w:t>
            </w:r>
          </w:p>
        </w:tc>
        <w:tc>
          <w:tcPr>
            <w:tcW w:w="120" w:type="dxa"/>
            <w:tcBorders>
              <w:bottom w:val="single" w:sz="12" w:space="0" w:color="000000"/>
            </w:tcBorders>
            <w:shd w:fill="auto" w:val="clear"/>
            <w:vAlign w:val="center"/>
          </w:tcPr>
          <w:p>
            <w:pPr>
              <w:pStyle w:val="TableContents"/>
              <w:spacing w:before="0" w:after="283"/>
              <w:jc w:val="center"/>
              <w:rPr/>
            </w:pPr>
            <w:r>
              <w:rPr/>
              <w:t>  </w:t>
            </w:r>
          </w:p>
        </w:tc>
        <w:tc>
          <w:tcPr>
            <w:tcW w:w="834" w:type="dxa"/>
            <w:tcBorders>
              <w:bottom w:val="single" w:sz="12" w:space="0" w:color="000000"/>
            </w:tcBorders>
            <w:shd w:fill="auto" w:val="clear"/>
            <w:vAlign w:val="center"/>
          </w:tcPr>
          <w:p>
            <w:pPr>
              <w:pStyle w:val="TableContents"/>
              <w:spacing w:before="0" w:after="283"/>
              <w:jc w:val="center"/>
              <w:rPr/>
            </w:pPr>
            <w:r>
              <w:rPr>
                <w:rStyle w:val="StrongEmphasis"/>
                <w:rFonts w:ascii="Arial" w:hAnsi="Arial"/>
                <w:sz w:val="15"/>
              </w:rPr>
              <w:t>TOTAL</w:t>
              <w:br/>
              <w:t>($)</w:t>
            </w:r>
          </w:p>
        </w:tc>
      </w:tr>
      <w:tr>
        <w:trPr/>
        <w:tc>
          <w:tcPr>
            <w:tcW w:w="1508" w:type="dxa"/>
            <w:vMerge w:val="restart"/>
            <w:tcBorders>
              <w:bottom w:val="single" w:sz="8" w:space="0" w:color="000000"/>
            </w:tcBorders>
            <w:shd w:fill="auto" w:val="clear"/>
            <w:vAlign w:val="center"/>
          </w:tcPr>
          <w:p>
            <w:pPr>
              <w:pStyle w:val="TableContents"/>
              <w:spacing w:before="0" w:after="283"/>
              <w:jc w:val="left"/>
              <w:rPr/>
            </w:pPr>
            <w:r>
              <w:rPr>
                <w:rStyle w:val="StrongEmphasis"/>
                <w:rFonts w:ascii="Arial" w:hAnsi="Arial"/>
                <w:sz w:val="15"/>
              </w:rPr>
              <w:t>Brian L. Roberts</w:t>
            </w:r>
            <w:r>
              <w:rPr>
                <w:rFonts w:ascii="Arial" w:hAnsi="Arial"/>
                <w:sz w:val="15"/>
              </w:rPr>
              <w:br/>
              <w:t>Chairman of the Board &amp;</w:t>
              <w:br/>
              <w:t>Chief Executive Officer</w:t>
            </w:r>
          </w:p>
        </w:tc>
        <w:tc>
          <w:tcPr>
            <w:tcW w:w="120" w:type="dxa"/>
            <w:vMerge w:val="restart"/>
            <w:tcBorders>
              <w:bottom w:val="single" w:sz="8" w:space="0" w:color="000000"/>
            </w:tcBorders>
            <w:shd w:fill="auto" w:val="clear"/>
            <w:vAlign w:val="center"/>
          </w:tcPr>
          <w:p>
            <w:pPr>
              <w:pStyle w:val="TableContents"/>
              <w:spacing w:before="0" w:after="283"/>
              <w:rPr>
                <w:sz w:val="4"/>
                <w:szCs w:val="4"/>
              </w:rPr>
            </w:pPr>
            <w:r>
              <w:rPr>
                <w:sz w:val="4"/>
                <w:szCs w:val="4"/>
              </w:rPr>
            </w:r>
          </w:p>
        </w:tc>
        <w:tc>
          <w:tcPr>
            <w:tcW w:w="440"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2022</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762"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2,500,000</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13,383,702</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8,480,021</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347"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7,500,000</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347"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0</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347"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206,127</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34"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32,069,850</w:t>
            </w:r>
          </w:p>
        </w:tc>
      </w:tr>
      <w:tr>
        <w:trPr/>
        <w:tc>
          <w:tcPr>
            <w:tcW w:w="1508" w:type="dxa"/>
            <w:vMerge w:val="continue"/>
            <w:tcBorders>
              <w:bottom w:val="single" w:sz="8" w:space="0" w:color="000000"/>
            </w:tcBorders>
            <w:shd w:fill="auto" w:val="clear"/>
            <w:vAlign w:val="center"/>
          </w:tcPr>
          <w:p>
            <w:pPr>
              <w:pStyle w:val="Normal"/>
              <w:rPr/>
            </w:pPr>
            <w:r>
              <w:rPr/>
            </w:r>
          </w:p>
        </w:tc>
        <w:tc>
          <w:tcPr>
            <w:tcW w:w="120" w:type="dxa"/>
            <w:vMerge w:val="continue"/>
            <w:tcBorders>
              <w:bottom w:val="single" w:sz="8" w:space="0" w:color="000000"/>
            </w:tcBorders>
            <w:shd w:fill="auto" w:val="clear"/>
            <w:vAlign w:val="center"/>
          </w:tcPr>
          <w:p>
            <w:pPr>
              <w:pStyle w:val="Normal"/>
              <w:rPr/>
            </w:pPr>
            <w:r>
              <w:rPr/>
            </w:r>
          </w:p>
        </w:tc>
        <w:tc>
          <w:tcPr>
            <w:tcW w:w="440"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2021</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762"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3,249,415</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13,512,534</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8,475,488</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347"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8,625,586</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347"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1,832</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347"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113,726</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34"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33,978,581</w:t>
            </w:r>
          </w:p>
        </w:tc>
      </w:tr>
      <w:tr>
        <w:trPr/>
        <w:tc>
          <w:tcPr>
            <w:tcW w:w="1508" w:type="dxa"/>
            <w:vMerge w:val="continue"/>
            <w:tcBorders>
              <w:bottom w:val="single" w:sz="8" w:space="0" w:color="000000"/>
            </w:tcBorders>
            <w:shd w:fill="auto" w:val="clear"/>
            <w:vAlign w:val="center"/>
          </w:tcPr>
          <w:p>
            <w:pPr>
              <w:pStyle w:val="Normal"/>
              <w:rPr/>
            </w:pPr>
            <w:r>
              <w:rPr/>
            </w:r>
          </w:p>
        </w:tc>
        <w:tc>
          <w:tcPr>
            <w:tcW w:w="120" w:type="dxa"/>
            <w:vMerge w:val="continue"/>
            <w:tcBorders>
              <w:bottom w:val="single" w:sz="8" w:space="0" w:color="000000"/>
            </w:tcBorders>
            <w:shd w:fill="auto" w:val="clear"/>
            <w:vAlign w:val="center"/>
          </w:tcPr>
          <w:p>
            <w:pPr>
              <w:pStyle w:val="Normal"/>
              <w:rPr/>
            </w:pPr>
            <w:r>
              <w:rPr/>
            </w:r>
          </w:p>
        </w:tc>
        <w:tc>
          <w:tcPr>
            <w:tcW w:w="440"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2020</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762"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3,439,245</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10,585,278</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10,600,149</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347"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7,738,302</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347"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150,134</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347"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200,159</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34"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32,713,267</w:t>
            </w:r>
          </w:p>
        </w:tc>
      </w:tr>
      <w:tr>
        <w:trPr/>
        <w:tc>
          <w:tcPr>
            <w:tcW w:w="1508" w:type="dxa"/>
            <w:vMerge w:val="restart"/>
            <w:tcBorders>
              <w:bottom w:val="single" w:sz="8" w:space="0" w:color="000000"/>
            </w:tcBorders>
            <w:shd w:fill="auto" w:val="clear"/>
            <w:vAlign w:val="center"/>
          </w:tcPr>
          <w:p>
            <w:pPr>
              <w:pStyle w:val="TableContents"/>
              <w:spacing w:before="0" w:after="283"/>
              <w:jc w:val="left"/>
              <w:rPr/>
            </w:pPr>
            <w:r>
              <w:rPr>
                <w:rStyle w:val="StrongEmphasis"/>
                <w:rFonts w:ascii="Arial" w:hAnsi="Arial"/>
                <w:sz w:val="15"/>
              </w:rPr>
              <w:t>Michael J. Cavanagh</w:t>
            </w:r>
            <w:r>
              <w:rPr>
                <w:rFonts w:ascii="Arial" w:hAnsi="Arial"/>
                <w:sz w:val="15"/>
              </w:rPr>
              <w:br/>
              <w:t>President &amp; Chief</w:t>
              <w:br/>
              <w:t>Financial Officer</w:t>
            </w:r>
          </w:p>
        </w:tc>
        <w:tc>
          <w:tcPr>
            <w:tcW w:w="120" w:type="dxa"/>
            <w:vMerge w:val="restart"/>
            <w:tcBorders>
              <w:bottom w:val="single" w:sz="8" w:space="0" w:color="000000"/>
            </w:tcBorders>
            <w:shd w:fill="auto" w:val="clear"/>
            <w:vAlign w:val="center"/>
          </w:tcPr>
          <w:p>
            <w:pPr>
              <w:pStyle w:val="TableContents"/>
              <w:spacing w:before="0" w:after="283"/>
              <w:rPr>
                <w:sz w:val="4"/>
                <w:szCs w:val="4"/>
              </w:rPr>
            </w:pPr>
            <w:r>
              <w:rPr>
                <w:sz w:val="4"/>
                <w:szCs w:val="4"/>
              </w:rPr>
            </w:r>
          </w:p>
        </w:tc>
        <w:tc>
          <w:tcPr>
            <w:tcW w:w="440"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2022</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762"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2,300,000</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9,974,568</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21,120,030</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347"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6,900,000</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347"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0</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347"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187,124</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34"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40,481,722</w:t>
            </w:r>
          </w:p>
        </w:tc>
      </w:tr>
      <w:tr>
        <w:trPr/>
        <w:tc>
          <w:tcPr>
            <w:tcW w:w="1508" w:type="dxa"/>
            <w:vMerge w:val="continue"/>
            <w:tcBorders>
              <w:bottom w:val="single" w:sz="8" w:space="0" w:color="000000"/>
            </w:tcBorders>
            <w:shd w:fill="auto" w:val="clear"/>
            <w:vAlign w:val="center"/>
          </w:tcPr>
          <w:p>
            <w:pPr>
              <w:pStyle w:val="Normal"/>
              <w:rPr/>
            </w:pPr>
            <w:r>
              <w:rPr/>
            </w:r>
          </w:p>
        </w:tc>
        <w:tc>
          <w:tcPr>
            <w:tcW w:w="120" w:type="dxa"/>
            <w:vMerge w:val="continue"/>
            <w:tcBorders>
              <w:bottom w:val="single" w:sz="8" w:space="0" w:color="000000"/>
            </w:tcBorders>
            <w:shd w:fill="auto" w:val="clear"/>
            <w:vAlign w:val="center"/>
          </w:tcPr>
          <w:p>
            <w:pPr>
              <w:pStyle w:val="Normal"/>
              <w:rPr/>
            </w:pPr>
            <w:r>
              <w:rPr/>
            </w:r>
          </w:p>
        </w:tc>
        <w:tc>
          <w:tcPr>
            <w:tcW w:w="440"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2021</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762"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2,300,000</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10,072,244</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6,315,164</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347"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8,625,001</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347"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0</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347"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44,587</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34"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27,356,996</w:t>
            </w:r>
          </w:p>
        </w:tc>
      </w:tr>
      <w:tr>
        <w:trPr/>
        <w:tc>
          <w:tcPr>
            <w:tcW w:w="1508" w:type="dxa"/>
            <w:vMerge w:val="continue"/>
            <w:tcBorders>
              <w:bottom w:val="single" w:sz="8" w:space="0" w:color="000000"/>
            </w:tcBorders>
            <w:shd w:fill="auto" w:val="clear"/>
            <w:vAlign w:val="center"/>
          </w:tcPr>
          <w:p>
            <w:pPr>
              <w:pStyle w:val="Normal"/>
              <w:rPr/>
            </w:pPr>
            <w:r>
              <w:rPr/>
            </w:r>
          </w:p>
        </w:tc>
        <w:tc>
          <w:tcPr>
            <w:tcW w:w="120" w:type="dxa"/>
            <w:vMerge w:val="continue"/>
            <w:tcBorders>
              <w:bottom w:val="single" w:sz="8" w:space="0" w:color="000000"/>
            </w:tcBorders>
            <w:shd w:fill="auto" w:val="clear"/>
            <w:vAlign w:val="center"/>
          </w:tcPr>
          <w:p>
            <w:pPr>
              <w:pStyle w:val="Normal"/>
              <w:rPr/>
            </w:pPr>
            <w:r>
              <w:rPr/>
            </w:r>
          </w:p>
        </w:tc>
        <w:tc>
          <w:tcPr>
            <w:tcW w:w="440"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2020</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762"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2,388,462</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7,039,868</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7,050,441</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347"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5,374,039</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347"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3,335,892</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347"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62,088</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34"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25,250,790</w:t>
            </w:r>
          </w:p>
        </w:tc>
      </w:tr>
      <w:tr>
        <w:trPr/>
        <w:tc>
          <w:tcPr>
            <w:tcW w:w="1508" w:type="dxa"/>
            <w:vMerge w:val="restart"/>
            <w:tcBorders>
              <w:bottom w:val="single" w:sz="8" w:space="0" w:color="000000"/>
            </w:tcBorders>
            <w:shd w:fill="auto" w:val="clear"/>
            <w:vAlign w:val="center"/>
          </w:tcPr>
          <w:p>
            <w:pPr>
              <w:pStyle w:val="TableContents"/>
              <w:spacing w:before="0" w:after="283"/>
              <w:jc w:val="left"/>
              <w:rPr/>
            </w:pPr>
            <w:r>
              <w:rPr>
                <w:rStyle w:val="StrongEmphasis"/>
                <w:rFonts w:ascii="Arial" w:hAnsi="Arial"/>
                <w:sz w:val="15"/>
              </w:rPr>
              <w:t>David N. Watson</w:t>
            </w:r>
            <w:r>
              <w:rPr>
                <w:rFonts w:ascii="Arial" w:hAnsi="Arial"/>
                <w:sz w:val="15"/>
              </w:rPr>
              <w:br/>
              <w:t>CEO of Comcast Cable</w:t>
            </w:r>
          </w:p>
        </w:tc>
        <w:tc>
          <w:tcPr>
            <w:tcW w:w="120" w:type="dxa"/>
            <w:vMerge w:val="restart"/>
            <w:tcBorders>
              <w:bottom w:val="single" w:sz="8" w:space="0" w:color="000000"/>
            </w:tcBorders>
            <w:shd w:fill="auto" w:val="clear"/>
            <w:vAlign w:val="center"/>
          </w:tcPr>
          <w:p>
            <w:pPr>
              <w:pStyle w:val="TableContents"/>
              <w:spacing w:before="0" w:after="283"/>
              <w:rPr>
                <w:sz w:val="4"/>
                <w:szCs w:val="4"/>
              </w:rPr>
            </w:pPr>
            <w:r>
              <w:rPr>
                <w:sz w:val="4"/>
                <w:szCs w:val="4"/>
              </w:rPr>
            </w:r>
          </w:p>
        </w:tc>
        <w:tc>
          <w:tcPr>
            <w:tcW w:w="440"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2022</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762"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2,300,000</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7,717,837</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4,890,035</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347"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6,900,000</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347"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0</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347"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136,534</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34"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21,944,406</w:t>
            </w:r>
          </w:p>
        </w:tc>
      </w:tr>
      <w:tr>
        <w:trPr/>
        <w:tc>
          <w:tcPr>
            <w:tcW w:w="1508" w:type="dxa"/>
            <w:vMerge w:val="continue"/>
            <w:tcBorders>
              <w:bottom w:val="single" w:sz="8" w:space="0" w:color="000000"/>
            </w:tcBorders>
            <w:shd w:fill="auto" w:val="clear"/>
            <w:vAlign w:val="center"/>
          </w:tcPr>
          <w:p>
            <w:pPr>
              <w:pStyle w:val="Normal"/>
              <w:rPr/>
            </w:pPr>
            <w:r>
              <w:rPr/>
            </w:r>
          </w:p>
        </w:tc>
        <w:tc>
          <w:tcPr>
            <w:tcW w:w="120" w:type="dxa"/>
            <w:vMerge w:val="continue"/>
            <w:tcBorders>
              <w:bottom w:val="single" w:sz="8" w:space="0" w:color="000000"/>
            </w:tcBorders>
            <w:shd w:fill="auto" w:val="clear"/>
            <w:vAlign w:val="center"/>
          </w:tcPr>
          <w:p>
            <w:pPr>
              <w:pStyle w:val="Normal"/>
              <w:rPr/>
            </w:pPr>
            <w:r>
              <w:rPr/>
            </w:r>
          </w:p>
        </w:tc>
        <w:tc>
          <w:tcPr>
            <w:tcW w:w="440"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2021</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762"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2,248,077</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6,695,556</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4,195,328</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347"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8,969,828</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347"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565,527</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347"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57,625</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34"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22,731,941</w:t>
            </w:r>
          </w:p>
        </w:tc>
      </w:tr>
      <w:tr>
        <w:trPr/>
        <w:tc>
          <w:tcPr>
            <w:tcW w:w="1508" w:type="dxa"/>
            <w:vMerge w:val="continue"/>
            <w:tcBorders>
              <w:bottom w:val="single" w:sz="8" w:space="0" w:color="000000"/>
            </w:tcBorders>
            <w:shd w:fill="auto" w:val="clear"/>
            <w:vAlign w:val="center"/>
          </w:tcPr>
          <w:p>
            <w:pPr>
              <w:pStyle w:val="Normal"/>
              <w:rPr/>
            </w:pPr>
            <w:r>
              <w:rPr/>
            </w:r>
          </w:p>
        </w:tc>
        <w:tc>
          <w:tcPr>
            <w:tcW w:w="120" w:type="dxa"/>
            <w:vMerge w:val="continue"/>
            <w:tcBorders>
              <w:bottom w:val="single" w:sz="8" w:space="0" w:color="000000"/>
            </w:tcBorders>
            <w:shd w:fill="auto" w:val="clear"/>
            <w:vAlign w:val="center"/>
          </w:tcPr>
          <w:p>
            <w:pPr>
              <w:pStyle w:val="Normal"/>
              <w:rPr/>
            </w:pPr>
            <w:r>
              <w:rPr/>
            </w:r>
          </w:p>
        </w:tc>
        <w:tc>
          <w:tcPr>
            <w:tcW w:w="440"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2020</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762"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2,039,794</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4,195,048</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4,199,443</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347"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5,943,952</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347"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3,285,243</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347"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25,651</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34"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19,689,131</w:t>
            </w:r>
          </w:p>
        </w:tc>
      </w:tr>
      <w:tr>
        <w:trPr/>
        <w:tc>
          <w:tcPr>
            <w:tcW w:w="1508" w:type="dxa"/>
            <w:vMerge w:val="restart"/>
            <w:tcBorders>
              <w:bottom w:val="single" w:sz="8" w:space="0" w:color="000000"/>
            </w:tcBorders>
            <w:shd w:fill="auto" w:val="clear"/>
            <w:vAlign w:val="center"/>
          </w:tcPr>
          <w:p>
            <w:pPr>
              <w:pStyle w:val="TableContents"/>
              <w:spacing w:before="0" w:after="283"/>
              <w:jc w:val="left"/>
              <w:rPr/>
            </w:pPr>
            <w:r>
              <w:rPr>
                <w:rStyle w:val="StrongEmphasis"/>
                <w:rFonts w:ascii="Arial" w:hAnsi="Arial"/>
                <w:sz w:val="15"/>
              </w:rPr>
              <w:t>Jeffrey Shell</w:t>
            </w:r>
            <w:r>
              <w:rPr>
                <w:rStyle w:val="StrongEmphasis"/>
                <w:rFonts w:ascii="Arial" w:hAnsi="Arial"/>
                <w:position w:val="5"/>
                <w:sz w:val="12"/>
                <w:sz w:val="15"/>
              </w:rPr>
              <w:t>(7)</w:t>
            </w:r>
            <w:r>
              <w:rPr>
                <w:rFonts w:ascii="Arial" w:hAnsi="Arial"/>
                <w:sz w:val="15"/>
              </w:rPr>
              <w:br/>
              <w:t>Former CEO of NBCUniversal</w:t>
            </w:r>
          </w:p>
        </w:tc>
        <w:tc>
          <w:tcPr>
            <w:tcW w:w="120" w:type="dxa"/>
            <w:vMerge w:val="restart"/>
            <w:tcBorders>
              <w:bottom w:val="single" w:sz="8" w:space="0" w:color="000000"/>
            </w:tcBorders>
            <w:shd w:fill="auto" w:val="clear"/>
            <w:vAlign w:val="center"/>
          </w:tcPr>
          <w:p>
            <w:pPr>
              <w:pStyle w:val="TableContents"/>
              <w:spacing w:before="0" w:after="283"/>
              <w:rPr>
                <w:sz w:val="4"/>
                <w:szCs w:val="4"/>
              </w:rPr>
            </w:pPr>
            <w:r>
              <w:rPr>
                <w:sz w:val="4"/>
                <w:szCs w:val="4"/>
              </w:rPr>
            </w:r>
          </w:p>
        </w:tc>
        <w:tc>
          <w:tcPr>
            <w:tcW w:w="440"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2022</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762"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2,500,000</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6,613,023</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4,190,036</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347"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7,500,000</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347"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0</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347"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215,130</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34"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21,018,189</w:t>
            </w:r>
          </w:p>
        </w:tc>
      </w:tr>
      <w:tr>
        <w:trPr/>
        <w:tc>
          <w:tcPr>
            <w:tcW w:w="1508" w:type="dxa"/>
            <w:vMerge w:val="continue"/>
            <w:tcBorders>
              <w:bottom w:val="single" w:sz="8" w:space="0" w:color="000000"/>
            </w:tcBorders>
            <w:shd w:fill="auto" w:val="clear"/>
            <w:vAlign w:val="center"/>
          </w:tcPr>
          <w:p>
            <w:pPr>
              <w:pStyle w:val="Normal"/>
              <w:rPr/>
            </w:pPr>
            <w:r>
              <w:rPr/>
            </w:r>
          </w:p>
        </w:tc>
        <w:tc>
          <w:tcPr>
            <w:tcW w:w="120" w:type="dxa"/>
            <w:vMerge w:val="continue"/>
            <w:tcBorders>
              <w:bottom w:val="single" w:sz="8" w:space="0" w:color="000000"/>
            </w:tcBorders>
            <w:shd w:fill="auto" w:val="clear"/>
            <w:vAlign w:val="center"/>
          </w:tcPr>
          <w:p>
            <w:pPr>
              <w:pStyle w:val="Normal"/>
              <w:rPr/>
            </w:pPr>
            <w:r>
              <w:rPr/>
            </w:r>
          </w:p>
        </w:tc>
        <w:tc>
          <w:tcPr>
            <w:tcW w:w="440"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2021</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762"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2,500,000</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5,481,336</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3,438,588</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347"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9,975,000</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347"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50,907</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347"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114,104</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34"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21,559,935</w:t>
            </w:r>
          </w:p>
        </w:tc>
      </w:tr>
      <w:tr>
        <w:trPr/>
        <w:tc>
          <w:tcPr>
            <w:tcW w:w="1508" w:type="dxa"/>
            <w:vMerge w:val="continue"/>
            <w:tcBorders>
              <w:bottom w:val="single" w:sz="8" w:space="0" w:color="000000"/>
            </w:tcBorders>
            <w:shd w:fill="auto" w:val="clear"/>
            <w:vAlign w:val="center"/>
          </w:tcPr>
          <w:p>
            <w:pPr>
              <w:pStyle w:val="Normal"/>
              <w:rPr/>
            </w:pPr>
            <w:r>
              <w:rPr/>
            </w:r>
          </w:p>
        </w:tc>
        <w:tc>
          <w:tcPr>
            <w:tcW w:w="120" w:type="dxa"/>
            <w:vMerge w:val="continue"/>
            <w:tcBorders>
              <w:bottom w:val="single" w:sz="8" w:space="0" w:color="000000"/>
            </w:tcBorders>
            <w:shd w:fill="auto" w:val="clear"/>
            <w:vAlign w:val="center"/>
          </w:tcPr>
          <w:p>
            <w:pPr>
              <w:pStyle w:val="Normal"/>
              <w:rPr/>
            </w:pPr>
            <w:r>
              <w:rPr/>
            </w:r>
          </w:p>
        </w:tc>
        <w:tc>
          <w:tcPr>
            <w:tcW w:w="440"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2020</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762"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2,614,534</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3,744,972</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3,750,179</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347"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5,882,702</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347"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545,769</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347"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10,000</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34"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16,548,156</w:t>
            </w:r>
          </w:p>
        </w:tc>
      </w:tr>
      <w:tr>
        <w:trPr/>
        <w:tc>
          <w:tcPr>
            <w:tcW w:w="1508" w:type="dxa"/>
            <w:vMerge w:val="restart"/>
            <w:tcBorders>
              <w:bottom w:val="single" w:sz="8" w:space="0" w:color="000000"/>
            </w:tcBorders>
            <w:shd w:fill="auto" w:val="clear"/>
            <w:vAlign w:val="center"/>
          </w:tcPr>
          <w:p>
            <w:pPr>
              <w:pStyle w:val="TableContents"/>
              <w:spacing w:before="0" w:after="283"/>
              <w:jc w:val="left"/>
              <w:rPr/>
            </w:pPr>
            <w:r>
              <w:rPr>
                <w:rStyle w:val="StrongEmphasis"/>
                <w:rFonts w:ascii="Arial" w:hAnsi="Arial"/>
                <w:sz w:val="15"/>
              </w:rPr>
              <w:t>Dana Strong</w:t>
            </w:r>
            <w:r>
              <w:rPr>
                <w:rStyle w:val="StrongEmphasis"/>
                <w:rFonts w:ascii="Arial" w:hAnsi="Arial"/>
                <w:position w:val="5"/>
                <w:sz w:val="12"/>
                <w:sz w:val="15"/>
              </w:rPr>
              <w:t>(8)</w:t>
            </w:r>
            <w:r>
              <w:rPr>
                <w:rFonts w:ascii="Arial" w:hAnsi="Arial"/>
                <w:sz w:val="15"/>
              </w:rPr>
              <w:br/>
              <w:t>CEO of Sky</w:t>
            </w:r>
          </w:p>
        </w:tc>
        <w:tc>
          <w:tcPr>
            <w:tcW w:w="120" w:type="dxa"/>
            <w:vMerge w:val="restart"/>
            <w:tcBorders>
              <w:bottom w:val="single" w:sz="8" w:space="0" w:color="000000"/>
            </w:tcBorders>
            <w:shd w:fill="auto" w:val="clear"/>
            <w:vAlign w:val="center"/>
          </w:tcPr>
          <w:p>
            <w:pPr>
              <w:pStyle w:val="TableContents"/>
              <w:spacing w:before="0" w:after="283"/>
              <w:rPr>
                <w:sz w:val="4"/>
                <w:szCs w:val="4"/>
              </w:rPr>
            </w:pPr>
            <w:r>
              <w:rPr>
                <w:sz w:val="4"/>
                <w:szCs w:val="4"/>
              </w:rPr>
            </w:r>
          </w:p>
        </w:tc>
        <w:tc>
          <w:tcPr>
            <w:tcW w:w="440"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2022</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762"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1,935,537</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4,308,703</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2,730,043</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347"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6,250,000</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347"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0</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347"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20,400</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34"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15,244,683</w:t>
            </w:r>
          </w:p>
        </w:tc>
      </w:tr>
      <w:tr>
        <w:trPr/>
        <w:tc>
          <w:tcPr>
            <w:tcW w:w="1508" w:type="dxa"/>
            <w:vMerge w:val="continue"/>
            <w:tcBorders>
              <w:bottom w:val="single" w:sz="8" w:space="0" w:color="000000"/>
            </w:tcBorders>
            <w:shd w:fill="auto" w:val="clear"/>
            <w:vAlign w:val="center"/>
          </w:tcPr>
          <w:p>
            <w:pPr>
              <w:pStyle w:val="Normal"/>
              <w:rPr/>
            </w:pPr>
            <w:r>
              <w:rPr/>
            </w:r>
          </w:p>
        </w:tc>
        <w:tc>
          <w:tcPr>
            <w:tcW w:w="120" w:type="dxa"/>
            <w:vMerge w:val="continue"/>
            <w:tcBorders>
              <w:bottom w:val="single" w:sz="8" w:space="0" w:color="000000"/>
            </w:tcBorders>
            <w:shd w:fill="auto" w:val="clear"/>
            <w:vAlign w:val="center"/>
          </w:tcPr>
          <w:p>
            <w:pPr>
              <w:pStyle w:val="Normal"/>
              <w:rPr/>
            </w:pPr>
            <w:r>
              <w:rPr/>
            </w:r>
          </w:p>
        </w:tc>
        <w:tc>
          <w:tcPr>
            <w:tcW w:w="440"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2021</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762"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2,080,679</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3,347,778</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2,097,664</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347"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8,247,836</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347"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23,974</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347"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174,091</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34"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15,972,022</w:t>
            </w:r>
          </w:p>
        </w:tc>
      </w:tr>
    </w:tbl>
    <w:tbl>
      <w:tblPr>
        <w:tblW w:w="10205" w:type="dxa"/>
        <w:jc w:val="left"/>
        <w:tblInd w:w="0" w:type="dxa"/>
        <w:tblCellMar>
          <w:top w:w="0" w:type="dxa"/>
          <w:left w:w="0" w:type="dxa"/>
          <w:bottom w:w="0" w:type="dxa"/>
          <w:right w:w="0" w:type="dxa"/>
        </w:tblCellMar>
      </w:tblPr>
      <w:tblGrid>
        <w:gridCol w:w="128"/>
        <w:gridCol w:w="10077"/>
      </w:tblGrid>
      <w:tr>
        <w:trPr/>
        <w:tc>
          <w:tcPr>
            <w:tcW w:w="128"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(1)</w:t>
            </w:r>
          </w:p>
        </w:tc>
        <w:tc>
          <w:tcPr>
            <w:tcW w:w="10077" w:type="dxa"/>
            <w:tcBorders/>
            <w:shd w:fill="auto" w:val="clear"/>
            <w:vAlign w:val="center"/>
          </w:tcPr>
          <w:p>
            <w:pPr>
              <w:pStyle w:val="TableContents"/>
              <w:spacing w:before="0" w:after="283"/>
              <w:jc w:val="left"/>
              <w:rPr>
                <w:rFonts w:ascii="Arial" w:hAnsi="Arial"/>
                <w:sz w:val="15"/>
              </w:rPr>
            </w:pPr>
            <w:r>
              <w:rPr>
                <w:rFonts w:ascii="Arial" w:hAnsi="Arial"/>
                <w:sz w:val="15"/>
              </w:rPr>
              <w:t>Salary amounts for 2020 included an extra bi-weekly pay period as compared to 2022 and 2021.</w:t>
            </w:r>
          </w:p>
        </w:tc>
      </w:tr>
      <w:tr>
        <w:trPr/>
        <w:tc>
          <w:tcPr>
            <w:tcW w:w="128"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(2)</w:t>
            </w:r>
          </w:p>
        </w:tc>
        <w:tc>
          <w:tcPr>
            <w:tcW w:w="10077" w:type="dxa"/>
            <w:tcBorders/>
            <w:shd w:fill="auto" w:val="clear"/>
            <w:vAlign w:val="center"/>
          </w:tcPr>
          <w:p>
            <w:pPr>
              <w:pStyle w:val="TableContents"/>
              <w:spacing w:before="0" w:after="283"/>
              <w:jc w:val="left"/>
              <w:rPr>
                <w:rFonts w:ascii="Arial" w:hAnsi="Arial"/>
                <w:sz w:val="15"/>
              </w:rPr>
            </w:pPr>
            <w:r>
              <w:rPr>
                <w:rFonts w:ascii="Arial" w:hAnsi="Arial"/>
                <w:sz w:val="15"/>
              </w:rPr>
              <w:t>Amounts represent the aggregate grant date fair value of PSUs granted to the NEOs in accordance with Financial Accounting Standards Board Accounting Standards Codification Topic 718, Compensation – Stock Compensation (“FASB ASC Topic 718”), which do not correspond to the actual values that may be realized by the NEOs or to the values approved by the CHC Committee. PSUs granted in 2022 and 2021 were calculated using a Monte Carlo simulation model, determined based on the probable outcome of the performance condition as of the grant date. The valuation assumptions for the PSUs granted in March 2022 were as follows: a term of 2.84 years, an expected volatility of 28.87%, an expected peer median volatility of 32.35%, a correlation of .7121, a peer median correlation of .6596 and an interest rate of 1.44%. PSUs granted in 2020 were determined by multiplying the Class A common stock closing price on the date of grant by the number of shares subject to the grant, taking into account the probable outcome of the performance conditions as of the date of grant and excluding the effect of estimated forfeitures in accordance with SEC rules. Amounts were also discounted to consider that dividend equivalents that accrue during the vesting period are not paid out until the underlying shares vest. The following are the values of the PSUs granted in 2022 as of their grant date assuming attainment of the maximum level of performance: Mr. Roberts ($33,459,255), Mr. Cavanagh ($24,936,394), Mr. Watson ($19,294,593), Mr. Shell ($16,532,533) and Ms. Strong ($10,771,732). See also “Compensation Discussion and Analysis – Compensation Decisions – Equity-Based Compensation” for the target PSU values that the CHC Committee approved for 2022, which are lower than the amounts required to be reported in this table.</w:t>
            </w:r>
          </w:p>
        </w:tc>
      </w:tr>
      <w:tr>
        <w:trPr/>
        <w:tc>
          <w:tcPr>
            <w:tcW w:w="128"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(3)</w:t>
            </w:r>
          </w:p>
        </w:tc>
        <w:tc>
          <w:tcPr>
            <w:tcW w:w="10077" w:type="dxa"/>
            <w:tcBorders/>
            <w:shd w:fill="auto" w:val="clear"/>
            <w:vAlign w:val="center"/>
          </w:tcPr>
          <w:p>
            <w:pPr>
              <w:pStyle w:val="TableContents"/>
              <w:spacing w:before="0" w:after="283"/>
              <w:jc w:val="left"/>
              <w:rPr>
                <w:rFonts w:ascii="Arial" w:hAnsi="Arial"/>
                <w:sz w:val="15"/>
              </w:rPr>
            </w:pPr>
            <w:r>
              <w:rPr>
                <w:rFonts w:ascii="Arial" w:hAnsi="Arial"/>
                <w:sz w:val="15"/>
              </w:rPr>
              <w:t>Amounts represent the aggregate grant date fair value of stock options granted to the NEOs in accordance with FASB ASC Topic 718. Under SEC rules, the amounts shown exclude the impact of estimated forfeitures. These amounts, which do not correspond to the actual values that may be realized by the NEOs, were calculated using the Black-Scholes option pricing model, based upon the following valuation assumptions for options granted in March 2022 to our NEOs for their annual option awards: an expected volatility of 24.50%, an expected term to exercise of 5.88 years, an interest rate of 1.62% and a dividend yield of 2.33%. The grant date fair value for the performance stock option granted to Mr. Cavanagh on December 30, 2022 was also calculated using the Black-Scholes option pricing model, adjusted for the award’s post-exercise share sale restriction. The following valuation assumptions applied: an expected volatility of 27.75%, an expected term to exercise of 7.54 years, an interest rate of 3.91% and a dividend yield of 3.09%. For more information on the performance stock option, please see ““Equity-Based Incentive Compensation – Special Performance-Based Stock Option” above. For information on valuation assumptions with respect to grants made before 2022, refer to the footnotes in the “Summary Compensation Table” in our definitive proxy statements filed with the SEC in 2020 and 2021. See the “Grants of Plan-Based Awards” table below for additional information on options granted in 2022.</w:t>
            </w:r>
          </w:p>
        </w:tc>
      </w:tr>
    </w:tbl>
    <w:p>
      <w:pPr>
        <w:pStyle w:val="TextBody"/>
        <w:spacing w:before="0" w:after="0"/>
        <w:rPr/>
      </w:pPr>
      <w:r>
        <w:rPr/>
      </w:r>
    </w:p>
    <w:tbl>
      <w:tblPr>
        <w:tblW w:w="200" w:type="dxa"/>
        <w:jc w:val="left"/>
        <w:tblInd w:w="0" w:type="dxa"/>
        <w:tblCellMar>
          <w:top w:w="0" w:type="dxa"/>
          <w:left w:w="0" w:type="dxa"/>
          <w:bottom w:w="0" w:type="dxa"/>
          <w:right w:w="0" w:type="dxa"/>
        </w:tblCellMar>
      </w:tblPr>
      <w:tblGrid>
        <w:gridCol w:w="200"/>
      </w:tblGrid>
      <w:tr>
        <w:trPr/>
        <w:tc>
          <w:tcPr>
            <w:tcW w:w="200" w:type="dxa"/>
            <w:tcBorders/>
            <w:shd w:fill="auto" w:val="clear"/>
            <w:vAlign w:val="center"/>
          </w:tcPr>
          <w:p>
            <w:pPr>
              <w:pStyle w:val="TableContents"/>
              <w:spacing w:before="0" w:after="283"/>
              <w:jc w:val="left"/>
              <w:rPr/>
            </w:pPr>
            <w:r>
              <w:rPr>
                <w:rStyle w:val="StrongEmphasis"/>
                <w:rFonts w:ascii="Arial" w:hAnsi="Arial"/>
                <w:sz w:val="15"/>
              </w:rPr>
              <w:t>54</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10205" w:type="dxa"/>
        <w:jc w:val="left"/>
        <w:tblInd w:w="0" w:type="dxa"/>
        <w:tblCellMar>
          <w:top w:w="0" w:type="dxa"/>
          <w:left w:w="0" w:type="dxa"/>
          <w:bottom w:w="0" w:type="dxa"/>
          <w:right w:w="0" w:type="dxa"/>
        </w:tblCellMar>
      </w:tblPr>
      <w:tblGrid>
        <w:gridCol w:w="129"/>
        <w:gridCol w:w="10076"/>
      </w:tblGrid>
      <w:tr>
        <w:trPr/>
        <w:tc>
          <w:tcPr>
            <w:tcW w:w="129"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(4)</w:t>
            </w:r>
          </w:p>
        </w:tc>
        <w:tc>
          <w:tcPr>
            <w:tcW w:w="10076" w:type="dxa"/>
            <w:tcBorders/>
            <w:shd w:fill="auto" w:val="clear"/>
            <w:vAlign w:val="center"/>
          </w:tcPr>
          <w:p>
            <w:pPr>
              <w:pStyle w:val="TableContents"/>
              <w:spacing w:before="0" w:after="283"/>
              <w:jc w:val="left"/>
              <w:rPr>
                <w:rFonts w:ascii="Arial" w:hAnsi="Arial"/>
                <w:sz w:val="15"/>
              </w:rPr>
            </w:pPr>
            <w:r>
              <w:rPr>
                <w:rFonts w:ascii="Arial" w:hAnsi="Arial"/>
                <w:sz w:val="15"/>
              </w:rPr>
              <w:t>Amounts represent annual performance-based bonuses. See the “Grants of Plan-Based Awards” table below and “Compensation Discussion and Analysis – Compensation Decisions – Annual Cash Bonus” above for additional information on these bonuses and the achievement of specified metrics in 2022.</w:t>
            </w:r>
          </w:p>
        </w:tc>
      </w:tr>
      <w:tr>
        <w:trPr/>
        <w:tc>
          <w:tcPr>
            <w:tcW w:w="129"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(5)</w:t>
            </w:r>
          </w:p>
        </w:tc>
        <w:tc>
          <w:tcPr>
            <w:tcW w:w="10076" w:type="dxa"/>
            <w:tcBorders/>
            <w:shd w:fill="auto" w:val="clear"/>
            <w:vAlign w:val="center"/>
          </w:tcPr>
          <w:p>
            <w:pPr>
              <w:pStyle w:val="TableContents"/>
              <w:spacing w:before="0" w:after="283"/>
              <w:jc w:val="left"/>
              <w:rPr>
                <w:rFonts w:ascii="Arial" w:hAnsi="Arial"/>
                <w:sz w:val="15"/>
              </w:rPr>
            </w:pPr>
            <w:r>
              <w:rPr>
                <w:rFonts w:ascii="Arial" w:hAnsi="Arial"/>
                <w:sz w:val="15"/>
              </w:rPr>
              <w:t>Amounts represent the dollar value of interest earned on compensation deferred in “income funds” under our deferred compensation plans in excess of 120% of the long-term applicable federal rate. Effective March 2021, NEOs were prohibited from deferring compensation into the income fund and no longer earn interest above the applicable federal rate. See “Nonqualified Deferred Compensation in and as of Fiscal Year-End” below.</w:t>
            </w:r>
          </w:p>
        </w:tc>
      </w:tr>
      <w:tr>
        <w:trPr/>
        <w:tc>
          <w:tcPr>
            <w:tcW w:w="129"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(6)</w:t>
            </w:r>
          </w:p>
        </w:tc>
        <w:tc>
          <w:tcPr>
            <w:tcW w:w="10076" w:type="dxa"/>
            <w:tcBorders/>
            <w:shd w:fill="auto" w:val="clear"/>
            <w:vAlign w:val="center"/>
          </w:tcPr>
          <w:p>
            <w:pPr>
              <w:pStyle w:val="TableContents"/>
              <w:spacing w:before="0" w:after="283"/>
              <w:jc w:val="left"/>
              <w:rPr>
                <w:rFonts w:ascii="Arial" w:hAnsi="Arial"/>
                <w:sz w:val="15"/>
              </w:rPr>
            </w:pPr>
            <w:r>
              <w:rPr>
                <w:rFonts w:ascii="Arial" w:hAnsi="Arial"/>
                <w:sz w:val="15"/>
              </w:rPr>
              <w:t>Amounts for 2022 include: (a) company contributions to our retirement-investment plan accounts in the amount of $10,000 for each NEO other than Ms. Strong; (b) amounts on account of personal use of Company-provided aircraft (Mr. Roberts, $196,127; Mr. Cavanagh, $177,124; Mr. Watson, $126,534; Mr. Shell, $202,775; and Ms. Strong, $0) and (c) incremental costs related to executive medical benefits (Ms. Strong, $20,400). Where applicable, amounts for Ms. Strong were converted from British pounds sterling to U.S. dollars using the 2022 average of daily spot rates of £1 to $1.2366.</w:t>
            </w:r>
          </w:p>
        </w:tc>
      </w:tr>
      <w:tr>
        <w:trPr/>
        <w:tc>
          <w:tcPr>
            <w:tcW w:w="129" w:type="dxa"/>
            <w:tcBorders/>
            <w:shd w:fill="auto" w:val="clear"/>
            <w:vAlign w:val="center"/>
          </w:tcPr>
          <w:p>
            <w:pPr>
              <w:pStyle w:val="TableContents"/>
              <w:spacing w:before="0" w:after="283"/>
              <w:rPr>
                <w:sz w:val="4"/>
                <w:szCs w:val="4"/>
              </w:rPr>
            </w:pPr>
            <w:r>
              <w:rPr>
                <w:sz w:val="4"/>
                <w:szCs w:val="4"/>
              </w:rPr>
            </w:r>
          </w:p>
        </w:tc>
        <w:tc>
          <w:tcPr>
            <w:tcW w:w="10076" w:type="dxa"/>
            <w:tcBorders/>
            <w:shd w:fill="auto" w:val="clear"/>
            <w:vAlign w:val="center"/>
          </w:tcPr>
          <w:p>
            <w:pPr>
              <w:pStyle w:val="TableContents"/>
              <w:spacing w:before="0" w:after="283"/>
              <w:jc w:val="left"/>
              <w:rPr>
                <w:rFonts w:ascii="Arial" w:hAnsi="Arial"/>
                <w:sz w:val="15"/>
              </w:rPr>
            </w:pPr>
            <w:r>
              <w:rPr>
                <w:rFonts w:ascii="Arial" w:hAnsi="Arial"/>
                <w:sz w:val="15"/>
              </w:rPr>
              <w:t>For security and business reasons, Company practices and policy strongly encourage, and in some cases may require, Mr. Roberts to use Company-provided aircraft for business and personal travel. Our other NEOs also have access to Company-provided aircraft for personal travel, as it affords all of our NEOs greater security, allows travel time to be used productively and enables them to be immediately available to respond to business priorities from any location.</w:t>
            </w:r>
          </w:p>
        </w:tc>
      </w:tr>
      <w:tr>
        <w:trPr/>
        <w:tc>
          <w:tcPr>
            <w:tcW w:w="129" w:type="dxa"/>
            <w:tcBorders/>
            <w:shd w:fill="auto" w:val="clear"/>
            <w:vAlign w:val="center"/>
          </w:tcPr>
          <w:p>
            <w:pPr>
              <w:pStyle w:val="TableContents"/>
              <w:spacing w:before="0" w:after="283"/>
              <w:rPr>
                <w:sz w:val="4"/>
                <w:szCs w:val="4"/>
              </w:rPr>
            </w:pPr>
            <w:r>
              <w:rPr>
                <w:sz w:val="4"/>
                <w:szCs w:val="4"/>
              </w:rPr>
            </w:r>
          </w:p>
        </w:tc>
        <w:tc>
          <w:tcPr>
            <w:tcW w:w="10076" w:type="dxa"/>
            <w:tcBorders/>
            <w:shd w:fill="auto" w:val="clear"/>
            <w:vAlign w:val="center"/>
          </w:tcPr>
          <w:p>
            <w:pPr>
              <w:pStyle w:val="TableContents"/>
              <w:spacing w:before="0" w:after="283"/>
              <w:jc w:val="left"/>
              <w:rPr>
                <w:rFonts w:ascii="Arial" w:hAnsi="Arial"/>
                <w:sz w:val="15"/>
              </w:rPr>
            </w:pPr>
            <w:r>
              <w:rPr>
                <w:rFonts w:ascii="Arial" w:hAnsi="Arial"/>
                <w:sz w:val="15"/>
              </w:rPr>
              <w:t>Our policy allows an NEO to bring guests, such as family members, on flights on Company-provided aircraft. The NEOs are required to pay us for personal use of Company-provided aircraft in amounts determined by Company policy. The NEOs are imputed income for costs related to use of Company-provided aircraft when required under Internal Revenue Code guidelines. We do not reimburse the NEOs for any taxes incurred as a result of imputed income. In addition, the Internal Revenue Code limits the amount that we can deduct for the personal use of Company-provided aircraft to the amount recognized as income by our executives who use the aircraft; the amounts in the table above do not include our 2022 disallowed tax deduction of $8 million resulting from the personal use of Company-provided aircraft by our NEOs and any guests.</w:t>
            </w:r>
          </w:p>
        </w:tc>
      </w:tr>
      <w:tr>
        <w:trPr/>
        <w:tc>
          <w:tcPr>
            <w:tcW w:w="129" w:type="dxa"/>
            <w:tcBorders/>
            <w:shd w:fill="auto" w:val="clear"/>
            <w:vAlign w:val="center"/>
          </w:tcPr>
          <w:p>
            <w:pPr>
              <w:pStyle w:val="TableContents"/>
              <w:spacing w:before="0" w:after="283"/>
              <w:rPr>
                <w:sz w:val="4"/>
                <w:szCs w:val="4"/>
              </w:rPr>
            </w:pPr>
            <w:r>
              <w:rPr>
                <w:sz w:val="4"/>
                <w:szCs w:val="4"/>
              </w:rPr>
            </w:r>
          </w:p>
        </w:tc>
        <w:tc>
          <w:tcPr>
            <w:tcW w:w="10076" w:type="dxa"/>
            <w:tcBorders/>
            <w:shd w:fill="auto" w:val="clear"/>
            <w:vAlign w:val="center"/>
          </w:tcPr>
          <w:p>
            <w:pPr>
              <w:pStyle w:val="TableContents"/>
              <w:spacing w:before="0" w:after="283"/>
              <w:jc w:val="left"/>
              <w:rPr>
                <w:rFonts w:ascii="Arial" w:hAnsi="Arial"/>
                <w:sz w:val="15"/>
              </w:rPr>
            </w:pPr>
            <w:r>
              <w:rPr>
                <w:rFonts w:ascii="Arial" w:hAnsi="Arial"/>
                <w:sz w:val="15"/>
              </w:rPr>
              <w:t xml:space="preserve">The amounts reflected for each NEO on account of personal use of Company-provided aircraft indicate the extent to which the incremental cost of such use exceeds the amount paid to us by the NEO. The aggregate incremental cost for a personal flight on a charter plane is the cost of the flight as charged to us by the charter company. The aggregate incremental cost for a personal flight taken on a third party-owned plane that is serviced by us includes all variable costs attributable to that flight (including for repositioning flights), such as fuel, trip and allocable maintenance expenses and third-party lease payments. The aggregate incremental cost for a personal flight on a Company plane includes all variable costs for the year, such as fuel, maintenance and other trip expenses, to arrive at a variable cost per hour that we then multiply by the number of hours the NEO used the aircraft for personal travel (including the hours for repositioning flights). These methodologies exclude fixed costs, as these costs do not change based on usage. Ms. Strong also has access to a Company-provided car for personal travel, but she has fully reimbursed the Company for the incremental costs associated with such use. </w:t>
            </w:r>
          </w:p>
        </w:tc>
      </w:tr>
      <w:tr>
        <w:trPr/>
        <w:tc>
          <w:tcPr>
            <w:tcW w:w="129" w:type="dxa"/>
            <w:tcBorders/>
            <w:shd w:fill="auto" w:val="clear"/>
            <w:vAlign w:val="center"/>
          </w:tcPr>
          <w:p>
            <w:pPr>
              <w:pStyle w:val="TableContents"/>
              <w:spacing w:before="0" w:after="283"/>
              <w:rPr>
                <w:sz w:val="4"/>
                <w:szCs w:val="4"/>
              </w:rPr>
            </w:pPr>
            <w:r>
              <w:rPr>
                <w:sz w:val="4"/>
                <w:szCs w:val="4"/>
              </w:rPr>
            </w:r>
          </w:p>
        </w:tc>
        <w:tc>
          <w:tcPr>
            <w:tcW w:w="10076" w:type="dxa"/>
            <w:tcBorders/>
            <w:shd w:fill="auto" w:val="clear"/>
            <w:vAlign w:val="center"/>
          </w:tcPr>
          <w:p>
            <w:pPr>
              <w:pStyle w:val="TableContents"/>
              <w:spacing w:before="0" w:after="283"/>
              <w:jc w:val="left"/>
              <w:rPr>
                <w:rFonts w:ascii="Arial" w:hAnsi="Arial"/>
                <w:sz w:val="15"/>
              </w:rPr>
            </w:pPr>
            <w:r>
              <w:rPr>
                <w:rFonts w:ascii="Arial" w:hAnsi="Arial"/>
                <w:sz w:val="15"/>
              </w:rPr>
              <w:t>For all other benefits that would otherwise be considered perquisites, our NEOs are required to pay us in full (and have paid us in full) for such benefits.</w:t>
            </w:r>
          </w:p>
        </w:tc>
      </w:tr>
      <w:tr>
        <w:trPr/>
        <w:tc>
          <w:tcPr>
            <w:tcW w:w="129"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(7)</w:t>
            </w:r>
          </w:p>
        </w:tc>
        <w:tc>
          <w:tcPr>
            <w:tcW w:w="10076" w:type="dxa"/>
            <w:tcBorders/>
            <w:shd w:fill="auto" w:val="clear"/>
            <w:vAlign w:val="center"/>
          </w:tcPr>
          <w:p>
            <w:pPr>
              <w:pStyle w:val="TableContents"/>
              <w:spacing w:before="0" w:after="283"/>
              <w:jc w:val="left"/>
              <w:rPr>
                <w:rFonts w:ascii="Arial" w:hAnsi="Arial"/>
                <w:sz w:val="15"/>
              </w:rPr>
            </w:pPr>
            <w:r>
              <w:rPr>
                <w:rFonts w:ascii="Arial" w:hAnsi="Arial"/>
                <w:sz w:val="15"/>
              </w:rPr>
              <w:t>Mr. Shell’s employment with the Company was terminated with cause in April 2023, and as a result, he forfeited the PSUs and stock options granted in 2022, along with all other unvested equity awards and vested stock options. See “Agreements with Our Named Executive Officers” below for additional information.</w:t>
            </w:r>
          </w:p>
        </w:tc>
      </w:tr>
      <w:tr>
        <w:trPr/>
        <w:tc>
          <w:tcPr>
            <w:tcW w:w="129"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(8)</w:t>
            </w:r>
          </w:p>
        </w:tc>
        <w:tc>
          <w:tcPr>
            <w:tcW w:w="10076" w:type="dxa"/>
            <w:tcBorders/>
            <w:shd w:fill="auto" w:val="clear"/>
            <w:vAlign w:val="center"/>
          </w:tcPr>
          <w:p>
            <w:pPr>
              <w:pStyle w:val="TableContents"/>
              <w:spacing w:before="0" w:after="283"/>
              <w:jc w:val="left"/>
              <w:rPr>
                <w:rFonts w:ascii="Arial" w:hAnsi="Arial"/>
                <w:sz w:val="15"/>
              </w:rPr>
            </w:pPr>
            <w:r>
              <w:rPr>
                <w:rFonts w:ascii="Arial" w:hAnsi="Arial"/>
                <w:sz w:val="15"/>
              </w:rPr>
              <w:t>Ms. Strong was not an NEO for 2020. For 2022, the amount of Ms. Strong’s base salary in British pounds sterling was £1,565,208. The amount of British pounds sterling was converted to U.S. dollars using the 2022 average of daily spot rates of £1 to $1.2366.</w:t>
            </w:r>
          </w:p>
        </w:tc>
      </w:tr>
    </w:tbl>
    <w:p>
      <w:pPr>
        <w:pStyle w:val="TextBody"/>
        <w:spacing w:before="240" w:after="283"/>
        <w:jc w:val="left"/>
        <w:rPr>
          <w:rFonts w:ascii="Arial" w:hAnsi="Arial"/>
          <w:sz w:val="28"/>
        </w:rPr>
      </w:pPr>
      <w:bookmarkStart w:id="25" w:name="grantsplanbasedaward"/>
      <w:bookmarkEnd w:id="25"/>
      <w:r>
        <w:rPr>
          <w:rFonts w:ascii="Arial" w:hAnsi="Arial"/>
          <w:sz w:val="28"/>
        </w:rPr>
        <w:t>Grants of Plan-Based Awards</w:t>
      </w:r>
    </w:p>
    <w:p>
      <w:pPr>
        <w:pStyle w:val="TextBody"/>
        <w:jc w:val="left"/>
        <w:rPr>
          <w:rFonts w:ascii="Arial" w:hAnsi="Arial"/>
          <w:sz w:val="20"/>
        </w:rPr>
      </w:pPr>
      <w:r>
        <w:rPr>
          <w:rFonts w:ascii="Arial" w:hAnsi="Arial"/>
          <w:sz w:val="20"/>
        </w:rPr>
        <w:t>The table below provides information about equity and non-equity awards granted to our NEOs in 2022 as follows: (1) the grant date for equity awards and the date the grant of such awards was approved by the CHC Committee; (2) the estimated future payouts under non-equity incentive plan awards (columns (a), (b) and (c)); (3) the estimated future payouts under equity incentive plan awards, which consist of PSUs (columns (d), (e) and (f)); (4) option awards, which consist of the number of shares underlying stock options (column (g)); (5) the exercise price of the stock option awards, which reflects the closing price of our Class A common stock on the date of grant (column (h)); and (6) the grant date fair value of each equity award computed in accordance with FASB ASC Topic 718 (column (i)).</w:t>
      </w:r>
    </w:p>
    <w:tbl>
      <w:tblPr>
        <w:tblW w:w="10205" w:type="dxa"/>
        <w:jc w:val="left"/>
        <w:tblInd w:w="0" w:type="dxa"/>
        <w:tblCellMar>
          <w:top w:w="0" w:type="dxa"/>
          <w:left w:w="0" w:type="dxa"/>
          <w:bottom w:w="40" w:type="dxa"/>
          <w:right w:w="0" w:type="dxa"/>
        </w:tblCellMar>
      </w:tblPr>
      <w:tblGrid>
        <w:gridCol w:w="762"/>
        <w:gridCol w:w="60"/>
        <w:gridCol w:w="638"/>
        <w:gridCol w:w="60"/>
        <w:gridCol w:w="810"/>
        <w:gridCol w:w="60"/>
        <w:gridCol w:w="815"/>
        <w:gridCol w:w="120"/>
        <w:gridCol w:w="740"/>
        <w:gridCol w:w="120"/>
        <w:gridCol w:w="830"/>
        <w:gridCol w:w="60"/>
        <w:gridCol w:w="815"/>
        <w:gridCol w:w="120"/>
        <w:gridCol w:w="740"/>
        <w:gridCol w:w="120"/>
        <w:gridCol w:w="740"/>
        <w:gridCol w:w="60"/>
        <w:gridCol w:w="875"/>
        <w:gridCol w:w="60"/>
        <w:gridCol w:w="695"/>
        <w:gridCol w:w="60"/>
        <w:gridCol w:w="845"/>
      </w:tblGrid>
      <w:tr>
        <w:trPr/>
        <w:tc>
          <w:tcPr>
            <w:tcW w:w="762" w:type="dxa"/>
            <w:vMerge w:val="restart"/>
            <w:tcBorders>
              <w:bottom w:val="single" w:sz="12" w:space="0" w:color="000000"/>
            </w:tcBorders>
            <w:shd w:fill="auto" w:val="clear"/>
            <w:vAlign w:val="center"/>
          </w:tcPr>
          <w:p>
            <w:pPr>
              <w:pStyle w:val="TableContents"/>
              <w:spacing w:before="0" w:after="283"/>
              <w:jc w:val="left"/>
              <w:rPr/>
            </w:pPr>
            <w:r>
              <w:rPr>
                <w:rStyle w:val="StrongEmphasis"/>
                <w:rFonts w:ascii="Arial" w:hAnsi="Arial"/>
                <w:sz w:val="14"/>
              </w:rPr>
              <w:t>NAME</w:t>
            </w:r>
          </w:p>
        </w:tc>
        <w:tc>
          <w:tcPr>
            <w:tcW w:w="60" w:type="dxa"/>
            <w:vMerge w:val="restart"/>
            <w:tcBorders>
              <w:bottom w:val="single" w:sz="12" w:space="0" w:color="000000"/>
            </w:tcBorders>
            <w:shd w:fill="auto" w:val="clear"/>
            <w:vAlign w:val="center"/>
          </w:tcPr>
          <w:p>
            <w:pPr>
              <w:pStyle w:val="TableContents"/>
              <w:spacing w:before="0" w:after="283"/>
              <w:jc w:val="center"/>
              <w:rPr/>
            </w:pPr>
            <w:r>
              <w:rPr>
                <w:rStyle w:val="StrongEmphasis"/>
              </w:rPr>
              <w:t> </w:t>
            </w:r>
          </w:p>
        </w:tc>
        <w:tc>
          <w:tcPr>
            <w:tcW w:w="638" w:type="dxa"/>
            <w:vMerge w:val="restart"/>
            <w:tcBorders>
              <w:bottom w:val="single" w:sz="12" w:space="0" w:color="000000"/>
            </w:tcBorders>
            <w:shd w:fill="auto" w:val="clear"/>
            <w:vAlign w:val="center"/>
          </w:tcPr>
          <w:p>
            <w:pPr>
              <w:pStyle w:val="TableContents"/>
              <w:spacing w:before="0" w:after="283"/>
              <w:jc w:val="center"/>
              <w:rPr/>
            </w:pPr>
            <w:r>
              <w:rPr>
                <w:rStyle w:val="StrongEmphasis"/>
                <w:rFonts w:ascii="Arial" w:hAnsi="Arial"/>
                <w:sz w:val="14"/>
              </w:rPr>
              <w:t>GRANT</w:t>
              <w:br/>
              <w:t>DATE</w:t>
            </w:r>
          </w:p>
        </w:tc>
        <w:tc>
          <w:tcPr>
            <w:tcW w:w="60" w:type="dxa"/>
            <w:vMerge w:val="restart"/>
            <w:tcBorders>
              <w:bottom w:val="single" w:sz="12" w:space="0" w:color="000000"/>
            </w:tcBorders>
            <w:shd w:fill="auto" w:val="clear"/>
            <w:vAlign w:val="center"/>
          </w:tcPr>
          <w:p>
            <w:pPr>
              <w:pStyle w:val="TableContents"/>
              <w:spacing w:before="0" w:after="283"/>
              <w:jc w:val="center"/>
              <w:rPr/>
            </w:pPr>
            <w:r>
              <w:rPr/>
              <w:t> </w:t>
            </w:r>
          </w:p>
        </w:tc>
        <w:tc>
          <w:tcPr>
            <w:tcW w:w="810" w:type="dxa"/>
            <w:vMerge w:val="restart"/>
            <w:tcBorders>
              <w:bottom w:val="single" w:sz="12" w:space="0" w:color="000000"/>
            </w:tcBorders>
            <w:shd w:fill="auto" w:val="clear"/>
            <w:vAlign w:val="center"/>
          </w:tcPr>
          <w:p>
            <w:pPr>
              <w:pStyle w:val="TableContents"/>
              <w:spacing w:before="0" w:after="283"/>
              <w:jc w:val="center"/>
              <w:rPr/>
            </w:pPr>
            <w:r>
              <w:rPr>
                <w:rStyle w:val="StrongEmphasis"/>
                <w:rFonts w:ascii="Arial" w:hAnsi="Arial"/>
                <w:sz w:val="14"/>
              </w:rPr>
              <w:t>APPROVAL</w:t>
              <w:br/>
              <w:t>DATE</w:t>
            </w:r>
          </w:p>
        </w:tc>
        <w:tc>
          <w:tcPr>
            <w:tcW w:w="60" w:type="dxa"/>
            <w:vMerge w:val="restart"/>
            <w:tcBorders>
              <w:bottom w:val="single" w:sz="12" w:space="0" w:color="000000"/>
            </w:tcBorders>
            <w:shd w:fill="auto" w:val="clear"/>
            <w:vAlign w:val="center"/>
          </w:tcPr>
          <w:p>
            <w:pPr>
              <w:pStyle w:val="TableContents"/>
              <w:spacing w:before="0" w:after="283"/>
              <w:jc w:val="center"/>
              <w:rPr/>
            </w:pPr>
            <w:r>
              <w:rPr/>
              <w:t> </w:t>
            </w:r>
          </w:p>
        </w:tc>
        <w:tc>
          <w:tcPr>
            <w:tcW w:w="2625" w:type="dxa"/>
            <w:gridSpan w:val="5"/>
            <w:tcBorders>
              <w:bottom w:val="single" w:sz="8" w:space="0" w:color="000000"/>
            </w:tcBorders>
            <w:shd w:fill="auto" w:val="clear"/>
            <w:vAlign w:val="center"/>
          </w:tcPr>
          <w:p>
            <w:pPr>
              <w:pStyle w:val="TableContents"/>
              <w:spacing w:before="0" w:after="283"/>
              <w:jc w:val="center"/>
              <w:rPr/>
            </w:pPr>
            <w:r>
              <w:rPr>
                <w:rStyle w:val="StrongEmphasis"/>
                <w:rFonts w:ascii="Arial" w:hAnsi="Arial"/>
                <w:sz w:val="14"/>
              </w:rPr>
              <w:br/>
              <w:br/>
              <w:t>ESTIMATED FUTURE PAYOUTS UNDER</w:t>
              <w:br/>
              <w:t>NON-EQUITY INCENTIVE PLAN</w:t>
              <w:br/>
              <w:t>AWARDS</w:t>
            </w:r>
            <w:r>
              <w:rPr>
                <w:rStyle w:val="StrongEmphasis"/>
                <w:rFonts w:ascii="Arial" w:hAnsi="Arial"/>
                <w:position w:val="5"/>
                <w:sz w:val="11"/>
                <w:sz w:val="14"/>
              </w:rPr>
              <w:t>(1)</w:t>
            </w:r>
            <w:r>
              <w:rPr>
                <w:rStyle w:val="StrongEmphasis"/>
                <w:rFonts w:ascii="Arial" w:hAnsi="Arial"/>
                <w:sz w:val="14"/>
              </w:rPr>
              <w:br/>
              <w:t>($)</w:t>
            </w:r>
          </w:p>
        </w:tc>
        <w:tc>
          <w:tcPr>
            <w:tcW w:w="60" w:type="dxa"/>
            <w:tcBorders/>
            <w:shd w:fill="auto" w:val="clear"/>
            <w:tcMar>
              <w:bottom w:w="0" w:type="dxa"/>
            </w:tcMar>
            <w:vAlign w:val="center"/>
          </w:tcPr>
          <w:p>
            <w:pPr>
              <w:pStyle w:val="TableContents"/>
              <w:spacing w:before="0" w:after="283"/>
              <w:jc w:val="center"/>
              <w:rPr/>
            </w:pPr>
            <w:r>
              <w:rPr>
                <w:rStyle w:val="StrongEmphasis"/>
                <w:rFonts w:ascii="Arial" w:hAnsi="Arial"/>
                <w:sz w:val="14"/>
              </w:rPr>
              <w:br/>
              <w:br/>
            </w:r>
          </w:p>
        </w:tc>
        <w:tc>
          <w:tcPr>
            <w:tcW w:w="2535" w:type="dxa"/>
            <w:gridSpan w:val="5"/>
            <w:tcBorders>
              <w:bottom w:val="single" w:sz="8" w:space="0" w:color="000000"/>
            </w:tcBorders>
            <w:shd w:fill="auto" w:val="clear"/>
            <w:vAlign w:val="center"/>
          </w:tcPr>
          <w:p>
            <w:pPr>
              <w:pStyle w:val="TableContents"/>
              <w:spacing w:before="0" w:after="283"/>
              <w:jc w:val="center"/>
              <w:rPr/>
            </w:pPr>
            <w:r>
              <w:rPr>
                <w:rStyle w:val="StrongEmphasis"/>
                <w:rFonts w:ascii="Arial" w:hAnsi="Arial"/>
                <w:sz w:val="14"/>
              </w:rPr>
              <w:t>ESTIMATED FUTURE PAYOUTS</w:t>
              <w:br/>
              <w:t>UNDER EQUITY</w:t>
              <w:br/>
              <w:t>INCENTIVE PLAN AWARDS</w:t>
            </w:r>
            <w:r>
              <w:rPr>
                <w:rStyle w:val="StrongEmphasis"/>
                <w:rFonts w:ascii="Arial" w:hAnsi="Arial"/>
                <w:position w:val="5"/>
                <w:sz w:val="11"/>
                <w:sz w:val="14"/>
              </w:rPr>
              <w:t>(2)</w:t>
            </w:r>
          </w:p>
        </w:tc>
        <w:tc>
          <w:tcPr>
            <w:tcW w:w="60" w:type="dxa"/>
            <w:tcBorders/>
            <w:shd w:fill="auto" w:val="clear"/>
            <w:tcMar>
              <w:bottom w:w="0" w:type="dxa"/>
            </w:tcMar>
            <w:vAlign w:val="center"/>
          </w:tcPr>
          <w:p>
            <w:pPr>
              <w:pStyle w:val="TableContents"/>
              <w:spacing w:before="0" w:after="283"/>
              <w:rPr>
                <w:sz w:val="4"/>
                <w:szCs w:val="4"/>
              </w:rPr>
            </w:pPr>
            <w:r>
              <w:rPr>
                <w:sz w:val="4"/>
                <w:szCs w:val="4"/>
              </w:rPr>
            </w:r>
          </w:p>
        </w:tc>
        <w:tc>
          <w:tcPr>
            <w:tcW w:w="875" w:type="dxa"/>
            <w:vMerge w:val="restart"/>
            <w:tcBorders>
              <w:bottom w:val="single" w:sz="12" w:space="0" w:color="000000"/>
            </w:tcBorders>
            <w:shd w:fill="auto" w:val="clear"/>
            <w:vAlign w:val="center"/>
          </w:tcPr>
          <w:p>
            <w:pPr>
              <w:pStyle w:val="TableContents"/>
              <w:spacing w:before="0" w:after="283"/>
              <w:jc w:val="center"/>
              <w:rPr/>
            </w:pPr>
            <w:r>
              <w:rPr>
                <w:rStyle w:val="StrongEmphasis"/>
                <w:rFonts w:ascii="Arial" w:hAnsi="Arial"/>
                <w:sz w:val="14"/>
              </w:rPr>
              <w:t>ALL OTHER</w:t>
              <w:br/>
              <w:t>OPTION</w:t>
              <w:br/>
              <w:t>AWARDS:</w:t>
              <w:br/>
              <w:t>NUMBER OF</w:t>
              <w:br/>
              <w:t xml:space="preserve">SECURITIES </w:t>
              <w:br/>
              <w:t>UNDERLYING</w:t>
              <w:br/>
              <w:t>OPTIONS</w:t>
            </w:r>
            <w:r>
              <w:rPr>
                <w:rStyle w:val="StrongEmphasis"/>
                <w:rFonts w:ascii="Arial" w:hAnsi="Arial"/>
                <w:position w:val="5"/>
                <w:sz w:val="11"/>
                <w:sz w:val="14"/>
              </w:rPr>
              <w:t>(3)</w:t>
            </w:r>
            <w:r>
              <w:rPr>
                <w:rStyle w:val="StrongEmphasis"/>
                <w:rFonts w:ascii="Arial" w:hAnsi="Arial"/>
                <w:sz w:val="14"/>
              </w:rPr>
              <w:br/>
              <w:t>(g)</w:t>
            </w:r>
          </w:p>
        </w:tc>
        <w:tc>
          <w:tcPr>
            <w:tcW w:w="60" w:type="dxa"/>
            <w:vMerge w:val="restart"/>
            <w:tcBorders>
              <w:bottom w:val="single" w:sz="12" w:space="0" w:color="000000"/>
            </w:tcBorders>
            <w:shd w:fill="auto" w:val="clear"/>
            <w:vAlign w:val="center"/>
          </w:tcPr>
          <w:p>
            <w:pPr>
              <w:pStyle w:val="TableContents"/>
              <w:spacing w:before="0" w:after="283"/>
              <w:jc w:val="center"/>
              <w:rPr/>
            </w:pPr>
            <w:r>
              <w:rPr/>
              <w:t> </w:t>
            </w:r>
          </w:p>
        </w:tc>
        <w:tc>
          <w:tcPr>
            <w:tcW w:w="695" w:type="dxa"/>
            <w:vMerge w:val="restart"/>
            <w:tcBorders>
              <w:bottom w:val="single" w:sz="12" w:space="0" w:color="000000"/>
            </w:tcBorders>
            <w:shd w:fill="auto" w:val="clear"/>
            <w:vAlign w:val="center"/>
          </w:tcPr>
          <w:p>
            <w:pPr>
              <w:pStyle w:val="TableContents"/>
              <w:spacing w:before="0" w:after="283"/>
              <w:jc w:val="center"/>
              <w:rPr/>
            </w:pPr>
            <w:r>
              <w:rPr>
                <w:rStyle w:val="StrongEmphasis"/>
                <w:rFonts w:ascii="Arial" w:hAnsi="Arial"/>
                <w:sz w:val="14"/>
              </w:rPr>
              <w:t>EXERCISE</w:t>
              <w:br/>
              <w:t>OR BASE</w:t>
              <w:br/>
              <w:t>PRICE OF</w:t>
              <w:br/>
              <w:t xml:space="preserve">OPTION </w:t>
              <w:br/>
              <w:t>AWARDS</w:t>
              <w:br/>
              <w:t>($)</w:t>
              <w:br/>
              <w:t>(h)</w:t>
            </w:r>
          </w:p>
        </w:tc>
        <w:tc>
          <w:tcPr>
            <w:tcW w:w="60" w:type="dxa"/>
            <w:vMerge w:val="restart"/>
            <w:tcBorders>
              <w:bottom w:val="single" w:sz="12" w:space="0" w:color="000000"/>
            </w:tcBorders>
            <w:shd w:fill="auto" w:val="clear"/>
            <w:vAlign w:val="center"/>
          </w:tcPr>
          <w:p>
            <w:pPr>
              <w:pStyle w:val="TableContents"/>
              <w:spacing w:before="0" w:after="283"/>
              <w:jc w:val="center"/>
              <w:rPr/>
            </w:pPr>
            <w:r>
              <w:rPr/>
              <w:t> </w:t>
            </w:r>
          </w:p>
        </w:tc>
        <w:tc>
          <w:tcPr>
            <w:tcW w:w="845" w:type="dxa"/>
            <w:vMerge w:val="restart"/>
            <w:tcBorders>
              <w:bottom w:val="single" w:sz="12" w:space="0" w:color="000000"/>
            </w:tcBorders>
            <w:shd w:fill="auto" w:val="clear"/>
            <w:vAlign w:val="center"/>
          </w:tcPr>
          <w:p>
            <w:pPr>
              <w:pStyle w:val="TableContents"/>
              <w:spacing w:before="0" w:after="283"/>
              <w:jc w:val="center"/>
              <w:rPr/>
            </w:pPr>
            <w:r>
              <w:rPr>
                <w:rStyle w:val="StrongEmphasis"/>
                <w:rFonts w:ascii="Arial" w:hAnsi="Arial"/>
                <w:sz w:val="14"/>
              </w:rPr>
              <w:t>GRANT DATE</w:t>
              <w:br/>
              <w:t>FAIR VALUE</w:t>
              <w:br/>
              <w:t>OF STOCK</w:t>
              <w:br/>
              <w:t>AND OPTION</w:t>
              <w:br/>
              <w:t>AWARDS</w:t>
            </w:r>
            <w:r>
              <w:rPr>
                <w:rStyle w:val="StrongEmphasis"/>
                <w:rFonts w:ascii="Arial" w:hAnsi="Arial"/>
                <w:position w:val="5"/>
                <w:sz w:val="11"/>
                <w:sz w:val="14"/>
              </w:rPr>
              <w:t>(4)</w:t>
            </w:r>
            <w:r>
              <w:rPr>
                <w:rStyle w:val="StrongEmphasis"/>
                <w:rFonts w:ascii="Arial" w:hAnsi="Arial"/>
                <w:sz w:val="14"/>
              </w:rPr>
              <w:br/>
              <w:t>($)</w:t>
              <w:br/>
              <w:t>(i)</w:t>
            </w:r>
          </w:p>
        </w:tc>
      </w:tr>
      <w:tr>
        <w:trPr/>
        <w:tc>
          <w:tcPr>
            <w:tcW w:w="762" w:type="dxa"/>
            <w:vMerge w:val="continue"/>
            <w:tcBorders>
              <w:bottom w:val="single" w:sz="12" w:space="0" w:color="000000"/>
            </w:tcBorders>
            <w:shd w:fill="auto" w:val="clear"/>
            <w:vAlign w:val="center"/>
          </w:tcPr>
          <w:p>
            <w:pPr>
              <w:pStyle w:val="Normal"/>
              <w:rPr/>
            </w:pPr>
            <w:r>
              <w:rPr/>
            </w:r>
          </w:p>
        </w:tc>
        <w:tc>
          <w:tcPr>
            <w:tcW w:w="60" w:type="dxa"/>
            <w:vMerge w:val="continue"/>
            <w:tcBorders>
              <w:bottom w:val="single" w:sz="12" w:space="0" w:color="000000"/>
            </w:tcBorders>
            <w:shd w:fill="auto" w:val="clear"/>
            <w:vAlign w:val="center"/>
          </w:tcPr>
          <w:p>
            <w:pPr>
              <w:pStyle w:val="Normal"/>
              <w:rPr/>
            </w:pPr>
            <w:r>
              <w:rPr/>
            </w:r>
          </w:p>
        </w:tc>
        <w:tc>
          <w:tcPr>
            <w:tcW w:w="638" w:type="dxa"/>
            <w:vMerge w:val="continue"/>
            <w:tcBorders>
              <w:bottom w:val="single" w:sz="12" w:space="0" w:color="000000"/>
            </w:tcBorders>
            <w:shd w:fill="auto" w:val="clear"/>
            <w:vAlign w:val="center"/>
          </w:tcPr>
          <w:p>
            <w:pPr>
              <w:pStyle w:val="Normal"/>
              <w:rPr/>
            </w:pPr>
            <w:r>
              <w:rPr/>
            </w:r>
          </w:p>
        </w:tc>
        <w:tc>
          <w:tcPr>
            <w:tcW w:w="60" w:type="dxa"/>
            <w:vMerge w:val="continue"/>
            <w:tcBorders>
              <w:bottom w:val="single" w:sz="12" w:space="0" w:color="000000"/>
            </w:tcBorders>
            <w:shd w:fill="auto" w:val="clear"/>
            <w:vAlign w:val="center"/>
          </w:tcPr>
          <w:p>
            <w:pPr>
              <w:pStyle w:val="Normal"/>
              <w:rPr/>
            </w:pPr>
            <w:r>
              <w:rPr/>
            </w:r>
          </w:p>
        </w:tc>
        <w:tc>
          <w:tcPr>
            <w:tcW w:w="810" w:type="dxa"/>
            <w:vMerge w:val="continue"/>
            <w:tcBorders>
              <w:bottom w:val="single" w:sz="12" w:space="0" w:color="000000"/>
            </w:tcBorders>
            <w:shd w:fill="auto" w:val="clear"/>
            <w:vAlign w:val="center"/>
          </w:tcPr>
          <w:p>
            <w:pPr>
              <w:pStyle w:val="Normal"/>
              <w:rPr/>
            </w:pPr>
            <w:r>
              <w:rPr/>
            </w:r>
          </w:p>
        </w:tc>
        <w:tc>
          <w:tcPr>
            <w:tcW w:w="60" w:type="dxa"/>
            <w:vMerge w:val="continue"/>
            <w:tcBorders>
              <w:bottom w:val="single" w:sz="12" w:space="0" w:color="000000"/>
            </w:tcBorders>
            <w:shd w:fill="auto" w:val="clear"/>
            <w:vAlign w:val="center"/>
          </w:tcPr>
          <w:p>
            <w:pPr>
              <w:pStyle w:val="Normal"/>
              <w:rPr/>
            </w:pPr>
            <w:r>
              <w:rPr/>
            </w:r>
          </w:p>
        </w:tc>
        <w:tc>
          <w:tcPr>
            <w:tcW w:w="815" w:type="dxa"/>
            <w:tcBorders>
              <w:bottom w:val="single" w:sz="12" w:space="0" w:color="000000"/>
            </w:tcBorders>
            <w:shd w:fill="auto" w:val="clear"/>
            <w:vAlign w:val="center"/>
          </w:tcPr>
          <w:p>
            <w:pPr>
              <w:pStyle w:val="TableContents"/>
              <w:spacing w:before="0" w:after="283"/>
              <w:jc w:val="center"/>
              <w:rPr/>
            </w:pPr>
            <w:r>
              <w:rPr>
                <w:rStyle w:val="StrongEmphasis"/>
                <w:rFonts w:ascii="Arial" w:hAnsi="Arial"/>
                <w:sz w:val="14"/>
              </w:rPr>
              <w:t>THRESHOLD</w:t>
              <w:br/>
              <w:t>(a)</w:t>
            </w:r>
          </w:p>
        </w:tc>
        <w:tc>
          <w:tcPr>
            <w:tcW w:w="120" w:type="dxa"/>
            <w:tcBorders>
              <w:bottom w:val="single" w:sz="12" w:space="0" w:color="000000"/>
            </w:tcBorders>
            <w:shd w:fill="auto" w:val="clear"/>
            <w:vAlign w:val="center"/>
          </w:tcPr>
          <w:p>
            <w:pPr>
              <w:pStyle w:val="TableContents"/>
              <w:spacing w:before="0" w:after="283"/>
              <w:jc w:val="center"/>
              <w:rPr/>
            </w:pPr>
            <w:r>
              <w:rPr>
                <w:rStyle w:val="StrongEmphasis"/>
              </w:rPr>
              <w:t>  </w:t>
            </w:r>
          </w:p>
        </w:tc>
        <w:tc>
          <w:tcPr>
            <w:tcW w:w="740" w:type="dxa"/>
            <w:tcBorders>
              <w:bottom w:val="single" w:sz="12" w:space="0" w:color="000000"/>
            </w:tcBorders>
            <w:shd w:fill="auto" w:val="clear"/>
            <w:vAlign w:val="center"/>
          </w:tcPr>
          <w:p>
            <w:pPr>
              <w:pStyle w:val="TableContents"/>
              <w:spacing w:before="0" w:after="283"/>
              <w:jc w:val="center"/>
              <w:rPr/>
            </w:pPr>
            <w:r>
              <w:rPr>
                <w:rStyle w:val="StrongEmphasis"/>
                <w:rFonts w:ascii="Arial" w:hAnsi="Arial"/>
                <w:sz w:val="14"/>
              </w:rPr>
              <w:t>TARGET</w:t>
              <w:br/>
              <w:t>(b)</w:t>
            </w:r>
          </w:p>
        </w:tc>
        <w:tc>
          <w:tcPr>
            <w:tcW w:w="120" w:type="dxa"/>
            <w:tcBorders>
              <w:bottom w:val="single" w:sz="12" w:space="0" w:color="000000"/>
            </w:tcBorders>
            <w:shd w:fill="auto" w:val="clear"/>
            <w:vAlign w:val="center"/>
          </w:tcPr>
          <w:p>
            <w:pPr>
              <w:pStyle w:val="TableContents"/>
              <w:spacing w:before="0" w:after="283"/>
              <w:jc w:val="center"/>
              <w:rPr/>
            </w:pPr>
            <w:r>
              <w:rPr/>
              <w:t>  </w:t>
            </w:r>
          </w:p>
        </w:tc>
        <w:tc>
          <w:tcPr>
            <w:tcW w:w="830" w:type="dxa"/>
            <w:tcBorders>
              <w:bottom w:val="single" w:sz="12" w:space="0" w:color="000000"/>
            </w:tcBorders>
            <w:shd w:fill="auto" w:val="clear"/>
            <w:vAlign w:val="center"/>
          </w:tcPr>
          <w:p>
            <w:pPr>
              <w:pStyle w:val="TableContents"/>
              <w:spacing w:before="0" w:after="283"/>
              <w:jc w:val="center"/>
              <w:rPr/>
            </w:pPr>
            <w:r>
              <w:rPr>
                <w:rStyle w:val="StrongEmphasis"/>
                <w:rFonts w:ascii="Arial" w:hAnsi="Arial"/>
                <w:sz w:val="14"/>
              </w:rPr>
              <w:t>MAXIMUM</w:t>
              <w:br/>
              <w:t>(c)</w:t>
            </w:r>
          </w:p>
        </w:tc>
        <w:tc>
          <w:tcPr>
            <w:tcW w:w="60" w:type="dxa"/>
            <w:tcBorders>
              <w:bottom w:val="single" w:sz="12" w:space="0" w:color="000000"/>
            </w:tcBorders>
            <w:shd w:fill="auto" w:val="clear"/>
            <w:vAlign w:val="center"/>
          </w:tcPr>
          <w:p>
            <w:pPr>
              <w:pStyle w:val="TableContents"/>
              <w:spacing w:before="0" w:after="283"/>
              <w:jc w:val="center"/>
              <w:rPr/>
            </w:pPr>
            <w:r>
              <w:rPr>
                <w:rStyle w:val="StrongEmphasis"/>
              </w:rPr>
              <w:t> </w:t>
            </w:r>
          </w:p>
        </w:tc>
        <w:tc>
          <w:tcPr>
            <w:tcW w:w="815" w:type="dxa"/>
            <w:tcBorders>
              <w:bottom w:val="single" w:sz="12" w:space="0" w:color="000000"/>
            </w:tcBorders>
            <w:shd w:fill="auto" w:val="clear"/>
            <w:vAlign w:val="center"/>
          </w:tcPr>
          <w:p>
            <w:pPr>
              <w:pStyle w:val="TableContents"/>
              <w:spacing w:before="0" w:after="283"/>
              <w:jc w:val="center"/>
              <w:rPr/>
            </w:pPr>
            <w:r>
              <w:rPr>
                <w:rStyle w:val="StrongEmphasis"/>
                <w:rFonts w:ascii="Arial" w:hAnsi="Arial"/>
                <w:sz w:val="14"/>
              </w:rPr>
              <w:t>THRESHOLD</w:t>
              <w:br/>
              <w:t>(d)</w:t>
            </w:r>
          </w:p>
        </w:tc>
        <w:tc>
          <w:tcPr>
            <w:tcW w:w="120" w:type="dxa"/>
            <w:tcBorders>
              <w:bottom w:val="single" w:sz="12" w:space="0" w:color="000000"/>
            </w:tcBorders>
            <w:shd w:fill="auto" w:val="clear"/>
            <w:vAlign w:val="center"/>
          </w:tcPr>
          <w:p>
            <w:pPr>
              <w:pStyle w:val="TableContents"/>
              <w:spacing w:before="0" w:after="283"/>
              <w:jc w:val="center"/>
              <w:rPr/>
            </w:pPr>
            <w:r>
              <w:rPr/>
              <w:t>  </w:t>
            </w:r>
          </w:p>
        </w:tc>
        <w:tc>
          <w:tcPr>
            <w:tcW w:w="740" w:type="dxa"/>
            <w:tcBorders>
              <w:bottom w:val="single" w:sz="12" w:space="0" w:color="000000"/>
            </w:tcBorders>
            <w:shd w:fill="auto" w:val="clear"/>
            <w:vAlign w:val="center"/>
          </w:tcPr>
          <w:p>
            <w:pPr>
              <w:pStyle w:val="TableContents"/>
              <w:spacing w:before="0" w:after="283"/>
              <w:jc w:val="center"/>
              <w:rPr/>
            </w:pPr>
            <w:r>
              <w:rPr>
                <w:rStyle w:val="StrongEmphasis"/>
                <w:rFonts w:ascii="Arial" w:hAnsi="Arial"/>
                <w:sz w:val="14"/>
              </w:rPr>
              <w:t>TARGET</w:t>
              <w:br/>
              <w:t>(e)</w:t>
            </w:r>
          </w:p>
        </w:tc>
        <w:tc>
          <w:tcPr>
            <w:tcW w:w="120" w:type="dxa"/>
            <w:tcBorders>
              <w:bottom w:val="single" w:sz="12" w:space="0" w:color="000000"/>
            </w:tcBorders>
            <w:shd w:fill="auto" w:val="clear"/>
            <w:vAlign w:val="center"/>
          </w:tcPr>
          <w:p>
            <w:pPr>
              <w:pStyle w:val="TableContents"/>
              <w:spacing w:before="0" w:after="283"/>
              <w:jc w:val="center"/>
              <w:rPr/>
            </w:pPr>
            <w:r>
              <w:rPr/>
              <w:t>  </w:t>
            </w:r>
          </w:p>
        </w:tc>
        <w:tc>
          <w:tcPr>
            <w:tcW w:w="740" w:type="dxa"/>
            <w:tcBorders>
              <w:bottom w:val="single" w:sz="12" w:space="0" w:color="000000"/>
            </w:tcBorders>
            <w:shd w:fill="auto" w:val="clear"/>
            <w:vAlign w:val="center"/>
          </w:tcPr>
          <w:p>
            <w:pPr>
              <w:pStyle w:val="TableContents"/>
              <w:spacing w:before="0" w:after="283"/>
              <w:jc w:val="center"/>
              <w:rPr/>
            </w:pPr>
            <w:r>
              <w:rPr>
                <w:rStyle w:val="StrongEmphasis"/>
                <w:rFonts w:ascii="Arial" w:hAnsi="Arial"/>
                <w:sz w:val="14"/>
              </w:rPr>
              <w:t>MAXIMUM</w:t>
              <w:br/>
              <w:t>(f)</w:t>
            </w:r>
          </w:p>
        </w:tc>
        <w:tc>
          <w:tcPr>
            <w:tcW w:w="60" w:type="dxa"/>
            <w:tcBorders>
              <w:bottom w:val="single" w:sz="12" w:space="0" w:color="000000"/>
            </w:tcBorders>
            <w:shd w:fill="auto" w:val="clear"/>
            <w:vAlign w:val="center"/>
          </w:tcPr>
          <w:p>
            <w:pPr>
              <w:pStyle w:val="TableContents"/>
              <w:spacing w:before="0" w:after="283"/>
              <w:jc w:val="center"/>
              <w:rPr/>
            </w:pPr>
            <w:r>
              <w:rPr/>
              <w:t> </w:t>
            </w:r>
          </w:p>
        </w:tc>
        <w:tc>
          <w:tcPr>
            <w:tcW w:w="875" w:type="dxa"/>
            <w:vMerge w:val="continue"/>
            <w:tcBorders>
              <w:bottom w:val="single" w:sz="12" w:space="0" w:color="000000"/>
            </w:tcBorders>
            <w:shd w:fill="auto" w:val="clear"/>
            <w:vAlign w:val="center"/>
          </w:tcPr>
          <w:p>
            <w:pPr>
              <w:pStyle w:val="Normal"/>
              <w:rPr/>
            </w:pPr>
            <w:r>
              <w:rPr/>
            </w:r>
          </w:p>
        </w:tc>
        <w:tc>
          <w:tcPr>
            <w:tcW w:w="60" w:type="dxa"/>
            <w:vMerge w:val="continue"/>
            <w:tcBorders>
              <w:bottom w:val="single" w:sz="12" w:space="0" w:color="000000"/>
            </w:tcBorders>
            <w:shd w:fill="auto" w:val="clear"/>
            <w:vAlign w:val="center"/>
          </w:tcPr>
          <w:p>
            <w:pPr>
              <w:pStyle w:val="Normal"/>
              <w:rPr/>
            </w:pPr>
            <w:r>
              <w:rPr/>
            </w:r>
          </w:p>
        </w:tc>
        <w:tc>
          <w:tcPr>
            <w:tcW w:w="695" w:type="dxa"/>
            <w:vMerge w:val="continue"/>
            <w:tcBorders>
              <w:bottom w:val="single" w:sz="12" w:space="0" w:color="000000"/>
            </w:tcBorders>
            <w:shd w:fill="auto" w:val="clear"/>
            <w:vAlign w:val="center"/>
          </w:tcPr>
          <w:p>
            <w:pPr>
              <w:pStyle w:val="Normal"/>
              <w:rPr/>
            </w:pPr>
            <w:r>
              <w:rPr/>
            </w:r>
          </w:p>
        </w:tc>
        <w:tc>
          <w:tcPr>
            <w:tcW w:w="60" w:type="dxa"/>
            <w:vMerge w:val="continue"/>
            <w:tcBorders>
              <w:bottom w:val="single" w:sz="12" w:space="0" w:color="000000"/>
            </w:tcBorders>
            <w:shd w:fill="auto" w:val="clear"/>
            <w:vAlign w:val="center"/>
          </w:tcPr>
          <w:p>
            <w:pPr>
              <w:pStyle w:val="Normal"/>
              <w:rPr/>
            </w:pPr>
            <w:r>
              <w:rPr/>
            </w:r>
          </w:p>
        </w:tc>
        <w:tc>
          <w:tcPr>
            <w:tcW w:w="845" w:type="dxa"/>
            <w:vMerge w:val="continue"/>
            <w:tcBorders>
              <w:bottom w:val="single" w:sz="12" w:space="0" w:color="000000"/>
            </w:tcBorders>
            <w:shd w:fill="auto" w:val="clear"/>
            <w:vAlign w:val="center"/>
          </w:tcPr>
          <w:p>
            <w:pPr>
              <w:pStyle w:val="Normal"/>
              <w:rPr/>
            </w:pPr>
            <w:r>
              <w:rPr/>
            </w:r>
          </w:p>
        </w:tc>
      </w:tr>
      <w:tr>
        <w:trPr/>
        <w:tc>
          <w:tcPr>
            <w:tcW w:w="762" w:type="dxa"/>
            <w:vMerge w:val="restart"/>
            <w:tcBorders>
              <w:bottom w:val="single" w:sz="8" w:space="0" w:color="000000"/>
            </w:tcBorders>
            <w:shd w:fill="auto" w:val="clear"/>
            <w:vAlign w:val="center"/>
          </w:tcPr>
          <w:p>
            <w:pPr>
              <w:pStyle w:val="TableContents"/>
              <w:spacing w:before="0" w:after="283"/>
              <w:jc w:val="left"/>
              <w:rPr/>
            </w:pPr>
            <w:r>
              <w:rPr>
                <w:rStyle w:val="StrongEmphasis"/>
                <w:rFonts w:ascii="Arial" w:hAnsi="Arial"/>
                <w:sz w:val="15"/>
              </w:rPr>
              <w:t>Brian L.</w:t>
              <w:br/>
              <w:t>Roberts</w:t>
            </w:r>
          </w:p>
        </w:tc>
        <w:tc>
          <w:tcPr>
            <w:tcW w:w="60" w:type="dxa"/>
            <w:tcBorders/>
            <w:shd w:fill="auto" w:val="clear"/>
            <w:tcMar>
              <w:bottom w:w="0" w:type="dxa"/>
            </w:tcMar>
            <w:vAlign w:val="center"/>
          </w:tcPr>
          <w:p>
            <w:pPr>
              <w:pStyle w:val="TableContents"/>
              <w:spacing w:before="0" w:after="283"/>
              <w:rPr>
                <w:sz w:val="4"/>
                <w:szCs w:val="4"/>
              </w:rPr>
            </w:pPr>
            <w:r>
              <w:rPr>
                <w:sz w:val="4"/>
                <w:szCs w:val="4"/>
              </w:rPr>
            </w:r>
          </w:p>
        </w:tc>
        <w:tc>
          <w:tcPr>
            <w:tcW w:w="638" w:type="dxa"/>
            <w:tcBorders>
              <w:bottom w:val="single" w:sz="8" w:space="0" w:color="000000"/>
            </w:tcBorders>
            <w:shd w:fill="auto" w:val="clear"/>
            <w:vAlign w:val="center"/>
          </w:tcPr>
          <w:p>
            <w:pPr>
              <w:pStyle w:val="TableContents"/>
              <w:spacing w:before="0" w:after="283"/>
              <w:jc w:val="right"/>
              <w:rPr/>
            </w:pPr>
            <w:r>
              <w:rPr/>
              <w:t>—</w:t>
            </w:r>
          </w:p>
        </w:tc>
        <w:tc>
          <w:tcPr>
            <w:tcW w:w="6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1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6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15"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1,050,000</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740" w:type="dxa"/>
            <w:tcBorders>
              <w:bottom w:val="single" w:sz="8" w:space="0" w:color="000000"/>
            </w:tcBorders>
            <w:shd w:fill="auto" w:val="clear"/>
            <w:vAlign w:val="center"/>
          </w:tcPr>
          <w:p>
            <w:pPr>
              <w:pStyle w:val="TableContents"/>
              <w:spacing w:before="0" w:after="283"/>
              <w:jc w:val="center"/>
              <w:rPr>
                <w:rFonts w:ascii="Arial" w:hAnsi="Arial"/>
                <w:sz w:val="15"/>
              </w:rPr>
            </w:pPr>
            <w:r>
              <w:rPr>
                <w:rFonts w:ascii="Arial" w:hAnsi="Arial"/>
                <w:sz w:val="15"/>
              </w:rPr>
              <w:t>7,500,000</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vAlign w:val="center"/>
          </w:tcPr>
          <w:p>
            <w:pPr>
              <w:pStyle w:val="TableContents"/>
              <w:spacing w:before="0" w:after="283"/>
              <w:jc w:val="left"/>
              <w:rPr>
                <w:rFonts w:ascii="Arial" w:hAnsi="Arial"/>
                <w:sz w:val="15"/>
              </w:rPr>
            </w:pPr>
            <w:r>
              <w:rPr>
                <w:rFonts w:ascii="Arial" w:hAnsi="Arial"/>
                <w:sz w:val="15"/>
              </w:rPr>
              <w:t>13,875,000</w:t>
            </w:r>
          </w:p>
        </w:tc>
        <w:tc>
          <w:tcPr>
            <w:tcW w:w="6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15"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74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74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6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75"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6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695"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6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45" w:type="dxa"/>
            <w:tcBorders>
              <w:bottom w:val="single" w:sz="8" w:space="0" w:color="000000"/>
            </w:tcBorders>
            <w:shd w:fill="auto" w:val="clear"/>
            <w:vAlign w:val="center"/>
          </w:tcPr>
          <w:p>
            <w:pPr>
              <w:pStyle w:val="TableContents"/>
              <w:spacing w:before="0" w:after="283"/>
              <w:rPr>
                <w:sz w:val="4"/>
                <w:szCs w:val="4"/>
              </w:rPr>
            </w:pPr>
            <w:r>
              <w:rPr>
                <w:sz w:val="4"/>
                <w:szCs w:val="4"/>
              </w:rPr>
            </w:r>
          </w:p>
        </w:tc>
      </w:tr>
      <w:tr>
        <w:trPr/>
        <w:tc>
          <w:tcPr>
            <w:tcW w:w="762" w:type="dxa"/>
            <w:vMerge w:val="continue"/>
            <w:tcBorders>
              <w:bottom w:val="single" w:sz="8" w:space="0" w:color="000000"/>
            </w:tcBorders>
            <w:shd w:fill="auto" w:val="clear"/>
            <w:vAlign w:val="center"/>
          </w:tcPr>
          <w:p>
            <w:pPr>
              <w:pStyle w:val="Normal"/>
              <w:rPr/>
            </w:pPr>
            <w:r>
              <w:rPr/>
            </w:r>
          </w:p>
        </w:tc>
        <w:tc>
          <w:tcPr>
            <w:tcW w:w="60" w:type="dxa"/>
            <w:tcBorders/>
            <w:shd w:fill="auto" w:val="clear"/>
            <w:tcMar>
              <w:bottom w:w="0" w:type="dxa"/>
            </w:tcMar>
            <w:vAlign w:val="center"/>
          </w:tcPr>
          <w:p>
            <w:pPr>
              <w:pStyle w:val="TableContents"/>
              <w:spacing w:before="0" w:after="283"/>
              <w:rPr>
                <w:sz w:val="4"/>
                <w:szCs w:val="4"/>
              </w:rPr>
            </w:pPr>
            <w:r>
              <w:rPr>
                <w:sz w:val="4"/>
                <w:szCs w:val="4"/>
              </w:rPr>
            </w:r>
          </w:p>
        </w:tc>
        <w:tc>
          <w:tcPr>
            <w:tcW w:w="638"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3/1/2022</w:t>
            </w:r>
          </w:p>
        </w:tc>
        <w:tc>
          <w:tcPr>
            <w:tcW w:w="6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10"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2/22/2022</w:t>
            </w:r>
          </w:p>
        </w:tc>
        <w:tc>
          <w:tcPr>
            <w:tcW w:w="6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15"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74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6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15"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51,412</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740"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274,200</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740"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685,500</w:t>
            </w:r>
          </w:p>
        </w:tc>
        <w:tc>
          <w:tcPr>
            <w:tcW w:w="6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75"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6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695"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6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45"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13,383,702</w:t>
            </w:r>
          </w:p>
        </w:tc>
      </w:tr>
      <w:tr>
        <w:trPr/>
        <w:tc>
          <w:tcPr>
            <w:tcW w:w="762" w:type="dxa"/>
            <w:vMerge w:val="continue"/>
            <w:tcBorders>
              <w:bottom w:val="single" w:sz="8" w:space="0" w:color="000000"/>
            </w:tcBorders>
            <w:shd w:fill="auto" w:val="clear"/>
            <w:vAlign w:val="center"/>
          </w:tcPr>
          <w:p>
            <w:pPr>
              <w:pStyle w:val="Normal"/>
              <w:rPr/>
            </w:pPr>
            <w:r>
              <w:rPr/>
            </w:r>
          </w:p>
        </w:tc>
        <w:tc>
          <w:tcPr>
            <w:tcW w:w="6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638"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3/1/2022</w:t>
            </w:r>
          </w:p>
        </w:tc>
        <w:tc>
          <w:tcPr>
            <w:tcW w:w="6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10"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2/22/2022</w:t>
            </w:r>
          </w:p>
        </w:tc>
        <w:tc>
          <w:tcPr>
            <w:tcW w:w="6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15"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74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6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15"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74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74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6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75"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962,545</w:t>
            </w:r>
          </w:p>
        </w:tc>
        <w:tc>
          <w:tcPr>
            <w:tcW w:w="6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695"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46.39</w:t>
            </w:r>
          </w:p>
        </w:tc>
        <w:tc>
          <w:tcPr>
            <w:tcW w:w="6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45"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8,480,021</w:t>
            </w:r>
          </w:p>
        </w:tc>
      </w:tr>
      <w:tr>
        <w:trPr/>
        <w:tc>
          <w:tcPr>
            <w:tcW w:w="762" w:type="dxa"/>
            <w:vMerge w:val="restart"/>
            <w:tcBorders>
              <w:bottom w:val="single" w:sz="8" w:space="0" w:color="000000"/>
            </w:tcBorders>
            <w:shd w:fill="auto" w:val="clear"/>
            <w:vAlign w:val="center"/>
          </w:tcPr>
          <w:p>
            <w:pPr>
              <w:pStyle w:val="TableContents"/>
              <w:spacing w:before="0" w:after="283"/>
              <w:jc w:val="left"/>
              <w:rPr/>
            </w:pPr>
            <w:r>
              <w:rPr>
                <w:rStyle w:val="StrongEmphasis"/>
                <w:rFonts w:ascii="Arial" w:hAnsi="Arial"/>
                <w:sz w:val="15"/>
              </w:rPr>
              <w:t>Michael J.</w:t>
              <w:br/>
              <w:t>Cavanagh</w:t>
            </w:r>
          </w:p>
        </w:tc>
        <w:tc>
          <w:tcPr>
            <w:tcW w:w="60" w:type="dxa"/>
            <w:tcBorders/>
            <w:shd w:fill="auto" w:val="clear"/>
            <w:tcMar>
              <w:bottom w:w="0" w:type="dxa"/>
            </w:tcMar>
            <w:vAlign w:val="center"/>
          </w:tcPr>
          <w:p>
            <w:pPr>
              <w:pStyle w:val="TableContents"/>
              <w:spacing w:before="0" w:after="283"/>
              <w:rPr>
                <w:sz w:val="4"/>
                <w:szCs w:val="4"/>
              </w:rPr>
            </w:pPr>
            <w:r>
              <w:rPr>
                <w:sz w:val="4"/>
                <w:szCs w:val="4"/>
              </w:rPr>
            </w:r>
          </w:p>
        </w:tc>
        <w:tc>
          <w:tcPr>
            <w:tcW w:w="638" w:type="dxa"/>
            <w:tcBorders>
              <w:bottom w:val="single" w:sz="8" w:space="0" w:color="000000"/>
            </w:tcBorders>
            <w:shd w:fill="auto" w:val="clear"/>
            <w:vAlign w:val="center"/>
          </w:tcPr>
          <w:p>
            <w:pPr>
              <w:pStyle w:val="TableContents"/>
              <w:spacing w:before="0" w:after="283"/>
              <w:jc w:val="right"/>
              <w:rPr/>
            </w:pPr>
            <w:r>
              <w:rPr/>
              <w:t>—</w:t>
            </w:r>
          </w:p>
        </w:tc>
        <w:tc>
          <w:tcPr>
            <w:tcW w:w="6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1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6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15"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966,000</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740" w:type="dxa"/>
            <w:tcBorders>
              <w:bottom w:val="single" w:sz="8" w:space="0" w:color="000000"/>
            </w:tcBorders>
            <w:shd w:fill="auto" w:val="clear"/>
            <w:vAlign w:val="center"/>
          </w:tcPr>
          <w:p>
            <w:pPr>
              <w:pStyle w:val="TableContents"/>
              <w:spacing w:before="0" w:after="283"/>
              <w:jc w:val="center"/>
              <w:rPr>
                <w:rFonts w:ascii="Arial" w:hAnsi="Arial"/>
                <w:sz w:val="15"/>
              </w:rPr>
            </w:pPr>
            <w:r>
              <w:rPr>
                <w:rFonts w:ascii="Arial" w:hAnsi="Arial"/>
                <w:sz w:val="15"/>
              </w:rPr>
              <w:t>6,900,000</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vAlign w:val="center"/>
          </w:tcPr>
          <w:p>
            <w:pPr>
              <w:pStyle w:val="TableContents"/>
              <w:spacing w:before="0" w:after="283"/>
              <w:jc w:val="left"/>
              <w:rPr>
                <w:rFonts w:ascii="Arial" w:hAnsi="Arial"/>
                <w:sz w:val="15"/>
              </w:rPr>
            </w:pPr>
            <w:r>
              <w:rPr>
                <w:rFonts w:ascii="Arial" w:hAnsi="Arial"/>
                <w:sz w:val="15"/>
              </w:rPr>
              <w:t>12,765,000</w:t>
            </w:r>
          </w:p>
        </w:tc>
        <w:tc>
          <w:tcPr>
            <w:tcW w:w="6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15"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74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74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6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75"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6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695"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6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45" w:type="dxa"/>
            <w:tcBorders>
              <w:bottom w:val="single" w:sz="8" w:space="0" w:color="000000"/>
            </w:tcBorders>
            <w:shd w:fill="auto" w:val="clear"/>
            <w:vAlign w:val="center"/>
          </w:tcPr>
          <w:p>
            <w:pPr>
              <w:pStyle w:val="TableContents"/>
              <w:spacing w:before="0" w:after="283"/>
              <w:rPr>
                <w:sz w:val="4"/>
                <w:szCs w:val="4"/>
              </w:rPr>
            </w:pPr>
            <w:r>
              <w:rPr>
                <w:sz w:val="4"/>
                <w:szCs w:val="4"/>
              </w:rPr>
            </w:r>
          </w:p>
        </w:tc>
      </w:tr>
      <w:tr>
        <w:trPr/>
        <w:tc>
          <w:tcPr>
            <w:tcW w:w="762" w:type="dxa"/>
            <w:vMerge w:val="continue"/>
            <w:tcBorders>
              <w:bottom w:val="single" w:sz="8" w:space="0" w:color="000000"/>
            </w:tcBorders>
            <w:shd w:fill="auto" w:val="clear"/>
            <w:vAlign w:val="center"/>
          </w:tcPr>
          <w:p>
            <w:pPr>
              <w:pStyle w:val="Normal"/>
              <w:rPr/>
            </w:pPr>
            <w:r>
              <w:rPr/>
            </w:r>
          </w:p>
        </w:tc>
        <w:tc>
          <w:tcPr>
            <w:tcW w:w="60" w:type="dxa"/>
            <w:tcBorders/>
            <w:shd w:fill="auto" w:val="clear"/>
            <w:tcMar>
              <w:bottom w:w="0" w:type="dxa"/>
            </w:tcMar>
            <w:vAlign w:val="center"/>
          </w:tcPr>
          <w:p>
            <w:pPr>
              <w:pStyle w:val="TableContents"/>
              <w:spacing w:before="0" w:after="283"/>
              <w:rPr>
                <w:sz w:val="4"/>
                <w:szCs w:val="4"/>
              </w:rPr>
            </w:pPr>
            <w:r>
              <w:rPr>
                <w:sz w:val="4"/>
                <w:szCs w:val="4"/>
              </w:rPr>
            </w:r>
          </w:p>
        </w:tc>
        <w:tc>
          <w:tcPr>
            <w:tcW w:w="638"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3/1/2022</w:t>
            </w:r>
          </w:p>
        </w:tc>
        <w:tc>
          <w:tcPr>
            <w:tcW w:w="6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10"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2/22/2022</w:t>
            </w:r>
          </w:p>
        </w:tc>
        <w:tc>
          <w:tcPr>
            <w:tcW w:w="6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15"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74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6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15"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38,316</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740"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204,355</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740"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510,887</w:t>
            </w:r>
          </w:p>
        </w:tc>
        <w:tc>
          <w:tcPr>
            <w:tcW w:w="6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75"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6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695"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6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45"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9,974,568</w:t>
            </w:r>
          </w:p>
        </w:tc>
      </w:tr>
      <w:tr>
        <w:trPr/>
        <w:tc>
          <w:tcPr>
            <w:tcW w:w="762" w:type="dxa"/>
            <w:vMerge w:val="continue"/>
            <w:tcBorders>
              <w:bottom w:val="single" w:sz="8" w:space="0" w:color="000000"/>
            </w:tcBorders>
            <w:shd w:fill="auto" w:val="clear"/>
            <w:vAlign w:val="center"/>
          </w:tcPr>
          <w:p>
            <w:pPr>
              <w:pStyle w:val="Normal"/>
              <w:rPr/>
            </w:pPr>
            <w:r>
              <w:rPr/>
            </w:r>
          </w:p>
        </w:tc>
        <w:tc>
          <w:tcPr>
            <w:tcW w:w="60" w:type="dxa"/>
            <w:tcBorders/>
            <w:shd w:fill="auto" w:val="clear"/>
            <w:tcMar>
              <w:bottom w:w="0" w:type="dxa"/>
            </w:tcMar>
            <w:vAlign w:val="center"/>
          </w:tcPr>
          <w:p>
            <w:pPr>
              <w:pStyle w:val="TableContents"/>
              <w:spacing w:before="0" w:after="283"/>
              <w:rPr>
                <w:sz w:val="4"/>
                <w:szCs w:val="4"/>
              </w:rPr>
            </w:pPr>
            <w:r>
              <w:rPr>
                <w:sz w:val="4"/>
                <w:szCs w:val="4"/>
              </w:rPr>
            </w:r>
          </w:p>
        </w:tc>
        <w:tc>
          <w:tcPr>
            <w:tcW w:w="638"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3/1/2022</w:t>
            </w:r>
          </w:p>
        </w:tc>
        <w:tc>
          <w:tcPr>
            <w:tcW w:w="6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10"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2/22/2022</w:t>
            </w:r>
          </w:p>
        </w:tc>
        <w:tc>
          <w:tcPr>
            <w:tcW w:w="6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15"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74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6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15"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74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74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6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75"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717,370</w:t>
            </w:r>
          </w:p>
        </w:tc>
        <w:tc>
          <w:tcPr>
            <w:tcW w:w="6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695"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46.39</w:t>
            </w:r>
          </w:p>
        </w:tc>
        <w:tc>
          <w:tcPr>
            <w:tcW w:w="6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45"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6,320,030</w:t>
            </w:r>
          </w:p>
        </w:tc>
      </w:tr>
      <w:tr>
        <w:trPr/>
        <w:tc>
          <w:tcPr>
            <w:tcW w:w="762" w:type="dxa"/>
            <w:vMerge w:val="continue"/>
            <w:tcBorders>
              <w:bottom w:val="single" w:sz="8" w:space="0" w:color="000000"/>
            </w:tcBorders>
            <w:shd w:fill="auto" w:val="clear"/>
            <w:vAlign w:val="center"/>
          </w:tcPr>
          <w:p>
            <w:pPr>
              <w:pStyle w:val="Normal"/>
              <w:rPr/>
            </w:pPr>
            <w:r>
              <w:rPr/>
            </w:r>
          </w:p>
        </w:tc>
        <w:tc>
          <w:tcPr>
            <w:tcW w:w="6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638"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12/30/2022</w:t>
            </w:r>
          </w:p>
        </w:tc>
        <w:tc>
          <w:tcPr>
            <w:tcW w:w="6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10" w:type="dxa"/>
            <w:tcBorders>
              <w:bottom w:val="single" w:sz="8" w:space="0" w:color="000000"/>
            </w:tcBorders>
            <w:shd w:fill="auto" w:val="clear"/>
            <w:vAlign w:val="center"/>
          </w:tcPr>
          <w:p>
            <w:pPr>
              <w:pStyle w:val="TableContents"/>
              <w:spacing w:before="0" w:after="283"/>
              <w:jc w:val="right"/>
              <w:rPr/>
            </w:pPr>
            <w:r>
              <w:rPr/>
              <w:t> </w:t>
            </w:r>
            <w:r>
              <w:rPr>
                <w:rFonts w:ascii="Arial" w:hAnsi="Arial"/>
                <w:sz w:val="15"/>
              </w:rPr>
              <w:t>12/19/2022</w:t>
            </w:r>
          </w:p>
        </w:tc>
        <w:tc>
          <w:tcPr>
            <w:tcW w:w="6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15"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74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6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15"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 xml:space="preserve">1,000,000 </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740"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2,000,000</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740"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4,000,000</w:t>
            </w:r>
          </w:p>
        </w:tc>
        <w:tc>
          <w:tcPr>
            <w:tcW w:w="6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75"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6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695"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34.97</w:t>
            </w:r>
          </w:p>
        </w:tc>
        <w:tc>
          <w:tcPr>
            <w:tcW w:w="6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45"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14,800,000</w:t>
            </w:r>
          </w:p>
        </w:tc>
      </w:tr>
    </w:tbl>
    <w:p>
      <w:pPr>
        <w:pStyle w:val="TextBody"/>
        <w:spacing w:before="0" w:after="0"/>
        <w:rPr/>
      </w:pPr>
      <w:r>
        <w:rPr/>
      </w:r>
    </w:p>
    <w:tbl>
      <w:tblPr>
        <w:tblW w:w="2095" w:type="dxa"/>
        <w:jc w:val="left"/>
        <w:tblInd w:w="0" w:type="dxa"/>
        <w:tblCellMar>
          <w:top w:w="0" w:type="dxa"/>
          <w:left w:w="0" w:type="dxa"/>
          <w:bottom w:w="0" w:type="dxa"/>
          <w:right w:w="0" w:type="dxa"/>
        </w:tblCellMar>
      </w:tblPr>
      <w:tblGrid>
        <w:gridCol w:w="1895"/>
        <w:gridCol w:w="200"/>
      </w:tblGrid>
      <w:tr>
        <w:trPr/>
        <w:tc>
          <w:tcPr>
            <w:tcW w:w="1895" w:type="dxa"/>
            <w:tcBorders/>
            <w:shd w:fill="auto" w:val="clear"/>
            <w:vAlign w:val="center"/>
          </w:tcPr>
          <w:p>
            <w:pPr>
              <w:pStyle w:val="TableContents"/>
              <w:spacing w:before="0" w:after="283"/>
              <w:jc w:val="right"/>
              <w:rPr>
                <w:rFonts w:ascii="Arial" w:hAnsi="Arial"/>
                <w:sz w:val="15"/>
              </w:rPr>
            </w:pPr>
            <w:r>
              <w:rPr>
                <w:rFonts w:ascii="Arial" w:hAnsi="Arial"/>
                <w:sz w:val="15"/>
              </w:rPr>
              <w:t>2023 Proxy Statement       </w:t>
            </w:r>
          </w:p>
        </w:tc>
        <w:tc>
          <w:tcPr>
            <w:tcW w:w="200" w:type="dxa"/>
            <w:tcBorders/>
            <w:shd w:fill="auto" w:val="clear"/>
            <w:vAlign w:val="center"/>
          </w:tcPr>
          <w:p>
            <w:pPr>
              <w:pStyle w:val="TableContents"/>
              <w:spacing w:before="0" w:after="283"/>
              <w:jc w:val="right"/>
              <w:rPr/>
            </w:pPr>
            <w:r>
              <w:rPr>
                <w:rStyle w:val="StrongEmphasis"/>
                <w:rFonts w:ascii="Arial" w:hAnsi="Arial"/>
                <w:sz w:val="15"/>
              </w:rPr>
              <w:t>55</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9918" w:type="dxa"/>
        <w:jc w:val="left"/>
        <w:tblInd w:w="0" w:type="dxa"/>
        <w:tblCellMar>
          <w:top w:w="0" w:type="dxa"/>
          <w:left w:w="0" w:type="dxa"/>
          <w:bottom w:w="0" w:type="dxa"/>
          <w:right w:w="0" w:type="dxa"/>
        </w:tblCellMar>
      </w:tblPr>
      <w:tblGrid>
        <w:gridCol w:w="560"/>
        <w:gridCol w:w="120"/>
        <w:gridCol w:w="560"/>
        <w:gridCol w:w="120"/>
        <w:gridCol w:w="740"/>
        <w:gridCol w:w="120"/>
        <w:gridCol w:w="847"/>
        <w:gridCol w:w="124"/>
        <w:gridCol w:w="660"/>
        <w:gridCol w:w="124"/>
        <w:gridCol w:w="738"/>
        <w:gridCol w:w="120"/>
        <w:gridCol w:w="815"/>
        <w:gridCol w:w="120"/>
        <w:gridCol w:w="590"/>
        <w:gridCol w:w="120"/>
        <w:gridCol w:w="650"/>
        <w:gridCol w:w="120"/>
        <w:gridCol w:w="875"/>
        <w:gridCol w:w="120"/>
        <w:gridCol w:w="695"/>
        <w:gridCol w:w="120"/>
        <w:gridCol w:w="860"/>
      </w:tblGrid>
      <w:tr>
        <w:trPr/>
        <w:tc>
          <w:tcPr>
            <w:tcW w:w="5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493" w:type="dxa"/>
            <w:gridSpan w:val="5"/>
            <w:tcBorders>
              <w:bottom w:val="single" w:sz="8" w:space="0" w:color="000000"/>
            </w:tcBorders>
            <w:shd w:fill="auto" w:val="clear"/>
            <w:tcMar>
              <w:bottom w:w="28" w:type="dxa"/>
            </w:tcMar>
            <w:vAlign w:val="center"/>
          </w:tcPr>
          <w:p>
            <w:pPr>
              <w:pStyle w:val="TableContents"/>
              <w:spacing w:before="0" w:after="283"/>
              <w:jc w:val="center"/>
              <w:rPr>
                <w:rFonts w:ascii="Arial" w:hAnsi="Arial"/>
                <w:sz w:val="14"/>
              </w:rPr>
            </w:pPr>
            <w:r>
              <w:rPr>
                <w:rFonts w:ascii="Arial" w:hAnsi="Arial"/>
                <w:sz w:val="14"/>
              </w:rPr>
              <w:br/>
              <w:br/>
            </w:r>
            <w:r>
              <w:rPr>
                <w:rFonts w:ascii="Arial" w:hAnsi="Arial"/>
                <w:b/>
                <w:sz w:val="14"/>
              </w:rPr>
              <w:t>ESTIMATED FUTURE PAYOUTS UNDER</w:t>
              <w:br/>
              <w:t>NON-EQUITY INCENTIVE PLAN</w:t>
              <w:br/>
              <w:t>AWARDS</w:t>
            </w:r>
            <w:r>
              <w:rPr>
                <w:rFonts w:ascii="Arial" w:hAnsi="Arial"/>
                <w:b/>
                <w:position w:val="5"/>
                <w:sz w:val="11"/>
                <w:sz w:val="14"/>
              </w:rPr>
              <w:t>(1)</w:t>
            </w:r>
            <w:r>
              <w:rPr>
                <w:rFonts w:ascii="Arial" w:hAnsi="Arial"/>
                <w:b/>
                <w:sz w:val="14"/>
              </w:rPr>
              <w:br/>
              <w:t>($)</w:t>
            </w:r>
          </w:p>
        </w:tc>
        <w:tc>
          <w:tcPr>
            <w:tcW w:w="120" w:type="dxa"/>
            <w:tcBorders/>
            <w:shd w:fill="auto" w:val="clear"/>
            <w:vAlign w:val="center"/>
          </w:tcPr>
          <w:p>
            <w:pPr>
              <w:pStyle w:val="TableContents"/>
              <w:spacing w:before="0" w:after="283"/>
              <w:rPr>
                <w:sz w:val="4"/>
                <w:szCs w:val="4"/>
              </w:rPr>
            </w:pPr>
            <w:r>
              <w:rPr>
                <w:sz w:val="4"/>
                <w:szCs w:val="4"/>
              </w:rPr>
            </w:r>
          </w:p>
        </w:tc>
        <w:tc>
          <w:tcPr>
            <w:tcW w:w="2295" w:type="dxa"/>
            <w:gridSpan w:val="5"/>
            <w:tcBorders>
              <w:bottom w:val="single" w:sz="8" w:space="0" w:color="000000"/>
            </w:tcBorders>
            <w:shd w:fill="auto" w:val="clear"/>
            <w:tcMar>
              <w:bottom w:w="28" w:type="dxa"/>
            </w:tcMar>
            <w:vAlign w:val="center"/>
          </w:tcPr>
          <w:p>
            <w:pPr>
              <w:pStyle w:val="TableContents"/>
              <w:spacing w:before="0" w:after="283"/>
              <w:jc w:val="center"/>
              <w:rPr>
                <w:rFonts w:ascii="Arial" w:hAnsi="Arial"/>
                <w:b/>
                <w:sz w:val="14"/>
              </w:rPr>
            </w:pPr>
            <w:r>
              <w:rPr>
                <w:rFonts w:ascii="Arial" w:hAnsi="Arial"/>
                <w:b/>
                <w:sz w:val="14"/>
              </w:rPr>
              <w:t>ESTIMATED FUTURE PAYOUTS</w:t>
              <w:br/>
              <w:t>UNDER EQUITY</w:t>
              <w:br/>
              <w:t>INCENTIVE PLAN AWARDS</w:t>
            </w:r>
            <w:r>
              <w:rPr>
                <w:rFonts w:ascii="Arial" w:hAnsi="Arial"/>
                <w:b/>
                <w:position w:val="5"/>
                <w:sz w:val="11"/>
                <w:sz w:val="14"/>
              </w:rPr>
              <w:t>(2)</w:t>
            </w:r>
          </w:p>
        </w:tc>
        <w:tc>
          <w:tcPr>
            <w:tcW w:w="120" w:type="dxa"/>
            <w:tcBorders/>
            <w:shd w:fill="auto" w:val="clear"/>
            <w:vAlign w:val="center"/>
          </w:tcPr>
          <w:p>
            <w:pPr>
              <w:pStyle w:val="TableContents"/>
              <w:spacing w:before="0" w:after="283"/>
              <w:rPr>
                <w:sz w:val="4"/>
                <w:szCs w:val="4"/>
              </w:rPr>
            </w:pPr>
            <w:r>
              <w:rPr>
                <w:sz w:val="4"/>
                <w:szCs w:val="4"/>
              </w:rPr>
            </w:r>
          </w:p>
        </w:tc>
        <w:tc>
          <w:tcPr>
            <w:tcW w:w="875" w:type="dxa"/>
            <w:vMerge w:val="restart"/>
            <w:tcBorders>
              <w:bottom w:val="single" w:sz="12" w:space="0" w:color="000000"/>
            </w:tcBorders>
            <w:shd w:fill="auto" w:val="clear"/>
            <w:tcMar>
              <w:bottom w:w="28" w:type="dxa"/>
            </w:tcMar>
            <w:vAlign w:val="center"/>
          </w:tcPr>
          <w:p>
            <w:pPr>
              <w:pStyle w:val="TableContents"/>
              <w:spacing w:before="0" w:after="283"/>
              <w:jc w:val="center"/>
              <w:rPr>
                <w:rFonts w:ascii="Arial" w:hAnsi="Arial"/>
                <w:b/>
                <w:sz w:val="14"/>
              </w:rPr>
            </w:pPr>
            <w:r>
              <w:rPr>
                <w:rFonts w:ascii="Arial" w:hAnsi="Arial"/>
                <w:b/>
                <w:sz w:val="14"/>
              </w:rPr>
              <w:t>ALL OTHER</w:t>
              <w:br/>
              <w:t>OPTION</w:t>
              <w:br/>
              <w:t>AWARDS:</w:t>
              <w:br/>
              <w:t>NUMBER OF</w:t>
              <w:br/>
              <w:t>SECURITIES</w:t>
              <w:br/>
              <w:t>UNDERLYING</w:t>
              <w:br/>
              <w:t>OPTIONS</w:t>
            </w:r>
            <w:r>
              <w:rPr>
                <w:rFonts w:ascii="Arial" w:hAnsi="Arial"/>
                <w:b/>
                <w:position w:val="5"/>
                <w:sz w:val="11"/>
                <w:sz w:val="14"/>
              </w:rPr>
              <w:t>(3)</w:t>
              <w:br/>
            </w:r>
            <w:r>
              <w:rPr>
                <w:rFonts w:ascii="Arial" w:hAnsi="Arial"/>
                <w:b/>
                <w:sz w:val="14"/>
              </w:rPr>
              <w:t>(g)</w:t>
            </w:r>
          </w:p>
        </w:tc>
        <w:tc>
          <w:tcPr>
            <w:tcW w:w="120" w:type="dxa"/>
            <w:tcBorders/>
            <w:shd w:fill="auto" w:val="clear"/>
            <w:vAlign w:val="center"/>
          </w:tcPr>
          <w:p>
            <w:pPr>
              <w:pStyle w:val="TableContents"/>
              <w:spacing w:before="0" w:after="283"/>
              <w:rPr>
                <w:sz w:val="4"/>
                <w:szCs w:val="4"/>
              </w:rPr>
            </w:pPr>
            <w:r>
              <w:rPr>
                <w:sz w:val="4"/>
                <w:szCs w:val="4"/>
              </w:rPr>
            </w:r>
          </w:p>
        </w:tc>
        <w:tc>
          <w:tcPr>
            <w:tcW w:w="695" w:type="dxa"/>
            <w:vMerge w:val="restart"/>
            <w:tcBorders>
              <w:bottom w:val="single" w:sz="12" w:space="0" w:color="000000"/>
            </w:tcBorders>
            <w:shd w:fill="auto" w:val="clear"/>
            <w:tcMar>
              <w:bottom w:w="28" w:type="dxa"/>
            </w:tcMar>
            <w:vAlign w:val="center"/>
          </w:tcPr>
          <w:p>
            <w:pPr>
              <w:pStyle w:val="TableContents"/>
              <w:spacing w:before="0" w:after="283"/>
              <w:jc w:val="center"/>
              <w:rPr>
                <w:b/>
              </w:rPr>
            </w:pPr>
            <w:r>
              <w:rPr>
                <w:b/>
              </w:rPr>
              <w:br/>
            </w:r>
            <w:r>
              <w:rPr>
                <w:rFonts w:ascii="Arial" w:hAnsi="Arial"/>
                <w:b/>
                <w:sz w:val="14"/>
              </w:rPr>
              <w:t>EXERCISE</w:t>
              <w:br/>
              <w:t>OR BASE</w:t>
              <w:br/>
              <w:t>PRICE OF</w:t>
              <w:br/>
              <w:t>OPTION</w:t>
              <w:br/>
              <w:t>AWARDS</w:t>
              <w:br/>
              <w:t>($)</w:t>
              <w:br/>
              <w:t>(h)</w:t>
            </w:r>
          </w:p>
        </w:tc>
        <w:tc>
          <w:tcPr>
            <w:tcW w:w="120" w:type="dxa"/>
            <w:tcBorders/>
            <w:shd w:fill="auto" w:val="clear"/>
            <w:vAlign w:val="center"/>
          </w:tcPr>
          <w:p>
            <w:pPr>
              <w:pStyle w:val="TableContents"/>
              <w:spacing w:before="0" w:after="283"/>
              <w:rPr>
                <w:sz w:val="4"/>
                <w:szCs w:val="4"/>
              </w:rPr>
            </w:pPr>
            <w:r>
              <w:rPr>
                <w:sz w:val="4"/>
                <w:szCs w:val="4"/>
              </w:rPr>
            </w:r>
          </w:p>
        </w:tc>
        <w:tc>
          <w:tcPr>
            <w:tcW w:w="860" w:type="dxa"/>
            <w:vMerge w:val="restart"/>
            <w:tcBorders>
              <w:bottom w:val="single" w:sz="12" w:space="0" w:color="000000"/>
            </w:tcBorders>
            <w:shd w:fill="auto" w:val="clear"/>
            <w:tcMar>
              <w:bottom w:w="28" w:type="dxa"/>
            </w:tcMar>
            <w:vAlign w:val="center"/>
          </w:tcPr>
          <w:p>
            <w:pPr>
              <w:pStyle w:val="TableContents"/>
              <w:spacing w:before="0" w:after="283"/>
              <w:jc w:val="center"/>
              <w:rPr>
                <w:b/>
              </w:rPr>
            </w:pPr>
            <w:r>
              <w:rPr>
                <w:b/>
              </w:rPr>
              <w:br/>
            </w:r>
            <w:r>
              <w:rPr>
                <w:rFonts w:ascii="Arial" w:hAnsi="Arial"/>
                <w:b/>
                <w:sz w:val="14"/>
              </w:rPr>
              <w:t>GRANT DATE</w:t>
              <w:br/>
              <w:t>FAIR VALUE</w:t>
              <w:br/>
              <w:t>OF STOCK</w:t>
              <w:br/>
              <w:t>AND OPTION</w:t>
              <w:br/>
              <w:t>AWARDS</w:t>
            </w:r>
            <w:r>
              <w:rPr>
                <w:rFonts w:ascii="Arial" w:hAnsi="Arial"/>
                <w:b/>
                <w:position w:val="5"/>
                <w:sz w:val="11"/>
                <w:sz w:val="14"/>
              </w:rPr>
              <w:t>(4)</w:t>
            </w:r>
            <w:r>
              <w:rPr>
                <w:rFonts w:ascii="Arial" w:hAnsi="Arial"/>
                <w:b/>
                <w:sz w:val="14"/>
              </w:rPr>
              <w:br/>
              <w:t>($)</w:t>
              <w:br/>
              <w:t>(i)</w:t>
            </w:r>
          </w:p>
        </w:tc>
      </w:tr>
      <w:tr>
        <w:trPr/>
        <w:tc>
          <w:tcPr>
            <w:tcW w:w="560" w:type="dxa"/>
            <w:tcBorders>
              <w:bottom w:val="single" w:sz="12" w:space="0" w:color="000000"/>
            </w:tcBorders>
            <w:shd w:fill="auto" w:val="clear"/>
            <w:tcMar>
              <w:bottom w:w="28" w:type="dxa"/>
            </w:tcMar>
            <w:vAlign w:val="center"/>
          </w:tcPr>
          <w:p>
            <w:pPr>
              <w:pStyle w:val="TableContents"/>
              <w:spacing w:before="0" w:after="283"/>
              <w:jc w:val="left"/>
              <w:rPr>
                <w:rFonts w:ascii="Arial" w:hAnsi="Arial"/>
                <w:b/>
                <w:sz w:val="14"/>
              </w:rPr>
            </w:pPr>
            <w:r>
              <w:rPr>
                <w:rFonts w:ascii="Arial" w:hAnsi="Arial"/>
                <w:b/>
                <w:sz w:val="14"/>
              </w:rPr>
              <w:t>NAME</w:t>
            </w:r>
          </w:p>
        </w:tc>
        <w:tc>
          <w:tcPr>
            <w:tcW w:w="12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560" w:type="dxa"/>
            <w:tcBorders>
              <w:bottom w:val="single" w:sz="12" w:space="0" w:color="000000"/>
            </w:tcBorders>
            <w:shd w:fill="auto" w:val="clear"/>
            <w:tcMar>
              <w:bottom w:w="28" w:type="dxa"/>
            </w:tcMar>
            <w:vAlign w:val="center"/>
          </w:tcPr>
          <w:p>
            <w:pPr>
              <w:pStyle w:val="TableContents"/>
              <w:spacing w:before="0" w:after="283"/>
              <w:jc w:val="center"/>
              <w:rPr>
                <w:rFonts w:ascii="Arial" w:hAnsi="Arial"/>
                <w:b/>
                <w:sz w:val="14"/>
              </w:rPr>
            </w:pPr>
            <w:r>
              <w:rPr>
                <w:rFonts w:ascii="Arial" w:hAnsi="Arial"/>
                <w:b/>
                <w:sz w:val="14"/>
              </w:rPr>
              <w:t>GRANT</w:t>
              <w:br/>
              <w:t>DATE</w:t>
            </w:r>
          </w:p>
        </w:tc>
        <w:tc>
          <w:tcPr>
            <w:tcW w:w="120" w:type="dxa"/>
            <w:tcBorders>
              <w:bottom w:val="single" w:sz="12" w:space="0" w:color="000000"/>
            </w:tcBorders>
            <w:shd w:fill="auto" w:val="clear"/>
            <w:tcMar>
              <w:bottom w:w="28" w:type="dxa"/>
            </w:tcMar>
            <w:vAlign w:val="center"/>
          </w:tcPr>
          <w:p>
            <w:pPr>
              <w:pStyle w:val="TableContents"/>
              <w:spacing w:before="0" w:after="283"/>
              <w:jc w:val="center"/>
              <w:rPr/>
            </w:pPr>
            <w:r>
              <w:rPr/>
              <w:t>  </w:t>
            </w:r>
          </w:p>
        </w:tc>
        <w:tc>
          <w:tcPr>
            <w:tcW w:w="740" w:type="dxa"/>
            <w:tcBorders>
              <w:bottom w:val="single" w:sz="12" w:space="0" w:color="000000"/>
            </w:tcBorders>
            <w:shd w:fill="auto" w:val="clear"/>
            <w:tcMar>
              <w:bottom w:w="28" w:type="dxa"/>
            </w:tcMar>
            <w:vAlign w:val="center"/>
          </w:tcPr>
          <w:p>
            <w:pPr>
              <w:pStyle w:val="TableContents"/>
              <w:spacing w:before="0" w:after="283"/>
              <w:jc w:val="center"/>
              <w:rPr>
                <w:rFonts w:ascii="Arial" w:hAnsi="Arial"/>
                <w:b/>
                <w:sz w:val="14"/>
              </w:rPr>
            </w:pPr>
            <w:r>
              <w:rPr>
                <w:rFonts w:ascii="Arial" w:hAnsi="Arial"/>
                <w:b/>
                <w:sz w:val="14"/>
              </w:rPr>
              <w:t>APPROVAL</w:t>
              <w:br/>
              <w:t>DATE</w:t>
            </w:r>
          </w:p>
        </w:tc>
        <w:tc>
          <w:tcPr>
            <w:tcW w:w="120" w:type="dxa"/>
            <w:tcBorders>
              <w:bottom w:val="single" w:sz="12" w:space="0" w:color="000000"/>
            </w:tcBorders>
            <w:shd w:fill="auto" w:val="clear"/>
            <w:tcMar>
              <w:bottom w:w="28" w:type="dxa"/>
            </w:tcMar>
            <w:vAlign w:val="center"/>
          </w:tcPr>
          <w:p>
            <w:pPr>
              <w:pStyle w:val="TableContents"/>
              <w:spacing w:before="0" w:after="283"/>
              <w:jc w:val="center"/>
              <w:rPr/>
            </w:pPr>
            <w:r>
              <w:rPr/>
              <w:t>  </w:t>
            </w:r>
          </w:p>
        </w:tc>
        <w:tc>
          <w:tcPr>
            <w:tcW w:w="847" w:type="dxa"/>
            <w:tcBorders>
              <w:bottom w:val="single" w:sz="12" w:space="0" w:color="000000"/>
            </w:tcBorders>
            <w:shd w:fill="auto" w:val="clear"/>
            <w:tcMar>
              <w:bottom w:w="28" w:type="dxa"/>
            </w:tcMar>
            <w:vAlign w:val="center"/>
          </w:tcPr>
          <w:p>
            <w:pPr>
              <w:pStyle w:val="TableContents"/>
              <w:spacing w:before="0" w:after="283"/>
              <w:jc w:val="center"/>
              <w:rPr>
                <w:rFonts w:ascii="Arial" w:hAnsi="Arial"/>
                <w:b/>
                <w:sz w:val="14"/>
              </w:rPr>
            </w:pPr>
            <w:r>
              <w:rPr>
                <w:rFonts w:ascii="Arial" w:hAnsi="Arial"/>
                <w:b/>
                <w:sz w:val="14"/>
              </w:rPr>
              <w:t>THRESHOLD</w:t>
              <w:br/>
              <w:t>(a)</w:t>
            </w:r>
          </w:p>
        </w:tc>
        <w:tc>
          <w:tcPr>
            <w:tcW w:w="124" w:type="dxa"/>
            <w:tcBorders>
              <w:bottom w:val="single" w:sz="12" w:space="0" w:color="000000"/>
            </w:tcBorders>
            <w:shd w:fill="auto" w:val="clear"/>
            <w:tcMar>
              <w:bottom w:w="28" w:type="dxa"/>
            </w:tcMar>
            <w:vAlign w:val="center"/>
          </w:tcPr>
          <w:p>
            <w:pPr>
              <w:pStyle w:val="TableContents"/>
              <w:spacing w:before="0" w:after="283"/>
              <w:jc w:val="center"/>
              <w:rPr/>
            </w:pPr>
            <w:r>
              <w:rPr/>
              <w:t>  </w:t>
            </w:r>
          </w:p>
        </w:tc>
        <w:tc>
          <w:tcPr>
            <w:tcW w:w="660" w:type="dxa"/>
            <w:tcBorders>
              <w:bottom w:val="single" w:sz="12" w:space="0" w:color="000000"/>
            </w:tcBorders>
            <w:shd w:fill="auto" w:val="clear"/>
            <w:tcMar>
              <w:bottom w:w="28" w:type="dxa"/>
            </w:tcMar>
            <w:vAlign w:val="center"/>
          </w:tcPr>
          <w:p>
            <w:pPr>
              <w:pStyle w:val="TableContents"/>
              <w:spacing w:before="0" w:after="283"/>
              <w:jc w:val="center"/>
              <w:rPr>
                <w:rFonts w:ascii="Arial" w:hAnsi="Arial"/>
                <w:b/>
                <w:sz w:val="14"/>
              </w:rPr>
            </w:pPr>
            <w:r>
              <w:rPr>
                <w:rFonts w:ascii="Arial" w:hAnsi="Arial"/>
                <w:b/>
                <w:sz w:val="14"/>
              </w:rPr>
              <w:t>TARGET</w:t>
              <w:br/>
              <w:t>(b)</w:t>
            </w:r>
          </w:p>
        </w:tc>
        <w:tc>
          <w:tcPr>
            <w:tcW w:w="124" w:type="dxa"/>
            <w:tcBorders>
              <w:bottom w:val="single" w:sz="12" w:space="0" w:color="000000"/>
            </w:tcBorders>
            <w:shd w:fill="auto" w:val="clear"/>
            <w:tcMar>
              <w:bottom w:w="28" w:type="dxa"/>
            </w:tcMar>
            <w:vAlign w:val="center"/>
          </w:tcPr>
          <w:p>
            <w:pPr>
              <w:pStyle w:val="TableContents"/>
              <w:spacing w:before="0" w:after="283"/>
              <w:jc w:val="center"/>
              <w:rPr/>
            </w:pPr>
            <w:r>
              <w:rPr/>
              <w:t>  </w:t>
            </w:r>
          </w:p>
        </w:tc>
        <w:tc>
          <w:tcPr>
            <w:tcW w:w="738" w:type="dxa"/>
            <w:tcBorders>
              <w:bottom w:val="single" w:sz="12" w:space="0" w:color="000000"/>
            </w:tcBorders>
            <w:shd w:fill="auto" w:val="clear"/>
            <w:tcMar>
              <w:bottom w:w="28" w:type="dxa"/>
            </w:tcMar>
            <w:vAlign w:val="center"/>
          </w:tcPr>
          <w:p>
            <w:pPr>
              <w:pStyle w:val="TableContents"/>
              <w:spacing w:before="0" w:after="283"/>
              <w:jc w:val="center"/>
              <w:rPr>
                <w:rFonts w:ascii="Arial" w:hAnsi="Arial"/>
                <w:b/>
                <w:sz w:val="14"/>
              </w:rPr>
            </w:pPr>
            <w:r>
              <w:rPr>
                <w:rFonts w:ascii="Arial" w:hAnsi="Arial"/>
                <w:b/>
                <w:sz w:val="14"/>
              </w:rPr>
              <w:t>MAXIMUM</w:t>
              <w:br/>
              <w:t>(c)</w:t>
            </w:r>
          </w:p>
        </w:tc>
        <w:tc>
          <w:tcPr>
            <w:tcW w:w="120" w:type="dxa"/>
            <w:tcBorders>
              <w:bottom w:val="single" w:sz="12" w:space="0" w:color="000000"/>
            </w:tcBorders>
            <w:shd w:fill="auto" w:val="clear"/>
            <w:tcMar>
              <w:bottom w:w="28" w:type="dxa"/>
            </w:tcMar>
            <w:vAlign w:val="center"/>
          </w:tcPr>
          <w:p>
            <w:pPr>
              <w:pStyle w:val="TableContents"/>
              <w:spacing w:before="0" w:after="283"/>
              <w:jc w:val="center"/>
              <w:rPr/>
            </w:pPr>
            <w:r>
              <w:rPr/>
              <w:t>  </w:t>
            </w:r>
          </w:p>
        </w:tc>
        <w:tc>
          <w:tcPr>
            <w:tcW w:w="815" w:type="dxa"/>
            <w:tcBorders>
              <w:bottom w:val="single" w:sz="12" w:space="0" w:color="000000"/>
            </w:tcBorders>
            <w:shd w:fill="auto" w:val="clear"/>
            <w:tcMar>
              <w:bottom w:w="28" w:type="dxa"/>
            </w:tcMar>
            <w:vAlign w:val="center"/>
          </w:tcPr>
          <w:p>
            <w:pPr>
              <w:pStyle w:val="TableContents"/>
              <w:spacing w:before="0" w:after="283"/>
              <w:jc w:val="center"/>
              <w:rPr>
                <w:rFonts w:ascii="Arial" w:hAnsi="Arial"/>
                <w:b/>
                <w:sz w:val="14"/>
              </w:rPr>
            </w:pPr>
            <w:r>
              <w:rPr>
                <w:rFonts w:ascii="Arial" w:hAnsi="Arial"/>
                <w:b/>
                <w:sz w:val="14"/>
              </w:rPr>
              <w:t>THRESHOLD</w:t>
              <w:br/>
              <w:t>(d)</w:t>
            </w:r>
          </w:p>
        </w:tc>
        <w:tc>
          <w:tcPr>
            <w:tcW w:w="120" w:type="dxa"/>
            <w:tcBorders>
              <w:bottom w:val="single" w:sz="12" w:space="0" w:color="000000"/>
            </w:tcBorders>
            <w:shd w:fill="auto" w:val="clear"/>
            <w:tcMar>
              <w:bottom w:w="28" w:type="dxa"/>
            </w:tcMar>
            <w:vAlign w:val="center"/>
          </w:tcPr>
          <w:p>
            <w:pPr>
              <w:pStyle w:val="TableContents"/>
              <w:spacing w:before="0" w:after="283"/>
              <w:jc w:val="center"/>
              <w:rPr/>
            </w:pPr>
            <w:r>
              <w:rPr/>
              <w:t>  </w:t>
            </w:r>
          </w:p>
        </w:tc>
        <w:tc>
          <w:tcPr>
            <w:tcW w:w="590" w:type="dxa"/>
            <w:tcBorders>
              <w:bottom w:val="single" w:sz="12" w:space="0" w:color="000000"/>
            </w:tcBorders>
            <w:shd w:fill="auto" w:val="clear"/>
            <w:tcMar>
              <w:bottom w:w="28" w:type="dxa"/>
            </w:tcMar>
            <w:vAlign w:val="center"/>
          </w:tcPr>
          <w:p>
            <w:pPr>
              <w:pStyle w:val="TableContents"/>
              <w:spacing w:before="0" w:after="283"/>
              <w:jc w:val="center"/>
              <w:rPr>
                <w:rFonts w:ascii="Arial" w:hAnsi="Arial"/>
                <w:b/>
                <w:sz w:val="14"/>
              </w:rPr>
            </w:pPr>
            <w:r>
              <w:rPr>
                <w:rFonts w:ascii="Arial" w:hAnsi="Arial"/>
                <w:b/>
                <w:sz w:val="14"/>
              </w:rPr>
              <w:t xml:space="preserve">TARGET </w:t>
              <w:br/>
              <w:t>(e)</w:t>
            </w:r>
          </w:p>
        </w:tc>
        <w:tc>
          <w:tcPr>
            <w:tcW w:w="120" w:type="dxa"/>
            <w:tcBorders>
              <w:bottom w:val="single" w:sz="12" w:space="0" w:color="000000"/>
            </w:tcBorders>
            <w:shd w:fill="auto" w:val="clear"/>
            <w:tcMar>
              <w:bottom w:w="28" w:type="dxa"/>
            </w:tcMar>
            <w:vAlign w:val="center"/>
          </w:tcPr>
          <w:p>
            <w:pPr>
              <w:pStyle w:val="TableContents"/>
              <w:spacing w:before="0" w:after="283"/>
              <w:jc w:val="center"/>
              <w:rPr/>
            </w:pPr>
            <w:r>
              <w:rPr/>
              <w:t>  </w:t>
            </w:r>
          </w:p>
        </w:tc>
        <w:tc>
          <w:tcPr>
            <w:tcW w:w="650" w:type="dxa"/>
            <w:tcBorders>
              <w:bottom w:val="single" w:sz="12" w:space="0" w:color="000000"/>
            </w:tcBorders>
            <w:shd w:fill="auto" w:val="clear"/>
            <w:tcMar>
              <w:bottom w:w="28" w:type="dxa"/>
            </w:tcMar>
            <w:vAlign w:val="center"/>
          </w:tcPr>
          <w:p>
            <w:pPr>
              <w:pStyle w:val="TableContents"/>
              <w:spacing w:before="0" w:after="283"/>
              <w:jc w:val="center"/>
              <w:rPr>
                <w:rFonts w:ascii="Arial" w:hAnsi="Arial"/>
                <w:b/>
                <w:sz w:val="14"/>
              </w:rPr>
            </w:pPr>
            <w:r>
              <w:rPr>
                <w:rFonts w:ascii="Arial" w:hAnsi="Arial"/>
                <w:b/>
                <w:sz w:val="14"/>
              </w:rPr>
              <w:t>MAXIMUM</w:t>
              <w:br/>
              <w:t>(f)</w:t>
            </w:r>
          </w:p>
        </w:tc>
        <w:tc>
          <w:tcPr>
            <w:tcW w:w="120" w:type="dxa"/>
            <w:tcBorders>
              <w:bottom w:val="single" w:sz="12" w:space="0" w:color="000000"/>
            </w:tcBorders>
            <w:shd w:fill="auto" w:val="clear"/>
            <w:tcMar>
              <w:bottom w:w="28" w:type="dxa"/>
            </w:tcMar>
            <w:vAlign w:val="center"/>
          </w:tcPr>
          <w:p>
            <w:pPr>
              <w:pStyle w:val="TableContents"/>
              <w:spacing w:before="0" w:after="283"/>
              <w:jc w:val="center"/>
              <w:rPr/>
            </w:pPr>
            <w:r>
              <w:rPr/>
              <w:t>  </w:t>
            </w:r>
          </w:p>
        </w:tc>
        <w:tc>
          <w:tcPr>
            <w:tcW w:w="875" w:type="dxa"/>
            <w:vMerge w:val="continue"/>
            <w:tcBorders>
              <w:bottom w:val="single" w:sz="12" w:space="0" w:color="000000"/>
            </w:tcBorders>
            <w:shd w:fill="auto" w:val="clear"/>
            <w:tcMar>
              <w:bottom w:w="28" w:type="dxa"/>
            </w:tcMar>
            <w:vAlign w:val="center"/>
          </w:tcPr>
          <w:p>
            <w:pPr>
              <w:pStyle w:val="Normal"/>
              <w:rPr/>
            </w:pPr>
            <w:r>
              <w:rPr/>
            </w:r>
          </w:p>
        </w:tc>
        <w:tc>
          <w:tcPr>
            <w:tcW w:w="120" w:type="dxa"/>
            <w:tcBorders>
              <w:bottom w:val="single" w:sz="12" w:space="0" w:color="000000"/>
            </w:tcBorders>
            <w:shd w:fill="auto" w:val="clear"/>
            <w:tcMar>
              <w:bottom w:w="28" w:type="dxa"/>
            </w:tcMar>
            <w:vAlign w:val="center"/>
          </w:tcPr>
          <w:p>
            <w:pPr>
              <w:pStyle w:val="TableContents"/>
              <w:spacing w:before="0" w:after="283"/>
              <w:jc w:val="center"/>
              <w:rPr/>
            </w:pPr>
            <w:r>
              <w:rPr/>
              <w:t>  </w:t>
            </w:r>
          </w:p>
        </w:tc>
        <w:tc>
          <w:tcPr>
            <w:tcW w:w="695" w:type="dxa"/>
            <w:vMerge w:val="continue"/>
            <w:tcBorders>
              <w:bottom w:val="single" w:sz="12" w:space="0" w:color="000000"/>
            </w:tcBorders>
            <w:shd w:fill="auto" w:val="clear"/>
            <w:tcMar>
              <w:bottom w:w="28" w:type="dxa"/>
            </w:tcMar>
            <w:vAlign w:val="center"/>
          </w:tcPr>
          <w:p>
            <w:pPr>
              <w:pStyle w:val="Normal"/>
              <w:rPr/>
            </w:pPr>
            <w:r>
              <w:rPr/>
            </w:r>
          </w:p>
        </w:tc>
        <w:tc>
          <w:tcPr>
            <w:tcW w:w="120" w:type="dxa"/>
            <w:tcBorders>
              <w:bottom w:val="single" w:sz="12" w:space="0" w:color="000000"/>
            </w:tcBorders>
            <w:shd w:fill="auto" w:val="clear"/>
            <w:tcMar>
              <w:bottom w:w="28" w:type="dxa"/>
            </w:tcMar>
            <w:vAlign w:val="center"/>
          </w:tcPr>
          <w:p>
            <w:pPr>
              <w:pStyle w:val="TableContents"/>
              <w:spacing w:before="0" w:after="283"/>
              <w:jc w:val="center"/>
              <w:rPr/>
            </w:pPr>
            <w:r>
              <w:rPr/>
              <w:t>  </w:t>
            </w:r>
          </w:p>
        </w:tc>
        <w:tc>
          <w:tcPr>
            <w:tcW w:w="860" w:type="dxa"/>
            <w:vMerge w:val="continue"/>
            <w:tcBorders>
              <w:bottom w:val="single" w:sz="12" w:space="0" w:color="000000"/>
            </w:tcBorders>
            <w:shd w:fill="auto" w:val="clear"/>
            <w:tcMar>
              <w:bottom w:w="28" w:type="dxa"/>
            </w:tcMar>
            <w:vAlign w:val="center"/>
          </w:tcPr>
          <w:p>
            <w:pPr>
              <w:pStyle w:val="Normal"/>
              <w:rPr/>
            </w:pPr>
            <w:r>
              <w:rPr/>
            </w:r>
          </w:p>
        </w:tc>
      </w:tr>
      <w:tr>
        <w:trPr/>
        <w:tc>
          <w:tcPr>
            <w:tcW w:w="560" w:type="dxa"/>
            <w:vMerge w:val="restart"/>
            <w:tcBorders>
              <w:bottom w:val="single" w:sz="8" w:space="0" w:color="000000"/>
            </w:tcBorders>
            <w:shd w:fill="auto" w:val="clear"/>
            <w:tcMar>
              <w:bottom w:w="28" w:type="dxa"/>
            </w:tcMar>
            <w:vAlign w:val="center"/>
          </w:tcPr>
          <w:p>
            <w:pPr>
              <w:pStyle w:val="TableContents"/>
              <w:spacing w:before="0" w:after="283"/>
              <w:jc w:val="left"/>
              <w:rPr>
                <w:rFonts w:ascii="Arial" w:hAnsi="Arial"/>
                <w:b/>
                <w:sz w:val="14"/>
              </w:rPr>
            </w:pPr>
            <w:r>
              <w:rPr>
                <w:rFonts w:ascii="Arial" w:hAnsi="Arial"/>
                <w:b/>
                <w:sz w:val="14"/>
              </w:rPr>
              <w:t>David N.</w:t>
              <w:br/>
              <w:t>Watson</w:t>
            </w:r>
          </w:p>
        </w:tc>
        <w:tc>
          <w:tcPr>
            <w:tcW w:w="120" w:type="dxa"/>
            <w:vMerge w:val="restart"/>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60"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4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47"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4"/>
              </w:rPr>
            </w:pPr>
            <w:r>
              <w:rPr>
                <w:rFonts w:ascii="Arial" w:hAnsi="Arial"/>
                <w:sz w:val="14"/>
              </w:rPr>
              <w:t>966,000</w:t>
            </w:r>
          </w:p>
        </w:tc>
        <w:tc>
          <w:tcPr>
            <w:tcW w:w="124"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60" w:type="dxa"/>
            <w:tcBorders>
              <w:bottom w:val="single" w:sz="8" w:space="0" w:color="000000"/>
            </w:tcBorders>
            <w:shd w:fill="auto" w:val="clear"/>
            <w:tcMar>
              <w:bottom w:w="28" w:type="dxa"/>
            </w:tcMar>
            <w:vAlign w:val="center"/>
          </w:tcPr>
          <w:p>
            <w:pPr>
              <w:pStyle w:val="TableContents"/>
              <w:spacing w:before="0" w:after="283"/>
              <w:jc w:val="center"/>
              <w:rPr>
                <w:rFonts w:ascii="Arial" w:hAnsi="Arial"/>
                <w:sz w:val="14"/>
              </w:rPr>
            </w:pPr>
            <w:r>
              <w:rPr>
                <w:rFonts w:ascii="Arial" w:hAnsi="Arial"/>
                <w:sz w:val="14"/>
              </w:rPr>
              <w:t>6,900,000</w:t>
            </w:r>
          </w:p>
        </w:tc>
        <w:tc>
          <w:tcPr>
            <w:tcW w:w="124"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38" w:type="dxa"/>
            <w:tcBorders>
              <w:bottom w:val="single" w:sz="8" w:space="0" w:color="000000"/>
            </w:tcBorders>
            <w:shd w:fill="auto" w:val="clear"/>
            <w:tcMar>
              <w:bottom w:w="28" w:type="dxa"/>
            </w:tcMar>
            <w:vAlign w:val="center"/>
          </w:tcPr>
          <w:p>
            <w:pPr>
              <w:pStyle w:val="TableContents"/>
              <w:spacing w:before="0" w:after="283"/>
              <w:jc w:val="left"/>
              <w:rPr>
                <w:rFonts w:ascii="Arial" w:hAnsi="Arial"/>
                <w:sz w:val="14"/>
              </w:rPr>
            </w:pPr>
            <w:r>
              <w:rPr>
                <w:rFonts w:ascii="Arial" w:hAnsi="Arial"/>
                <w:sz w:val="14"/>
              </w:rPr>
              <w:t>12,765,000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15"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9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5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75"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95"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6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560" w:type="dxa"/>
            <w:vMerge w:val="continue"/>
            <w:tcBorders>
              <w:bottom w:val="single" w:sz="8" w:space="0" w:color="000000"/>
            </w:tcBorders>
            <w:shd w:fill="auto" w:val="clear"/>
            <w:tcMar>
              <w:bottom w:w="28" w:type="dxa"/>
            </w:tcMar>
            <w:vAlign w:val="center"/>
          </w:tcPr>
          <w:p>
            <w:pPr>
              <w:pStyle w:val="Normal"/>
              <w:rPr/>
            </w:pPr>
            <w:r>
              <w:rPr/>
            </w:r>
          </w:p>
        </w:tc>
        <w:tc>
          <w:tcPr>
            <w:tcW w:w="120" w:type="dxa"/>
            <w:vMerge w:val="continue"/>
            <w:tcBorders>
              <w:bottom w:val="single" w:sz="8" w:space="0" w:color="000000"/>
            </w:tcBorders>
            <w:shd w:fill="auto" w:val="clear"/>
            <w:tcMar>
              <w:bottom w:w="28" w:type="dxa"/>
            </w:tcMar>
            <w:vAlign w:val="center"/>
          </w:tcPr>
          <w:p>
            <w:pPr>
              <w:pStyle w:val="Normal"/>
              <w:rPr/>
            </w:pPr>
            <w:r>
              <w:rPr/>
            </w:r>
          </w:p>
        </w:tc>
        <w:tc>
          <w:tcPr>
            <w:tcW w:w="56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4"/>
              </w:rPr>
            </w:pPr>
            <w:r>
              <w:rPr>
                <w:rFonts w:ascii="Arial" w:hAnsi="Arial"/>
                <w:sz w:val="14"/>
              </w:rPr>
              <w:t>3/1/2022</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40" w:type="dxa"/>
            <w:tcBorders>
              <w:bottom w:val="single" w:sz="8" w:space="0" w:color="000000"/>
            </w:tcBorders>
            <w:shd w:fill="auto" w:val="clear"/>
            <w:tcMar>
              <w:bottom w:w="28" w:type="dxa"/>
            </w:tcMar>
            <w:vAlign w:val="center"/>
          </w:tcPr>
          <w:p>
            <w:pPr>
              <w:pStyle w:val="TableContents"/>
              <w:spacing w:before="0" w:after="283"/>
              <w:jc w:val="center"/>
              <w:rPr>
                <w:rFonts w:ascii="Arial" w:hAnsi="Arial"/>
                <w:sz w:val="14"/>
              </w:rPr>
            </w:pPr>
            <w:r>
              <w:rPr>
                <w:rFonts w:ascii="Arial" w:hAnsi="Arial"/>
                <w:sz w:val="14"/>
              </w:rPr>
              <w:t>2/22/2022</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47"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4"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6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4"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38"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15"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4"/>
              </w:rPr>
            </w:pPr>
            <w:r>
              <w:rPr>
                <w:rFonts w:ascii="Arial" w:hAnsi="Arial"/>
                <w:sz w:val="14"/>
              </w:rPr>
              <w:t>29,647</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9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4"/>
              </w:rPr>
            </w:pPr>
            <w:r>
              <w:rPr>
                <w:rFonts w:ascii="Arial" w:hAnsi="Arial"/>
                <w:sz w:val="14"/>
              </w:rPr>
              <w:t>158,120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5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4"/>
              </w:rPr>
            </w:pPr>
            <w:r>
              <w:rPr>
                <w:rFonts w:ascii="Arial" w:hAnsi="Arial"/>
                <w:sz w:val="14"/>
              </w:rPr>
              <w:t>395,300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75"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95"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6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4"/>
              </w:rPr>
            </w:pPr>
            <w:r>
              <w:rPr>
                <w:rFonts w:ascii="Arial" w:hAnsi="Arial"/>
                <w:sz w:val="14"/>
              </w:rPr>
              <w:t>7,717,837</w:t>
            </w:r>
          </w:p>
        </w:tc>
      </w:tr>
      <w:tr>
        <w:trPr/>
        <w:tc>
          <w:tcPr>
            <w:tcW w:w="560" w:type="dxa"/>
            <w:vMerge w:val="continue"/>
            <w:tcBorders>
              <w:bottom w:val="single" w:sz="8" w:space="0" w:color="000000"/>
            </w:tcBorders>
            <w:shd w:fill="auto" w:val="clear"/>
            <w:tcMar>
              <w:bottom w:w="28" w:type="dxa"/>
            </w:tcMar>
            <w:vAlign w:val="center"/>
          </w:tcPr>
          <w:p>
            <w:pPr>
              <w:pStyle w:val="Normal"/>
              <w:rPr/>
            </w:pPr>
            <w:r>
              <w:rPr/>
            </w:r>
          </w:p>
        </w:tc>
        <w:tc>
          <w:tcPr>
            <w:tcW w:w="120" w:type="dxa"/>
            <w:vMerge w:val="continue"/>
            <w:tcBorders>
              <w:bottom w:val="single" w:sz="8" w:space="0" w:color="000000"/>
            </w:tcBorders>
            <w:shd w:fill="auto" w:val="clear"/>
            <w:tcMar>
              <w:bottom w:w="28" w:type="dxa"/>
            </w:tcMar>
            <w:vAlign w:val="center"/>
          </w:tcPr>
          <w:p>
            <w:pPr>
              <w:pStyle w:val="Normal"/>
              <w:rPr/>
            </w:pPr>
            <w:r>
              <w:rPr/>
            </w:r>
          </w:p>
        </w:tc>
        <w:tc>
          <w:tcPr>
            <w:tcW w:w="56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4"/>
              </w:rPr>
            </w:pPr>
            <w:r>
              <w:rPr>
                <w:rFonts w:ascii="Arial" w:hAnsi="Arial"/>
                <w:sz w:val="14"/>
              </w:rPr>
              <w:t>3/1/2022</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40" w:type="dxa"/>
            <w:tcBorders>
              <w:bottom w:val="single" w:sz="8" w:space="0" w:color="000000"/>
            </w:tcBorders>
            <w:shd w:fill="auto" w:val="clear"/>
            <w:tcMar>
              <w:bottom w:w="28" w:type="dxa"/>
            </w:tcMar>
            <w:vAlign w:val="center"/>
          </w:tcPr>
          <w:p>
            <w:pPr>
              <w:pStyle w:val="TableContents"/>
              <w:spacing w:before="0" w:after="283"/>
              <w:jc w:val="center"/>
              <w:rPr>
                <w:rFonts w:ascii="Arial" w:hAnsi="Arial"/>
                <w:sz w:val="14"/>
              </w:rPr>
            </w:pPr>
            <w:r>
              <w:rPr>
                <w:rFonts w:ascii="Arial" w:hAnsi="Arial"/>
                <w:sz w:val="14"/>
              </w:rPr>
              <w:t>2/22/2022</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47"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4"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6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4"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38"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15"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9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5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75"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4"/>
              </w:rPr>
            </w:pPr>
            <w:r>
              <w:rPr>
                <w:rFonts w:ascii="Arial" w:hAnsi="Arial"/>
                <w:sz w:val="14"/>
              </w:rPr>
              <w:t>555,055</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95"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4"/>
              </w:rPr>
            </w:pPr>
            <w:r>
              <w:rPr>
                <w:rFonts w:ascii="Arial" w:hAnsi="Arial"/>
                <w:sz w:val="14"/>
              </w:rPr>
              <w:t>46.39</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6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4"/>
              </w:rPr>
            </w:pPr>
            <w:r>
              <w:rPr>
                <w:rFonts w:ascii="Arial" w:hAnsi="Arial"/>
                <w:sz w:val="14"/>
              </w:rPr>
              <w:t>4,890,035</w:t>
            </w:r>
          </w:p>
        </w:tc>
      </w:tr>
      <w:tr>
        <w:trPr/>
        <w:tc>
          <w:tcPr>
            <w:tcW w:w="560" w:type="dxa"/>
            <w:vMerge w:val="restart"/>
            <w:tcBorders>
              <w:bottom w:val="single" w:sz="8" w:space="0" w:color="000000"/>
            </w:tcBorders>
            <w:shd w:fill="auto" w:val="clear"/>
            <w:tcMar>
              <w:bottom w:w="28" w:type="dxa"/>
            </w:tcMar>
            <w:vAlign w:val="center"/>
          </w:tcPr>
          <w:p>
            <w:pPr>
              <w:pStyle w:val="TableContents"/>
              <w:spacing w:before="0" w:after="283"/>
              <w:jc w:val="left"/>
              <w:rPr>
                <w:rFonts w:ascii="Arial" w:hAnsi="Arial"/>
                <w:b/>
                <w:sz w:val="14"/>
              </w:rPr>
            </w:pPr>
            <w:r>
              <w:rPr>
                <w:rFonts w:ascii="Arial" w:hAnsi="Arial"/>
                <w:b/>
                <w:sz w:val="14"/>
              </w:rPr>
              <w:t>Jeffrey</w:t>
              <w:br/>
              <w:t>Shell</w:t>
            </w:r>
            <w:r>
              <w:rPr>
                <w:rFonts w:ascii="Arial" w:hAnsi="Arial"/>
                <w:b/>
                <w:position w:val="5"/>
                <w:sz w:val="11"/>
                <w:sz w:val="14"/>
              </w:rPr>
              <w:t>(5)</w:t>
            </w:r>
          </w:p>
        </w:tc>
        <w:tc>
          <w:tcPr>
            <w:tcW w:w="120" w:type="dxa"/>
            <w:vMerge w:val="restart"/>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60"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4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47"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4"/>
              </w:rPr>
            </w:pPr>
            <w:r>
              <w:rPr>
                <w:rFonts w:ascii="Arial" w:hAnsi="Arial"/>
                <w:sz w:val="14"/>
              </w:rPr>
              <w:t>1,050,000</w:t>
            </w:r>
          </w:p>
        </w:tc>
        <w:tc>
          <w:tcPr>
            <w:tcW w:w="124"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60" w:type="dxa"/>
            <w:tcBorders>
              <w:bottom w:val="single" w:sz="8" w:space="0" w:color="000000"/>
            </w:tcBorders>
            <w:shd w:fill="auto" w:val="clear"/>
            <w:tcMar>
              <w:bottom w:w="28" w:type="dxa"/>
            </w:tcMar>
            <w:vAlign w:val="center"/>
          </w:tcPr>
          <w:p>
            <w:pPr>
              <w:pStyle w:val="TableContents"/>
              <w:spacing w:before="0" w:after="283"/>
              <w:jc w:val="center"/>
              <w:rPr>
                <w:rFonts w:ascii="Arial" w:hAnsi="Arial"/>
                <w:sz w:val="14"/>
              </w:rPr>
            </w:pPr>
            <w:r>
              <w:rPr>
                <w:rFonts w:ascii="Arial" w:hAnsi="Arial"/>
                <w:sz w:val="14"/>
              </w:rPr>
              <w:t>7,500,000</w:t>
            </w:r>
          </w:p>
        </w:tc>
        <w:tc>
          <w:tcPr>
            <w:tcW w:w="124"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38" w:type="dxa"/>
            <w:tcBorders>
              <w:bottom w:val="single" w:sz="8" w:space="0" w:color="000000"/>
            </w:tcBorders>
            <w:shd w:fill="auto" w:val="clear"/>
            <w:tcMar>
              <w:bottom w:w="28" w:type="dxa"/>
            </w:tcMar>
            <w:vAlign w:val="center"/>
          </w:tcPr>
          <w:p>
            <w:pPr>
              <w:pStyle w:val="TableContents"/>
              <w:spacing w:before="0" w:after="283"/>
              <w:jc w:val="left"/>
              <w:rPr>
                <w:rFonts w:ascii="Arial" w:hAnsi="Arial"/>
                <w:sz w:val="14"/>
              </w:rPr>
            </w:pPr>
            <w:r>
              <w:rPr>
                <w:rFonts w:ascii="Arial" w:hAnsi="Arial"/>
                <w:sz w:val="14"/>
              </w:rPr>
              <w:t>13,875,000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15"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9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5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75"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95"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6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560" w:type="dxa"/>
            <w:vMerge w:val="continue"/>
            <w:tcBorders>
              <w:bottom w:val="single" w:sz="8" w:space="0" w:color="000000"/>
            </w:tcBorders>
            <w:shd w:fill="auto" w:val="clear"/>
            <w:tcMar>
              <w:bottom w:w="28" w:type="dxa"/>
            </w:tcMar>
            <w:vAlign w:val="center"/>
          </w:tcPr>
          <w:p>
            <w:pPr>
              <w:pStyle w:val="Normal"/>
              <w:rPr/>
            </w:pPr>
            <w:r>
              <w:rPr/>
            </w:r>
          </w:p>
        </w:tc>
        <w:tc>
          <w:tcPr>
            <w:tcW w:w="120" w:type="dxa"/>
            <w:vMerge w:val="continue"/>
            <w:tcBorders>
              <w:bottom w:val="single" w:sz="8" w:space="0" w:color="000000"/>
            </w:tcBorders>
            <w:shd w:fill="auto" w:val="clear"/>
            <w:tcMar>
              <w:bottom w:w="28" w:type="dxa"/>
            </w:tcMar>
            <w:vAlign w:val="center"/>
          </w:tcPr>
          <w:p>
            <w:pPr>
              <w:pStyle w:val="Normal"/>
              <w:rPr/>
            </w:pPr>
            <w:r>
              <w:rPr/>
            </w:r>
          </w:p>
        </w:tc>
        <w:tc>
          <w:tcPr>
            <w:tcW w:w="56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4"/>
              </w:rPr>
            </w:pPr>
            <w:r>
              <w:rPr>
                <w:rFonts w:ascii="Arial" w:hAnsi="Arial"/>
                <w:sz w:val="14"/>
              </w:rPr>
              <w:t>3/1/2022</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40" w:type="dxa"/>
            <w:tcBorders>
              <w:bottom w:val="single" w:sz="8" w:space="0" w:color="000000"/>
            </w:tcBorders>
            <w:shd w:fill="auto" w:val="clear"/>
            <w:tcMar>
              <w:bottom w:w="28" w:type="dxa"/>
            </w:tcMar>
            <w:vAlign w:val="center"/>
          </w:tcPr>
          <w:p>
            <w:pPr>
              <w:pStyle w:val="TableContents"/>
              <w:spacing w:before="0" w:after="283"/>
              <w:jc w:val="center"/>
              <w:rPr>
                <w:rFonts w:ascii="Arial" w:hAnsi="Arial"/>
                <w:sz w:val="14"/>
              </w:rPr>
            </w:pPr>
            <w:r>
              <w:rPr>
                <w:rFonts w:ascii="Arial" w:hAnsi="Arial"/>
                <w:sz w:val="14"/>
              </w:rPr>
              <w:t>2/22/2022</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47"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4"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6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4"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38"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15"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4"/>
              </w:rPr>
            </w:pPr>
            <w:r>
              <w:rPr>
                <w:rFonts w:ascii="Arial" w:hAnsi="Arial"/>
                <w:sz w:val="14"/>
              </w:rPr>
              <w:t>25,403</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9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4"/>
              </w:rPr>
            </w:pPr>
            <w:r>
              <w:rPr>
                <w:rFonts w:ascii="Arial" w:hAnsi="Arial"/>
                <w:sz w:val="14"/>
              </w:rPr>
              <w:t>135,485</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5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4"/>
              </w:rPr>
            </w:pPr>
            <w:r>
              <w:rPr>
                <w:rFonts w:ascii="Arial" w:hAnsi="Arial"/>
                <w:sz w:val="14"/>
              </w:rPr>
              <w:t>338,712</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75"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95"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6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4"/>
              </w:rPr>
            </w:pPr>
            <w:r>
              <w:rPr>
                <w:rFonts w:ascii="Arial" w:hAnsi="Arial"/>
                <w:sz w:val="14"/>
              </w:rPr>
              <w:t>6,613,023</w:t>
            </w:r>
          </w:p>
        </w:tc>
      </w:tr>
      <w:tr>
        <w:trPr/>
        <w:tc>
          <w:tcPr>
            <w:tcW w:w="560" w:type="dxa"/>
            <w:vMerge w:val="continue"/>
            <w:tcBorders>
              <w:bottom w:val="single" w:sz="8" w:space="0" w:color="000000"/>
            </w:tcBorders>
            <w:shd w:fill="auto" w:val="clear"/>
            <w:tcMar>
              <w:bottom w:w="28" w:type="dxa"/>
            </w:tcMar>
            <w:vAlign w:val="center"/>
          </w:tcPr>
          <w:p>
            <w:pPr>
              <w:pStyle w:val="Normal"/>
              <w:rPr/>
            </w:pPr>
            <w:r>
              <w:rPr/>
            </w:r>
          </w:p>
        </w:tc>
        <w:tc>
          <w:tcPr>
            <w:tcW w:w="120" w:type="dxa"/>
            <w:vMerge w:val="continue"/>
            <w:tcBorders>
              <w:bottom w:val="single" w:sz="8" w:space="0" w:color="000000"/>
            </w:tcBorders>
            <w:shd w:fill="auto" w:val="clear"/>
            <w:tcMar>
              <w:bottom w:w="28" w:type="dxa"/>
            </w:tcMar>
            <w:vAlign w:val="center"/>
          </w:tcPr>
          <w:p>
            <w:pPr>
              <w:pStyle w:val="Normal"/>
              <w:rPr/>
            </w:pPr>
            <w:r>
              <w:rPr/>
            </w:r>
          </w:p>
        </w:tc>
        <w:tc>
          <w:tcPr>
            <w:tcW w:w="56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4"/>
              </w:rPr>
            </w:pPr>
            <w:r>
              <w:rPr>
                <w:rFonts w:ascii="Arial" w:hAnsi="Arial"/>
                <w:sz w:val="14"/>
              </w:rPr>
              <w:t>3/1/2022</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40" w:type="dxa"/>
            <w:tcBorders>
              <w:bottom w:val="single" w:sz="8" w:space="0" w:color="000000"/>
            </w:tcBorders>
            <w:shd w:fill="auto" w:val="clear"/>
            <w:tcMar>
              <w:bottom w:w="28" w:type="dxa"/>
            </w:tcMar>
            <w:vAlign w:val="center"/>
          </w:tcPr>
          <w:p>
            <w:pPr>
              <w:pStyle w:val="TableContents"/>
              <w:spacing w:before="0" w:after="283"/>
              <w:jc w:val="center"/>
              <w:rPr>
                <w:rFonts w:ascii="Arial" w:hAnsi="Arial"/>
                <w:sz w:val="14"/>
              </w:rPr>
            </w:pPr>
            <w:r>
              <w:rPr>
                <w:rFonts w:ascii="Arial" w:hAnsi="Arial"/>
                <w:sz w:val="14"/>
              </w:rPr>
              <w:t>2/22/2022</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47"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4"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6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4"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38"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15"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9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5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75"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4"/>
              </w:rPr>
            </w:pPr>
            <w:r>
              <w:rPr>
                <w:rFonts w:ascii="Arial" w:hAnsi="Arial"/>
                <w:sz w:val="14"/>
              </w:rPr>
              <w:t>475,600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95"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4"/>
              </w:rPr>
            </w:pPr>
            <w:r>
              <w:rPr>
                <w:rFonts w:ascii="Arial" w:hAnsi="Arial"/>
                <w:sz w:val="14"/>
              </w:rPr>
              <w:t>46.39</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6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4"/>
              </w:rPr>
            </w:pPr>
            <w:r>
              <w:rPr>
                <w:rFonts w:ascii="Arial" w:hAnsi="Arial"/>
                <w:sz w:val="14"/>
              </w:rPr>
              <w:t>4,190,036</w:t>
            </w:r>
          </w:p>
        </w:tc>
      </w:tr>
      <w:tr>
        <w:trPr/>
        <w:tc>
          <w:tcPr>
            <w:tcW w:w="560" w:type="dxa"/>
            <w:vMerge w:val="restart"/>
            <w:tcBorders>
              <w:bottom w:val="single" w:sz="8" w:space="0" w:color="000000"/>
            </w:tcBorders>
            <w:shd w:fill="auto" w:val="clear"/>
            <w:tcMar>
              <w:bottom w:w="28" w:type="dxa"/>
            </w:tcMar>
            <w:vAlign w:val="center"/>
          </w:tcPr>
          <w:p>
            <w:pPr>
              <w:pStyle w:val="TableContents"/>
              <w:spacing w:before="0" w:after="283"/>
              <w:jc w:val="left"/>
              <w:rPr>
                <w:rFonts w:ascii="Arial" w:hAnsi="Arial"/>
                <w:b/>
                <w:sz w:val="14"/>
              </w:rPr>
            </w:pPr>
            <w:r>
              <w:rPr>
                <w:rFonts w:ascii="Arial" w:hAnsi="Arial"/>
                <w:b/>
                <w:sz w:val="14"/>
              </w:rPr>
              <w:t>Dana</w:t>
              <w:br/>
              <w:t>Strong</w:t>
            </w:r>
            <w:r>
              <w:rPr>
                <w:rFonts w:ascii="Arial" w:hAnsi="Arial"/>
                <w:b/>
                <w:position w:val="5"/>
                <w:sz w:val="11"/>
                <w:sz w:val="14"/>
              </w:rPr>
              <w:t>(6)</w:t>
            </w:r>
          </w:p>
        </w:tc>
        <w:tc>
          <w:tcPr>
            <w:tcW w:w="120" w:type="dxa"/>
            <w:vMerge w:val="restart"/>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60"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4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47"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4"/>
              </w:rPr>
            </w:pPr>
            <w:r>
              <w:rPr>
                <w:rFonts w:ascii="Arial" w:hAnsi="Arial"/>
                <w:sz w:val="14"/>
              </w:rPr>
              <w:t>875,000</w:t>
            </w:r>
          </w:p>
        </w:tc>
        <w:tc>
          <w:tcPr>
            <w:tcW w:w="124"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60" w:type="dxa"/>
            <w:tcBorders>
              <w:bottom w:val="single" w:sz="8" w:space="0" w:color="000000"/>
            </w:tcBorders>
            <w:shd w:fill="auto" w:val="clear"/>
            <w:tcMar>
              <w:bottom w:w="28" w:type="dxa"/>
            </w:tcMar>
            <w:vAlign w:val="center"/>
          </w:tcPr>
          <w:p>
            <w:pPr>
              <w:pStyle w:val="TableContents"/>
              <w:spacing w:before="0" w:after="283"/>
              <w:jc w:val="center"/>
              <w:rPr>
                <w:rFonts w:ascii="Arial" w:hAnsi="Arial"/>
                <w:sz w:val="14"/>
              </w:rPr>
            </w:pPr>
            <w:r>
              <w:rPr>
                <w:rFonts w:ascii="Arial" w:hAnsi="Arial"/>
                <w:sz w:val="14"/>
              </w:rPr>
              <w:t>6,250,000</w:t>
            </w:r>
          </w:p>
        </w:tc>
        <w:tc>
          <w:tcPr>
            <w:tcW w:w="124"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38" w:type="dxa"/>
            <w:tcBorders>
              <w:bottom w:val="single" w:sz="8" w:space="0" w:color="000000"/>
            </w:tcBorders>
            <w:shd w:fill="auto" w:val="clear"/>
            <w:tcMar>
              <w:bottom w:w="28" w:type="dxa"/>
            </w:tcMar>
            <w:vAlign w:val="center"/>
          </w:tcPr>
          <w:p>
            <w:pPr>
              <w:pStyle w:val="TableContents"/>
              <w:spacing w:before="0" w:after="283"/>
              <w:jc w:val="left"/>
              <w:rPr>
                <w:rFonts w:ascii="Arial" w:hAnsi="Arial"/>
                <w:sz w:val="14"/>
              </w:rPr>
            </w:pPr>
            <w:r>
              <w:rPr>
                <w:rFonts w:ascii="Arial" w:hAnsi="Arial"/>
                <w:sz w:val="14"/>
              </w:rPr>
              <w:t>11,562,500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15"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9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5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75"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95"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6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560" w:type="dxa"/>
            <w:vMerge w:val="continue"/>
            <w:tcBorders>
              <w:bottom w:val="single" w:sz="8" w:space="0" w:color="000000"/>
            </w:tcBorders>
            <w:shd w:fill="auto" w:val="clear"/>
            <w:tcMar>
              <w:bottom w:w="28" w:type="dxa"/>
            </w:tcMar>
            <w:vAlign w:val="center"/>
          </w:tcPr>
          <w:p>
            <w:pPr>
              <w:pStyle w:val="Normal"/>
              <w:rPr/>
            </w:pPr>
            <w:r>
              <w:rPr/>
            </w:r>
          </w:p>
        </w:tc>
        <w:tc>
          <w:tcPr>
            <w:tcW w:w="120" w:type="dxa"/>
            <w:vMerge w:val="continue"/>
            <w:tcBorders>
              <w:bottom w:val="single" w:sz="8" w:space="0" w:color="000000"/>
            </w:tcBorders>
            <w:shd w:fill="auto" w:val="clear"/>
            <w:tcMar>
              <w:bottom w:w="28" w:type="dxa"/>
            </w:tcMar>
            <w:vAlign w:val="center"/>
          </w:tcPr>
          <w:p>
            <w:pPr>
              <w:pStyle w:val="Normal"/>
              <w:rPr/>
            </w:pPr>
            <w:r>
              <w:rPr/>
            </w:r>
          </w:p>
        </w:tc>
        <w:tc>
          <w:tcPr>
            <w:tcW w:w="56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4"/>
              </w:rPr>
            </w:pPr>
            <w:r>
              <w:rPr>
                <w:rFonts w:ascii="Arial" w:hAnsi="Arial"/>
                <w:sz w:val="14"/>
              </w:rPr>
              <w:t>3/1/2022</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40" w:type="dxa"/>
            <w:tcBorders>
              <w:bottom w:val="single" w:sz="8" w:space="0" w:color="000000"/>
            </w:tcBorders>
            <w:shd w:fill="auto" w:val="clear"/>
            <w:tcMar>
              <w:bottom w:w="28" w:type="dxa"/>
            </w:tcMar>
            <w:vAlign w:val="center"/>
          </w:tcPr>
          <w:p>
            <w:pPr>
              <w:pStyle w:val="TableContents"/>
              <w:spacing w:before="0" w:after="283"/>
              <w:jc w:val="center"/>
              <w:rPr>
                <w:rFonts w:ascii="Arial" w:hAnsi="Arial"/>
                <w:sz w:val="14"/>
              </w:rPr>
            </w:pPr>
            <w:r>
              <w:rPr>
                <w:rFonts w:ascii="Arial" w:hAnsi="Arial"/>
                <w:sz w:val="14"/>
              </w:rPr>
              <w:t>2/22/2022</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47"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4"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6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4"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38"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15"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4"/>
              </w:rPr>
            </w:pPr>
            <w:r>
              <w:rPr>
                <w:rFonts w:ascii="Arial" w:hAnsi="Arial"/>
                <w:sz w:val="14"/>
              </w:rPr>
              <w:t>16,551</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9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4"/>
              </w:rPr>
            </w:pPr>
            <w:r>
              <w:rPr>
                <w:rFonts w:ascii="Arial" w:hAnsi="Arial"/>
                <w:sz w:val="14"/>
              </w:rPr>
              <w:t>88,275</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5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4"/>
              </w:rPr>
            </w:pPr>
            <w:r>
              <w:rPr>
                <w:rFonts w:ascii="Arial" w:hAnsi="Arial"/>
                <w:sz w:val="14"/>
              </w:rPr>
              <w:t>220,687</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75"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95"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6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4"/>
              </w:rPr>
            </w:pPr>
            <w:r>
              <w:rPr>
                <w:rFonts w:ascii="Arial" w:hAnsi="Arial"/>
                <w:sz w:val="14"/>
              </w:rPr>
              <w:t>4,308,703</w:t>
            </w:r>
          </w:p>
        </w:tc>
      </w:tr>
      <w:tr>
        <w:trPr/>
        <w:tc>
          <w:tcPr>
            <w:tcW w:w="560" w:type="dxa"/>
            <w:vMerge w:val="continue"/>
            <w:tcBorders>
              <w:bottom w:val="single" w:sz="8" w:space="0" w:color="000000"/>
            </w:tcBorders>
            <w:shd w:fill="auto" w:val="clear"/>
            <w:tcMar>
              <w:bottom w:w="28" w:type="dxa"/>
            </w:tcMar>
            <w:vAlign w:val="center"/>
          </w:tcPr>
          <w:p>
            <w:pPr>
              <w:pStyle w:val="Normal"/>
              <w:rPr/>
            </w:pPr>
            <w:r>
              <w:rPr/>
            </w:r>
          </w:p>
        </w:tc>
        <w:tc>
          <w:tcPr>
            <w:tcW w:w="120" w:type="dxa"/>
            <w:vMerge w:val="continue"/>
            <w:tcBorders>
              <w:bottom w:val="single" w:sz="8" w:space="0" w:color="000000"/>
            </w:tcBorders>
            <w:shd w:fill="auto" w:val="clear"/>
            <w:tcMar>
              <w:bottom w:w="28" w:type="dxa"/>
            </w:tcMar>
            <w:vAlign w:val="center"/>
          </w:tcPr>
          <w:p>
            <w:pPr>
              <w:pStyle w:val="Normal"/>
              <w:rPr/>
            </w:pPr>
            <w:r>
              <w:rPr/>
            </w:r>
          </w:p>
        </w:tc>
        <w:tc>
          <w:tcPr>
            <w:tcW w:w="56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4"/>
              </w:rPr>
            </w:pPr>
            <w:r>
              <w:rPr>
                <w:rFonts w:ascii="Arial" w:hAnsi="Arial"/>
                <w:sz w:val="14"/>
              </w:rPr>
              <w:t>3/1/2022</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40" w:type="dxa"/>
            <w:tcBorders>
              <w:bottom w:val="single" w:sz="8" w:space="0" w:color="000000"/>
            </w:tcBorders>
            <w:shd w:fill="auto" w:val="clear"/>
            <w:tcMar>
              <w:bottom w:w="28" w:type="dxa"/>
            </w:tcMar>
            <w:vAlign w:val="center"/>
          </w:tcPr>
          <w:p>
            <w:pPr>
              <w:pStyle w:val="TableContents"/>
              <w:spacing w:before="0" w:after="283"/>
              <w:jc w:val="center"/>
              <w:rPr>
                <w:rFonts w:ascii="Arial" w:hAnsi="Arial"/>
                <w:sz w:val="14"/>
              </w:rPr>
            </w:pPr>
            <w:r>
              <w:rPr>
                <w:rFonts w:ascii="Arial" w:hAnsi="Arial"/>
                <w:sz w:val="14"/>
              </w:rPr>
              <w:t>2/22/2022</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47"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4"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6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4"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38"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15"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9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5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75"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4"/>
              </w:rPr>
            </w:pPr>
            <w:r>
              <w:rPr>
                <w:rFonts w:ascii="Arial" w:hAnsi="Arial"/>
                <w:sz w:val="14"/>
              </w:rPr>
              <w:t>309,880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95"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4"/>
              </w:rPr>
            </w:pPr>
            <w:r>
              <w:rPr>
                <w:rFonts w:ascii="Arial" w:hAnsi="Arial"/>
                <w:sz w:val="14"/>
              </w:rPr>
              <w:t>46.39</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6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4"/>
              </w:rPr>
            </w:pPr>
            <w:r>
              <w:rPr>
                <w:rFonts w:ascii="Arial" w:hAnsi="Arial"/>
                <w:sz w:val="14"/>
              </w:rPr>
              <w:t>2,730,043</w:t>
            </w:r>
          </w:p>
        </w:tc>
      </w:tr>
    </w:tbl>
    <w:tbl>
      <w:tblPr>
        <w:tblW w:w="10205" w:type="dxa"/>
        <w:jc w:val="left"/>
        <w:tblInd w:w="0" w:type="dxa"/>
        <w:tblCellMar>
          <w:top w:w="0" w:type="dxa"/>
          <w:left w:w="0" w:type="dxa"/>
          <w:bottom w:w="0" w:type="dxa"/>
          <w:right w:w="0" w:type="dxa"/>
        </w:tblCellMar>
      </w:tblPr>
      <w:tblGrid>
        <w:gridCol w:w="147"/>
        <w:gridCol w:w="10058"/>
      </w:tblGrid>
      <w:tr>
        <w:trPr/>
        <w:tc>
          <w:tcPr>
            <w:tcW w:w="147" w:type="dxa"/>
            <w:tcBorders/>
            <w:shd w:fill="auto" w:val="clear"/>
            <w:vAlign w:val="center"/>
          </w:tcPr>
          <w:p>
            <w:pPr>
              <w:pStyle w:val="TableContents"/>
              <w:spacing w:before="0" w:after="283"/>
              <w:jc w:val="left"/>
              <w:rPr>
                <w:rFonts w:ascii="Arial" w:hAnsi="Arial"/>
                <w:sz w:val="15"/>
              </w:rPr>
            </w:pPr>
            <w:r>
              <w:rPr>
                <w:rFonts w:ascii="Arial" w:hAnsi="Arial"/>
                <w:position w:val="5"/>
                <w:sz w:val="12"/>
                <w:sz w:val="15"/>
              </w:rPr>
              <w:t xml:space="preserve">(1) </w:t>
            </w:r>
            <w:r>
              <w:rPr>
                <w:rFonts w:ascii="Arial" w:hAnsi="Arial"/>
                <w:sz w:val="15"/>
              </w:rPr>
              <w:t> </w:t>
            </w:r>
          </w:p>
        </w:tc>
        <w:tc>
          <w:tcPr>
            <w:tcW w:w="10058" w:type="dxa"/>
            <w:tcBorders/>
            <w:shd w:fill="auto" w:val="clear"/>
            <w:vAlign w:val="center"/>
          </w:tcPr>
          <w:p>
            <w:pPr>
              <w:pStyle w:val="TableContents"/>
              <w:spacing w:before="0" w:after="283"/>
              <w:jc w:val="left"/>
              <w:rPr>
                <w:rFonts w:ascii="Arial" w:hAnsi="Arial"/>
                <w:sz w:val="15"/>
              </w:rPr>
            </w:pPr>
            <w:r>
              <w:rPr>
                <w:rFonts w:ascii="Arial" w:hAnsi="Arial"/>
                <w:sz w:val="15"/>
              </w:rPr>
              <w:t>Represents annual performance-based bonus awards granted under our cash bonus plans. The actual amounts earned with respect to these bonuses are included in the “Summary Compensation Table” above under the “Non-Equity Incentive Plan Compensation” column.</w:t>
            </w:r>
          </w:p>
        </w:tc>
      </w:tr>
      <w:tr>
        <w:trPr/>
        <w:tc>
          <w:tcPr>
            <w:tcW w:w="147" w:type="dxa"/>
            <w:tcBorders/>
            <w:shd w:fill="auto" w:val="clear"/>
            <w:vAlign w:val="center"/>
          </w:tcPr>
          <w:p>
            <w:pPr>
              <w:pStyle w:val="TableContents"/>
              <w:spacing w:before="0" w:after="283"/>
              <w:jc w:val="left"/>
              <w:rPr>
                <w:rFonts w:ascii="Arial" w:hAnsi="Arial"/>
                <w:sz w:val="15"/>
              </w:rPr>
            </w:pPr>
            <w:r>
              <w:rPr>
                <w:rFonts w:ascii="Arial" w:hAnsi="Arial"/>
                <w:position w:val="5"/>
                <w:sz w:val="12"/>
                <w:sz w:val="15"/>
              </w:rPr>
              <w:t xml:space="preserve">(2) </w:t>
            </w:r>
            <w:r>
              <w:rPr>
                <w:rFonts w:ascii="Arial" w:hAnsi="Arial"/>
                <w:sz w:val="15"/>
              </w:rPr>
              <w:t> </w:t>
            </w:r>
          </w:p>
        </w:tc>
        <w:tc>
          <w:tcPr>
            <w:tcW w:w="10058" w:type="dxa"/>
            <w:tcBorders/>
            <w:shd w:fill="auto" w:val="clear"/>
            <w:vAlign w:val="center"/>
          </w:tcPr>
          <w:p>
            <w:pPr>
              <w:pStyle w:val="TableContents"/>
              <w:spacing w:before="0" w:after="283"/>
              <w:jc w:val="left"/>
              <w:rPr>
                <w:rFonts w:ascii="Arial" w:hAnsi="Arial"/>
                <w:sz w:val="15"/>
              </w:rPr>
            </w:pPr>
            <w:r>
              <w:rPr>
                <w:rFonts w:ascii="Arial" w:hAnsi="Arial"/>
                <w:sz w:val="15"/>
              </w:rPr>
              <w:t>The amounts in columns (d) through (f) represent shares of Class A common stock underlying PSUs granted under our 2002 Restricted Stock Plan, other than the December 30, 2022 grant to Mr. Cavanagh, which represents a Performance Option granted under our 2003 Stock Option Plan. PSUs cliff vest 100% on the third anniversary of the grant date. PSUs will be earned based on achievement of two primary performance metrics over a three-year period beginning in 2022, each weighted 50%: (i) ROIC, calculated based on our ROIC for each year during the three-year performance period and averaged at the end of such period to yield an average ROIC for the cumulative three-year period; and (ii) Relative Adjusted EPS Growth, calculated at the end of the cumulative three-year performance period based on the percentile ranking of our Adjusted EPS compound average annual growth rate during the performance period relative to that of the companies comprising the S&amp;P 100 Index. The actual number of PSUs earned will be based on (x) the three-year average ROIC measured against a pre-established target approved by the CHC Committee in February 2022, with achievement level payouts ranging from 50% for threshold performance to 200% for maximum performance (with 100% as the target and linear interpolation between specified achievement levels) and (y) Relative Adjusted EPS Growth over the three-year period, with payouts ranging from 50% for performance at the 25th percentile to 200% for performance at or above the 75th percentile, and setting the target payout for performance at the median. For both metrics, payouts are zero for performance below the threshold.</w:t>
            </w:r>
          </w:p>
        </w:tc>
      </w:tr>
      <w:tr>
        <w:trPr/>
        <w:tc>
          <w:tcPr>
            <w:tcW w:w="147" w:type="dxa"/>
            <w:tcBorders/>
            <w:shd w:fill="auto" w:val="clear"/>
            <w:vAlign w:val="center"/>
          </w:tcPr>
          <w:p>
            <w:pPr>
              <w:pStyle w:val="TableContents"/>
              <w:spacing w:before="0" w:after="283"/>
              <w:rPr>
                <w:sz w:val="4"/>
                <w:szCs w:val="4"/>
              </w:rPr>
            </w:pPr>
            <w:r>
              <w:rPr>
                <w:sz w:val="4"/>
                <w:szCs w:val="4"/>
              </w:rPr>
            </w:r>
          </w:p>
        </w:tc>
        <w:tc>
          <w:tcPr>
            <w:tcW w:w="10058" w:type="dxa"/>
            <w:tcBorders/>
            <w:shd w:fill="auto" w:val="clear"/>
            <w:vAlign w:val="center"/>
          </w:tcPr>
          <w:p>
            <w:pPr>
              <w:pStyle w:val="TableContents"/>
              <w:spacing w:before="0" w:after="283"/>
              <w:jc w:val="left"/>
              <w:rPr>
                <w:rFonts w:ascii="Arial" w:hAnsi="Arial"/>
                <w:sz w:val="15"/>
              </w:rPr>
            </w:pPr>
            <w:r>
              <w:rPr>
                <w:rFonts w:ascii="Arial" w:hAnsi="Arial"/>
                <w:sz w:val="15"/>
              </w:rPr>
              <w:t>After calculating the ROIC and Relative Adjusted EPS Growth components, the Relative TSR Modifier is applied, which is based on the percentile ranking of our TSR during such period relative to that of the companies comprising the S&amp;P 100 Index, as modified to account for changes in the index companies such as due to merger and acquisition activity. TSR will be determined based on the average stock price of each company for the 20 trading days prior to each of the first and last day of the performance period and will be calculated assuming the reinvestment of dividends. The actual number of PSUs earned will be determined after multiplying the payout levels for the two primary performance metrics by 25% for top quartile TSR performance or (25)% for bottom quartile performance, with performance in between straight-line interpolated. If our absolute TSR over the performance period is negative, then, irrespective of our TSR percentile ranking, no positive adjustment will be made to the payouts under the ROIC and Relative Adjusted EPS Growth components. See “Compensation Discussion and Analysis – Design and Structure of Executive Compensation – Equity-Based Incentive Compensation” above for additional information. Dividend equivalents accrue on shares underlying PSUs, although the amounts will only be paid (without interest) if and when the shares underlying PSUs vest.</w:t>
            </w:r>
          </w:p>
        </w:tc>
      </w:tr>
      <w:tr>
        <w:trPr/>
        <w:tc>
          <w:tcPr>
            <w:tcW w:w="147" w:type="dxa"/>
            <w:tcBorders/>
            <w:shd w:fill="auto" w:val="clear"/>
            <w:vAlign w:val="center"/>
          </w:tcPr>
          <w:p>
            <w:pPr>
              <w:pStyle w:val="TableContents"/>
              <w:spacing w:before="0" w:after="283"/>
              <w:rPr>
                <w:sz w:val="4"/>
                <w:szCs w:val="4"/>
              </w:rPr>
            </w:pPr>
            <w:r>
              <w:rPr>
                <w:sz w:val="4"/>
                <w:szCs w:val="4"/>
              </w:rPr>
            </w:r>
          </w:p>
        </w:tc>
        <w:tc>
          <w:tcPr>
            <w:tcW w:w="10058" w:type="dxa"/>
            <w:tcBorders/>
            <w:shd w:fill="auto" w:val="clear"/>
            <w:vAlign w:val="center"/>
          </w:tcPr>
          <w:p>
            <w:pPr>
              <w:pStyle w:val="TableContents"/>
              <w:spacing w:before="0" w:after="283"/>
              <w:jc w:val="left"/>
              <w:rPr>
                <w:rFonts w:ascii="Arial" w:hAnsi="Arial"/>
                <w:sz w:val="15"/>
              </w:rPr>
            </w:pPr>
            <w:r>
              <w:rPr>
                <w:rFonts w:ascii="Arial" w:hAnsi="Arial"/>
                <w:sz w:val="15"/>
              </w:rPr>
              <w:t>The Performance Option will cliff vest on February 1, 2028. The performance-based component of the Performance Option will be earned based on the attainment of specified metrics relating to annual growth in FCF per Share averaged over the five-year performance period. The actual number of Performance Options earned will be based on the five-year average measured against a pre-established target approved by the CHC Committee. Any shares acquired on the exercise of the Performance Option are subject to a holding period, and cannot be sold until on or after December 29, 2032, the expiration date of the Performance Option. See “Compensation Discussion and Analysis – Design and Structure of Executive Compensation – Equity-Based Incentive Compensation – Special Performance-Based Stock Option Award” above for additional information.</w:t>
            </w:r>
          </w:p>
        </w:tc>
      </w:tr>
      <w:tr>
        <w:trPr/>
        <w:tc>
          <w:tcPr>
            <w:tcW w:w="147" w:type="dxa"/>
            <w:tcBorders/>
            <w:shd w:fill="auto" w:val="clear"/>
            <w:vAlign w:val="center"/>
          </w:tcPr>
          <w:p>
            <w:pPr>
              <w:pStyle w:val="TableContents"/>
              <w:spacing w:before="0" w:after="283"/>
              <w:jc w:val="left"/>
              <w:rPr>
                <w:rFonts w:ascii="Arial" w:hAnsi="Arial"/>
                <w:sz w:val="15"/>
              </w:rPr>
            </w:pPr>
            <w:r>
              <w:rPr>
                <w:rFonts w:ascii="Arial" w:hAnsi="Arial"/>
                <w:position w:val="5"/>
                <w:sz w:val="12"/>
                <w:sz w:val="15"/>
              </w:rPr>
              <w:t xml:space="preserve">(3) </w:t>
            </w:r>
            <w:r>
              <w:rPr>
                <w:rFonts w:ascii="Arial" w:hAnsi="Arial"/>
                <w:sz w:val="15"/>
              </w:rPr>
              <w:t> </w:t>
            </w:r>
          </w:p>
        </w:tc>
        <w:tc>
          <w:tcPr>
            <w:tcW w:w="10058" w:type="dxa"/>
            <w:tcBorders/>
            <w:shd w:fill="auto" w:val="clear"/>
            <w:vAlign w:val="center"/>
          </w:tcPr>
          <w:p>
            <w:pPr>
              <w:pStyle w:val="TableContents"/>
              <w:spacing w:before="0" w:after="283"/>
              <w:jc w:val="left"/>
              <w:rPr>
                <w:rFonts w:ascii="Arial" w:hAnsi="Arial"/>
                <w:sz w:val="15"/>
              </w:rPr>
            </w:pPr>
            <w:r>
              <w:rPr>
                <w:rFonts w:ascii="Arial" w:hAnsi="Arial"/>
                <w:sz w:val="15"/>
              </w:rPr>
              <w:t>The amounts in this column represent shares of our Class A common stock underlying stock options granted under our 2003 Stock Option Plan. Options become exercisable as follows: 20% of the shares become exercisable on each of the first, second, third, fourth and fifth anniversaries of the date of grant.</w:t>
            </w:r>
          </w:p>
        </w:tc>
      </w:tr>
      <w:tr>
        <w:trPr/>
        <w:tc>
          <w:tcPr>
            <w:tcW w:w="147" w:type="dxa"/>
            <w:tcBorders/>
            <w:shd w:fill="auto" w:val="clear"/>
            <w:vAlign w:val="center"/>
          </w:tcPr>
          <w:p>
            <w:pPr>
              <w:pStyle w:val="TableContents"/>
              <w:spacing w:before="0" w:after="283"/>
              <w:jc w:val="left"/>
              <w:rPr>
                <w:rFonts w:ascii="Arial" w:hAnsi="Arial"/>
                <w:sz w:val="15"/>
              </w:rPr>
            </w:pPr>
            <w:r>
              <w:rPr>
                <w:rFonts w:ascii="Arial" w:hAnsi="Arial"/>
                <w:position w:val="5"/>
                <w:sz w:val="12"/>
                <w:sz w:val="15"/>
              </w:rPr>
              <w:t xml:space="preserve">(4) </w:t>
            </w:r>
            <w:r>
              <w:rPr>
                <w:rFonts w:ascii="Arial" w:hAnsi="Arial"/>
                <w:sz w:val="15"/>
              </w:rPr>
              <w:t> </w:t>
            </w:r>
          </w:p>
        </w:tc>
        <w:tc>
          <w:tcPr>
            <w:tcW w:w="10058" w:type="dxa"/>
            <w:tcBorders/>
            <w:shd w:fill="auto" w:val="clear"/>
            <w:vAlign w:val="center"/>
          </w:tcPr>
          <w:p>
            <w:pPr>
              <w:pStyle w:val="TableContents"/>
              <w:spacing w:before="0" w:after="283"/>
              <w:jc w:val="left"/>
              <w:rPr>
                <w:rFonts w:ascii="Arial" w:hAnsi="Arial"/>
                <w:sz w:val="15"/>
              </w:rPr>
            </w:pPr>
            <w:r>
              <w:rPr>
                <w:rFonts w:ascii="Arial" w:hAnsi="Arial"/>
                <w:sz w:val="15"/>
              </w:rPr>
              <w:t>The amounts in this column represent the grant date fair value of PSUs and stock options computed in accordance with FASB ASC Topic 718. These amounts do not necessarily correspond to the actual value that may be realized by the NEOs. The grant date fair value of PSUs was determined as described in footnote (2) to the “Summary Compensation Table.” Amounts with respect to stock options were calculated using the Black-Scholes option pricing model, based upon the assumptions set forth in footnote (3) to the “Summary Compensation Table.”</w:t>
            </w:r>
          </w:p>
        </w:tc>
      </w:tr>
      <w:tr>
        <w:trPr/>
        <w:tc>
          <w:tcPr>
            <w:tcW w:w="147"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 xml:space="preserve">(5) </w:t>
            </w:r>
          </w:p>
        </w:tc>
        <w:tc>
          <w:tcPr>
            <w:tcW w:w="10058" w:type="dxa"/>
            <w:tcBorders/>
            <w:shd w:fill="auto" w:val="clear"/>
            <w:vAlign w:val="center"/>
          </w:tcPr>
          <w:p>
            <w:pPr>
              <w:pStyle w:val="TableContents"/>
              <w:spacing w:before="0" w:after="283"/>
              <w:jc w:val="left"/>
              <w:rPr>
                <w:rFonts w:ascii="Arial" w:hAnsi="Arial"/>
                <w:sz w:val="15"/>
              </w:rPr>
            </w:pPr>
            <w:r>
              <w:rPr>
                <w:rFonts w:ascii="Arial" w:hAnsi="Arial"/>
                <w:sz w:val="15"/>
              </w:rPr>
              <w:t>All unvested PSUs and vested and unvested stock options were forfeited and canceled upon Mr. Shell’s termination of employment in April 2023.</w:t>
            </w:r>
          </w:p>
        </w:tc>
      </w:tr>
      <w:tr>
        <w:trPr/>
        <w:tc>
          <w:tcPr>
            <w:tcW w:w="147" w:type="dxa"/>
            <w:tcBorders/>
            <w:shd w:fill="auto" w:val="clear"/>
            <w:vAlign w:val="center"/>
          </w:tcPr>
          <w:p>
            <w:pPr>
              <w:pStyle w:val="TableContents"/>
              <w:spacing w:before="0" w:after="283"/>
              <w:jc w:val="left"/>
              <w:rPr>
                <w:rFonts w:ascii="Arial" w:hAnsi="Arial"/>
                <w:sz w:val="15"/>
              </w:rPr>
            </w:pPr>
            <w:r>
              <w:rPr>
                <w:rFonts w:ascii="Arial" w:hAnsi="Arial"/>
                <w:position w:val="5"/>
                <w:sz w:val="12"/>
                <w:sz w:val="15"/>
              </w:rPr>
              <w:t xml:space="preserve">(6) </w:t>
            </w:r>
            <w:r>
              <w:rPr>
                <w:rFonts w:ascii="Arial" w:hAnsi="Arial"/>
                <w:sz w:val="15"/>
              </w:rPr>
              <w:t> </w:t>
            </w:r>
          </w:p>
        </w:tc>
        <w:tc>
          <w:tcPr>
            <w:tcW w:w="10058" w:type="dxa"/>
            <w:tcBorders/>
            <w:shd w:fill="auto" w:val="clear"/>
            <w:vAlign w:val="center"/>
          </w:tcPr>
          <w:p>
            <w:pPr>
              <w:pStyle w:val="TableContents"/>
              <w:spacing w:before="0" w:after="283"/>
              <w:jc w:val="left"/>
              <w:rPr>
                <w:rFonts w:ascii="Arial" w:hAnsi="Arial"/>
                <w:sz w:val="15"/>
              </w:rPr>
            </w:pPr>
            <w:r>
              <w:rPr>
                <w:rFonts w:ascii="Arial" w:hAnsi="Arial"/>
                <w:sz w:val="15"/>
              </w:rPr>
              <w:t>For 2022, Ms. Strong’s bonus was determined with reference to a U.S. dollar equivalent salary. It was paid in British pounds sterling using a daily spot rate of £1 to $1.2103.</w:t>
            </w:r>
          </w:p>
        </w:tc>
      </w:tr>
    </w:tbl>
    <w:p>
      <w:pPr>
        <w:pStyle w:val="TextBody"/>
        <w:spacing w:before="0" w:after="0"/>
        <w:rPr/>
      </w:pPr>
      <w:r>
        <w:rPr/>
      </w:r>
    </w:p>
    <w:tbl>
      <w:tblPr>
        <w:tblW w:w="200" w:type="dxa"/>
        <w:jc w:val="left"/>
        <w:tblInd w:w="0" w:type="dxa"/>
        <w:tblCellMar>
          <w:top w:w="0" w:type="dxa"/>
          <w:left w:w="0" w:type="dxa"/>
          <w:bottom w:w="0" w:type="dxa"/>
          <w:right w:w="0" w:type="dxa"/>
        </w:tblCellMar>
      </w:tblPr>
      <w:tblGrid>
        <w:gridCol w:w="200"/>
      </w:tblGrid>
      <w:tr>
        <w:trPr/>
        <w:tc>
          <w:tcPr>
            <w:tcW w:w="200" w:type="dxa"/>
            <w:tcBorders/>
            <w:shd w:fill="auto" w:val="clear"/>
            <w:vAlign w:val="center"/>
          </w:tcPr>
          <w:p>
            <w:pPr>
              <w:pStyle w:val="TableContents"/>
              <w:spacing w:before="0" w:after="283"/>
              <w:jc w:val="left"/>
              <w:rPr/>
            </w:pPr>
            <w:r>
              <w:rPr>
                <w:rStyle w:val="StrongEmphasis"/>
                <w:rFonts w:ascii="Arial" w:hAnsi="Arial"/>
                <w:sz w:val="15"/>
              </w:rPr>
              <w:t>56</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p>
      <w:pPr>
        <w:pStyle w:val="TextBody"/>
        <w:jc w:val="left"/>
        <w:rPr>
          <w:rFonts w:ascii="Arial" w:hAnsi="Arial"/>
          <w:sz w:val="28"/>
        </w:rPr>
      </w:pPr>
      <w:bookmarkStart w:id="26" w:name="outstandingequityawards"/>
      <w:bookmarkEnd w:id="26"/>
      <w:r>
        <w:rPr>
          <w:rFonts w:ascii="Arial" w:hAnsi="Arial"/>
          <w:sz w:val="28"/>
        </w:rPr>
        <w:t>Outstanding Equity Awards at Fiscal Year-End</w:t>
      </w:r>
    </w:p>
    <w:p>
      <w:pPr>
        <w:pStyle w:val="TextBody"/>
        <w:jc w:val="left"/>
        <w:rPr>
          <w:rFonts w:ascii="Arial" w:hAnsi="Arial"/>
          <w:sz w:val="20"/>
        </w:rPr>
      </w:pPr>
      <w:r>
        <w:rPr>
          <w:rFonts w:ascii="Arial" w:hAnsi="Arial"/>
          <w:sz w:val="20"/>
        </w:rPr>
        <w:t>The following table provides information on the holdings of stock options and stock awards by our NEOs as of December 31, 2022. This table includes unexercised vested and unvested options to purchase shares of Class A common stock (columns (a), (b), (c) and (d)), unvested RSUs with respect to shares of Class A common stock (columns (e) and (f)) and unvested PSUs with respect to shares of Class A common stock (columns (g) and (h)). The vesting schedules for these grants are disclosed in the footnotes to this table. The market value of stock awards is based on the closing market price of a share of our Class A common stock as of December 30, 2022, or $34.97.</w:t>
      </w:r>
    </w:p>
    <w:tbl>
      <w:tblPr>
        <w:tblW w:w="10205" w:type="dxa"/>
        <w:jc w:val="left"/>
        <w:tblInd w:w="0" w:type="dxa"/>
        <w:tblCellMar>
          <w:top w:w="0" w:type="dxa"/>
          <w:left w:w="0" w:type="dxa"/>
          <w:bottom w:w="0" w:type="dxa"/>
          <w:right w:w="0" w:type="dxa"/>
        </w:tblCellMar>
      </w:tblPr>
      <w:tblGrid>
        <w:gridCol w:w="1145"/>
        <w:gridCol w:w="120"/>
        <w:gridCol w:w="953"/>
        <w:gridCol w:w="188"/>
        <w:gridCol w:w="120"/>
        <w:gridCol w:w="1406"/>
        <w:gridCol w:w="120"/>
        <w:gridCol w:w="800"/>
        <w:gridCol w:w="120"/>
        <w:gridCol w:w="950"/>
        <w:gridCol w:w="120"/>
        <w:gridCol w:w="827"/>
        <w:gridCol w:w="120"/>
        <w:gridCol w:w="819"/>
        <w:gridCol w:w="120"/>
        <w:gridCol w:w="1073"/>
        <w:gridCol w:w="120"/>
        <w:gridCol w:w="1084"/>
      </w:tblGrid>
      <w:tr>
        <w:trPr/>
        <w:tc>
          <w:tcPr>
            <w:tcW w:w="11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657" w:type="dxa"/>
            <w:gridSpan w:val="8"/>
            <w:tcBorders>
              <w:bottom w:val="single" w:sz="8" w:space="0" w:color="000000"/>
            </w:tcBorders>
            <w:shd w:fill="auto" w:val="clear"/>
            <w:tcMar>
              <w:bottom w:w="28" w:type="dxa"/>
            </w:tcMar>
            <w:vAlign w:val="center"/>
          </w:tcPr>
          <w:p>
            <w:pPr>
              <w:pStyle w:val="TableContents"/>
              <w:spacing w:before="0" w:after="283"/>
              <w:jc w:val="center"/>
              <w:rPr>
                <w:rFonts w:ascii="Arial" w:hAnsi="Arial"/>
                <w:b/>
                <w:sz w:val="15"/>
              </w:rPr>
            </w:pPr>
            <w:r>
              <w:rPr>
                <w:rFonts w:ascii="Arial" w:hAnsi="Arial"/>
                <w:b/>
                <w:sz w:val="15"/>
              </w:rPr>
              <w:t>OPTION AWARDS</w:t>
            </w:r>
          </w:p>
        </w:tc>
        <w:tc>
          <w:tcPr>
            <w:tcW w:w="120" w:type="dxa"/>
            <w:tcBorders/>
            <w:shd w:fill="auto" w:val="clear"/>
            <w:vAlign w:val="center"/>
          </w:tcPr>
          <w:p>
            <w:pPr>
              <w:pStyle w:val="TableContents"/>
              <w:spacing w:before="0" w:after="283"/>
              <w:rPr>
                <w:sz w:val="4"/>
                <w:szCs w:val="4"/>
              </w:rPr>
            </w:pPr>
            <w:r>
              <w:rPr>
                <w:sz w:val="4"/>
                <w:szCs w:val="4"/>
              </w:rPr>
            </w:r>
          </w:p>
        </w:tc>
        <w:tc>
          <w:tcPr>
            <w:tcW w:w="4163" w:type="dxa"/>
            <w:gridSpan w:val="7"/>
            <w:tcBorders>
              <w:bottom w:val="single" w:sz="8" w:space="0" w:color="000000"/>
            </w:tcBorders>
            <w:shd w:fill="auto" w:val="clear"/>
            <w:tcMar>
              <w:bottom w:w="28" w:type="dxa"/>
            </w:tcMar>
            <w:vAlign w:val="center"/>
          </w:tcPr>
          <w:p>
            <w:pPr>
              <w:pStyle w:val="TableContents"/>
              <w:spacing w:before="0" w:after="283"/>
              <w:jc w:val="center"/>
              <w:rPr>
                <w:rFonts w:ascii="Arial" w:hAnsi="Arial"/>
                <w:b/>
                <w:sz w:val="15"/>
              </w:rPr>
            </w:pPr>
            <w:r>
              <w:rPr>
                <w:rFonts w:ascii="Arial" w:hAnsi="Arial"/>
                <w:b/>
                <w:sz w:val="15"/>
              </w:rPr>
              <w:t>STOCK AWARDS</w:t>
            </w:r>
          </w:p>
        </w:tc>
      </w:tr>
      <w:tr>
        <w:trPr/>
        <w:tc>
          <w:tcPr>
            <w:tcW w:w="1145" w:type="dxa"/>
            <w:tcBorders>
              <w:bottom w:val="single" w:sz="12" w:space="0" w:color="000000"/>
            </w:tcBorders>
            <w:shd w:fill="auto" w:val="clear"/>
            <w:tcMar>
              <w:bottom w:w="28" w:type="dxa"/>
            </w:tcMar>
            <w:vAlign w:val="center"/>
          </w:tcPr>
          <w:p>
            <w:pPr>
              <w:pStyle w:val="TableContents"/>
              <w:spacing w:before="0" w:after="283"/>
              <w:jc w:val="left"/>
              <w:rPr>
                <w:rFonts w:ascii="Arial" w:hAnsi="Arial"/>
                <w:b/>
                <w:sz w:val="15"/>
              </w:rPr>
            </w:pPr>
            <w:r>
              <w:rPr>
                <w:rFonts w:ascii="Arial" w:hAnsi="Arial"/>
                <w:b/>
                <w:sz w:val="15"/>
              </w:rPr>
              <w:t>NAME</w:t>
            </w:r>
          </w:p>
        </w:tc>
        <w:tc>
          <w:tcPr>
            <w:tcW w:w="12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141" w:type="dxa"/>
            <w:gridSpan w:val="2"/>
            <w:tcBorders>
              <w:bottom w:val="single" w:sz="12" w:space="0" w:color="000000"/>
            </w:tcBorders>
            <w:shd w:fill="auto" w:val="clear"/>
            <w:tcMar>
              <w:bottom w:w="28" w:type="dxa"/>
            </w:tcMar>
            <w:vAlign w:val="center"/>
          </w:tcPr>
          <w:p>
            <w:pPr>
              <w:pStyle w:val="TableContents"/>
              <w:spacing w:before="0" w:after="283"/>
              <w:jc w:val="center"/>
              <w:rPr>
                <w:rFonts w:ascii="Arial" w:hAnsi="Arial"/>
                <w:b/>
                <w:sz w:val="15"/>
              </w:rPr>
            </w:pPr>
            <w:r>
              <w:rPr>
                <w:rFonts w:ascii="Arial" w:hAnsi="Arial"/>
                <w:b/>
                <w:sz w:val="15"/>
              </w:rPr>
              <w:t>NUMBER OF</w:t>
              <w:br/>
              <w:t>SECURITIES</w:t>
              <w:br/>
              <w:t>UNDERLYING</w:t>
              <w:br/>
              <w:t>UNEXERCISED</w:t>
              <w:br/>
              <w:t>OPTIONS</w:t>
              <w:br/>
              <w:t>EXERCISABLE</w:t>
              <w:br/>
              <w:t>(a)</w:t>
            </w:r>
          </w:p>
        </w:tc>
        <w:tc>
          <w:tcPr>
            <w:tcW w:w="120" w:type="dxa"/>
            <w:tcBorders>
              <w:bottom w:val="single" w:sz="12" w:space="0" w:color="000000"/>
            </w:tcBorders>
            <w:shd w:fill="auto" w:val="clear"/>
            <w:tcMar>
              <w:bottom w:w="28" w:type="dxa"/>
            </w:tcMar>
            <w:vAlign w:val="center"/>
          </w:tcPr>
          <w:p>
            <w:pPr>
              <w:pStyle w:val="TableContents"/>
              <w:spacing w:before="0" w:after="283"/>
              <w:jc w:val="center"/>
              <w:rPr/>
            </w:pPr>
            <w:r>
              <w:rPr/>
              <w:t>  </w:t>
            </w:r>
          </w:p>
        </w:tc>
        <w:tc>
          <w:tcPr>
            <w:tcW w:w="1406" w:type="dxa"/>
            <w:tcBorders>
              <w:bottom w:val="single" w:sz="12" w:space="0" w:color="000000"/>
            </w:tcBorders>
            <w:shd w:fill="auto" w:val="clear"/>
            <w:tcMar>
              <w:bottom w:w="28" w:type="dxa"/>
            </w:tcMar>
            <w:vAlign w:val="center"/>
          </w:tcPr>
          <w:p>
            <w:pPr>
              <w:pStyle w:val="TableContents"/>
              <w:spacing w:before="0" w:after="283"/>
              <w:jc w:val="center"/>
              <w:rPr>
                <w:rFonts w:ascii="Arial" w:hAnsi="Arial"/>
                <w:b/>
                <w:sz w:val="15"/>
              </w:rPr>
            </w:pPr>
            <w:r>
              <w:rPr>
                <w:rFonts w:ascii="Arial" w:hAnsi="Arial"/>
                <w:b/>
                <w:sz w:val="15"/>
              </w:rPr>
              <w:t>NUMBER OF</w:t>
              <w:br/>
              <w:t>SECURITIES</w:t>
              <w:br/>
              <w:t>UNDERLYING</w:t>
              <w:br/>
              <w:t>UNEXERCISED</w:t>
              <w:br/>
              <w:t>OPTIONS</w:t>
              <w:br/>
              <w:t>UNEXERCISABLE</w:t>
            </w:r>
            <w:r>
              <w:rPr>
                <w:rFonts w:ascii="Arial" w:hAnsi="Arial"/>
                <w:b/>
                <w:position w:val="5"/>
                <w:sz w:val="12"/>
                <w:sz w:val="15"/>
              </w:rPr>
              <w:t>(2)</w:t>
            </w:r>
            <w:r>
              <w:rPr>
                <w:rFonts w:ascii="Arial" w:hAnsi="Arial"/>
                <w:b/>
                <w:sz w:val="15"/>
              </w:rPr>
              <w:br/>
              <w:t>(b)</w:t>
            </w:r>
          </w:p>
        </w:tc>
        <w:tc>
          <w:tcPr>
            <w:tcW w:w="120" w:type="dxa"/>
            <w:tcBorders>
              <w:bottom w:val="single" w:sz="12" w:space="0" w:color="000000"/>
            </w:tcBorders>
            <w:shd w:fill="auto" w:val="clear"/>
            <w:tcMar>
              <w:bottom w:w="28" w:type="dxa"/>
            </w:tcMar>
            <w:vAlign w:val="center"/>
          </w:tcPr>
          <w:p>
            <w:pPr>
              <w:pStyle w:val="TableContents"/>
              <w:spacing w:before="0" w:after="283"/>
              <w:jc w:val="center"/>
              <w:rPr/>
            </w:pPr>
            <w:r>
              <w:rPr/>
              <w:t>  </w:t>
            </w:r>
          </w:p>
        </w:tc>
        <w:tc>
          <w:tcPr>
            <w:tcW w:w="800" w:type="dxa"/>
            <w:tcBorders>
              <w:bottom w:val="single" w:sz="12" w:space="0" w:color="000000"/>
            </w:tcBorders>
            <w:shd w:fill="auto" w:val="clear"/>
            <w:tcMar>
              <w:bottom w:w="28" w:type="dxa"/>
            </w:tcMar>
            <w:vAlign w:val="center"/>
          </w:tcPr>
          <w:p>
            <w:pPr>
              <w:pStyle w:val="TableContents"/>
              <w:spacing w:before="0" w:after="283"/>
              <w:jc w:val="center"/>
              <w:rPr>
                <w:rFonts w:ascii="Arial" w:hAnsi="Arial"/>
                <w:b/>
                <w:sz w:val="15"/>
              </w:rPr>
            </w:pPr>
            <w:r>
              <w:rPr>
                <w:rFonts w:ascii="Arial" w:hAnsi="Arial"/>
                <w:b/>
                <w:sz w:val="15"/>
              </w:rPr>
              <w:t>OPTION</w:t>
              <w:br/>
              <w:t>EXERCISE</w:t>
              <w:br/>
              <w:t>PRICE</w:t>
              <w:br/>
              <w:t>($)</w:t>
              <w:br/>
              <w:t>(c)</w:t>
            </w:r>
          </w:p>
        </w:tc>
        <w:tc>
          <w:tcPr>
            <w:tcW w:w="120" w:type="dxa"/>
            <w:tcBorders>
              <w:bottom w:val="single" w:sz="12" w:space="0" w:color="000000"/>
            </w:tcBorders>
            <w:shd w:fill="auto" w:val="clear"/>
            <w:tcMar>
              <w:bottom w:w="28" w:type="dxa"/>
            </w:tcMar>
            <w:vAlign w:val="center"/>
          </w:tcPr>
          <w:p>
            <w:pPr>
              <w:pStyle w:val="TableContents"/>
              <w:spacing w:before="0" w:after="283"/>
              <w:jc w:val="center"/>
              <w:rPr/>
            </w:pPr>
            <w:r>
              <w:rPr/>
              <w:t>  </w:t>
            </w:r>
          </w:p>
        </w:tc>
        <w:tc>
          <w:tcPr>
            <w:tcW w:w="950" w:type="dxa"/>
            <w:tcBorders>
              <w:bottom w:val="single" w:sz="12" w:space="0" w:color="000000"/>
            </w:tcBorders>
            <w:shd w:fill="auto" w:val="clear"/>
            <w:tcMar>
              <w:bottom w:w="28" w:type="dxa"/>
            </w:tcMar>
            <w:vAlign w:val="center"/>
          </w:tcPr>
          <w:p>
            <w:pPr>
              <w:pStyle w:val="TableContents"/>
              <w:spacing w:before="0" w:after="283"/>
              <w:jc w:val="center"/>
              <w:rPr>
                <w:rFonts w:ascii="Arial" w:hAnsi="Arial"/>
                <w:b/>
                <w:sz w:val="15"/>
              </w:rPr>
            </w:pPr>
            <w:r>
              <w:rPr>
                <w:rFonts w:ascii="Arial" w:hAnsi="Arial"/>
                <w:b/>
                <w:sz w:val="15"/>
              </w:rPr>
              <w:t>OPTION</w:t>
              <w:br/>
              <w:t>EXPIRATION</w:t>
              <w:br/>
              <w:t>DATE</w:t>
              <w:br/>
              <w:t>(d)</w:t>
            </w:r>
          </w:p>
        </w:tc>
        <w:tc>
          <w:tcPr>
            <w:tcW w:w="120" w:type="dxa"/>
            <w:tcBorders>
              <w:bottom w:val="single" w:sz="12" w:space="0" w:color="000000"/>
            </w:tcBorders>
            <w:shd w:fill="auto" w:val="clear"/>
            <w:tcMar>
              <w:bottom w:w="28" w:type="dxa"/>
            </w:tcMar>
            <w:vAlign w:val="center"/>
          </w:tcPr>
          <w:p>
            <w:pPr>
              <w:pStyle w:val="TableContents"/>
              <w:spacing w:before="0" w:after="283"/>
              <w:jc w:val="center"/>
              <w:rPr/>
            </w:pPr>
            <w:r>
              <w:rPr/>
              <w:t>  </w:t>
            </w:r>
          </w:p>
        </w:tc>
        <w:tc>
          <w:tcPr>
            <w:tcW w:w="827" w:type="dxa"/>
            <w:tcBorders>
              <w:bottom w:val="single" w:sz="12" w:space="0" w:color="000000"/>
            </w:tcBorders>
            <w:shd w:fill="auto" w:val="clear"/>
            <w:tcMar>
              <w:bottom w:w="28" w:type="dxa"/>
            </w:tcMar>
            <w:vAlign w:val="center"/>
          </w:tcPr>
          <w:p>
            <w:pPr>
              <w:pStyle w:val="TableContents"/>
              <w:spacing w:before="0" w:after="283"/>
              <w:jc w:val="center"/>
              <w:rPr>
                <w:rFonts w:ascii="Arial" w:hAnsi="Arial"/>
                <w:b/>
                <w:sz w:val="15"/>
              </w:rPr>
            </w:pPr>
            <w:r>
              <w:rPr>
                <w:rFonts w:ascii="Arial" w:hAnsi="Arial"/>
                <w:b/>
                <w:sz w:val="15"/>
              </w:rPr>
              <w:t>NUMBER OF</w:t>
              <w:br/>
              <w:t>SHARES OR</w:t>
              <w:br/>
              <w:t>UNITS OF</w:t>
              <w:br/>
              <w:t>STOCK THAT</w:t>
              <w:br/>
              <w:t>HAVE NOT</w:t>
              <w:br/>
              <w:t>VESTED</w:t>
            </w:r>
            <w:r>
              <w:rPr>
                <w:rFonts w:ascii="Arial" w:hAnsi="Arial"/>
                <w:b/>
                <w:position w:val="5"/>
                <w:sz w:val="12"/>
                <w:sz w:val="15"/>
              </w:rPr>
              <w:t>(3)(4)</w:t>
            </w:r>
            <w:r>
              <w:rPr>
                <w:rFonts w:ascii="Arial" w:hAnsi="Arial"/>
                <w:b/>
                <w:sz w:val="15"/>
              </w:rPr>
              <w:br/>
              <w:t>(e)</w:t>
            </w:r>
          </w:p>
        </w:tc>
        <w:tc>
          <w:tcPr>
            <w:tcW w:w="120" w:type="dxa"/>
            <w:tcBorders>
              <w:bottom w:val="single" w:sz="12" w:space="0" w:color="000000"/>
            </w:tcBorders>
            <w:shd w:fill="auto" w:val="clear"/>
            <w:tcMar>
              <w:bottom w:w="28" w:type="dxa"/>
            </w:tcMar>
            <w:vAlign w:val="center"/>
          </w:tcPr>
          <w:p>
            <w:pPr>
              <w:pStyle w:val="TableContents"/>
              <w:spacing w:before="0" w:after="283"/>
              <w:jc w:val="center"/>
              <w:rPr/>
            </w:pPr>
            <w:r>
              <w:rPr/>
              <w:t>  </w:t>
            </w:r>
          </w:p>
        </w:tc>
        <w:tc>
          <w:tcPr>
            <w:tcW w:w="819" w:type="dxa"/>
            <w:tcBorders>
              <w:bottom w:val="single" w:sz="12" w:space="0" w:color="000000"/>
            </w:tcBorders>
            <w:shd w:fill="auto" w:val="clear"/>
            <w:tcMar>
              <w:bottom w:w="28" w:type="dxa"/>
            </w:tcMar>
            <w:vAlign w:val="center"/>
          </w:tcPr>
          <w:p>
            <w:pPr>
              <w:pStyle w:val="TableContents"/>
              <w:spacing w:before="0" w:after="283"/>
              <w:jc w:val="center"/>
              <w:rPr>
                <w:rFonts w:ascii="Arial" w:hAnsi="Arial"/>
                <w:b/>
                <w:sz w:val="15"/>
              </w:rPr>
            </w:pPr>
            <w:r>
              <w:rPr>
                <w:rFonts w:ascii="Arial" w:hAnsi="Arial"/>
                <w:b/>
                <w:sz w:val="15"/>
              </w:rPr>
              <w:t>MARKET</w:t>
              <w:br/>
              <w:t>VALUE OF</w:t>
              <w:br/>
              <w:t>SHARES OR</w:t>
              <w:br/>
              <w:t>UNITS OF</w:t>
              <w:br/>
              <w:t>STOCK</w:t>
              <w:br/>
              <w:t>THAT HAVE</w:t>
              <w:br/>
              <w:t>NOT VESTED</w:t>
              <w:br/>
              <w:t>($)</w:t>
              <w:br/>
              <w:t>(f)</w:t>
            </w:r>
          </w:p>
        </w:tc>
        <w:tc>
          <w:tcPr>
            <w:tcW w:w="120" w:type="dxa"/>
            <w:tcBorders>
              <w:bottom w:val="single" w:sz="12" w:space="0" w:color="000000"/>
            </w:tcBorders>
            <w:shd w:fill="auto" w:val="clear"/>
            <w:tcMar>
              <w:bottom w:w="28" w:type="dxa"/>
            </w:tcMar>
            <w:vAlign w:val="center"/>
          </w:tcPr>
          <w:p>
            <w:pPr>
              <w:pStyle w:val="TableContents"/>
              <w:spacing w:before="0" w:after="283"/>
              <w:jc w:val="center"/>
              <w:rPr/>
            </w:pPr>
            <w:r>
              <w:rPr/>
              <w:t>  </w:t>
            </w:r>
          </w:p>
        </w:tc>
        <w:tc>
          <w:tcPr>
            <w:tcW w:w="1073" w:type="dxa"/>
            <w:tcBorders>
              <w:bottom w:val="single" w:sz="12" w:space="0" w:color="000000"/>
            </w:tcBorders>
            <w:shd w:fill="auto" w:val="clear"/>
            <w:tcMar>
              <w:bottom w:w="28" w:type="dxa"/>
            </w:tcMar>
            <w:vAlign w:val="center"/>
          </w:tcPr>
          <w:p>
            <w:pPr>
              <w:pStyle w:val="TableContents"/>
              <w:spacing w:before="0" w:after="283"/>
              <w:jc w:val="center"/>
              <w:rPr>
                <w:rFonts w:ascii="Arial" w:hAnsi="Arial"/>
                <w:b/>
                <w:sz w:val="15"/>
              </w:rPr>
            </w:pPr>
            <w:r>
              <w:rPr>
                <w:rFonts w:ascii="Arial" w:hAnsi="Arial"/>
                <w:b/>
                <w:sz w:val="15"/>
              </w:rPr>
              <w:t>EQUITY</w:t>
              <w:br/>
              <w:t>INCENTIVE</w:t>
              <w:br/>
              <w:t>PLAN AWARDS:</w:t>
              <w:br/>
              <w:t>NUMBER OF</w:t>
              <w:br/>
              <w:t>UNEARNED</w:t>
              <w:br/>
              <w:t>SHARES,</w:t>
              <w:br/>
              <w:t>UNITS OR</w:t>
              <w:br/>
              <w:t>OTHER</w:t>
              <w:br/>
              <w:t>RIGHTS</w:t>
              <w:br/>
              <w:t>THAT HAVE</w:t>
              <w:br/>
              <w:t>NOT VESTED</w:t>
            </w:r>
            <w:r>
              <w:rPr>
                <w:rFonts w:ascii="Arial" w:hAnsi="Arial"/>
                <w:b/>
                <w:position w:val="5"/>
                <w:sz w:val="12"/>
                <w:sz w:val="15"/>
              </w:rPr>
              <w:t>(3)(4)</w:t>
            </w:r>
            <w:r>
              <w:rPr>
                <w:rFonts w:ascii="Arial" w:hAnsi="Arial"/>
                <w:b/>
                <w:sz w:val="15"/>
              </w:rPr>
              <w:br/>
              <w:t>(g)</w:t>
            </w:r>
          </w:p>
        </w:tc>
        <w:tc>
          <w:tcPr>
            <w:tcW w:w="120" w:type="dxa"/>
            <w:tcBorders>
              <w:bottom w:val="single" w:sz="12" w:space="0" w:color="000000"/>
            </w:tcBorders>
            <w:shd w:fill="auto" w:val="clear"/>
            <w:tcMar>
              <w:bottom w:w="28" w:type="dxa"/>
            </w:tcMar>
            <w:vAlign w:val="center"/>
          </w:tcPr>
          <w:p>
            <w:pPr>
              <w:pStyle w:val="TableContents"/>
              <w:spacing w:before="0" w:after="283"/>
              <w:jc w:val="center"/>
              <w:rPr/>
            </w:pPr>
            <w:r>
              <w:rPr/>
              <w:t>  </w:t>
            </w:r>
          </w:p>
        </w:tc>
        <w:tc>
          <w:tcPr>
            <w:tcW w:w="1084" w:type="dxa"/>
            <w:tcBorders>
              <w:bottom w:val="single" w:sz="12" w:space="0" w:color="000000"/>
            </w:tcBorders>
            <w:shd w:fill="auto" w:val="clear"/>
            <w:tcMar>
              <w:bottom w:w="28" w:type="dxa"/>
            </w:tcMar>
            <w:vAlign w:val="center"/>
          </w:tcPr>
          <w:p>
            <w:pPr>
              <w:pStyle w:val="TableContents"/>
              <w:spacing w:before="0" w:after="283"/>
              <w:jc w:val="center"/>
              <w:rPr>
                <w:rFonts w:ascii="Arial" w:hAnsi="Arial"/>
                <w:b/>
                <w:sz w:val="15"/>
              </w:rPr>
            </w:pPr>
            <w:r>
              <w:rPr>
                <w:rFonts w:ascii="Arial" w:hAnsi="Arial"/>
                <w:b/>
                <w:sz w:val="15"/>
              </w:rPr>
              <w:t>EQUITY</w:t>
              <w:br/>
              <w:t>INCENTIVE</w:t>
              <w:br/>
              <w:t>PLAN AWARDS:</w:t>
              <w:br/>
              <w:t>MARKET VALUE</w:t>
              <w:br/>
              <w:t>OR PAYOUT</w:t>
              <w:br/>
              <w:t>VALUE OF</w:t>
              <w:br/>
              <w:t>UNEARNED</w:t>
              <w:br/>
              <w:t>SHARES,</w:t>
              <w:br/>
              <w:t>UNITS OR OTHER</w:t>
              <w:br/>
              <w:t>RIGHTS THAT</w:t>
              <w:br/>
              <w:t>HAVE</w:t>
              <w:br/>
              <w:t>NOT VESTED</w:t>
              <w:br/>
              <w:t>($)</w:t>
              <w:br/>
              <w:t>(h)</w:t>
            </w:r>
          </w:p>
        </w:tc>
      </w:tr>
      <w:tr>
        <w:trPr/>
        <w:tc>
          <w:tcPr>
            <w:tcW w:w="1145" w:type="dxa"/>
            <w:vMerge w:val="restart"/>
            <w:tcBorders/>
            <w:shd w:fill="auto" w:val="clear"/>
            <w:vAlign w:val="center"/>
          </w:tcPr>
          <w:p>
            <w:pPr>
              <w:pStyle w:val="TableContents"/>
              <w:spacing w:before="0" w:after="283"/>
              <w:jc w:val="left"/>
              <w:rPr>
                <w:rFonts w:ascii="Arial" w:hAnsi="Arial"/>
                <w:b/>
                <w:sz w:val="15"/>
              </w:rPr>
            </w:pPr>
            <w:r>
              <w:rPr>
                <w:rFonts w:ascii="Arial" w:hAnsi="Arial"/>
                <w:b/>
                <w:sz w:val="15"/>
              </w:rPr>
              <w:t>Brian L. Roberts</w:t>
            </w:r>
          </w:p>
        </w:tc>
        <w:tc>
          <w:tcPr>
            <w:tcW w:w="120" w:type="dxa"/>
            <w:tcBorders/>
            <w:shd w:fill="auto" w:val="clear"/>
            <w:vAlign w:val="center"/>
          </w:tcPr>
          <w:p>
            <w:pPr>
              <w:pStyle w:val="TableContents"/>
              <w:spacing w:before="0" w:after="283"/>
              <w:rPr>
                <w:sz w:val="4"/>
                <w:szCs w:val="4"/>
              </w:rPr>
            </w:pPr>
            <w:r>
              <w:rPr>
                <w:sz w:val="4"/>
                <w:szCs w:val="4"/>
              </w:rPr>
            </w:r>
          </w:p>
        </w:tc>
        <w:tc>
          <w:tcPr>
            <w:tcW w:w="953"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88"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40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5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27"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19"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73"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1,653,423</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84"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57,820,202</w:t>
            </w:r>
          </w:p>
        </w:tc>
      </w:tr>
      <w:tr>
        <w:trPr/>
        <w:tc>
          <w:tcPr>
            <w:tcW w:w="1145"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sz w:val="4"/>
                <w:szCs w:val="4"/>
              </w:rPr>
            </w:pPr>
            <w:r>
              <w:rPr>
                <w:sz w:val="4"/>
                <w:szCs w:val="4"/>
              </w:rPr>
            </w:r>
          </w:p>
        </w:tc>
        <w:tc>
          <w:tcPr>
            <w:tcW w:w="953"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1,212,000</w:t>
            </w:r>
          </w:p>
        </w:tc>
        <w:tc>
          <w:tcPr>
            <w:tcW w:w="188"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406"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0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20.610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50" w:type="dxa"/>
            <w:tcBorders>
              <w:bottom w:val="single" w:sz="8" w:space="0" w:color="000000"/>
            </w:tcBorders>
            <w:shd w:fill="auto" w:val="clear"/>
            <w:tcMar>
              <w:bottom w:w="28" w:type="dxa"/>
            </w:tcMar>
            <w:vAlign w:val="center"/>
          </w:tcPr>
          <w:p>
            <w:pPr>
              <w:pStyle w:val="TableContents"/>
              <w:spacing w:before="0" w:after="283"/>
              <w:jc w:val="center"/>
              <w:rPr>
                <w:rFonts w:ascii="Arial" w:hAnsi="Arial"/>
                <w:sz w:val="15"/>
              </w:rPr>
            </w:pPr>
            <w:r>
              <w:rPr>
                <w:rFonts w:ascii="Arial" w:hAnsi="Arial"/>
                <w:sz w:val="15"/>
              </w:rPr>
              <w:t>03/21/2023</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27"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19"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73"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84"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1145"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sz w:val="4"/>
                <w:szCs w:val="4"/>
              </w:rPr>
            </w:pPr>
            <w:r>
              <w:rPr>
                <w:sz w:val="4"/>
                <w:szCs w:val="4"/>
              </w:rPr>
            </w:r>
          </w:p>
        </w:tc>
        <w:tc>
          <w:tcPr>
            <w:tcW w:w="953"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868,500</w:t>
            </w:r>
          </w:p>
        </w:tc>
        <w:tc>
          <w:tcPr>
            <w:tcW w:w="188"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406"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96,500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0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25.000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50" w:type="dxa"/>
            <w:tcBorders>
              <w:bottom w:val="single" w:sz="8" w:space="0" w:color="000000"/>
            </w:tcBorders>
            <w:shd w:fill="auto" w:val="clear"/>
            <w:tcMar>
              <w:bottom w:w="28" w:type="dxa"/>
            </w:tcMar>
            <w:vAlign w:val="center"/>
          </w:tcPr>
          <w:p>
            <w:pPr>
              <w:pStyle w:val="TableContents"/>
              <w:spacing w:before="0" w:after="283"/>
              <w:jc w:val="center"/>
              <w:rPr>
                <w:rFonts w:ascii="Arial" w:hAnsi="Arial"/>
                <w:sz w:val="15"/>
              </w:rPr>
            </w:pPr>
            <w:r>
              <w:rPr>
                <w:rFonts w:ascii="Arial" w:hAnsi="Arial"/>
                <w:sz w:val="15"/>
              </w:rPr>
              <w:t>03/20/2024</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27"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19"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73"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84"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1145"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sz w:val="4"/>
                <w:szCs w:val="4"/>
              </w:rPr>
            </w:pPr>
            <w:r>
              <w:rPr>
                <w:sz w:val="4"/>
                <w:szCs w:val="4"/>
              </w:rPr>
            </w:r>
          </w:p>
        </w:tc>
        <w:tc>
          <w:tcPr>
            <w:tcW w:w="953"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771,460</w:t>
            </w:r>
          </w:p>
        </w:tc>
        <w:tc>
          <w:tcPr>
            <w:tcW w:w="188"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406"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136,140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0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29.725</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50" w:type="dxa"/>
            <w:tcBorders>
              <w:bottom w:val="single" w:sz="8" w:space="0" w:color="000000"/>
            </w:tcBorders>
            <w:shd w:fill="auto" w:val="clear"/>
            <w:tcMar>
              <w:bottom w:w="28" w:type="dxa"/>
            </w:tcMar>
            <w:vAlign w:val="center"/>
          </w:tcPr>
          <w:p>
            <w:pPr>
              <w:pStyle w:val="TableContents"/>
              <w:spacing w:before="0" w:after="283"/>
              <w:jc w:val="center"/>
              <w:rPr>
                <w:rFonts w:ascii="Arial" w:hAnsi="Arial"/>
                <w:sz w:val="15"/>
              </w:rPr>
            </w:pPr>
            <w:r>
              <w:rPr>
                <w:rFonts w:ascii="Arial" w:hAnsi="Arial"/>
                <w:sz w:val="15"/>
              </w:rPr>
              <w:t>03/19/2025</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27"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19"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73"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84"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11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53"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747,840</w:t>
            </w:r>
          </w:p>
        </w:tc>
        <w:tc>
          <w:tcPr>
            <w:tcW w:w="188"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406"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186,960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0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29.880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50" w:type="dxa"/>
            <w:tcBorders>
              <w:bottom w:val="single" w:sz="8" w:space="0" w:color="000000"/>
            </w:tcBorders>
            <w:shd w:fill="auto" w:val="clear"/>
            <w:tcMar>
              <w:bottom w:w="28" w:type="dxa"/>
            </w:tcMar>
            <w:vAlign w:val="center"/>
          </w:tcPr>
          <w:p>
            <w:pPr>
              <w:pStyle w:val="TableContents"/>
              <w:spacing w:before="0" w:after="283"/>
              <w:jc w:val="center"/>
              <w:rPr>
                <w:rFonts w:ascii="Arial" w:hAnsi="Arial"/>
                <w:sz w:val="15"/>
              </w:rPr>
            </w:pPr>
            <w:r>
              <w:rPr>
                <w:rFonts w:ascii="Arial" w:hAnsi="Arial"/>
                <w:sz w:val="15"/>
              </w:rPr>
              <w:t>03/17/2026</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27"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19"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73"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84"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11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53"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576,600</w:t>
            </w:r>
          </w:p>
        </w:tc>
        <w:tc>
          <w:tcPr>
            <w:tcW w:w="188"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406"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192,200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0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37.460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50" w:type="dxa"/>
            <w:tcBorders>
              <w:bottom w:val="single" w:sz="8" w:space="0" w:color="000000"/>
            </w:tcBorders>
            <w:shd w:fill="auto" w:val="clear"/>
            <w:tcMar>
              <w:bottom w:w="28" w:type="dxa"/>
            </w:tcMar>
            <w:vAlign w:val="center"/>
          </w:tcPr>
          <w:p>
            <w:pPr>
              <w:pStyle w:val="TableContents"/>
              <w:spacing w:before="0" w:after="283"/>
              <w:jc w:val="center"/>
              <w:rPr>
                <w:rFonts w:ascii="Arial" w:hAnsi="Arial"/>
                <w:sz w:val="15"/>
              </w:rPr>
            </w:pPr>
            <w:r>
              <w:rPr>
                <w:rFonts w:ascii="Arial" w:hAnsi="Arial"/>
                <w:sz w:val="15"/>
              </w:rPr>
              <w:t>03/16/2027</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27"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19"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73"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84"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11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53"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449,040</w:t>
            </w:r>
          </w:p>
        </w:tc>
        <w:tc>
          <w:tcPr>
            <w:tcW w:w="188"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406"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299,360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0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35.830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50" w:type="dxa"/>
            <w:tcBorders>
              <w:bottom w:val="single" w:sz="8" w:space="0" w:color="000000"/>
            </w:tcBorders>
            <w:shd w:fill="auto" w:val="clear"/>
            <w:tcMar>
              <w:bottom w:w="28" w:type="dxa"/>
            </w:tcMar>
            <w:vAlign w:val="center"/>
          </w:tcPr>
          <w:p>
            <w:pPr>
              <w:pStyle w:val="TableContents"/>
              <w:spacing w:before="0" w:after="283"/>
              <w:jc w:val="center"/>
              <w:rPr>
                <w:rFonts w:ascii="Arial" w:hAnsi="Arial"/>
                <w:sz w:val="15"/>
              </w:rPr>
            </w:pPr>
            <w:r>
              <w:rPr>
                <w:rFonts w:ascii="Arial" w:hAnsi="Arial"/>
                <w:sz w:val="15"/>
              </w:rPr>
              <w:t>03/15/2028</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27"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19"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73"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84"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11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53"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304,380</w:t>
            </w:r>
          </w:p>
        </w:tc>
        <w:tc>
          <w:tcPr>
            <w:tcW w:w="188"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406"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372,020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0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40.470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50" w:type="dxa"/>
            <w:tcBorders>
              <w:bottom w:val="single" w:sz="8" w:space="0" w:color="000000"/>
            </w:tcBorders>
            <w:shd w:fill="auto" w:val="clear"/>
            <w:tcMar>
              <w:bottom w:w="28" w:type="dxa"/>
            </w:tcMar>
            <w:vAlign w:val="center"/>
          </w:tcPr>
          <w:p>
            <w:pPr>
              <w:pStyle w:val="TableContents"/>
              <w:spacing w:before="0" w:after="283"/>
              <w:jc w:val="center"/>
              <w:rPr>
                <w:rFonts w:ascii="Arial" w:hAnsi="Arial"/>
                <w:sz w:val="15"/>
              </w:rPr>
            </w:pPr>
            <w:r>
              <w:rPr>
                <w:rFonts w:ascii="Arial" w:hAnsi="Arial"/>
                <w:sz w:val="15"/>
              </w:rPr>
              <w:t>03/14/2029</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27"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19"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73"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84"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11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53"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486,990</w:t>
            </w:r>
          </w:p>
        </w:tc>
        <w:tc>
          <w:tcPr>
            <w:tcW w:w="188"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406"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1,136,310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0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42.520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50" w:type="dxa"/>
            <w:tcBorders>
              <w:bottom w:val="single" w:sz="8" w:space="0" w:color="000000"/>
            </w:tcBorders>
            <w:shd w:fill="auto" w:val="clear"/>
            <w:tcMar>
              <w:bottom w:w="28" w:type="dxa"/>
            </w:tcMar>
            <w:vAlign w:val="center"/>
          </w:tcPr>
          <w:p>
            <w:pPr>
              <w:pStyle w:val="TableContents"/>
              <w:spacing w:before="0" w:after="283"/>
              <w:jc w:val="center"/>
              <w:rPr>
                <w:rFonts w:ascii="Arial" w:hAnsi="Arial"/>
                <w:sz w:val="15"/>
              </w:rPr>
            </w:pPr>
            <w:r>
              <w:rPr>
                <w:rFonts w:ascii="Arial" w:hAnsi="Arial"/>
                <w:sz w:val="15"/>
              </w:rPr>
              <w:t>03/01/2030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27"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19"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73"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84"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11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53"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188"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406"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879,200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0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54.450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50" w:type="dxa"/>
            <w:tcBorders>
              <w:bottom w:val="single" w:sz="8" w:space="0" w:color="000000"/>
            </w:tcBorders>
            <w:shd w:fill="auto" w:val="clear"/>
            <w:tcMar>
              <w:bottom w:w="28" w:type="dxa"/>
            </w:tcMar>
            <w:vAlign w:val="center"/>
          </w:tcPr>
          <w:p>
            <w:pPr>
              <w:pStyle w:val="TableContents"/>
              <w:spacing w:before="0" w:after="283"/>
              <w:jc w:val="center"/>
              <w:rPr>
                <w:rFonts w:ascii="Arial" w:hAnsi="Arial"/>
                <w:sz w:val="15"/>
              </w:rPr>
            </w:pPr>
            <w:r>
              <w:rPr>
                <w:rFonts w:ascii="Arial" w:hAnsi="Arial"/>
                <w:sz w:val="15"/>
              </w:rPr>
              <w:t>02/28/2031</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27"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19"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73"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84"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1145"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53"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188"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406"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962,545</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0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46.390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50" w:type="dxa"/>
            <w:tcBorders>
              <w:bottom w:val="single" w:sz="8" w:space="0" w:color="000000"/>
            </w:tcBorders>
            <w:shd w:fill="auto" w:val="clear"/>
            <w:tcMar>
              <w:bottom w:w="28" w:type="dxa"/>
            </w:tcMar>
            <w:vAlign w:val="center"/>
          </w:tcPr>
          <w:p>
            <w:pPr>
              <w:pStyle w:val="TableContents"/>
              <w:spacing w:before="0" w:after="283"/>
              <w:jc w:val="center"/>
              <w:rPr>
                <w:rFonts w:ascii="Arial" w:hAnsi="Arial"/>
                <w:sz w:val="15"/>
              </w:rPr>
            </w:pPr>
            <w:r>
              <w:rPr>
                <w:rFonts w:ascii="Arial" w:hAnsi="Arial"/>
                <w:sz w:val="15"/>
              </w:rPr>
              <w:t>02/29/2032</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27"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19"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73"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84"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1145" w:type="dxa"/>
            <w:vMerge w:val="restart"/>
            <w:tcBorders/>
            <w:shd w:fill="auto" w:val="clear"/>
            <w:vAlign w:val="center"/>
          </w:tcPr>
          <w:p>
            <w:pPr>
              <w:pStyle w:val="TableContents"/>
              <w:spacing w:before="0" w:after="283"/>
              <w:jc w:val="left"/>
              <w:rPr>
                <w:rFonts w:ascii="Arial" w:hAnsi="Arial"/>
                <w:b/>
                <w:sz w:val="15"/>
              </w:rPr>
            </w:pPr>
            <w:r>
              <w:rPr>
                <w:rFonts w:ascii="Arial" w:hAnsi="Arial"/>
                <w:b/>
                <w:sz w:val="15"/>
              </w:rPr>
              <w:t>Michael J. Cavanagh</w:t>
            </w:r>
          </w:p>
        </w:tc>
        <w:tc>
          <w:tcPr>
            <w:tcW w:w="120" w:type="dxa"/>
            <w:tcBorders/>
            <w:shd w:fill="auto" w:val="clear"/>
            <w:vAlign w:val="center"/>
          </w:tcPr>
          <w:p>
            <w:pPr>
              <w:pStyle w:val="TableContents"/>
              <w:spacing w:before="0" w:after="283"/>
              <w:rPr>
                <w:sz w:val="4"/>
                <w:szCs w:val="4"/>
              </w:rPr>
            </w:pPr>
            <w:r>
              <w:rPr>
                <w:sz w:val="4"/>
                <w:szCs w:val="4"/>
              </w:rPr>
            </w:r>
          </w:p>
        </w:tc>
        <w:tc>
          <w:tcPr>
            <w:tcW w:w="953"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88"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40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5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27"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19"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73"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1,261,936</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84"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44,129,902</w:t>
            </w:r>
          </w:p>
        </w:tc>
      </w:tr>
      <w:tr>
        <w:trPr/>
        <w:tc>
          <w:tcPr>
            <w:tcW w:w="1145"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sz w:val="4"/>
                <w:szCs w:val="4"/>
              </w:rPr>
            </w:pPr>
            <w:r>
              <w:rPr>
                <w:sz w:val="4"/>
                <w:szCs w:val="4"/>
              </w:rPr>
            </w:r>
          </w:p>
        </w:tc>
        <w:tc>
          <w:tcPr>
            <w:tcW w:w="953"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607,716</w:t>
            </w:r>
          </w:p>
        </w:tc>
        <w:tc>
          <w:tcPr>
            <w:tcW w:w="188" w:type="dxa"/>
            <w:tcBorders>
              <w:bottom w:val="single" w:sz="8" w:space="0" w:color="000000"/>
            </w:tcBorders>
            <w:shd w:fill="auto" w:val="clear"/>
            <w:tcMar>
              <w:bottom w:w="28" w:type="dxa"/>
            </w:tcMar>
            <w:vAlign w:val="center"/>
          </w:tcPr>
          <w:p>
            <w:pPr>
              <w:pStyle w:val="TableContents"/>
              <w:spacing w:before="0" w:after="283"/>
              <w:jc w:val="left"/>
              <w:rPr>
                <w:rFonts w:ascii="Arial" w:hAnsi="Arial"/>
                <w:sz w:val="15"/>
              </w:rPr>
            </w:pPr>
            <w:r>
              <w:rPr>
                <w:rFonts w:ascii="Arial" w:hAnsi="Arial"/>
                <w:position w:val="5"/>
                <w:sz w:val="12"/>
                <w:sz w:val="15"/>
              </w:rPr>
              <w:t>(1)</w:t>
            </w:r>
            <w:r>
              <w:rPr>
                <w:rFonts w:ascii="Arial" w:hAnsi="Arial"/>
                <w:sz w:val="15"/>
              </w:rPr>
              <w:t> </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406"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107,244</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0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28.320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50" w:type="dxa"/>
            <w:tcBorders>
              <w:bottom w:val="single" w:sz="8" w:space="0" w:color="000000"/>
            </w:tcBorders>
            <w:shd w:fill="auto" w:val="clear"/>
            <w:tcMar>
              <w:bottom w:w="28" w:type="dxa"/>
            </w:tcMar>
            <w:vAlign w:val="center"/>
          </w:tcPr>
          <w:p>
            <w:pPr>
              <w:pStyle w:val="TableContents"/>
              <w:spacing w:before="0" w:after="283"/>
              <w:jc w:val="center"/>
              <w:rPr>
                <w:rFonts w:ascii="Arial" w:hAnsi="Arial"/>
                <w:sz w:val="15"/>
              </w:rPr>
            </w:pPr>
            <w:r>
              <w:rPr>
                <w:rFonts w:ascii="Arial" w:hAnsi="Arial"/>
                <w:sz w:val="15"/>
              </w:rPr>
              <w:t>05/14/2025</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27"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19"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73"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84"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1145"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sz w:val="4"/>
                <w:szCs w:val="4"/>
              </w:rPr>
            </w:pPr>
            <w:r>
              <w:rPr>
                <w:sz w:val="4"/>
                <w:szCs w:val="4"/>
              </w:rPr>
            </w:r>
          </w:p>
        </w:tc>
        <w:tc>
          <w:tcPr>
            <w:tcW w:w="953"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559,360</w:t>
            </w:r>
          </w:p>
        </w:tc>
        <w:tc>
          <w:tcPr>
            <w:tcW w:w="188" w:type="dxa"/>
            <w:tcBorders>
              <w:bottom w:val="single" w:sz="8" w:space="0" w:color="000000"/>
            </w:tcBorders>
            <w:shd w:fill="auto" w:val="clear"/>
            <w:tcMar>
              <w:bottom w:w="28" w:type="dxa"/>
            </w:tcMar>
            <w:vAlign w:val="center"/>
          </w:tcPr>
          <w:p>
            <w:pPr>
              <w:pStyle w:val="TableContents"/>
              <w:spacing w:before="0" w:after="283"/>
              <w:jc w:val="left"/>
              <w:rPr>
                <w:rFonts w:ascii="Arial" w:hAnsi="Arial"/>
                <w:sz w:val="15"/>
              </w:rPr>
            </w:pPr>
            <w:r>
              <w:rPr>
                <w:rFonts w:ascii="Arial" w:hAnsi="Arial"/>
                <w:position w:val="5"/>
                <w:sz w:val="12"/>
                <w:sz w:val="15"/>
              </w:rPr>
              <w:t>(1)</w:t>
            </w:r>
            <w:r>
              <w:rPr>
                <w:rFonts w:ascii="Arial" w:hAnsi="Arial"/>
                <w:sz w:val="15"/>
              </w:rPr>
              <w:t> </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406"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139,840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0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29.880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50" w:type="dxa"/>
            <w:tcBorders>
              <w:bottom w:val="single" w:sz="8" w:space="0" w:color="000000"/>
            </w:tcBorders>
            <w:shd w:fill="auto" w:val="clear"/>
            <w:tcMar>
              <w:bottom w:w="28" w:type="dxa"/>
            </w:tcMar>
            <w:vAlign w:val="center"/>
          </w:tcPr>
          <w:p>
            <w:pPr>
              <w:pStyle w:val="TableContents"/>
              <w:spacing w:before="0" w:after="283"/>
              <w:jc w:val="center"/>
              <w:rPr>
                <w:rFonts w:ascii="Arial" w:hAnsi="Arial"/>
                <w:sz w:val="15"/>
              </w:rPr>
            </w:pPr>
            <w:r>
              <w:rPr>
                <w:rFonts w:ascii="Arial" w:hAnsi="Arial"/>
                <w:sz w:val="15"/>
              </w:rPr>
              <w:t>03/17/2026</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27"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19"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73"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84"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1145"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sz w:val="4"/>
                <w:szCs w:val="4"/>
              </w:rPr>
            </w:pPr>
            <w:r>
              <w:rPr>
                <w:sz w:val="4"/>
                <w:szCs w:val="4"/>
              </w:rPr>
            </w:r>
          </w:p>
        </w:tc>
        <w:tc>
          <w:tcPr>
            <w:tcW w:w="953"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431,025</w:t>
            </w:r>
          </w:p>
        </w:tc>
        <w:tc>
          <w:tcPr>
            <w:tcW w:w="188" w:type="dxa"/>
            <w:tcBorders>
              <w:bottom w:val="single" w:sz="8" w:space="0" w:color="000000"/>
            </w:tcBorders>
            <w:shd w:fill="auto" w:val="clear"/>
            <w:tcMar>
              <w:bottom w:w="28" w:type="dxa"/>
            </w:tcMar>
            <w:vAlign w:val="center"/>
          </w:tcPr>
          <w:p>
            <w:pPr>
              <w:pStyle w:val="TableContents"/>
              <w:spacing w:before="0" w:after="283"/>
              <w:jc w:val="left"/>
              <w:rPr>
                <w:rFonts w:ascii="Arial" w:hAnsi="Arial"/>
                <w:sz w:val="15"/>
              </w:rPr>
            </w:pPr>
            <w:r>
              <w:rPr>
                <w:rFonts w:ascii="Arial" w:hAnsi="Arial"/>
                <w:position w:val="5"/>
                <w:sz w:val="12"/>
                <w:sz w:val="15"/>
              </w:rPr>
              <w:t>(1)</w:t>
            </w:r>
            <w:r>
              <w:rPr>
                <w:rFonts w:ascii="Arial" w:hAnsi="Arial"/>
                <w:sz w:val="15"/>
              </w:rPr>
              <w:t> </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406"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143,675</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0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37.460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50" w:type="dxa"/>
            <w:tcBorders>
              <w:bottom w:val="single" w:sz="8" w:space="0" w:color="000000"/>
            </w:tcBorders>
            <w:shd w:fill="auto" w:val="clear"/>
            <w:tcMar>
              <w:bottom w:w="28" w:type="dxa"/>
            </w:tcMar>
            <w:vAlign w:val="center"/>
          </w:tcPr>
          <w:p>
            <w:pPr>
              <w:pStyle w:val="TableContents"/>
              <w:spacing w:before="0" w:after="283"/>
              <w:jc w:val="center"/>
              <w:rPr>
                <w:rFonts w:ascii="Arial" w:hAnsi="Arial"/>
                <w:sz w:val="15"/>
              </w:rPr>
            </w:pPr>
            <w:r>
              <w:rPr>
                <w:rFonts w:ascii="Arial" w:hAnsi="Arial"/>
                <w:sz w:val="15"/>
              </w:rPr>
              <w:t>03/16/2027</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27"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19"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73"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84"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11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53"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335,820</w:t>
            </w:r>
          </w:p>
        </w:tc>
        <w:tc>
          <w:tcPr>
            <w:tcW w:w="188" w:type="dxa"/>
            <w:tcBorders>
              <w:bottom w:val="single" w:sz="8" w:space="0" w:color="000000"/>
            </w:tcBorders>
            <w:shd w:fill="auto" w:val="clear"/>
            <w:tcMar>
              <w:bottom w:w="28" w:type="dxa"/>
            </w:tcMar>
            <w:vAlign w:val="center"/>
          </w:tcPr>
          <w:p>
            <w:pPr>
              <w:pStyle w:val="TableContents"/>
              <w:spacing w:before="0" w:after="283"/>
              <w:jc w:val="left"/>
              <w:rPr>
                <w:rFonts w:ascii="Arial" w:hAnsi="Arial"/>
                <w:sz w:val="15"/>
              </w:rPr>
            </w:pPr>
            <w:r>
              <w:rPr>
                <w:rFonts w:ascii="Arial" w:hAnsi="Arial"/>
                <w:position w:val="5"/>
                <w:sz w:val="12"/>
                <w:sz w:val="15"/>
              </w:rPr>
              <w:t>(1)</w:t>
            </w:r>
            <w:r>
              <w:rPr>
                <w:rFonts w:ascii="Arial" w:hAnsi="Arial"/>
                <w:sz w:val="15"/>
              </w:rPr>
              <w:t> </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406"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223,880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0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35.830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50" w:type="dxa"/>
            <w:tcBorders>
              <w:bottom w:val="single" w:sz="8" w:space="0" w:color="000000"/>
            </w:tcBorders>
            <w:shd w:fill="auto" w:val="clear"/>
            <w:tcMar>
              <w:bottom w:w="28" w:type="dxa"/>
            </w:tcMar>
            <w:vAlign w:val="center"/>
          </w:tcPr>
          <w:p>
            <w:pPr>
              <w:pStyle w:val="TableContents"/>
              <w:spacing w:before="0" w:after="283"/>
              <w:jc w:val="center"/>
              <w:rPr>
                <w:rFonts w:ascii="Arial" w:hAnsi="Arial"/>
                <w:sz w:val="15"/>
              </w:rPr>
            </w:pPr>
            <w:r>
              <w:rPr>
                <w:rFonts w:ascii="Arial" w:hAnsi="Arial"/>
                <w:sz w:val="15"/>
              </w:rPr>
              <w:t>03/15/2028</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27"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19"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73"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84"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11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53"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270,225</w:t>
            </w:r>
          </w:p>
        </w:tc>
        <w:tc>
          <w:tcPr>
            <w:tcW w:w="188"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406"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330,275</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0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40.470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50" w:type="dxa"/>
            <w:tcBorders>
              <w:bottom w:val="single" w:sz="8" w:space="0" w:color="000000"/>
            </w:tcBorders>
            <w:shd w:fill="auto" w:val="clear"/>
            <w:tcMar>
              <w:bottom w:w="28" w:type="dxa"/>
            </w:tcMar>
            <w:vAlign w:val="center"/>
          </w:tcPr>
          <w:p>
            <w:pPr>
              <w:pStyle w:val="TableContents"/>
              <w:spacing w:before="0" w:after="283"/>
              <w:jc w:val="center"/>
              <w:rPr>
                <w:rFonts w:ascii="Arial" w:hAnsi="Arial"/>
                <w:sz w:val="15"/>
              </w:rPr>
            </w:pPr>
            <w:r>
              <w:rPr>
                <w:rFonts w:ascii="Arial" w:hAnsi="Arial"/>
                <w:sz w:val="15"/>
              </w:rPr>
              <w:t>03/14/2029</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27"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19"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73"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84"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11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53"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323,910</w:t>
            </w:r>
          </w:p>
        </w:tc>
        <w:tc>
          <w:tcPr>
            <w:tcW w:w="188"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406"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755,790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0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42.520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50" w:type="dxa"/>
            <w:tcBorders>
              <w:bottom w:val="single" w:sz="8" w:space="0" w:color="000000"/>
            </w:tcBorders>
            <w:shd w:fill="auto" w:val="clear"/>
            <w:tcMar>
              <w:bottom w:w="28" w:type="dxa"/>
            </w:tcMar>
            <w:vAlign w:val="center"/>
          </w:tcPr>
          <w:p>
            <w:pPr>
              <w:pStyle w:val="TableContents"/>
              <w:spacing w:before="0" w:after="283"/>
              <w:jc w:val="center"/>
              <w:rPr>
                <w:rFonts w:ascii="Arial" w:hAnsi="Arial"/>
                <w:sz w:val="15"/>
              </w:rPr>
            </w:pPr>
            <w:r>
              <w:rPr>
                <w:rFonts w:ascii="Arial" w:hAnsi="Arial"/>
                <w:sz w:val="15"/>
              </w:rPr>
              <w:t>03/01/2030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27"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19"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73"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84"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11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53"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188"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406"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655,100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0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54.450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50" w:type="dxa"/>
            <w:tcBorders>
              <w:bottom w:val="single" w:sz="8" w:space="0" w:color="000000"/>
            </w:tcBorders>
            <w:shd w:fill="auto" w:val="clear"/>
            <w:tcMar>
              <w:bottom w:w="28" w:type="dxa"/>
            </w:tcMar>
            <w:vAlign w:val="center"/>
          </w:tcPr>
          <w:p>
            <w:pPr>
              <w:pStyle w:val="TableContents"/>
              <w:spacing w:before="0" w:after="283"/>
              <w:jc w:val="center"/>
              <w:rPr>
                <w:rFonts w:ascii="Arial" w:hAnsi="Arial"/>
                <w:sz w:val="15"/>
              </w:rPr>
            </w:pPr>
            <w:r>
              <w:rPr>
                <w:rFonts w:ascii="Arial" w:hAnsi="Arial"/>
                <w:sz w:val="15"/>
              </w:rPr>
              <w:t>02/28/2031</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27"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19"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73"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84"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11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53"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188"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406"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717,370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0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46.390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50" w:type="dxa"/>
            <w:tcBorders>
              <w:bottom w:val="single" w:sz="8" w:space="0" w:color="000000"/>
            </w:tcBorders>
            <w:shd w:fill="auto" w:val="clear"/>
            <w:tcMar>
              <w:bottom w:w="28" w:type="dxa"/>
            </w:tcMar>
            <w:vAlign w:val="center"/>
          </w:tcPr>
          <w:p>
            <w:pPr>
              <w:pStyle w:val="TableContents"/>
              <w:spacing w:before="0" w:after="283"/>
              <w:jc w:val="center"/>
              <w:rPr>
                <w:rFonts w:ascii="Arial" w:hAnsi="Arial"/>
                <w:sz w:val="15"/>
              </w:rPr>
            </w:pPr>
            <w:r>
              <w:rPr>
                <w:rFonts w:ascii="Arial" w:hAnsi="Arial"/>
                <w:sz w:val="15"/>
              </w:rPr>
              <w:t>02/29/2032</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27"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19"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73"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84"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1145"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53"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188"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406"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4,000,000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0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34.970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50" w:type="dxa"/>
            <w:tcBorders>
              <w:bottom w:val="single" w:sz="8" w:space="0" w:color="000000"/>
            </w:tcBorders>
            <w:shd w:fill="auto" w:val="clear"/>
            <w:tcMar>
              <w:bottom w:w="28" w:type="dxa"/>
            </w:tcMar>
            <w:vAlign w:val="center"/>
          </w:tcPr>
          <w:p>
            <w:pPr>
              <w:pStyle w:val="TableContents"/>
              <w:spacing w:before="0" w:after="283"/>
              <w:jc w:val="center"/>
              <w:rPr>
                <w:rFonts w:ascii="Arial" w:hAnsi="Arial"/>
                <w:sz w:val="15"/>
              </w:rPr>
            </w:pPr>
            <w:r>
              <w:rPr>
                <w:rFonts w:ascii="Arial" w:hAnsi="Arial"/>
                <w:sz w:val="15"/>
              </w:rPr>
              <w:t>12/29/2032</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27"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19"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73"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84"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2200" w:type="dxa"/>
        <w:jc w:val="left"/>
        <w:tblInd w:w="0" w:type="dxa"/>
        <w:tblCellMar>
          <w:top w:w="0" w:type="dxa"/>
          <w:left w:w="0" w:type="dxa"/>
          <w:bottom w:w="0" w:type="dxa"/>
          <w:right w:w="0" w:type="dxa"/>
        </w:tblCellMar>
      </w:tblPr>
      <w:tblGrid>
        <w:gridCol w:w="1580"/>
        <w:gridCol w:w="620"/>
      </w:tblGrid>
      <w:tr>
        <w:trPr/>
        <w:tc>
          <w:tcPr>
            <w:tcW w:w="1580" w:type="dxa"/>
            <w:tcBorders/>
            <w:shd w:fill="auto" w:val="clear"/>
            <w:vAlign w:val="center"/>
          </w:tcPr>
          <w:p>
            <w:pPr>
              <w:pStyle w:val="TableContents"/>
              <w:spacing w:before="0" w:after="283"/>
              <w:jc w:val="right"/>
              <w:rPr>
                <w:rFonts w:ascii="Arial" w:hAnsi="Arial"/>
                <w:sz w:val="15"/>
              </w:rPr>
            </w:pPr>
            <w:r>
              <w:rPr>
                <w:rFonts w:ascii="Arial" w:hAnsi="Arial"/>
                <w:sz w:val="15"/>
              </w:rPr>
              <w:t>2023 Proxy Statement</w:t>
            </w:r>
          </w:p>
        </w:tc>
        <w:tc>
          <w:tcPr>
            <w:tcW w:w="620" w:type="dxa"/>
            <w:tcBorders/>
            <w:shd w:fill="auto" w:val="clear"/>
            <w:vAlign w:val="center"/>
          </w:tcPr>
          <w:p>
            <w:pPr>
              <w:pStyle w:val="TableContents"/>
              <w:spacing w:before="0" w:after="283"/>
              <w:jc w:val="right"/>
              <w:rPr/>
            </w:pPr>
            <w:r>
              <w:rPr/>
              <w:t>       </w:t>
            </w:r>
            <w:r>
              <w:rPr>
                <w:rFonts w:ascii="Arial" w:hAnsi="Arial"/>
                <w:b/>
                <w:sz w:val="15"/>
              </w:rPr>
              <w:t>57</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10205" w:type="dxa"/>
        <w:jc w:val="left"/>
        <w:tblInd w:w="0" w:type="dxa"/>
        <w:tblCellMar>
          <w:top w:w="0" w:type="dxa"/>
          <w:left w:w="0" w:type="dxa"/>
          <w:bottom w:w="0" w:type="dxa"/>
          <w:right w:w="0" w:type="dxa"/>
        </w:tblCellMar>
      </w:tblPr>
      <w:tblGrid>
        <w:gridCol w:w="956"/>
        <w:gridCol w:w="120"/>
        <w:gridCol w:w="859"/>
        <w:gridCol w:w="256"/>
        <w:gridCol w:w="120"/>
        <w:gridCol w:w="1418"/>
        <w:gridCol w:w="120"/>
        <w:gridCol w:w="800"/>
        <w:gridCol w:w="120"/>
        <w:gridCol w:w="950"/>
        <w:gridCol w:w="120"/>
        <w:gridCol w:w="860"/>
        <w:gridCol w:w="120"/>
        <w:gridCol w:w="893"/>
        <w:gridCol w:w="120"/>
        <w:gridCol w:w="1121"/>
        <w:gridCol w:w="120"/>
        <w:gridCol w:w="1132"/>
      </w:tblGrid>
      <w:tr>
        <w:trPr/>
        <w:tc>
          <w:tcPr>
            <w:tcW w:w="95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643" w:type="dxa"/>
            <w:gridSpan w:val="8"/>
            <w:tcBorders>
              <w:bottom w:val="single" w:sz="8" w:space="0" w:color="000000"/>
            </w:tcBorders>
            <w:shd w:fill="auto" w:val="clear"/>
            <w:tcMar>
              <w:bottom w:w="28" w:type="dxa"/>
            </w:tcMar>
            <w:vAlign w:val="center"/>
          </w:tcPr>
          <w:p>
            <w:pPr>
              <w:pStyle w:val="TableContents"/>
              <w:spacing w:before="0" w:after="283"/>
              <w:jc w:val="center"/>
              <w:rPr>
                <w:rFonts w:ascii="Arial" w:hAnsi="Arial"/>
                <w:b/>
                <w:sz w:val="15"/>
              </w:rPr>
            </w:pPr>
            <w:r>
              <w:rPr>
                <w:rFonts w:ascii="Arial" w:hAnsi="Arial"/>
                <w:b/>
                <w:sz w:val="15"/>
              </w:rPr>
              <w:t>OPTION AWARDS</w:t>
            </w:r>
          </w:p>
        </w:tc>
        <w:tc>
          <w:tcPr>
            <w:tcW w:w="120" w:type="dxa"/>
            <w:tcBorders/>
            <w:shd w:fill="auto" w:val="clear"/>
            <w:vAlign w:val="center"/>
          </w:tcPr>
          <w:p>
            <w:pPr>
              <w:pStyle w:val="TableContents"/>
              <w:spacing w:before="0" w:after="283"/>
              <w:rPr>
                <w:sz w:val="4"/>
                <w:szCs w:val="4"/>
              </w:rPr>
            </w:pPr>
            <w:r>
              <w:rPr>
                <w:sz w:val="4"/>
                <w:szCs w:val="4"/>
              </w:rPr>
            </w:r>
          </w:p>
        </w:tc>
        <w:tc>
          <w:tcPr>
            <w:tcW w:w="4366" w:type="dxa"/>
            <w:gridSpan w:val="7"/>
            <w:tcBorders>
              <w:bottom w:val="single" w:sz="8" w:space="0" w:color="000000"/>
            </w:tcBorders>
            <w:shd w:fill="auto" w:val="clear"/>
            <w:tcMar>
              <w:bottom w:w="28" w:type="dxa"/>
            </w:tcMar>
            <w:vAlign w:val="center"/>
          </w:tcPr>
          <w:p>
            <w:pPr>
              <w:pStyle w:val="TableContents"/>
              <w:spacing w:before="0" w:after="283"/>
              <w:jc w:val="center"/>
              <w:rPr>
                <w:rFonts w:ascii="Arial" w:hAnsi="Arial"/>
                <w:b/>
                <w:sz w:val="15"/>
              </w:rPr>
            </w:pPr>
            <w:r>
              <w:rPr>
                <w:rFonts w:ascii="Arial" w:hAnsi="Arial"/>
                <w:b/>
                <w:sz w:val="15"/>
              </w:rPr>
              <w:t>STOCK AWARDS</w:t>
            </w:r>
          </w:p>
        </w:tc>
      </w:tr>
      <w:tr>
        <w:trPr/>
        <w:tc>
          <w:tcPr>
            <w:tcW w:w="956" w:type="dxa"/>
            <w:tcBorders>
              <w:bottom w:val="single" w:sz="12" w:space="0" w:color="000000"/>
            </w:tcBorders>
            <w:shd w:fill="auto" w:val="clear"/>
            <w:tcMar>
              <w:bottom w:w="28" w:type="dxa"/>
            </w:tcMar>
            <w:vAlign w:val="center"/>
          </w:tcPr>
          <w:p>
            <w:pPr>
              <w:pStyle w:val="TableContents"/>
              <w:spacing w:before="0" w:after="283"/>
              <w:jc w:val="left"/>
              <w:rPr>
                <w:rFonts w:ascii="Arial" w:hAnsi="Arial"/>
                <w:b/>
                <w:sz w:val="15"/>
              </w:rPr>
            </w:pPr>
            <w:r>
              <w:rPr>
                <w:rFonts w:ascii="Arial" w:hAnsi="Arial"/>
                <w:b/>
                <w:sz w:val="15"/>
              </w:rPr>
              <w:t>NAME</w:t>
            </w:r>
          </w:p>
        </w:tc>
        <w:tc>
          <w:tcPr>
            <w:tcW w:w="12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115" w:type="dxa"/>
            <w:gridSpan w:val="2"/>
            <w:tcBorders>
              <w:bottom w:val="single" w:sz="12" w:space="0" w:color="000000"/>
            </w:tcBorders>
            <w:shd w:fill="auto" w:val="clear"/>
            <w:tcMar>
              <w:bottom w:w="28" w:type="dxa"/>
            </w:tcMar>
            <w:vAlign w:val="center"/>
          </w:tcPr>
          <w:p>
            <w:pPr>
              <w:pStyle w:val="TableContents"/>
              <w:spacing w:before="0" w:after="283"/>
              <w:jc w:val="center"/>
              <w:rPr>
                <w:rFonts w:ascii="Arial" w:hAnsi="Arial"/>
                <w:b/>
                <w:sz w:val="15"/>
              </w:rPr>
            </w:pPr>
            <w:r>
              <w:rPr>
                <w:rFonts w:ascii="Arial" w:hAnsi="Arial"/>
                <w:b/>
                <w:sz w:val="15"/>
              </w:rPr>
              <w:t>NUMBER OF</w:t>
              <w:br/>
              <w:t>SECURITIES</w:t>
              <w:br/>
              <w:t>UNDERLYING</w:t>
              <w:br/>
              <w:t>UNEXERCISED</w:t>
              <w:br/>
              <w:t>OPTIONS</w:t>
              <w:br/>
              <w:t>EXERCISABLE</w:t>
              <w:br/>
              <w:t>(a)</w:t>
            </w:r>
          </w:p>
        </w:tc>
        <w:tc>
          <w:tcPr>
            <w:tcW w:w="120" w:type="dxa"/>
            <w:tcBorders>
              <w:bottom w:val="single" w:sz="12" w:space="0" w:color="000000"/>
            </w:tcBorders>
            <w:shd w:fill="auto" w:val="clear"/>
            <w:tcMar>
              <w:bottom w:w="28" w:type="dxa"/>
            </w:tcMar>
            <w:vAlign w:val="center"/>
          </w:tcPr>
          <w:p>
            <w:pPr>
              <w:pStyle w:val="TableContents"/>
              <w:spacing w:before="0" w:after="283"/>
              <w:jc w:val="center"/>
              <w:rPr/>
            </w:pPr>
            <w:r>
              <w:rPr/>
              <w:t>  </w:t>
            </w:r>
          </w:p>
        </w:tc>
        <w:tc>
          <w:tcPr>
            <w:tcW w:w="1418" w:type="dxa"/>
            <w:tcBorders>
              <w:bottom w:val="single" w:sz="12" w:space="0" w:color="000000"/>
            </w:tcBorders>
            <w:shd w:fill="auto" w:val="clear"/>
            <w:tcMar>
              <w:bottom w:w="28" w:type="dxa"/>
            </w:tcMar>
            <w:vAlign w:val="center"/>
          </w:tcPr>
          <w:p>
            <w:pPr>
              <w:pStyle w:val="TableContents"/>
              <w:spacing w:before="0" w:after="283"/>
              <w:jc w:val="center"/>
              <w:rPr>
                <w:rFonts w:ascii="Arial" w:hAnsi="Arial"/>
                <w:b/>
                <w:sz w:val="15"/>
              </w:rPr>
            </w:pPr>
            <w:r>
              <w:rPr>
                <w:rFonts w:ascii="Arial" w:hAnsi="Arial"/>
                <w:b/>
                <w:sz w:val="15"/>
              </w:rPr>
              <w:t>NUMBER OF</w:t>
              <w:br/>
              <w:t>SECURITIES</w:t>
              <w:br/>
              <w:t>UNDERLYING</w:t>
              <w:br/>
              <w:t>UNEXERCISED</w:t>
              <w:br/>
              <w:t>OPTIONS</w:t>
              <w:br/>
              <w:t>UNEXERCISABLE</w:t>
            </w:r>
            <w:r>
              <w:rPr>
                <w:rFonts w:ascii="Arial" w:hAnsi="Arial"/>
                <w:b/>
                <w:position w:val="5"/>
                <w:sz w:val="12"/>
                <w:sz w:val="15"/>
              </w:rPr>
              <w:t>(2)</w:t>
            </w:r>
            <w:r>
              <w:rPr>
                <w:rFonts w:ascii="Arial" w:hAnsi="Arial"/>
                <w:b/>
                <w:sz w:val="15"/>
              </w:rPr>
              <w:br/>
              <w:t>(b)</w:t>
            </w:r>
          </w:p>
        </w:tc>
        <w:tc>
          <w:tcPr>
            <w:tcW w:w="120" w:type="dxa"/>
            <w:tcBorders>
              <w:bottom w:val="single" w:sz="12" w:space="0" w:color="000000"/>
            </w:tcBorders>
            <w:shd w:fill="auto" w:val="clear"/>
            <w:tcMar>
              <w:bottom w:w="28" w:type="dxa"/>
            </w:tcMar>
            <w:vAlign w:val="center"/>
          </w:tcPr>
          <w:p>
            <w:pPr>
              <w:pStyle w:val="TableContents"/>
              <w:spacing w:before="0" w:after="283"/>
              <w:jc w:val="center"/>
              <w:rPr/>
            </w:pPr>
            <w:r>
              <w:rPr/>
              <w:t>  </w:t>
            </w:r>
          </w:p>
        </w:tc>
        <w:tc>
          <w:tcPr>
            <w:tcW w:w="800" w:type="dxa"/>
            <w:tcBorders>
              <w:bottom w:val="single" w:sz="12" w:space="0" w:color="000000"/>
            </w:tcBorders>
            <w:shd w:fill="auto" w:val="clear"/>
            <w:tcMar>
              <w:bottom w:w="28" w:type="dxa"/>
            </w:tcMar>
            <w:vAlign w:val="center"/>
          </w:tcPr>
          <w:p>
            <w:pPr>
              <w:pStyle w:val="TableContents"/>
              <w:spacing w:before="0" w:after="283"/>
              <w:jc w:val="center"/>
              <w:rPr>
                <w:rFonts w:ascii="Arial" w:hAnsi="Arial"/>
                <w:b/>
                <w:sz w:val="15"/>
              </w:rPr>
            </w:pPr>
            <w:r>
              <w:rPr>
                <w:rFonts w:ascii="Arial" w:hAnsi="Arial"/>
                <w:b/>
                <w:sz w:val="15"/>
              </w:rPr>
              <w:t>OPTION</w:t>
              <w:br/>
              <w:t>EXERCISE</w:t>
              <w:br/>
              <w:t>PRICE</w:t>
              <w:br/>
              <w:t>($)</w:t>
              <w:br/>
              <w:t>(c)</w:t>
            </w:r>
          </w:p>
        </w:tc>
        <w:tc>
          <w:tcPr>
            <w:tcW w:w="120" w:type="dxa"/>
            <w:tcBorders>
              <w:bottom w:val="single" w:sz="12" w:space="0" w:color="000000"/>
            </w:tcBorders>
            <w:shd w:fill="auto" w:val="clear"/>
            <w:tcMar>
              <w:bottom w:w="28" w:type="dxa"/>
            </w:tcMar>
            <w:vAlign w:val="center"/>
          </w:tcPr>
          <w:p>
            <w:pPr>
              <w:pStyle w:val="TableContents"/>
              <w:spacing w:before="0" w:after="283"/>
              <w:jc w:val="center"/>
              <w:rPr/>
            </w:pPr>
            <w:r>
              <w:rPr/>
              <w:t>  </w:t>
            </w:r>
          </w:p>
        </w:tc>
        <w:tc>
          <w:tcPr>
            <w:tcW w:w="950" w:type="dxa"/>
            <w:tcBorders>
              <w:bottom w:val="single" w:sz="12" w:space="0" w:color="000000"/>
            </w:tcBorders>
            <w:shd w:fill="auto" w:val="clear"/>
            <w:tcMar>
              <w:bottom w:w="28" w:type="dxa"/>
            </w:tcMar>
            <w:vAlign w:val="center"/>
          </w:tcPr>
          <w:p>
            <w:pPr>
              <w:pStyle w:val="TableContents"/>
              <w:spacing w:before="0" w:after="283"/>
              <w:jc w:val="center"/>
              <w:rPr>
                <w:rFonts w:ascii="Arial" w:hAnsi="Arial"/>
                <w:b/>
                <w:sz w:val="15"/>
              </w:rPr>
            </w:pPr>
            <w:r>
              <w:rPr>
                <w:rFonts w:ascii="Arial" w:hAnsi="Arial"/>
                <w:b/>
                <w:sz w:val="15"/>
              </w:rPr>
              <w:t>OPTION</w:t>
              <w:br/>
              <w:t>EXPIRATION</w:t>
              <w:br/>
              <w:t>DATE</w:t>
              <w:br/>
              <w:t>(d)</w:t>
            </w:r>
          </w:p>
        </w:tc>
        <w:tc>
          <w:tcPr>
            <w:tcW w:w="120" w:type="dxa"/>
            <w:tcBorders>
              <w:bottom w:val="single" w:sz="12" w:space="0" w:color="000000"/>
            </w:tcBorders>
            <w:shd w:fill="auto" w:val="clear"/>
            <w:tcMar>
              <w:bottom w:w="28" w:type="dxa"/>
            </w:tcMar>
            <w:vAlign w:val="center"/>
          </w:tcPr>
          <w:p>
            <w:pPr>
              <w:pStyle w:val="TableContents"/>
              <w:spacing w:before="0" w:after="283"/>
              <w:jc w:val="center"/>
              <w:rPr/>
            </w:pPr>
            <w:r>
              <w:rPr/>
              <w:t>  </w:t>
            </w:r>
          </w:p>
        </w:tc>
        <w:tc>
          <w:tcPr>
            <w:tcW w:w="860" w:type="dxa"/>
            <w:tcBorders>
              <w:bottom w:val="single" w:sz="12" w:space="0" w:color="000000"/>
            </w:tcBorders>
            <w:shd w:fill="auto" w:val="clear"/>
            <w:tcMar>
              <w:bottom w:w="28" w:type="dxa"/>
            </w:tcMar>
            <w:vAlign w:val="center"/>
          </w:tcPr>
          <w:p>
            <w:pPr>
              <w:pStyle w:val="TableContents"/>
              <w:spacing w:before="0" w:after="283"/>
              <w:jc w:val="center"/>
              <w:rPr>
                <w:rFonts w:ascii="Arial" w:hAnsi="Arial"/>
                <w:b/>
                <w:sz w:val="15"/>
              </w:rPr>
            </w:pPr>
            <w:r>
              <w:rPr>
                <w:rFonts w:ascii="Arial" w:hAnsi="Arial"/>
                <w:b/>
                <w:sz w:val="15"/>
              </w:rPr>
              <w:t>NUMBER OF</w:t>
              <w:br/>
              <w:t>SHARES OR</w:t>
              <w:br/>
              <w:t>UNITS OF</w:t>
              <w:br/>
              <w:t>STOCK THAT</w:t>
              <w:br/>
              <w:t>HAVE NOT</w:t>
              <w:br/>
              <w:t>VESTED</w:t>
            </w:r>
            <w:r>
              <w:rPr>
                <w:rFonts w:ascii="Arial" w:hAnsi="Arial"/>
                <w:b/>
                <w:position w:val="5"/>
                <w:sz w:val="12"/>
                <w:sz w:val="15"/>
              </w:rPr>
              <w:t>(3)(4)</w:t>
            </w:r>
            <w:r>
              <w:rPr>
                <w:rFonts w:ascii="Arial" w:hAnsi="Arial"/>
                <w:b/>
                <w:sz w:val="15"/>
              </w:rPr>
              <w:br/>
              <w:t>(e)</w:t>
            </w:r>
          </w:p>
        </w:tc>
        <w:tc>
          <w:tcPr>
            <w:tcW w:w="120" w:type="dxa"/>
            <w:tcBorders>
              <w:bottom w:val="single" w:sz="12" w:space="0" w:color="000000"/>
            </w:tcBorders>
            <w:shd w:fill="auto" w:val="clear"/>
            <w:tcMar>
              <w:bottom w:w="28" w:type="dxa"/>
            </w:tcMar>
            <w:vAlign w:val="center"/>
          </w:tcPr>
          <w:p>
            <w:pPr>
              <w:pStyle w:val="TableContents"/>
              <w:spacing w:before="0" w:after="283"/>
              <w:jc w:val="center"/>
              <w:rPr/>
            </w:pPr>
            <w:r>
              <w:rPr/>
              <w:t>  </w:t>
            </w:r>
          </w:p>
        </w:tc>
        <w:tc>
          <w:tcPr>
            <w:tcW w:w="893" w:type="dxa"/>
            <w:tcBorders>
              <w:bottom w:val="single" w:sz="12" w:space="0" w:color="000000"/>
            </w:tcBorders>
            <w:shd w:fill="auto" w:val="clear"/>
            <w:tcMar>
              <w:bottom w:w="28" w:type="dxa"/>
            </w:tcMar>
            <w:vAlign w:val="center"/>
          </w:tcPr>
          <w:p>
            <w:pPr>
              <w:pStyle w:val="TableContents"/>
              <w:spacing w:before="0" w:after="283"/>
              <w:jc w:val="center"/>
              <w:rPr>
                <w:rFonts w:ascii="Arial" w:hAnsi="Arial"/>
                <w:b/>
                <w:sz w:val="15"/>
              </w:rPr>
            </w:pPr>
            <w:r>
              <w:rPr>
                <w:rFonts w:ascii="Arial" w:hAnsi="Arial"/>
                <w:b/>
                <w:sz w:val="15"/>
              </w:rPr>
              <w:t>MARKET</w:t>
              <w:br/>
              <w:t>VALUE OF</w:t>
              <w:br/>
              <w:t>SHARES OR</w:t>
              <w:br/>
              <w:t>UNITS OF</w:t>
              <w:br/>
              <w:t>STOCK</w:t>
              <w:br/>
              <w:t>THAT HAVE</w:t>
              <w:br/>
              <w:t>NOT VESTED</w:t>
              <w:br/>
              <w:t>($)</w:t>
              <w:br/>
              <w:t>(f)</w:t>
            </w:r>
          </w:p>
        </w:tc>
        <w:tc>
          <w:tcPr>
            <w:tcW w:w="120" w:type="dxa"/>
            <w:tcBorders>
              <w:bottom w:val="single" w:sz="12" w:space="0" w:color="000000"/>
            </w:tcBorders>
            <w:shd w:fill="auto" w:val="clear"/>
            <w:tcMar>
              <w:bottom w:w="28" w:type="dxa"/>
            </w:tcMar>
            <w:vAlign w:val="center"/>
          </w:tcPr>
          <w:p>
            <w:pPr>
              <w:pStyle w:val="TableContents"/>
              <w:spacing w:before="0" w:after="283"/>
              <w:jc w:val="center"/>
              <w:rPr/>
            </w:pPr>
            <w:r>
              <w:rPr/>
              <w:t>  </w:t>
            </w:r>
          </w:p>
        </w:tc>
        <w:tc>
          <w:tcPr>
            <w:tcW w:w="1121" w:type="dxa"/>
            <w:tcBorders>
              <w:bottom w:val="single" w:sz="12" w:space="0" w:color="000000"/>
            </w:tcBorders>
            <w:shd w:fill="auto" w:val="clear"/>
            <w:tcMar>
              <w:bottom w:w="28" w:type="dxa"/>
            </w:tcMar>
            <w:vAlign w:val="center"/>
          </w:tcPr>
          <w:p>
            <w:pPr>
              <w:pStyle w:val="TableContents"/>
              <w:spacing w:before="0" w:after="283"/>
              <w:jc w:val="center"/>
              <w:rPr>
                <w:rFonts w:ascii="Arial" w:hAnsi="Arial"/>
                <w:b/>
                <w:sz w:val="15"/>
              </w:rPr>
            </w:pPr>
            <w:r>
              <w:rPr>
                <w:rFonts w:ascii="Arial" w:hAnsi="Arial"/>
                <w:b/>
                <w:sz w:val="15"/>
              </w:rPr>
              <w:t>EQUITY</w:t>
              <w:br/>
              <w:t>INCENTIVE</w:t>
              <w:br/>
              <w:t>PLAN AWARDS:</w:t>
              <w:br/>
              <w:t>NUMBER OF</w:t>
              <w:br/>
              <w:t>UNEARNED</w:t>
              <w:br/>
              <w:t>SHARES,</w:t>
              <w:br/>
              <w:t>UNITS OR</w:t>
              <w:br/>
              <w:t>OTHER</w:t>
              <w:br/>
              <w:t>RIGHTS</w:t>
              <w:br/>
              <w:t>THAT HAVE</w:t>
              <w:br/>
              <w:t>NOT VESTED</w:t>
            </w:r>
            <w:r>
              <w:rPr>
                <w:rFonts w:ascii="Arial" w:hAnsi="Arial"/>
                <w:b/>
                <w:position w:val="5"/>
                <w:sz w:val="12"/>
                <w:sz w:val="15"/>
              </w:rPr>
              <w:t>(3)(4)</w:t>
            </w:r>
            <w:r>
              <w:rPr>
                <w:rFonts w:ascii="Arial" w:hAnsi="Arial"/>
                <w:b/>
                <w:sz w:val="15"/>
              </w:rPr>
              <w:br/>
              <w:t>(g)</w:t>
            </w:r>
          </w:p>
        </w:tc>
        <w:tc>
          <w:tcPr>
            <w:tcW w:w="120" w:type="dxa"/>
            <w:tcBorders>
              <w:bottom w:val="single" w:sz="12" w:space="0" w:color="000000"/>
            </w:tcBorders>
            <w:shd w:fill="auto" w:val="clear"/>
            <w:tcMar>
              <w:bottom w:w="28" w:type="dxa"/>
            </w:tcMar>
            <w:vAlign w:val="center"/>
          </w:tcPr>
          <w:p>
            <w:pPr>
              <w:pStyle w:val="TableContents"/>
              <w:spacing w:before="0" w:after="283"/>
              <w:jc w:val="center"/>
              <w:rPr/>
            </w:pPr>
            <w:r>
              <w:rPr/>
              <w:t>  </w:t>
            </w:r>
          </w:p>
        </w:tc>
        <w:tc>
          <w:tcPr>
            <w:tcW w:w="1132" w:type="dxa"/>
            <w:tcBorders>
              <w:bottom w:val="single" w:sz="12" w:space="0" w:color="000000"/>
            </w:tcBorders>
            <w:shd w:fill="auto" w:val="clear"/>
            <w:tcMar>
              <w:bottom w:w="28" w:type="dxa"/>
            </w:tcMar>
            <w:vAlign w:val="center"/>
          </w:tcPr>
          <w:p>
            <w:pPr>
              <w:pStyle w:val="TableContents"/>
              <w:spacing w:before="0" w:after="283"/>
              <w:jc w:val="center"/>
              <w:rPr>
                <w:rFonts w:ascii="Arial" w:hAnsi="Arial"/>
                <w:b/>
                <w:sz w:val="15"/>
              </w:rPr>
            </w:pPr>
            <w:r>
              <w:rPr>
                <w:rFonts w:ascii="Arial" w:hAnsi="Arial"/>
                <w:b/>
                <w:sz w:val="15"/>
              </w:rPr>
              <w:t>EQUITY</w:t>
              <w:br/>
              <w:t>INCENTIVE</w:t>
              <w:br/>
              <w:t>PLAN AWARDS:</w:t>
              <w:br/>
              <w:t>MARKET VALUE</w:t>
              <w:br/>
              <w:t>OR PAYOUT</w:t>
              <w:br/>
              <w:t>VALUE OF</w:t>
              <w:br/>
              <w:t>UNEARNED</w:t>
              <w:br/>
              <w:t>SHARES,</w:t>
              <w:br/>
              <w:t>UNITS OR OTHER</w:t>
              <w:br/>
              <w:t>RIGHTS THAT</w:t>
              <w:br/>
              <w:t>HAVE</w:t>
              <w:br/>
              <w:t>NOT VESTED</w:t>
              <w:br/>
              <w:t>($)</w:t>
              <w:br/>
              <w:t>(h)</w:t>
            </w:r>
          </w:p>
        </w:tc>
      </w:tr>
      <w:tr>
        <w:trPr/>
        <w:tc>
          <w:tcPr>
            <w:tcW w:w="956" w:type="dxa"/>
            <w:vMerge w:val="restart"/>
            <w:tcBorders/>
            <w:shd w:fill="auto" w:val="clear"/>
            <w:vAlign w:val="center"/>
          </w:tcPr>
          <w:p>
            <w:pPr>
              <w:pStyle w:val="TableContents"/>
              <w:spacing w:before="0" w:after="283"/>
              <w:jc w:val="left"/>
              <w:rPr>
                <w:rFonts w:ascii="Arial" w:hAnsi="Arial"/>
                <w:b/>
                <w:sz w:val="15"/>
              </w:rPr>
            </w:pPr>
            <w:r>
              <w:rPr>
                <w:rFonts w:ascii="Arial" w:hAnsi="Arial"/>
                <w:b/>
                <w:sz w:val="15"/>
              </w:rPr>
              <w:t>David N. Watson</w:t>
            </w:r>
          </w:p>
        </w:tc>
        <w:tc>
          <w:tcPr>
            <w:tcW w:w="120" w:type="dxa"/>
            <w:tcBorders/>
            <w:shd w:fill="auto" w:val="clear"/>
            <w:vAlign w:val="center"/>
          </w:tcPr>
          <w:p>
            <w:pPr>
              <w:pStyle w:val="TableContents"/>
              <w:spacing w:before="0" w:after="283"/>
              <w:rPr>
                <w:sz w:val="4"/>
                <w:szCs w:val="4"/>
              </w:rPr>
            </w:pPr>
            <w:r>
              <w:rPr>
                <w:sz w:val="4"/>
                <w:szCs w:val="4"/>
              </w:rPr>
            </w:r>
          </w:p>
        </w:tc>
        <w:tc>
          <w:tcPr>
            <w:tcW w:w="859"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256"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418"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5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6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93"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21"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864,856</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32"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30,244,014</w:t>
            </w:r>
          </w:p>
        </w:tc>
      </w:tr>
      <w:tr>
        <w:trPr/>
        <w:tc>
          <w:tcPr>
            <w:tcW w:w="956"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sz w:val="4"/>
                <w:szCs w:val="4"/>
              </w:rPr>
            </w:pPr>
            <w:r>
              <w:rPr>
                <w:sz w:val="4"/>
                <w:szCs w:val="4"/>
              </w:rPr>
            </w:r>
          </w:p>
        </w:tc>
        <w:tc>
          <w:tcPr>
            <w:tcW w:w="859"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213,900</w:t>
            </w:r>
          </w:p>
        </w:tc>
        <w:tc>
          <w:tcPr>
            <w:tcW w:w="25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418"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0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20.610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50" w:type="dxa"/>
            <w:tcBorders>
              <w:bottom w:val="single" w:sz="8" w:space="0" w:color="000000"/>
            </w:tcBorders>
            <w:shd w:fill="auto" w:val="clear"/>
            <w:tcMar>
              <w:bottom w:w="28" w:type="dxa"/>
            </w:tcMar>
            <w:vAlign w:val="center"/>
          </w:tcPr>
          <w:p>
            <w:pPr>
              <w:pStyle w:val="TableContents"/>
              <w:spacing w:before="0" w:after="283"/>
              <w:jc w:val="center"/>
              <w:rPr>
                <w:rFonts w:ascii="Arial" w:hAnsi="Arial"/>
                <w:sz w:val="15"/>
              </w:rPr>
            </w:pPr>
            <w:r>
              <w:rPr>
                <w:rFonts w:ascii="Arial" w:hAnsi="Arial"/>
                <w:sz w:val="15"/>
              </w:rPr>
              <w:t>03/21/2023</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6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93"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2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32"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956"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sz w:val="4"/>
                <w:szCs w:val="4"/>
              </w:rPr>
            </w:pPr>
            <w:r>
              <w:rPr>
                <w:sz w:val="4"/>
                <w:szCs w:val="4"/>
              </w:rPr>
            </w:r>
          </w:p>
        </w:tc>
        <w:tc>
          <w:tcPr>
            <w:tcW w:w="859"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203,040</w:t>
            </w:r>
          </w:p>
        </w:tc>
        <w:tc>
          <w:tcPr>
            <w:tcW w:w="25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418"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22,560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0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25.000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50" w:type="dxa"/>
            <w:tcBorders>
              <w:bottom w:val="single" w:sz="8" w:space="0" w:color="000000"/>
            </w:tcBorders>
            <w:shd w:fill="auto" w:val="clear"/>
            <w:tcMar>
              <w:bottom w:w="28" w:type="dxa"/>
            </w:tcMar>
            <w:vAlign w:val="center"/>
          </w:tcPr>
          <w:p>
            <w:pPr>
              <w:pStyle w:val="TableContents"/>
              <w:spacing w:before="0" w:after="283"/>
              <w:jc w:val="center"/>
              <w:rPr>
                <w:rFonts w:ascii="Arial" w:hAnsi="Arial"/>
                <w:sz w:val="15"/>
              </w:rPr>
            </w:pPr>
            <w:r>
              <w:rPr>
                <w:rFonts w:ascii="Arial" w:hAnsi="Arial"/>
                <w:sz w:val="15"/>
              </w:rPr>
              <w:t>03/20/2024</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6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93"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2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32"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956"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sz w:val="4"/>
                <w:szCs w:val="4"/>
              </w:rPr>
            </w:pPr>
            <w:r>
              <w:rPr>
                <w:sz w:val="4"/>
                <w:szCs w:val="4"/>
              </w:rPr>
            </w:r>
          </w:p>
        </w:tc>
        <w:tc>
          <w:tcPr>
            <w:tcW w:w="859"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180,540</w:t>
            </w:r>
          </w:p>
        </w:tc>
        <w:tc>
          <w:tcPr>
            <w:tcW w:w="25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418"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31,860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0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29.725</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50" w:type="dxa"/>
            <w:tcBorders>
              <w:bottom w:val="single" w:sz="8" w:space="0" w:color="000000"/>
            </w:tcBorders>
            <w:shd w:fill="auto" w:val="clear"/>
            <w:tcMar>
              <w:bottom w:w="28" w:type="dxa"/>
            </w:tcMar>
            <w:vAlign w:val="center"/>
          </w:tcPr>
          <w:p>
            <w:pPr>
              <w:pStyle w:val="TableContents"/>
              <w:spacing w:before="0" w:after="283"/>
              <w:jc w:val="center"/>
              <w:rPr>
                <w:rFonts w:ascii="Arial" w:hAnsi="Arial"/>
                <w:sz w:val="15"/>
              </w:rPr>
            </w:pPr>
            <w:r>
              <w:rPr>
                <w:rFonts w:ascii="Arial" w:hAnsi="Arial"/>
                <w:sz w:val="15"/>
              </w:rPr>
              <w:t>03/19/2025</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6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93"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2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32"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95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59"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151,380</w:t>
            </w:r>
          </w:p>
        </w:tc>
        <w:tc>
          <w:tcPr>
            <w:tcW w:w="25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418"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43,720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0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29.880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50" w:type="dxa"/>
            <w:tcBorders>
              <w:bottom w:val="single" w:sz="8" w:space="0" w:color="000000"/>
            </w:tcBorders>
            <w:shd w:fill="auto" w:val="clear"/>
            <w:tcMar>
              <w:bottom w:w="28" w:type="dxa"/>
            </w:tcMar>
            <w:vAlign w:val="center"/>
          </w:tcPr>
          <w:p>
            <w:pPr>
              <w:pStyle w:val="TableContents"/>
              <w:spacing w:before="0" w:after="283"/>
              <w:jc w:val="center"/>
              <w:rPr>
                <w:rFonts w:ascii="Arial" w:hAnsi="Arial"/>
                <w:sz w:val="15"/>
              </w:rPr>
            </w:pPr>
            <w:r>
              <w:rPr>
                <w:rFonts w:ascii="Arial" w:hAnsi="Arial"/>
                <w:sz w:val="15"/>
              </w:rPr>
              <w:t>03/17/2026</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6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93"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2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32"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95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59"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134,625</w:t>
            </w:r>
          </w:p>
        </w:tc>
        <w:tc>
          <w:tcPr>
            <w:tcW w:w="25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418"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44,875</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0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37.460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50" w:type="dxa"/>
            <w:tcBorders>
              <w:bottom w:val="single" w:sz="8" w:space="0" w:color="000000"/>
            </w:tcBorders>
            <w:shd w:fill="auto" w:val="clear"/>
            <w:tcMar>
              <w:bottom w:w="28" w:type="dxa"/>
            </w:tcMar>
            <w:vAlign w:val="center"/>
          </w:tcPr>
          <w:p>
            <w:pPr>
              <w:pStyle w:val="TableContents"/>
              <w:spacing w:before="0" w:after="283"/>
              <w:jc w:val="center"/>
              <w:rPr>
                <w:rFonts w:ascii="Arial" w:hAnsi="Arial"/>
                <w:sz w:val="15"/>
              </w:rPr>
            </w:pPr>
            <w:r>
              <w:rPr>
                <w:rFonts w:ascii="Arial" w:hAnsi="Arial"/>
                <w:sz w:val="15"/>
              </w:rPr>
              <w:t>03/16/2027</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6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93"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2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32"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95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59"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230,640</w:t>
            </w:r>
          </w:p>
        </w:tc>
        <w:tc>
          <w:tcPr>
            <w:tcW w:w="25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418"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153,760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0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35.830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50" w:type="dxa"/>
            <w:tcBorders>
              <w:bottom w:val="single" w:sz="8" w:space="0" w:color="000000"/>
            </w:tcBorders>
            <w:shd w:fill="auto" w:val="clear"/>
            <w:tcMar>
              <w:bottom w:w="28" w:type="dxa"/>
            </w:tcMar>
            <w:vAlign w:val="center"/>
          </w:tcPr>
          <w:p>
            <w:pPr>
              <w:pStyle w:val="TableContents"/>
              <w:spacing w:before="0" w:after="283"/>
              <w:jc w:val="center"/>
              <w:rPr>
                <w:rFonts w:ascii="Arial" w:hAnsi="Arial"/>
                <w:sz w:val="15"/>
              </w:rPr>
            </w:pPr>
            <w:r>
              <w:rPr>
                <w:rFonts w:ascii="Arial" w:hAnsi="Arial"/>
                <w:sz w:val="15"/>
              </w:rPr>
              <w:t>03/15/2028</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6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93"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2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32"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95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59"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184,950</w:t>
            </w:r>
          </w:p>
        </w:tc>
        <w:tc>
          <w:tcPr>
            <w:tcW w:w="25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418"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226,050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0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40.470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50" w:type="dxa"/>
            <w:tcBorders>
              <w:bottom w:val="single" w:sz="8" w:space="0" w:color="000000"/>
            </w:tcBorders>
            <w:shd w:fill="auto" w:val="clear"/>
            <w:tcMar>
              <w:bottom w:w="28" w:type="dxa"/>
            </w:tcMar>
            <w:vAlign w:val="center"/>
          </w:tcPr>
          <w:p>
            <w:pPr>
              <w:pStyle w:val="TableContents"/>
              <w:spacing w:before="0" w:after="283"/>
              <w:jc w:val="center"/>
              <w:rPr>
                <w:rFonts w:ascii="Arial" w:hAnsi="Arial"/>
                <w:sz w:val="15"/>
              </w:rPr>
            </w:pPr>
            <w:r>
              <w:rPr>
                <w:rFonts w:ascii="Arial" w:hAnsi="Arial"/>
                <w:sz w:val="15"/>
              </w:rPr>
              <w:t>03/14/2029</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6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93"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2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32"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95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59"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192,930</w:t>
            </w:r>
          </w:p>
        </w:tc>
        <w:tc>
          <w:tcPr>
            <w:tcW w:w="25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418"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450,170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0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42.520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50" w:type="dxa"/>
            <w:tcBorders>
              <w:bottom w:val="single" w:sz="8" w:space="0" w:color="000000"/>
            </w:tcBorders>
            <w:shd w:fill="auto" w:val="clear"/>
            <w:tcMar>
              <w:bottom w:w="28" w:type="dxa"/>
            </w:tcMar>
            <w:vAlign w:val="center"/>
          </w:tcPr>
          <w:p>
            <w:pPr>
              <w:pStyle w:val="TableContents"/>
              <w:spacing w:before="0" w:after="283"/>
              <w:jc w:val="center"/>
              <w:rPr>
                <w:rFonts w:ascii="Arial" w:hAnsi="Arial"/>
                <w:sz w:val="15"/>
              </w:rPr>
            </w:pPr>
            <w:r>
              <w:rPr>
                <w:rFonts w:ascii="Arial" w:hAnsi="Arial"/>
                <w:sz w:val="15"/>
              </w:rPr>
              <w:t>03/01/2030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6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93"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2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32"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95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59"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25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418"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435,200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0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54.450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50" w:type="dxa"/>
            <w:tcBorders>
              <w:bottom w:val="single" w:sz="8" w:space="0" w:color="000000"/>
            </w:tcBorders>
            <w:shd w:fill="auto" w:val="clear"/>
            <w:tcMar>
              <w:bottom w:w="28" w:type="dxa"/>
            </w:tcMar>
            <w:vAlign w:val="center"/>
          </w:tcPr>
          <w:p>
            <w:pPr>
              <w:pStyle w:val="TableContents"/>
              <w:spacing w:before="0" w:after="283"/>
              <w:jc w:val="center"/>
              <w:rPr>
                <w:rFonts w:ascii="Arial" w:hAnsi="Arial"/>
                <w:sz w:val="15"/>
              </w:rPr>
            </w:pPr>
            <w:r>
              <w:rPr>
                <w:rFonts w:ascii="Arial" w:hAnsi="Arial"/>
                <w:sz w:val="15"/>
              </w:rPr>
              <w:t>02/28/2031</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6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93"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2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32"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95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59"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25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418"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555,055</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0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46.390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50" w:type="dxa"/>
            <w:tcBorders>
              <w:bottom w:val="single" w:sz="8" w:space="0" w:color="000000"/>
            </w:tcBorders>
            <w:shd w:fill="auto" w:val="clear"/>
            <w:tcMar>
              <w:bottom w:w="28" w:type="dxa"/>
            </w:tcMar>
            <w:vAlign w:val="center"/>
          </w:tcPr>
          <w:p>
            <w:pPr>
              <w:pStyle w:val="TableContents"/>
              <w:spacing w:before="0" w:after="283"/>
              <w:jc w:val="center"/>
              <w:rPr>
                <w:rFonts w:ascii="Arial" w:hAnsi="Arial"/>
                <w:sz w:val="15"/>
              </w:rPr>
            </w:pPr>
            <w:r>
              <w:rPr>
                <w:rFonts w:ascii="Arial" w:hAnsi="Arial"/>
                <w:sz w:val="15"/>
              </w:rPr>
              <w:t>02/29/2032</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6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93"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2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32"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956" w:type="dxa"/>
            <w:vMerge w:val="restart"/>
            <w:tcBorders/>
            <w:shd w:fill="auto" w:val="clear"/>
            <w:vAlign w:val="center"/>
          </w:tcPr>
          <w:p>
            <w:pPr>
              <w:pStyle w:val="TableContents"/>
              <w:spacing w:before="0" w:after="283"/>
              <w:jc w:val="left"/>
              <w:rPr>
                <w:rFonts w:ascii="Arial" w:hAnsi="Arial"/>
                <w:b/>
                <w:sz w:val="15"/>
              </w:rPr>
            </w:pPr>
            <w:r>
              <w:rPr>
                <w:rFonts w:ascii="Arial" w:hAnsi="Arial"/>
                <w:b/>
                <w:sz w:val="15"/>
              </w:rPr>
              <w:t>Jeffrey Shell</w:t>
            </w:r>
            <w:r>
              <w:rPr>
                <w:rFonts w:ascii="Arial" w:hAnsi="Arial"/>
                <w:b/>
                <w:position w:val="5"/>
                <w:sz w:val="12"/>
                <w:sz w:val="15"/>
              </w:rPr>
              <w:t>(5)</w:t>
            </w:r>
          </w:p>
        </w:tc>
        <w:tc>
          <w:tcPr>
            <w:tcW w:w="120" w:type="dxa"/>
            <w:tcBorders/>
            <w:shd w:fill="auto" w:val="clear"/>
            <w:vAlign w:val="center"/>
          </w:tcPr>
          <w:p>
            <w:pPr>
              <w:pStyle w:val="TableContents"/>
              <w:spacing w:before="0" w:after="283"/>
              <w:rPr>
                <w:sz w:val="4"/>
                <w:szCs w:val="4"/>
              </w:rPr>
            </w:pPr>
            <w:r>
              <w:rPr>
                <w:sz w:val="4"/>
                <w:szCs w:val="4"/>
              </w:rPr>
            </w:r>
          </w:p>
        </w:tc>
        <w:tc>
          <w:tcPr>
            <w:tcW w:w="859"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25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418"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5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6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93,731</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93"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3,277,773</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21"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652,886</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32"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22,831,423</w:t>
            </w:r>
          </w:p>
        </w:tc>
      </w:tr>
      <w:tr>
        <w:trPr/>
        <w:tc>
          <w:tcPr>
            <w:tcW w:w="956"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sz w:val="4"/>
                <w:szCs w:val="4"/>
              </w:rPr>
            </w:pPr>
            <w:r>
              <w:rPr>
                <w:sz w:val="4"/>
                <w:szCs w:val="4"/>
              </w:rPr>
            </w:r>
          </w:p>
        </w:tc>
        <w:tc>
          <w:tcPr>
            <w:tcW w:w="859"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136,368</w:t>
            </w:r>
          </w:p>
        </w:tc>
        <w:tc>
          <w:tcPr>
            <w:tcW w:w="25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418"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166,672</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0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44.090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50" w:type="dxa"/>
            <w:tcBorders>
              <w:bottom w:val="single" w:sz="8" w:space="0" w:color="000000"/>
            </w:tcBorders>
            <w:shd w:fill="auto" w:val="clear"/>
            <w:tcMar>
              <w:bottom w:w="28" w:type="dxa"/>
            </w:tcMar>
            <w:vAlign w:val="center"/>
          </w:tcPr>
          <w:p>
            <w:pPr>
              <w:pStyle w:val="TableContents"/>
              <w:spacing w:before="0" w:after="283"/>
              <w:jc w:val="center"/>
              <w:rPr>
                <w:rFonts w:ascii="Arial" w:hAnsi="Arial"/>
                <w:sz w:val="15"/>
              </w:rPr>
            </w:pPr>
            <w:r>
              <w:rPr>
                <w:rFonts w:ascii="Arial" w:hAnsi="Arial"/>
                <w:sz w:val="15"/>
              </w:rPr>
              <w:t>12/19/2029</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6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93"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2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32"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956"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sz w:val="4"/>
                <w:szCs w:val="4"/>
              </w:rPr>
            </w:pPr>
            <w:r>
              <w:rPr>
                <w:sz w:val="4"/>
                <w:szCs w:val="4"/>
              </w:rPr>
            </w:r>
          </w:p>
        </w:tc>
        <w:tc>
          <w:tcPr>
            <w:tcW w:w="859"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172,290</w:t>
            </w:r>
          </w:p>
        </w:tc>
        <w:tc>
          <w:tcPr>
            <w:tcW w:w="25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418"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402,010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0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42.520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50" w:type="dxa"/>
            <w:tcBorders>
              <w:bottom w:val="single" w:sz="8" w:space="0" w:color="000000"/>
            </w:tcBorders>
            <w:shd w:fill="auto" w:val="clear"/>
            <w:tcMar>
              <w:bottom w:w="28" w:type="dxa"/>
            </w:tcMar>
            <w:vAlign w:val="center"/>
          </w:tcPr>
          <w:p>
            <w:pPr>
              <w:pStyle w:val="TableContents"/>
              <w:spacing w:before="0" w:after="283"/>
              <w:jc w:val="center"/>
              <w:rPr>
                <w:rFonts w:ascii="Arial" w:hAnsi="Arial"/>
                <w:sz w:val="15"/>
              </w:rPr>
            </w:pPr>
            <w:r>
              <w:rPr>
                <w:rFonts w:ascii="Arial" w:hAnsi="Arial"/>
                <w:sz w:val="15"/>
              </w:rPr>
              <w:t>03/01/2030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6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93"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2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32"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956"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sz w:val="4"/>
                <w:szCs w:val="4"/>
              </w:rPr>
            </w:pPr>
            <w:r>
              <w:rPr>
                <w:sz w:val="4"/>
                <w:szCs w:val="4"/>
              </w:rPr>
            </w:r>
          </w:p>
        </w:tc>
        <w:tc>
          <w:tcPr>
            <w:tcW w:w="859"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25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418"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356,700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0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54.450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50" w:type="dxa"/>
            <w:tcBorders>
              <w:bottom w:val="single" w:sz="8" w:space="0" w:color="000000"/>
            </w:tcBorders>
            <w:shd w:fill="auto" w:val="clear"/>
            <w:tcMar>
              <w:bottom w:w="28" w:type="dxa"/>
            </w:tcMar>
            <w:vAlign w:val="center"/>
          </w:tcPr>
          <w:p>
            <w:pPr>
              <w:pStyle w:val="TableContents"/>
              <w:spacing w:before="0" w:after="283"/>
              <w:jc w:val="center"/>
              <w:rPr>
                <w:rFonts w:ascii="Arial" w:hAnsi="Arial"/>
                <w:sz w:val="15"/>
              </w:rPr>
            </w:pPr>
            <w:r>
              <w:rPr>
                <w:rFonts w:ascii="Arial" w:hAnsi="Arial"/>
                <w:sz w:val="15"/>
              </w:rPr>
              <w:t>02/28/2031</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6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93"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2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32"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95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59"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25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418"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475,600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0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46.390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50" w:type="dxa"/>
            <w:tcBorders>
              <w:bottom w:val="single" w:sz="8" w:space="0" w:color="000000"/>
            </w:tcBorders>
            <w:shd w:fill="auto" w:val="clear"/>
            <w:tcMar>
              <w:bottom w:w="28" w:type="dxa"/>
            </w:tcMar>
            <w:vAlign w:val="center"/>
          </w:tcPr>
          <w:p>
            <w:pPr>
              <w:pStyle w:val="TableContents"/>
              <w:spacing w:before="0" w:after="283"/>
              <w:jc w:val="center"/>
              <w:rPr>
                <w:rFonts w:ascii="Arial" w:hAnsi="Arial"/>
                <w:sz w:val="15"/>
              </w:rPr>
            </w:pPr>
            <w:r>
              <w:rPr>
                <w:rFonts w:ascii="Arial" w:hAnsi="Arial"/>
                <w:sz w:val="15"/>
              </w:rPr>
              <w:t>02/29/2032</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6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93"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2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32"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956" w:type="dxa"/>
            <w:vMerge w:val="restart"/>
            <w:tcBorders/>
            <w:shd w:fill="auto" w:val="clear"/>
            <w:vAlign w:val="center"/>
          </w:tcPr>
          <w:p>
            <w:pPr>
              <w:pStyle w:val="TableContents"/>
              <w:spacing w:before="0" w:after="283"/>
              <w:jc w:val="left"/>
              <w:rPr>
                <w:rFonts w:ascii="Arial" w:hAnsi="Arial"/>
                <w:b/>
                <w:sz w:val="15"/>
              </w:rPr>
            </w:pPr>
            <w:r>
              <w:rPr>
                <w:rFonts w:ascii="Arial" w:hAnsi="Arial"/>
                <w:b/>
                <w:sz w:val="15"/>
              </w:rPr>
              <w:t>Dana Strong</w:t>
            </w:r>
          </w:p>
        </w:tc>
        <w:tc>
          <w:tcPr>
            <w:tcW w:w="120" w:type="dxa"/>
            <w:tcBorders/>
            <w:shd w:fill="auto" w:val="clear"/>
            <w:vAlign w:val="center"/>
          </w:tcPr>
          <w:p>
            <w:pPr>
              <w:pStyle w:val="TableContents"/>
              <w:spacing w:before="0" w:after="283"/>
              <w:rPr>
                <w:sz w:val="4"/>
                <w:szCs w:val="4"/>
              </w:rPr>
            </w:pPr>
            <w:r>
              <w:rPr>
                <w:sz w:val="4"/>
                <w:szCs w:val="4"/>
              </w:rPr>
            </w:r>
          </w:p>
        </w:tc>
        <w:tc>
          <w:tcPr>
            <w:tcW w:w="859"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25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418"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5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6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63,979</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93"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2,237,346</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21"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365,437</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32"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12,779,332</w:t>
            </w:r>
          </w:p>
        </w:tc>
      </w:tr>
      <w:tr>
        <w:trPr/>
        <w:tc>
          <w:tcPr>
            <w:tcW w:w="956"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sz w:val="4"/>
                <w:szCs w:val="4"/>
              </w:rPr>
            </w:pPr>
            <w:r>
              <w:rPr>
                <w:sz w:val="4"/>
                <w:szCs w:val="4"/>
              </w:rPr>
            </w:r>
          </w:p>
        </w:tc>
        <w:tc>
          <w:tcPr>
            <w:tcW w:w="859"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73,056</w:t>
            </w:r>
          </w:p>
        </w:tc>
        <w:tc>
          <w:tcPr>
            <w:tcW w:w="25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418"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97,408</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0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31.810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50" w:type="dxa"/>
            <w:tcBorders>
              <w:bottom w:val="single" w:sz="8" w:space="0" w:color="000000"/>
            </w:tcBorders>
            <w:shd w:fill="auto" w:val="clear"/>
            <w:tcMar>
              <w:bottom w:w="28" w:type="dxa"/>
            </w:tcMar>
            <w:vAlign w:val="center"/>
          </w:tcPr>
          <w:p>
            <w:pPr>
              <w:pStyle w:val="TableContents"/>
              <w:spacing w:before="0" w:after="283"/>
              <w:jc w:val="center"/>
              <w:rPr>
                <w:rFonts w:ascii="Arial" w:hAnsi="Arial"/>
                <w:sz w:val="15"/>
              </w:rPr>
            </w:pPr>
            <w:r>
              <w:rPr>
                <w:rFonts w:ascii="Arial" w:hAnsi="Arial"/>
                <w:sz w:val="15"/>
              </w:rPr>
              <w:t>04/26/2028</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6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93"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2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32"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956"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sz w:val="4"/>
                <w:szCs w:val="4"/>
              </w:rPr>
            </w:pPr>
            <w:r>
              <w:rPr>
                <w:sz w:val="4"/>
                <w:szCs w:val="4"/>
              </w:rPr>
            </w:r>
          </w:p>
        </w:tc>
        <w:tc>
          <w:tcPr>
            <w:tcW w:w="859"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85,275</w:t>
            </w:r>
          </w:p>
        </w:tc>
        <w:tc>
          <w:tcPr>
            <w:tcW w:w="25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418"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104,225</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0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40.470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50" w:type="dxa"/>
            <w:tcBorders>
              <w:bottom w:val="single" w:sz="8" w:space="0" w:color="000000"/>
            </w:tcBorders>
            <w:shd w:fill="auto" w:val="clear"/>
            <w:tcMar>
              <w:bottom w:w="28" w:type="dxa"/>
            </w:tcMar>
            <w:vAlign w:val="center"/>
          </w:tcPr>
          <w:p>
            <w:pPr>
              <w:pStyle w:val="TableContents"/>
              <w:spacing w:before="0" w:after="283"/>
              <w:jc w:val="center"/>
              <w:rPr>
                <w:rFonts w:ascii="Arial" w:hAnsi="Arial"/>
                <w:sz w:val="15"/>
              </w:rPr>
            </w:pPr>
            <w:r>
              <w:rPr>
                <w:rFonts w:ascii="Arial" w:hAnsi="Arial"/>
                <w:sz w:val="15"/>
              </w:rPr>
              <w:t>03/14/2029</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6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93"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2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32"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956"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sz w:val="4"/>
                <w:szCs w:val="4"/>
              </w:rPr>
            </w:pPr>
            <w:r>
              <w:rPr>
                <w:sz w:val="4"/>
                <w:szCs w:val="4"/>
              </w:rPr>
            </w:r>
          </w:p>
        </w:tc>
        <w:tc>
          <w:tcPr>
            <w:tcW w:w="859"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68,880</w:t>
            </w:r>
          </w:p>
        </w:tc>
        <w:tc>
          <w:tcPr>
            <w:tcW w:w="25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418"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160,720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0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42.520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50" w:type="dxa"/>
            <w:tcBorders>
              <w:bottom w:val="single" w:sz="8" w:space="0" w:color="000000"/>
            </w:tcBorders>
            <w:shd w:fill="auto" w:val="clear"/>
            <w:tcMar>
              <w:bottom w:w="28" w:type="dxa"/>
            </w:tcMar>
            <w:vAlign w:val="center"/>
          </w:tcPr>
          <w:p>
            <w:pPr>
              <w:pStyle w:val="TableContents"/>
              <w:spacing w:before="0" w:after="283"/>
              <w:jc w:val="center"/>
              <w:rPr>
                <w:rFonts w:ascii="Arial" w:hAnsi="Arial"/>
                <w:sz w:val="15"/>
              </w:rPr>
            </w:pPr>
            <w:r>
              <w:rPr>
                <w:rFonts w:ascii="Arial" w:hAnsi="Arial"/>
                <w:sz w:val="15"/>
              </w:rPr>
              <w:t>03/01/2030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6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93"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2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32"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95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59"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25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418"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217,600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0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54.450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50" w:type="dxa"/>
            <w:tcBorders>
              <w:bottom w:val="single" w:sz="8" w:space="0" w:color="000000"/>
            </w:tcBorders>
            <w:shd w:fill="auto" w:val="clear"/>
            <w:tcMar>
              <w:bottom w:w="28" w:type="dxa"/>
            </w:tcMar>
            <w:vAlign w:val="center"/>
          </w:tcPr>
          <w:p>
            <w:pPr>
              <w:pStyle w:val="TableContents"/>
              <w:spacing w:before="0" w:after="283"/>
              <w:jc w:val="center"/>
              <w:rPr>
                <w:rFonts w:ascii="Arial" w:hAnsi="Arial"/>
                <w:sz w:val="15"/>
              </w:rPr>
            </w:pPr>
            <w:r>
              <w:rPr>
                <w:rFonts w:ascii="Arial" w:hAnsi="Arial"/>
                <w:sz w:val="15"/>
              </w:rPr>
              <w:t>02/28/2031</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6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93"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2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32"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95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59"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25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418"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309,880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0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46.390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50" w:type="dxa"/>
            <w:tcBorders>
              <w:bottom w:val="single" w:sz="8" w:space="0" w:color="000000"/>
            </w:tcBorders>
            <w:shd w:fill="auto" w:val="clear"/>
            <w:tcMar>
              <w:bottom w:w="28" w:type="dxa"/>
            </w:tcMar>
            <w:vAlign w:val="center"/>
          </w:tcPr>
          <w:p>
            <w:pPr>
              <w:pStyle w:val="TableContents"/>
              <w:spacing w:before="0" w:after="283"/>
              <w:jc w:val="center"/>
              <w:rPr>
                <w:rFonts w:ascii="Arial" w:hAnsi="Arial"/>
                <w:sz w:val="15"/>
              </w:rPr>
            </w:pPr>
            <w:r>
              <w:rPr>
                <w:rFonts w:ascii="Arial" w:hAnsi="Arial"/>
                <w:sz w:val="15"/>
              </w:rPr>
              <w:t>02/29/2032</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6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93"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2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32"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0" w:type="dxa"/>
          <w:left w:w="0" w:type="dxa"/>
          <w:bottom w:w="0" w:type="dxa"/>
          <w:right w:w="0" w:type="dxa"/>
        </w:tblCellMar>
      </w:tblPr>
      <w:tblGrid>
        <w:gridCol w:w="139"/>
        <w:gridCol w:w="10066"/>
      </w:tblGrid>
      <w:tr>
        <w:trPr/>
        <w:tc>
          <w:tcPr>
            <w:tcW w:w="139" w:type="dxa"/>
            <w:tcBorders/>
            <w:shd w:fill="auto" w:val="clear"/>
            <w:vAlign w:val="center"/>
          </w:tcPr>
          <w:p>
            <w:pPr>
              <w:pStyle w:val="TableContents"/>
              <w:spacing w:before="0" w:after="283"/>
              <w:jc w:val="left"/>
              <w:rPr>
                <w:rFonts w:ascii="Arial" w:hAnsi="Arial"/>
                <w:sz w:val="15"/>
              </w:rPr>
            </w:pPr>
            <w:r>
              <w:rPr>
                <w:rFonts w:ascii="Arial" w:hAnsi="Arial"/>
                <w:position w:val="5"/>
                <w:sz w:val="12"/>
                <w:sz w:val="15"/>
              </w:rPr>
              <w:t>(1)</w:t>
            </w:r>
            <w:r>
              <w:rPr>
                <w:rFonts w:ascii="Arial" w:hAnsi="Arial"/>
                <w:sz w:val="15"/>
              </w:rPr>
              <w:t> </w:t>
            </w:r>
          </w:p>
        </w:tc>
        <w:tc>
          <w:tcPr>
            <w:tcW w:w="10066" w:type="dxa"/>
            <w:tcBorders/>
            <w:shd w:fill="auto" w:val="clear"/>
            <w:vAlign w:val="center"/>
          </w:tcPr>
          <w:p>
            <w:pPr>
              <w:pStyle w:val="TableContents"/>
              <w:spacing w:before="0" w:after="283"/>
              <w:jc w:val="left"/>
              <w:rPr>
                <w:rFonts w:ascii="Arial" w:hAnsi="Arial"/>
                <w:sz w:val="15"/>
              </w:rPr>
            </w:pPr>
            <w:r>
              <w:rPr>
                <w:rFonts w:ascii="Arial" w:hAnsi="Arial"/>
                <w:sz w:val="15"/>
              </w:rPr>
              <w:t>Mr. Cavanagh assigned to a family trust a portion of his vested stock options as follows: representing 321,732 shares from the stock options expiring on May 14, 2025; representing 419,520 shares from the stock options expiring on March 17, 2026; representing 258,615 shares from the stock options expiring on March 16, 2027 and representing 167,910 shares from the stock options expiring on March 15, 2028.</w:t>
            </w:r>
          </w:p>
        </w:tc>
      </w:tr>
      <w:tr>
        <w:trPr/>
        <w:tc>
          <w:tcPr>
            <w:tcW w:w="139" w:type="dxa"/>
            <w:tcBorders/>
            <w:shd w:fill="auto" w:val="clear"/>
            <w:vAlign w:val="center"/>
          </w:tcPr>
          <w:p>
            <w:pPr>
              <w:pStyle w:val="TableContents"/>
              <w:spacing w:before="0" w:after="283"/>
              <w:jc w:val="left"/>
              <w:rPr>
                <w:rFonts w:ascii="Arial" w:hAnsi="Arial"/>
                <w:sz w:val="15"/>
              </w:rPr>
            </w:pPr>
            <w:r>
              <w:rPr>
                <w:rFonts w:ascii="Arial" w:hAnsi="Arial"/>
                <w:position w:val="5"/>
                <w:sz w:val="12"/>
                <w:sz w:val="15"/>
              </w:rPr>
              <w:t>(2)</w:t>
            </w:r>
            <w:r>
              <w:rPr>
                <w:rFonts w:ascii="Arial" w:hAnsi="Arial"/>
                <w:sz w:val="15"/>
              </w:rPr>
              <w:t> </w:t>
            </w:r>
          </w:p>
        </w:tc>
        <w:tc>
          <w:tcPr>
            <w:tcW w:w="10066" w:type="dxa"/>
            <w:tcBorders/>
            <w:shd w:fill="auto" w:val="clear"/>
            <w:vAlign w:val="center"/>
          </w:tcPr>
          <w:p>
            <w:pPr>
              <w:pStyle w:val="TableContents"/>
              <w:spacing w:before="0" w:after="283"/>
              <w:jc w:val="left"/>
              <w:rPr>
                <w:rFonts w:ascii="Arial" w:hAnsi="Arial"/>
                <w:sz w:val="15"/>
              </w:rPr>
            </w:pPr>
            <w:r>
              <w:rPr>
                <w:rFonts w:ascii="Arial" w:hAnsi="Arial"/>
                <w:sz w:val="15"/>
              </w:rPr>
              <w:t>The expiration date occurs one day prior to the tenth anniversary of the grant date. Stock options that expire on or prior to March 1, 2030 have the following vesting schedule: 30%, 15%, 15%, 15%, 5%, 5%, 5%, 5% and 5% on the second, third, fourth, fifth, sixth, seventh, eighth, ninth, and nine and a half anniversaries of the grant date, respectively. Stock options that expire on February 28, 2031 have the following vesting schedule: 40%, 20%, 20% and 20% on the second, third, fourth and fifth anniversaries of the grant date, respectively. Stock options that expire on February 29, 2032 have the following vesting schedule: 20% on each of the first, second, third, fourth and fifth anniversaries of the grant date. The Performance Option granted to Mr. Cavanagh on December 30, 2022 vests in full on February 1, 2028.</w:t>
            </w:r>
          </w:p>
        </w:tc>
      </w:tr>
      <w:tr>
        <w:trPr/>
        <w:tc>
          <w:tcPr>
            <w:tcW w:w="139" w:type="dxa"/>
            <w:tcBorders/>
            <w:shd w:fill="auto" w:val="clear"/>
            <w:vAlign w:val="center"/>
          </w:tcPr>
          <w:p>
            <w:pPr>
              <w:pStyle w:val="TableContents"/>
              <w:spacing w:before="0" w:after="283"/>
              <w:jc w:val="left"/>
              <w:rPr>
                <w:rFonts w:ascii="Arial" w:hAnsi="Arial"/>
                <w:sz w:val="15"/>
              </w:rPr>
            </w:pPr>
            <w:r>
              <w:rPr>
                <w:rFonts w:ascii="Arial" w:hAnsi="Arial"/>
                <w:position w:val="5"/>
                <w:sz w:val="12"/>
                <w:sz w:val="15"/>
              </w:rPr>
              <w:t>(3)</w:t>
            </w:r>
            <w:r>
              <w:rPr>
                <w:rFonts w:ascii="Arial" w:hAnsi="Arial"/>
                <w:sz w:val="15"/>
              </w:rPr>
              <w:t> </w:t>
            </w:r>
          </w:p>
        </w:tc>
        <w:tc>
          <w:tcPr>
            <w:tcW w:w="10066" w:type="dxa"/>
            <w:tcBorders/>
            <w:shd w:fill="auto" w:val="clear"/>
            <w:vAlign w:val="center"/>
          </w:tcPr>
          <w:p>
            <w:pPr>
              <w:pStyle w:val="TableContents"/>
              <w:spacing w:before="0" w:after="283"/>
              <w:jc w:val="left"/>
              <w:rPr>
                <w:rFonts w:ascii="Arial" w:hAnsi="Arial"/>
                <w:sz w:val="15"/>
              </w:rPr>
            </w:pPr>
            <w:r>
              <w:rPr>
                <w:rFonts w:ascii="Arial" w:hAnsi="Arial"/>
                <w:sz w:val="15"/>
              </w:rPr>
              <w:t>Our equity awards contain provisions for continued vesting upon certain employees attaining retirement eligible status. This table does not reflect accelerated vesting resulting from the attainment of retirement eligible status. See “Potential Payments upon Termination or Change in Control” for additional information.</w:t>
            </w:r>
          </w:p>
        </w:tc>
      </w:tr>
    </w:tbl>
    <w:p>
      <w:pPr>
        <w:pStyle w:val="TextBody"/>
        <w:spacing w:before="0" w:after="0"/>
        <w:rPr/>
      </w:pPr>
      <w:r>
        <w:rPr/>
      </w:r>
    </w:p>
    <w:tbl>
      <w:tblPr>
        <w:tblW w:w="223" w:type="dxa"/>
        <w:jc w:val="left"/>
        <w:tblInd w:w="0" w:type="dxa"/>
        <w:tblCellMar>
          <w:top w:w="0" w:type="dxa"/>
          <w:left w:w="0" w:type="dxa"/>
          <w:bottom w:w="0" w:type="dxa"/>
          <w:right w:w="0" w:type="dxa"/>
        </w:tblCellMar>
      </w:tblPr>
      <w:tblGrid>
        <w:gridCol w:w="200"/>
        <w:gridCol w:w="23"/>
      </w:tblGrid>
      <w:tr>
        <w:trPr/>
        <w:tc>
          <w:tcPr>
            <w:tcW w:w="200" w:type="dxa"/>
            <w:tcBorders/>
            <w:shd w:fill="auto" w:val="clear"/>
            <w:vAlign w:val="center"/>
          </w:tcPr>
          <w:p>
            <w:pPr>
              <w:pStyle w:val="TableContents"/>
              <w:spacing w:before="0" w:after="283"/>
              <w:jc w:val="left"/>
              <w:rPr>
                <w:rFonts w:ascii="Arial" w:hAnsi="Arial"/>
                <w:b/>
                <w:sz w:val="15"/>
              </w:rPr>
            </w:pPr>
            <w:r>
              <w:rPr>
                <w:rFonts w:ascii="Arial" w:hAnsi="Arial"/>
                <w:b/>
                <w:sz w:val="15"/>
              </w:rPr>
              <w:t>58</w:t>
            </w:r>
          </w:p>
        </w:tc>
        <w:tc>
          <w:tcPr>
            <w:tcW w:w="2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8725" w:type="dxa"/>
        <w:jc w:val="left"/>
        <w:tblInd w:w="0" w:type="dxa"/>
        <w:tblCellMar>
          <w:top w:w="0" w:type="dxa"/>
          <w:left w:w="0" w:type="dxa"/>
          <w:bottom w:w="0" w:type="dxa"/>
          <w:right w:w="0" w:type="dxa"/>
        </w:tblCellMar>
      </w:tblPr>
      <w:tblGrid>
        <w:gridCol w:w="245"/>
        <w:gridCol w:w="8480"/>
      </w:tblGrid>
      <w:tr>
        <w:trPr/>
        <w:tc>
          <w:tcPr>
            <w:tcW w:w="245" w:type="dxa"/>
            <w:tcBorders/>
            <w:shd w:fill="auto" w:val="clear"/>
            <w:vAlign w:val="center"/>
          </w:tcPr>
          <w:p>
            <w:pPr>
              <w:pStyle w:val="TableContents"/>
              <w:spacing w:before="0" w:after="283"/>
              <w:jc w:val="left"/>
              <w:rPr>
                <w:rFonts w:ascii="Arial" w:hAnsi="Arial"/>
                <w:sz w:val="15"/>
              </w:rPr>
            </w:pPr>
            <w:r>
              <w:rPr>
                <w:rFonts w:ascii="Arial" w:hAnsi="Arial"/>
                <w:position w:val="5"/>
                <w:sz w:val="12"/>
                <w:sz w:val="15"/>
              </w:rPr>
              <w:t xml:space="preserve">(4) </w:t>
            </w:r>
            <w:r>
              <w:rPr>
                <w:rFonts w:ascii="Arial" w:hAnsi="Arial"/>
                <w:sz w:val="15"/>
              </w:rPr>
              <w:t> </w:t>
            </w:r>
          </w:p>
        </w:tc>
        <w:tc>
          <w:tcPr>
            <w:tcW w:w="8480" w:type="dxa"/>
            <w:tcBorders/>
            <w:shd w:fill="auto" w:val="clear"/>
            <w:vAlign w:val="center"/>
          </w:tcPr>
          <w:p>
            <w:pPr>
              <w:pStyle w:val="TableContents"/>
              <w:spacing w:before="0" w:after="283"/>
              <w:jc w:val="left"/>
              <w:rPr>
                <w:rFonts w:ascii="Arial" w:hAnsi="Arial"/>
                <w:sz w:val="15"/>
              </w:rPr>
            </w:pPr>
            <w:r>
              <w:rPr>
                <w:rFonts w:ascii="Arial" w:hAnsi="Arial"/>
                <w:sz w:val="15"/>
              </w:rPr>
              <w:t>The number of shares underlying each outstanding stock unit</w:t>
            </w:r>
            <w:r>
              <w:rPr>
                <w:rFonts w:ascii="Arial" w:hAnsi="Arial"/>
                <w:position w:val="5"/>
                <w:sz w:val="12"/>
                <w:sz w:val="15"/>
              </w:rPr>
              <w:t xml:space="preserve">(a) </w:t>
            </w:r>
            <w:r>
              <w:rPr>
                <w:rFonts w:ascii="Arial" w:hAnsi="Arial"/>
                <w:sz w:val="15"/>
              </w:rPr>
              <w:t>for the NEOs that remain subject to vesting are as follows:</w:t>
            </w:r>
          </w:p>
        </w:tc>
      </w:tr>
    </w:tbl>
    <w:p>
      <w:pPr>
        <w:pStyle w:val="TextBody"/>
        <w:spacing w:before="0" w:after="0"/>
        <w:rPr/>
      </w:pPr>
      <w:r>
        <w:rPr/>
      </w:r>
    </w:p>
    <w:tbl>
      <w:tblPr>
        <w:tblW w:w="5815" w:type="dxa"/>
        <w:jc w:val="left"/>
        <w:tblInd w:w="300" w:type="dxa"/>
        <w:tblCellMar>
          <w:top w:w="0" w:type="dxa"/>
          <w:left w:w="0" w:type="dxa"/>
          <w:bottom w:w="28" w:type="dxa"/>
          <w:right w:w="0" w:type="dxa"/>
        </w:tblCellMar>
      </w:tblPr>
      <w:tblGrid>
        <w:gridCol w:w="995"/>
        <w:gridCol w:w="120"/>
        <w:gridCol w:w="605"/>
        <w:gridCol w:w="215"/>
        <w:gridCol w:w="120"/>
        <w:gridCol w:w="725"/>
        <w:gridCol w:w="215"/>
        <w:gridCol w:w="120"/>
        <w:gridCol w:w="605"/>
        <w:gridCol w:w="215"/>
        <w:gridCol w:w="120"/>
        <w:gridCol w:w="605"/>
        <w:gridCol w:w="215"/>
        <w:gridCol w:w="120"/>
        <w:gridCol w:w="605"/>
        <w:gridCol w:w="215"/>
      </w:tblGrid>
      <w:tr>
        <w:trPr/>
        <w:tc>
          <w:tcPr>
            <w:tcW w:w="995" w:type="dxa"/>
            <w:tcBorders>
              <w:bottom w:val="single" w:sz="12" w:space="0" w:color="000000"/>
            </w:tcBorders>
            <w:shd w:fill="auto" w:val="clear"/>
            <w:vAlign w:val="center"/>
          </w:tcPr>
          <w:p>
            <w:pPr>
              <w:pStyle w:val="TableContents"/>
              <w:spacing w:before="0" w:after="283"/>
              <w:jc w:val="left"/>
              <w:rPr>
                <w:rFonts w:ascii="Arial" w:hAnsi="Arial"/>
                <w:b/>
                <w:sz w:val="15"/>
              </w:rPr>
            </w:pPr>
            <w:r>
              <w:rPr>
                <w:rFonts w:ascii="Arial" w:hAnsi="Arial"/>
                <w:b/>
                <w:sz w:val="15"/>
              </w:rPr>
              <w:t>GRANT DATE</w:t>
            </w:r>
          </w:p>
        </w:tc>
        <w:tc>
          <w:tcPr>
            <w:tcW w:w="120" w:type="dxa"/>
            <w:tcBorders>
              <w:bottom w:val="single" w:sz="12" w:space="0" w:color="000000"/>
            </w:tcBorders>
            <w:shd w:fill="auto" w:val="clear"/>
            <w:vAlign w:val="center"/>
          </w:tcPr>
          <w:p>
            <w:pPr>
              <w:pStyle w:val="TableContents"/>
              <w:spacing w:before="0" w:after="283"/>
              <w:jc w:val="left"/>
              <w:rPr/>
            </w:pPr>
            <w:r>
              <w:rPr/>
              <w:t>  </w:t>
            </w:r>
          </w:p>
        </w:tc>
        <w:tc>
          <w:tcPr>
            <w:tcW w:w="820" w:type="dxa"/>
            <w:gridSpan w:val="2"/>
            <w:tcBorders>
              <w:bottom w:val="single" w:sz="12" w:space="0" w:color="000000"/>
            </w:tcBorders>
            <w:shd w:fill="auto" w:val="clear"/>
            <w:vAlign w:val="center"/>
          </w:tcPr>
          <w:p>
            <w:pPr>
              <w:pStyle w:val="TableContents"/>
              <w:spacing w:before="0" w:after="283"/>
              <w:jc w:val="center"/>
              <w:rPr>
                <w:rFonts w:ascii="Arial" w:hAnsi="Arial"/>
                <w:b/>
                <w:sz w:val="15"/>
              </w:rPr>
            </w:pPr>
            <w:r>
              <w:rPr>
                <w:rFonts w:ascii="Arial" w:hAnsi="Arial"/>
                <w:b/>
                <w:sz w:val="15"/>
              </w:rPr>
              <w:t>BRIAN L.</w:t>
              <w:br/>
              <w:t>ROBERTS</w:t>
            </w:r>
          </w:p>
        </w:tc>
        <w:tc>
          <w:tcPr>
            <w:tcW w:w="120" w:type="dxa"/>
            <w:tcBorders>
              <w:bottom w:val="single" w:sz="12" w:space="0" w:color="000000"/>
            </w:tcBorders>
            <w:shd w:fill="auto" w:val="clear"/>
            <w:vAlign w:val="center"/>
          </w:tcPr>
          <w:p>
            <w:pPr>
              <w:pStyle w:val="TableContents"/>
              <w:spacing w:before="0" w:after="283"/>
              <w:jc w:val="right"/>
              <w:rPr/>
            </w:pPr>
            <w:r>
              <w:rPr/>
              <w:t>  </w:t>
            </w:r>
          </w:p>
        </w:tc>
        <w:tc>
          <w:tcPr>
            <w:tcW w:w="940" w:type="dxa"/>
            <w:gridSpan w:val="2"/>
            <w:tcBorders>
              <w:bottom w:val="single" w:sz="12" w:space="0" w:color="000000"/>
            </w:tcBorders>
            <w:shd w:fill="auto" w:val="clear"/>
            <w:vAlign w:val="center"/>
          </w:tcPr>
          <w:p>
            <w:pPr>
              <w:pStyle w:val="TableContents"/>
              <w:spacing w:before="0" w:after="283"/>
              <w:jc w:val="center"/>
              <w:rPr>
                <w:rFonts w:ascii="Arial" w:hAnsi="Arial"/>
                <w:b/>
                <w:sz w:val="15"/>
              </w:rPr>
            </w:pPr>
            <w:r>
              <w:rPr>
                <w:rFonts w:ascii="Arial" w:hAnsi="Arial"/>
                <w:b/>
                <w:sz w:val="15"/>
              </w:rPr>
              <w:t>MICHAEL J.</w:t>
              <w:br/>
              <w:t>CAVANAGH</w:t>
            </w:r>
          </w:p>
        </w:tc>
        <w:tc>
          <w:tcPr>
            <w:tcW w:w="120" w:type="dxa"/>
            <w:tcBorders>
              <w:bottom w:val="single" w:sz="12" w:space="0" w:color="000000"/>
            </w:tcBorders>
            <w:shd w:fill="auto" w:val="clear"/>
            <w:vAlign w:val="center"/>
          </w:tcPr>
          <w:p>
            <w:pPr>
              <w:pStyle w:val="TableContents"/>
              <w:spacing w:before="0" w:after="283"/>
              <w:jc w:val="right"/>
              <w:rPr/>
            </w:pPr>
            <w:r>
              <w:rPr/>
              <w:t>  </w:t>
            </w:r>
          </w:p>
        </w:tc>
        <w:tc>
          <w:tcPr>
            <w:tcW w:w="820" w:type="dxa"/>
            <w:gridSpan w:val="2"/>
            <w:tcBorders>
              <w:bottom w:val="single" w:sz="12" w:space="0" w:color="000000"/>
            </w:tcBorders>
            <w:shd w:fill="auto" w:val="clear"/>
            <w:vAlign w:val="center"/>
          </w:tcPr>
          <w:p>
            <w:pPr>
              <w:pStyle w:val="TableContents"/>
              <w:spacing w:before="0" w:after="283"/>
              <w:jc w:val="center"/>
              <w:rPr>
                <w:rFonts w:ascii="Arial" w:hAnsi="Arial"/>
                <w:b/>
                <w:sz w:val="15"/>
              </w:rPr>
            </w:pPr>
            <w:r>
              <w:rPr>
                <w:rFonts w:ascii="Arial" w:hAnsi="Arial"/>
                <w:b/>
                <w:sz w:val="15"/>
              </w:rPr>
              <w:t>DAVID N.</w:t>
              <w:br/>
              <w:t>WATSON</w:t>
            </w:r>
          </w:p>
        </w:tc>
        <w:tc>
          <w:tcPr>
            <w:tcW w:w="120" w:type="dxa"/>
            <w:tcBorders>
              <w:bottom w:val="single" w:sz="12" w:space="0" w:color="000000"/>
            </w:tcBorders>
            <w:shd w:fill="auto" w:val="clear"/>
            <w:vAlign w:val="center"/>
          </w:tcPr>
          <w:p>
            <w:pPr>
              <w:pStyle w:val="TableContents"/>
              <w:spacing w:before="0" w:after="283"/>
              <w:jc w:val="right"/>
              <w:rPr/>
            </w:pPr>
            <w:r>
              <w:rPr/>
              <w:t>  </w:t>
            </w:r>
          </w:p>
        </w:tc>
        <w:tc>
          <w:tcPr>
            <w:tcW w:w="820" w:type="dxa"/>
            <w:gridSpan w:val="2"/>
            <w:tcBorders>
              <w:bottom w:val="single" w:sz="12" w:space="0" w:color="000000"/>
            </w:tcBorders>
            <w:shd w:fill="auto" w:val="clear"/>
            <w:vAlign w:val="center"/>
          </w:tcPr>
          <w:p>
            <w:pPr>
              <w:pStyle w:val="TableContents"/>
              <w:spacing w:before="0" w:after="283"/>
              <w:jc w:val="center"/>
              <w:rPr>
                <w:rFonts w:ascii="Arial" w:hAnsi="Arial"/>
                <w:b/>
                <w:sz w:val="15"/>
              </w:rPr>
            </w:pPr>
            <w:r>
              <w:rPr>
                <w:rFonts w:ascii="Arial" w:hAnsi="Arial"/>
                <w:b/>
                <w:sz w:val="15"/>
              </w:rPr>
              <w:t>JEFFREY</w:t>
              <w:br/>
              <w:t>SHELL</w:t>
            </w:r>
          </w:p>
        </w:tc>
        <w:tc>
          <w:tcPr>
            <w:tcW w:w="120" w:type="dxa"/>
            <w:tcBorders>
              <w:bottom w:val="single" w:sz="12" w:space="0" w:color="000000"/>
            </w:tcBorders>
            <w:shd w:fill="auto" w:val="clear"/>
            <w:vAlign w:val="center"/>
          </w:tcPr>
          <w:p>
            <w:pPr>
              <w:pStyle w:val="TableContents"/>
              <w:spacing w:before="0" w:after="283"/>
              <w:jc w:val="right"/>
              <w:rPr/>
            </w:pPr>
            <w:r>
              <w:rPr/>
              <w:t>  </w:t>
            </w:r>
          </w:p>
        </w:tc>
        <w:tc>
          <w:tcPr>
            <w:tcW w:w="820" w:type="dxa"/>
            <w:gridSpan w:val="2"/>
            <w:tcBorders>
              <w:bottom w:val="single" w:sz="12" w:space="0" w:color="000000"/>
            </w:tcBorders>
            <w:shd w:fill="auto" w:val="clear"/>
            <w:vAlign w:val="center"/>
          </w:tcPr>
          <w:p>
            <w:pPr>
              <w:pStyle w:val="TableContents"/>
              <w:spacing w:before="0" w:after="283"/>
              <w:jc w:val="center"/>
              <w:rPr>
                <w:rFonts w:ascii="Arial" w:hAnsi="Arial"/>
                <w:b/>
                <w:sz w:val="15"/>
              </w:rPr>
            </w:pPr>
            <w:r>
              <w:rPr>
                <w:rFonts w:ascii="Arial" w:hAnsi="Arial"/>
                <w:b/>
                <w:sz w:val="15"/>
              </w:rPr>
              <w:t>DANA</w:t>
              <w:br/>
              <w:t>STRONG</w:t>
            </w:r>
          </w:p>
        </w:tc>
      </w:tr>
      <w:tr>
        <w:trPr/>
        <w:tc>
          <w:tcPr>
            <w:tcW w:w="995" w:type="dxa"/>
            <w:tcBorders>
              <w:bottom w:val="single" w:sz="8" w:space="0" w:color="000000"/>
            </w:tcBorders>
            <w:shd w:fill="auto" w:val="clear"/>
            <w:vAlign w:val="center"/>
          </w:tcPr>
          <w:p>
            <w:pPr>
              <w:pStyle w:val="TableContents"/>
              <w:spacing w:before="0" w:after="283"/>
              <w:jc w:val="left"/>
              <w:rPr>
                <w:rFonts w:ascii="Arial" w:hAnsi="Arial"/>
                <w:sz w:val="15"/>
              </w:rPr>
            </w:pPr>
            <w:r>
              <w:rPr>
                <w:rFonts w:ascii="Arial" w:hAnsi="Arial"/>
                <w:sz w:val="15"/>
              </w:rPr>
              <w:t>03/01/2018</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605" w:type="dxa"/>
            <w:tcBorders>
              <w:bottom w:val="single" w:sz="8" w:space="0" w:color="000000"/>
            </w:tcBorders>
            <w:shd w:fill="auto" w:val="clear"/>
            <w:vAlign w:val="center"/>
          </w:tcPr>
          <w:p>
            <w:pPr>
              <w:pStyle w:val="TableContents"/>
              <w:spacing w:before="0" w:after="283"/>
              <w:jc w:val="right"/>
              <w:rPr/>
            </w:pPr>
            <w:r>
              <w:rPr/>
              <w:t>—</w:t>
            </w:r>
          </w:p>
        </w:tc>
        <w:tc>
          <w:tcPr>
            <w:tcW w:w="215"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725" w:type="dxa"/>
            <w:tcBorders>
              <w:bottom w:val="single" w:sz="8" w:space="0" w:color="000000"/>
            </w:tcBorders>
            <w:shd w:fill="auto" w:val="clear"/>
            <w:vAlign w:val="center"/>
          </w:tcPr>
          <w:p>
            <w:pPr>
              <w:pStyle w:val="TableContents"/>
              <w:spacing w:before="0" w:after="283"/>
              <w:jc w:val="right"/>
              <w:rPr/>
            </w:pPr>
            <w:r>
              <w:rPr/>
              <w:t>—</w:t>
            </w:r>
          </w:p>
        </w:tc>
        <w:tc>
          <w:tcPr>
            <w:tcW w:w="215"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605" w:type="dxa"/>
            <w:tcBorders>
              <w:bottom w:val="single" w:sz="8" w:space="0" w:color="000000"/>
            </w:tcBorders>
            <w:shd w:fill="auto" w:val="clear"/>
            <w:vAlign w:val="center"/>
          </w:tcPr>
          <w:p>
            <w:pPr>
              <w:pStyle w:val="TableContents"/>
              <w:spacing w:before="0" w:after="283"/>
              <w:jc w:val="right"/>
              <w:rPr/>
            </w:pPr>
            <w:r>
              <w:rPr/>
              <w:t>—</w:t>
            </w:r>
          </w:p>
        </w:tc>
        <w:tc>
          <w:tcPr>
            <w:tcW w:w="215"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605"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27,368</w:t>
            </w:r>
          </w:p>
        </w:tc>
        <w:tc>
          <w:tcPr>
            <w:tcW w:w="215"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605" w:type="dxa"/>
            <w:tcBorders>
              <w:bottom w:val="single" w:sz="8" w:space="0" w:color="000000"/>
            </w:tcBorders>
            <w:shd w:fill="auto" w:val="clear"/>
            <w:vAlign w:val="center"/>
          </w:tcPr>
          <w:p>
            <w:pPr>
              <w:pStyle w:val="TableContents"/>
              <w:spacing w:before="0" w:after="283"/>
              <w:jc w:val="right"/>
              <w:rPr/>
            </w:pPr>
            <w:r>
              <w:rPr/>
              <w:t>—</w:t>
            </w:r>
          </w:p>
        </w:tc>
        <w:tc>
          <w:tcPr>
            <w:tcW w:w="215" w:type="dxa"/>
            <w:tcBorders>
              <w:bottom w:val="single" w:sz="8" w:space="0" w:color="000000"/>
            </w:tcBorders>
            <w:shd w:fill="auto" w:val="clear"/>
            <w:vAlign w:val="center"/>
          </w:tcPr>
          <w:p>
            <w:pPr>
              <w:pStyle w:val="TableContents"/>
              <w:spacing w:before="0" w:after="283"/>
              <w:rPr>
                <w:sz w:val="4"/>
                <w:szCs w:val="4"/>
              </w:rPr>
            </w:pPr>
            <w:r>
              <w:rPr>
                <w:sz w:val="4"/>
                <w:szCs w:val="4"/>
              </w:rPr>
            </w:r>
          </w:p>
        </w:tc>
      </w:tr>
      <w:tr>
        <w:trPr/>
        <w:tc>
          <w:tcPr>
            <w:tcW w:w="995" w:type="dxa"/>
            <w:tcBorders>
              <w:bottom w:val="single" w:sz="8" w:space="0" w:color="000000"/>
            </w:tcBorders>
            <w:shd w:fill="auto" w:val="clear"/>
            <w:vAlign w:val="center"/>
          </w:tcPr>
          <w:p>
            <w:pPr>
              <w:pStyle w:val="TableContents"/>
              <w:spacing w:before="0" w:after="283"/>
              <w:jc w:val="left"/>
              <w:rPr>
                <w:rFonts w:ascii="Arial" w:hAnsi="Arial"/>
                <w:sz w:val="15"/>
              </w:rPr>
            </w:pPr>
            <w:r>
              <w:rPr>
                <w:rFonts w:ascii="Arial" w:hAnsi="Arial"/>
                <w:sz w:val="15"/>
              </w:rPr>
              <w:t>03/16/2018</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605"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74,650</w:t>
            </w:r>
          </w:p>
        </w:tc>
        <w:tc>
          <w:tcPr>
            <w:tcW w:w="215" w:type="dxa"/>
            <w:tcBorders>
              <w:bottom w:val="single" w:sz="8" w:space="0" w:color="000000"/>
            </w:tcBorders>
            <w:shd w:fill="auto" w:val="clear"/>
            <w:vAlign w:val="center"/>
          </w:tcPr>
          <w:p>
            <w:pPr>
              <w:pStyle w:val="TableContents"/>
              <w:spacing w:before="0" w:after="283"/>
              <w:jc w:val="left"/>
              <w:rPr>
                <w:rFonts w:ascii="Arial" w:hAnsi="Arial"/>
                <w:sz w:val="15"/>
              </w:rPr>
            </w:pPr>
            <w:r>
              <w:rPr>
                <w:rFonts w:ascii="Arial" w:hAnsi="Arial"/>
                <w:position w:val="5"/>
                <w:sz w:val="12"/>
                <w:sz w:val="15"/>
              </w:rPr>
              <w:t>(b)</w:t>
            </w:r>
            <w:r>
              <w:rPr>
                <w:rFonts w:ascii="Arial" w:hAnsi="Arial"/>
                <w:sz w:val="15"/>
              </w:rPr>
              <w:t> </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725"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55,800</w:t>
            </w:r>
          </w:p>
        </w:tc>
        <w:tc>
          <w:tcPr>
            <w:tcW w:w="215" w:type="dxa"/>
            <w:tcBorders>
              <w:bottom w:val="single" w:sz="8" w:space="0" w:color="000000"/>
            </w:tcBorders>
            <w:shd w:fill="auto" w:val="clear"/>
            <w:vAlign w:val="center"/>
          </w:tcPr>
          <w:p>
            <w:pPr>
              <w:pStyle w:val="TableContents"/>
              <w:spacing w:before="0" w:after="283"/>
              <w:jc w:val="left"/>
              <w:rPr>
                <w:rFonts w:ascii="Arial" w:hAnsi="Arial"/>
                <w:sz w:val="15"/>
              </w:rPr>
            </w:pPr>
            <w:r>
              <w:rPr>
                <w:rFonts w:ascii="Arial" w:hAnsi="Arial"/>
                <w:position w:val="5"/>
                <w:sz w:val="12"/>
                <w:sz w:val="15"/>
              </w:rPr>
              <w:t>(b)</w:t>
            </w:r>
            <w:r>
              <w:rPr>
                <w:rFonts w:ascii="Arial" w:hAnsi="Arial"/>
                <w:sz w:val="15"/>
              </w:rPr>
              <w:t> </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605"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38,400</w:t>
            </w:r>
          </w:p>
        </w:tc>
        <w:tc>
          <w:tcPr>
            <w:tcW w:w="215" w:type="dxa"/>
            <w:tcBorders>
              <w:bottom w:val="single" w:sz="8" w:space="0" w:color="000000"/>
            </w:tcBorders>
            <w:shd w:fill="auto" w:val="clear"/>
            <w:vAlign w:val="center"/>
          </w:tcPr>
          <w:p>
            <w:pPr>
              <w:pStyle w:val="TableContents"/>
              <w:spacing w:before="0" w:after="283"/>
              <w:jc w:val="left"/>
              <w:rPr>
                <w:rFonts w:ascii="Arial" w:hAnsi="Arial"/>
                <w:sz w:val="15"/>
              </w:rPr>
            </w:pPr>
            <w:r>
              <w:rPr>
                <w:rFonts w:ascii="Arial" w:hAnsi="Arial"/>
                <w:position w:val="5"/>
                <w:sz w:val="12"/>
                <w:sz w:val="15"/>
              </w:rPr>
              <w:t>(b)</w:t>
            </w:r>
            <w:r>
              <w:rPr>
                <w:rFonts w:ascii="Arial" w:hAnsi="Arial"/>
                <w:sz w:val="15"/>
              </w:rPr>
              <w:t> </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605" w:type="dxa"/>
            <w:tcBorders>
              <w:bottom w:val="single" w:sz="8" w:space="0" w:color="000000"/>
            </w:tcBorders>
            <w:shd w:fill="auto" w:val="clear"/>
            <w:vAlign w:val="center"/>
          </w:tcPr>
          <w:p>
            <w:pPr>
              <w:pStyle w:val="TableContents"/>
              <w:spacing w:before="0" w:after="283"/>
              <w:jc w:val="right"/>
              <w:rPr/>
            </w:pPr>
            <w:r>
              <w:rPr/>
              <w:t>—</w:t>
            </w:r>
          </w:p>
        </w:tc>
        <w:tc>
          <w:tcPr>
            <w:tcW w:w="215"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605" w:type="dxa"/>
            <w:tcBorders>
              <w:bottom w:val="single" w:sz="8" w:space="0" w:color="000000"/>
            </w:tcBorders>
            <w:shd w:fill="auto" w:val="clear"/>
            <w:vAlign w:val="center"/>
          </w:tcPr>
          <w:p>
            <w:pPr>
              <w:pStyle w:val="TableContents"/>
              <w:spacing w:before="0" w:after="283"/>
              <w:jc w:val="right"/>
              <w:rPr/>
            </w:pPr>
            <w:r>
              <w:rPr/>
              <w:t>—</w:t>
            </w:r>
          </w:p>
        </w:tc>
        <w:tc>
          <w:tcPr>
            <w:tcW w:w="215" w:type="dxa"/>
            <w:tcBorders>
              <w:bottom w:val="single" w:sz="8" w:space="0" w:color="000000"/>
            </w:tcBorders>
            <w:shd w:fill="auto" w:val="clear"/>
            <w:vAlign w:val="center"/>
          </w:tcPr>
          <w:p>
            <w:pPr>
              <w:pStyle w:val="TableContents"/>
              <w:spacing w:before="0" w:after="283"/>
              <w:rPr>
                <w:sz w:val="4"/>
                <w:szCs w:val="4"/>
              </w:rPr>
            </w:pPr>
            <w:r>
              <w:rPr>
                <w:sz w:val="4"/>
                <w:szCs w:val="4"/>
              </w:rPr>
            </w:r>
          </w:p>
        </w:tc>
      </w:tr>
      <w:tr>
        <w:trPr/>
        <w:tc>
          <w:tcPr>
            <w:tcW w:w="995" w:type="dxa"/>
            <w:tcBorders>
              <w:bottom w:val="single" w:sz="8" w:space="0" w:color="000000"/>
            </w:tcBorders>
            <w:shd w:fill="auto" w:val="clear"/>
            <w:vAlign w:val="center"/>
          </w:tcPr>
          <w:p>
            <w:pPr>
              <w:pStyle w:val="TableContents"/>
              <w:spacing w:before="0" w:after="283"/>
              <w:jc w:val="left"/>
              <w:rPr>
                <w:rFonts w:ascii="Arial" w:hAnsi="Arial"/>
                <w:sz w:val="15"/>
              </w:rPr>
            </w:pPr>
            <w:r>
              <w:rPr>
                <w:rFonts w:ascii="Arial" w:hAnsi="Arial"/>
                <w:sz w:val="15"/>
              </w:rPr>
              <w:t>04/27/2018</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605" w:type="dxa"/>
            <w:tcBorders>
              <w:bottom w:val="single" w:sz="8" w:space="0" w:color="000000"/>
            </w:tcBorders>
            <w:shd w:fill="auto" w:val="clear"/>
            <w:vAlign w:val="center"/>
          </w:tcPr>
          <w:p>
            <w:pPr>
              <w:pStyle w:val="TableContents"/>
              <w:spacing w:before="0" w:after="283"/>
              <w:jc w:val="right"/>
              <w:rPr/>
            </w:pPr>
            <w:r>
              <w:rPr/>
              <w:t>—</w:t>
            </w:r>
          </w:p>
        </w:tc>
        <w:tc>
          <w:tcPr>
            <w:tcW w:w="215"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725" w:type="dxa"/>
            <w:tcBorders>
              <w:bottom w:val="single" w:sz="8" w:space="0" w:color="000000"/>
            </w:tcBorders>
            <w:shd w:fill="auto" w:val="clear"/>
            <w:vAlign w:val="center"/>
          </w:tcPr>
          <w:p>
            <w:pPr>
              <w:pStyle w:val="TableContents"/>
              <w:spacing w:before="0" w:after="283"/>
              <w:jc w:val="right"/>
              <w:rPr/>
            </w:pPr>
            <w:r>
              <w:rPr/>
              <w:t>—</w:t>
            </w:r>
          </w:p>
        </w:tc>
        <w:tc>
          <w:tcPr>
            <w:tcW w:w="215"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605" w:type="dxa"/>
            <w:tcBorders>
              <w:bottom w:val="single" w:sz="8" w:space="0" w:color="000000"/>
            </w:tcBorders>
            <w:shd w:fill="auto" w:val="clear"/>
            <w:vAlign w:val="center"/>
          </w:tcPr>
          <w:p>
            <w:pPr>
              <w:pStyle w:val="TableContents"/>
              <w:spacing w:before="0" w:after="283"/>
              <w:jc w:val="right"/>
              <w:rPr/>
            </w:pPr>
            <w:r>
              <w:rPr/>
              <w:t>—</w:t>
            </w:r>
          </w:p>
        </w:tc>
        <w:tc>
          <w:tcPr>
            <w:tcW w:w="215"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605" w:type="dxa"/>
            <w:tcBorders>
              <w:bottom w:val="single" w:sz="8" w:space="0" w:color="000000"/>
            </w:tcBorders>
            <w:shd w:fill="auto" w:val="clear"/>
            <w:vAlign w:val="center"/>
          </w:tcPr>
          <w:p>
            <w:pPr>
              <w:pStyle w:val="TableContents"/>
              <w:spacing w:before="0" w:after="283"/>
              <w:jc w:val="right"/>
              <w:rPr/>
            </w:pPr>
            <w:r>
              <w:rPr/>
              <w:t>—</w:t>
            </w:r>
          </w:p>
        </w:tc>
        <w:tc>
          <w:tcPr>
            <w:tcW w:w="215"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605"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18,864</w:t>
            </w:r>
          </w:p>
        </w:tc>
        <w:tc>
          <w:tcPr>
            <w:tcW w:w="215" w:type="dxa"/>
            <w:tcBorders>
              <w:bottom w:val="single" w:sz="8" w:space="0" w:color="000000"/>
            </w:tcBorders>
            <w:shd w:fill="auto" w:val="clear"/>
            <w:vAlign w:val="center"/>
          </w:tcPr>
          <w:p>
            <w:pPr>
              <w:pStyle w:val="TableContents"/>
              <w:spacing w:before="0" w:after="283"/>
              <w:rPr>
                <w:sz w:val="4"/>
                <w:szCs w:val="4"/>
              </w:rPr>
            </w:pPr>
            <w:r>
              <w:rPr>
                <w:sz w:val="4"/>
                <w:szCs w:val="4"/>
              </w:rPr>
            </w:r>
          </w:p>
        </w:tc>
      </w:tr>
      <w:tr>
        <w:trPr/>
        <w:tc>
          <w:tcPr>
            <w:tcW w:w="995" w:type="dxa"/>
            <w:tcBorders>
              <w:bottom w:val="single" w:sz="8" w:space="0" w:color="000000"/>
            </w:tcBorders>
            <w:shd w:fill="auto" w:val="clear"/>
            <w:vAlign w:val="center"/>
          </w:tcPr>
          <w:p>
            <w:pPr>
              <w:pStyle w:val="TableContents"/>
              <w:spacing w:before="0" w:after="283"/>
              <w:jc w:val="left"/>
              <w:rPr>
                <w:rFonts w:ascii="Arial" w:hAnsi="Arial"/>
                <w:sz w:val="15"/>
              </w:rPr>
            </w:pPr>
            <w:r>
              <w:rPr>
                <w:rFonts w:ascii="Arial" w:hAnsi="Arial"/>
                <w:sz w:val="15"/>
              </w:rPr>
              <w:t>03/01/2019</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605" w:type="dxa"/>
            <w:tcBorders>
              <w:bottom w:val="single" w:sz="8" w:space="0" w:color="000000"/>
            </w:tcBorders>
            <w:shd w:fill="auto" w:val="clear"/>
            <w:vAlign w:val="center"/>
          </w:tcPr>
          <w:p>
            <w:pPr>
              <w:pStyle w:val="TableContents"/>
              <w:spacing w:before="0" w:after="283"/>
              <w:jc w:val="right"/>
              <w:rPr/>
            </w:pPr>
            <w:r>
              <w:rPr/>
              <w:t>—</w:t>
            </w:r>
          </w:p>
        </w:tc>
        <w:tc>
          <w:tcPr>
            <w:tcW w:w="215"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725" w:type="dxa"/>
            <w:tcBorders>
              <w:bottom w:val="single" w:sz="8" w:space="0" w:color="000000"/>
            </w:tcBorders>
            <w:shd w:fill="auto" w:val="clear"/>
            <w:vAlign w:val="center"/>
          </w:tcPr>
          <w:p>
            <w:pPr>
              <w:pStyle w:val="TableContents"/>
              <w:spacing w:before="0" w:after="283"/>
              <w:jc w:val="right"/>
              <w:rPr/>
            </w:pPr>
            <w:r>
              <w:rPr/>
              <w:t>—</w:t>
            </w:r>
          </w:p>
        </w:tc>
        <w:tc>
          <w:tcPr>
            <w:tcW w:w="215"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605" w:type="dxa"/>
            <w:tcBorders>
              <w:bottom w:val="single" w:sz="8" w:space="0" w:color="000000"/>
            </w:tcBorders>
            <w:shd w:fill="auto" w:val="clear"/>
            <w:vAlign w:val="center"/>
          </w:tcPr>
          <w:p>
            <w:pPr>
              <w:pStyle w:val="TableContents"/>
              <w:spacing w:before="0" w:after="283"/>
              <w:jc w:val="right"/>
              <w:rPr/>
            </w:pPr>
            <w:r>
              <w:rPr/>
              <w:t>—</w:t>
            </w:r>
          </w:p>
        </w:tc>
        <w:tc>
          <w:tcPr>
            <w:tcW w:w="215"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605"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35,167</w:t>
            </w:r>
          </w:p>
        </w:tc>
        <w:tc>
          <w:tcPr>
            <w:tcW w:w="215"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605" w:type="dxa"/>
            <w:tcBorders>
              <w:bottom w:val="single" w:sz="8" w:space="0" w:color="000000"/>
            </w:tcBorders>
            <w:shd w:fill="auto" w:val="clear"/>
            <w:vAlign w:val="center"/>
          </w:tcPr>
          <w:p>
            <w:pPr>
              <w:pStyle w:val="TableContents"/>
              <w:spacing w:before="0" w:after="283"/>
              <w:jc w:val="right"/>
              <w:rPr/>
            </w:pPr>
            <w:r>
              <w:rPr/>
              <w:t>—</w:t>
            </w:r>
          </w:p>
        </w:tc>
        <w:tc>
          <w:tcPr>
            <w:tcW w:w="215" w:type="dxa"/>
            <w:tcBorders>
              <w:bottom w:val="single" w:sz="8" w:space="0" w:color="000000"/>
            </w:tcBorders>
            <w:shd w:fill="auto" w:val="clear"/>
            <w:vAlign w:val="center"/>
          </w:tcPr>
          <w:p>
            <w:pPr>
              <w:pStyle w:val="TableContents"/>
              <w:spacing w:before="0" w:after="283"/>
              <w:rPr>
                <w:sz w:val="4"/>
                <w:szCs w:val="4"/>
              </w:rPr>
            </w:pPr>
            <w:r>
              <w:rPr>
                <w:sz w:val="4"/>
                <w:szCs w:val="4"/>
              </w:rPr>
            </w:r>
          </w:p>
        </w:tc>
      </w:tr>
      <w:tr>
        <w:trPr/>
        <w:tc>
          <w:tcPr>
            <w:tcW w:w="995" w:type="dxa"/>
            <w:tcBorders>
              <w:bottom w:val="single" w:sz="8" w:space="0" w:color="000000"/>
            </w:tcBorders>
            <w:shd w:fill="auto" w:val="clear"/>
            <w:vAlign w:val="center"/>
          </w:tcPr>
          <w:p>
            <w:pPr>
              <w:pStyle w:val="TableContents"/>
              <w:spacing w:before="0" w:after="283"/>
              <w:jc w:val="left"/>
              <w:rPr>
                <w:rFonts w:ascii="Arial" w:hAnsi="Arial"/>
                <w:sz w:val="15"/>
              </w:rPr>
            </w:pPr>
            <w:r>
              <w:rPr>
                <w:rFonts w:ascii="Arial" w:hAnsi="Arial"/>
                <w:sz w:val="15"/>
              </w:rPr>
              <w:t>03/15/2019</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605"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90,887</w:t>
            </w:r>
          </w:p>
        </w:tc>
        <w:tc>
          <w:tcPr>
            <w:tcW w:w="215" w:type="dxa"/>
            <w:tcBorders>
              <w:bottom w:val="single" w:sz="8" w:space="0" w:color="000000"/>
            </w:tcBorders>
            <w:shd w:fill="auto" w:val="clear"/>
            <w:vAlign w:val="center"/>
          </w:tcPr>
          <w:p>
            <w:pPr>
              <w:pStyle w:val="TableContents"/>
              <w:spacing w:before="0" w:after="283"/>
              <w:jc w:val="left"/>
              <w:rPr>
                <w:rFonts w:ascii="Arial" w:hAnsi="Arial"/>
                <w:sz w:val="15"/>
              </w:rPr>
            </w:pPr>
            <w:r>
              <w:rPr>
                <w:rFonts w:ascii="Arial" w:hAnsi="Arial"/>
                <w:position w:val="5"/>
                <w:sz w:val="12"/>
                <w:sz w:val="15"/>
              </w:rPr>
              <w:t>(b)</w:t>
            </w:r>
            <w:r>
              <w:rPr>
                <w:rFonts w:ascii="Arial" w:hAnsi="Arial"/>
                <w:sz w:val="15"/>
              </w:rPr>
              <w:t> </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725"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114,675</w:t>
            </w:r>
          </w:p>
        </w:tc>
        <w:tc>
          <w:tcPr>
            <w:tcW w:w="215" w:type="dxa"/>
            <w:tcBorders>
              <w:bottom w:val="single" w:sz="8" w:space="0" w:color="000000"/>
            </w:tcBorders>
            <w:shd w:fill="auto" w:val="clear"/>
            <w:vAlign w:val="center"/>
          </w:tcPr>
          <w:p>
            <w:pPr>
              <w:pStyle w:val="TableContents"/>
              <w:spacing w:before="0" w:after="283"/>
              <w:jc w:val="left"/>
              <w:rPr>
                <w:rFonts w:ascii="Arial" w:hAnsi="Arial"/>
                <w:sz w:val="15"/>
              </w:rPr>
            </w:pPr>
            <w:r>
              <w:rPr>
                <w:rFonts w:ascii="Arial" w:hAnsi="Arial"/>
                <w:position w:val="5"/>
                <w:sz w:val="12"/>
                <w:sz w:val="15"/>
              </w:rPr>
              <w:t>(b)</w:t>
            </w:r>
            <w:r>
              <w:rPr>
                <w:rFonts w:ascii="Arial" w:hAnsi="Arial"/>
                <w:sz w:val="15"/>
              </w:rPr>
              <w:t> </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605"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55,206</w:t>
            </w:r>
          </w:p>
        </w:tc>
        <w:tc>
          <w:tcPr>
            <w:tcW w:w="215" w:type="dxa"/>
            <w:tcBorders>
              <w:bottom w:val="single" w:sz="8" w:space="0" w:color="000000"/>
            </w:tcBorders>
            <w:shd w:fill="auto" w:val="clear"/>
            <w:vAlign w:val="center"/>
          </w:tcPr>
          <w:p>
            <w:pPr>
              <w:pStyle w:val="TableContents"/>
              <w:spacing w:before="0" w:after="283"/>
              <w:jc w:val="left"/>
              <w:rPr>
                <w:rFonts w:ascii="Arial" w:hAnsi="Arial"/>
                <w:sz w:val="15"/>
              </w:rPr>
            </w:pPr>
            <w:r>
              <w:rPr>
                <w:rFonts w:ascii="Arial" w:hAnsi="Arial"/>
                <w:position w:val="5"/>
                <w:sz w:val="12"/>
                <w:sz w:val="15"/>
              </w:rPr>
              <w:t>(b)</w:t>
            </w:r>
            <w:r>
              <w:rPr>
                <w:rFonts w:ascii="Arial" w:hAnsi="Arial"/>
                <w:sz w:val="15"/>
              </w:rPr>
              <w:t> </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605" w:type="dxa"/>
            <w:tcBorders>
              <w:bottom w:val="single" w:sz="8" w:space="0" w:color="000000"/>
            </w:tcBorders>
            <w:shd w:fill="auto" w:val="clear"/>
            <w:vAlign w:val="center"/>
          </w:tcPr>
          <w:p>
            <w:pPr>
              <w:pStyle w:val="TableContents"/>
              <w:spacing w:before="0" w:after="283"/>
              <w:jc w:val="right"/>
              <w:rPr/>
            </w:pPr>
            <w:r>
              <w:rPr/>
              <w:t>—</w:t>
            </w:r>
          </w:p>
        </w:tc>
        <w:tc>
          <w:tcPr>
            <w:tcW w:w="215"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605"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20,405</w:t>
            </w:r>
          </w:p>
        </w:tc>
        <w:tc>
          <w:tcPr>
            <w:tcW w:w="215" w:type="dxa"/>
            <w:tcBorders>
              <w:bottom w:val="single" w:sz="8" w:space="0" w:color="000000"/>
            </w:tcBorders>
            <w:shd w:fill="auto" w:val="clear"/>
            <w:vAlign w:val="center"/>
          </w:tcPr>
          <w:p>
            <w:pPr>
              <w:pStyle w:val="TableContents"/>
              <w:spacing w:before="0" w:after="283"/>
              <w:rPr>
                <w:sz w:val="4"/>
                <w:szCs w:val="4"/>
              </w:rPr>
            </w:pPr>
            <w:r>
              <w:rPr>
                <w:sz w:val="4"/>
                <w:szCs w:val="4"/>
              </w:rPr>
            </w:r>
          </w:p>
        </w:tc>
      </w:tr>
      <w:tr>
        <w:trPr/>
        <w:tc>
          <w:tcPr>
            <w:tcW w:w="995" w:type="dxa"/>
            <w:tcBorders>
              <w:bottom w:val="single" w:sz="8" w:space="0" w:color="000000"/>
            </w:tcBorders>
            <w:shd w:fill="auto" w:val="clear"/>
            <w:vAlign w:val="center"/>
          </w:tcPr>
          <w:p>
            <w:pPr>
              <w:pStyle w:val="TableContents"/>
              <w:spacing w:before="0" w:after="283"/>
              <w:jc w:val="left"/>
              <w:rPr>
                <w:rFonts w:ascii="Arial" w:hAnsi="Arial"/>
                <w:sz w:val="15"/>
              </w:rPr>
            </w:pPr>
            <w:r>
              <w:rPr>
                <w:rFonts w:ascii="Arial" w:hAnsi="Arial"/>
                <w:sz w:val="15"/>
              </w:rPr>
              <w:t>12/20/2019</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605" w:type="dxa"/>
            <w:tcBorders>
              <w:bottom w:val="single" w:sz="8" w:space="0" w:color="000000"/>
            </w:tcBorders>
            <w:shd w:fill="auto" w:val="clear"/>
            <w:vAlign w:val="center"/>
          </w:tcPr>
          <w:p>
            <w:pPr>
              <w:pStyle w:val="TableContents"/>
              <w:spacing w:before="0" w:after="283"/>
              <w:jc w:val="right"/>
              <w:rPr/>
            </w:pPr>
            <w:r>
              <w:rPr/>
              <w:t>—</w:t>
            </w:r>
          </w:p>
        </w:tc>
        <w:tc>
          <w:tcPr>
            <w:tcW w:w="215"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725" w:type="dxa"/>
            <w:tcBorders>
              <w:bottom w:val="single" w:sz="8" w:space="0" w:color="000000"/>
            </w:tcBorders>
            <w:shd w:fill="auto" w:val="clear"/>
            <w:vAlign w:val="center"/>
          </w:tcPr>
          <w:p>
            <w:pPr>
              <w:pStyle w:val="TableContents"/>
              <w:spacing w:before="0" w:after="283"/>
              <w:jc w:val="right"/>
              <w:rPr/>
            </w:pPr>
            <w:r>
              <w:rPr/>
              <w:t>—</w:t>
            </w:r>
          </w:p>
        </w:tc>
        <w:tc>
          <w:tcPr>
            <w:tcW w:w="215"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605" w:type="dxa"/>
            <w:tcBorders>
              <w:bottom w:val="single" w:sz="8" w:space="0" w:color="000000"/>
            </w:tcBorders>
            <w:shd w:fill="auto" w:val="clear"/>
            <w:vAlign w:val="center"/>
          </w:tcPr>
          <w:p>
            <w:pPr>
              <w:pStyle w:val="TableContents"/>
              <w:spacing w:before="0" w:after="283"/>
              <w:jc w:val="right"/>
              <w:rPr/>
            </w:pPr>
            <w:r>
              <w:rPr/>
              <w:t>—</w:t>
            </w:r>
          </w:p>
        </w:tc>
        <w:tc>
          <w:tcPr>
            <w:tcW w:w="215"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605"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31,196</w:t>
            </w:r>
          </w:p>
        </w:tc>
        <w:tc>
          <w:tcPr>
            <w:tcW w:w="215"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605" w:type="dxa"/>
            <w:tcBorders>
              <w:bottom w:val="single" w:sz="8" w:space="0" w:color="000000"/>
            </w:tcBorders>
            <w:shd w:fill="auto" w:val="clear"/>
            <w:vAlign w:val="center"/>
          </w:tcPr>
          <w:p>
            <w:pPr>
              <w:pStyle w:val="TableContents"/>
              <w:spacing w:before="0" w:after="283"/>
              <w:jc w:val="right"/>
              <w:rPr/>
            </w:pPr>
            <w:r>
              <w:rPr/>
              <w:t>—</w:t>
            </w:r>
          </w:p>
        </w:tc>
        <w:tc>
          <w:tcPr>
            <w:tcW w:w="215" w:type="dxa"/>
            <w:tcBorders>
              <w:bottom w:val="single" w:sz="8" w:space="0" w:color="000000"/>
            </w:tcBorders>
            <w:shd w:fill="auto" w:val="clear"/>
            <w:vAlign w:val="center"/>
          </w:tcPr>
          <w:p>
            <w:pPr>
              <w:pStyle w:val="TableContents"/>
              <w:spacing w:before="0" w:after="283"/>
              <w:rPr>
                <w:sz w:val="4"/>
                <w:szCs w:val="4"/>
              </w:rPr>
            </w:pPr>
            <w:r>
              <w:rPr>
                <w:sz w:val="4"/>
                <w:szCs w:val="4"/>
              </w:rPr>
            </w:r>
          </w:p>
        </w:tc>
      </w:tr>
      <w:tr>
        <w:trPr/>
        <w:tc>
          <w:tcPr>
            <w:tcW w:w="995" w:type="dxa"/>
            <w:tcBorders>
              <w:bottom w:val="single" w:sz="8" w:space="0" w:color="000000"/>
            </w:tcBorders>
            <w:shd w:fill="auto" w:val="clear"/>
            <w:vAlign w:val="center"/>
          </w:tcPr>
          <w:p>
            <w:pPr>
              <w:pStyle w:val="TableContents"/>
              <w:spacing w:before="0" w:after="283"/>
              <w:jc w:val="left"/>
              <w:rPr>
                <w:rFonts w:ascii="Arial" w:hAnsi="Arial"/>
                <w:sz w:val="15"/>
              </w:rPr>
            </w:pPr>
            <w:r>
              <w:rPr>
                <w:rFonts w:ascii="Arial" w:hAnsi="Arial"/>
                <w:sz w:val="15"/>
              </w:rPr>
              <w:t>03/02/2020</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605"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218,136</w:t>
            </w:r>
          </w:p>
        </w:tc>
        <w:tc>
          <w:tcPr>
            <w:tcW w:w="215" w:type="dxa"/>
            <w:tcBorders>
              <w:bottom w:val="single" w:sz="8" w:space="0" w:color="000000"/>
            </w:tcBorders>
            <w:shd w:fill="auto" w:val="clear"/>
            <w:vAlign w:val="center"/>
          </w:tcPr>
          <w:p>
            <w:pPr>
              <w:pStyle w:val="TableContents"/>
              <w:spacing w:before="0" w:after="283"/>
              <w:jc w:val="left"/>
              <w:rPr>
                <w:rFonts w:ascii="Arial" w:hAnsi="Arial"/>
                <w:sz w:val="15"/>
              </w:rPr>
            </w:pPr>
            <w:r>
              <w:rPr>
                <w:rFonts w:ascii="Arial" w:hAnsi="Arial"/>
                <w:position w:val="5"/>
                <w:sz w:val="12"/>
                <w:sz w:val="15"/>
              </w:rPr>
              <w:t>(b)</w:t>
            </w:r>
            <w:r>
              <w:rPr>
                <w:rFonts w:ascii="Arial" w:hAnsi="Arial"/>
                <w:sz w:val="15"/>
              </w:rPr>
              <w:t> </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725"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145,074</w:t>
            </w:r>
          </w:p>
        </w:tc>
        <w:tc>
          <w:tcPr>
            <w:tcW w:w="215" w:type="dxa"/>
            <w:tcBorders>
              <w:bottom w:val="single" w:sz="8" w:space="0" w:color="000000"/>
            </w:tcBorders>
            <w:shd w:fill="auto" w:val="clear"/>
            <w:vAlign w:val="center"/>
          </w:tcPr>
          <w:p>
            <w:pPr>
              <w:pStyle w:val="TableContents"/>
              <w:spacing w:before="0" w:after="283"/>
              <w:jc w:val="left"/>
              <w:rPr>
                <w:rFonts w:ascii="Arial" w:hAnsi="Arial"/>
                <w:sz w:val="15"/>
              </w:rPr>
            </w:pPr>
            <w:r>
              <w:rPr>
                <w:rFonts w:ascii="Arial" w:hAnsi="Arial"/>
                <w:position w:val="5"/>
                <w:sz w:val="12"/>
                <w:sz w:val="15"/>
              </w:rPr>
              <w:t>(b)</w:t>
            </w:r>
            <w:r>
              <w:rPr>
                <w:rFonts w:ascii="Arial" w:hAnsi="Arial"/>
                <w:sz w:val="15"/>
              </w:rPr>
              <w:t> </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605"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86,450</w:t>
            </w:r>
          </w:p>
        </w:tc>
        <w:tc>
          <w:tcPr>
            <w:tcW w:w="215" w:type="dxa"/>
            <w:tcBorders>
              <w:bottom w:val="single" w:sz="8" w:space="0" w:color="000000"/>
            </w:tcBorders>
            <w:shd w:fill="auto" w:val="clear"/>
            <w:vAlign w:val="center"/>
          </w:tcPr>
          <w:p>
            <w:pPr>
              <w:pStyle w:val="TableContents"/>
              <w:spacing w:before="0" w:after="283"/>
              <w:jc w:val="left"/>
              <w:rPr>
                <w:rFonts w:ascii="Arial" w:hAnsi="Arial"/>
                <w:sz w:val="15"/>
              </w:rPr>
            </w:pPr>
            <w:r>
              <w:rPr>
                <w:rFonts w:ascii="Arial" w:hAnsi="Arial"/>
                <w:position w:val="5"/>
                <w:sz w:val="12"/>
                <w:sz w:val="15"/>
              </w:rPr>
              <w:t>(b)</w:t>
            </w:r>
            <w:r>
              <w:rPr>
                <w:rFonts w:ascii="Arial" w:hAnsi="Arial"/>
                <w:sz w:val="15"/>
              </w:rPr>
              <w:t> </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605"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77,174</w:t>
            </w:r>
          </w:p>
        </w:tc>
        <w:tc>
          <w:tcPr>
            <w:tcW w:w="215" w:type="dxa"/>
            <w:tcBorders>
              <w:bottom w:val="single" w:sz="8" w:space="0" w:color="000000"/>
            </w:tcBorders>
            <w:shd w:fill="auto" w:val="clear"/>
            <w:vAlign w:val="center"/>
          </w:tcPr>
          <w:p>
            <w:pPr>
              <w:pStyle w:val="TableContents"/>
              <w:spacing w:before="0" w:after="283"/>
              <w:jc w:val="left"/>
              <w:rPr>
                <w:rFonts w:ascii="Arial" w:hAnsi="Arial"/>
                <w:sz w:val="15"/>
              </w:rPr>
            </w:pPr>
            <w:r>
              <w:rPr>
                <w:rFonts w:ascii="Arial" w:hAnsi="Arial"/>
                <w:position w:val="5"/>
                <w:sz w:val="12"/>
                <w:sz w:val="15"/>
              </w:rPr>
              <w:t>(b)</w:t>
            </w:r>
            <w:r>
              <w:rPr>
                <w:rFonts w:ascii="Arial" w:hAnsi="Arial"/>
                <w:sz w:val="15"/>
              </w:rPr>
              <w:t> </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605"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24,710</w:t>
            </w:r>
          </w:p>
        </w:tc>
        <w:tc>
          <w:tcPr>
            <w:tcW w:w="215" w:type="dxa"/>
            <w:tcBorders>
              <w:bottom w:val="single" w:sz="8" w:space="0" w:color="000000"/>
            </w:tcBorders>
            <w:shd w:fill="auto" w:val="clear"/>
            <w:vAlign w:val="center"/>
          </w:tcPr>
          <w:p>
            <w:pPr>
              <w:pStyle w:val="TableContents"/>
              <w:spacing w:before="0" w:after="283"/>
              <w:rPr>
                <w:sz w:val="4"/>
                <w:szCs w:val="4"/>
              </w:rPr>
            </w:pPr>
            <w:r>
              <w:rPr>
                <w:sz w:val="4"/>
                <w:szCs w:val="4"/>
              </w:rPr>
            </w:r>
          </w:p>
        </w:tc>
      </w:tr>
      <w:tr>
        <w:trPr/>
        <w:tc>
          <w:tcPr>
            <w:tcW w:w="995" w:type="dxa"/>
            <w:tcBorders>
              <w:bottom w:val="single" w:sz="8" w:space="0" w:color="000000"/>
            </w:tcBorders>
            <w:shd w:fill="auto" w:val="clear"/>
            <w:vAlign w:val="center"/>
          </w:tcPr>
          <w:p>
            <w:pPr>
              <w:pStyle w:val="TableContents"/>
              <w:spacing w:before="0" w:after="283"/>
              <w:jc w:val="left"/>
              <w:rPr>
                <w:rFonts w:ascii="Arial" w:hAnsi="Arial"/>
                <w:sz w:val="15"/>
              </w:rPr>
            </w:pPr>
            <w:r>
              <w:rPr>
                <w:rFonts w:ascii="Arial" w:hAnsi="Arial"/>
                <w:sz w:val="15"/>
              </w:rPr>
              <w:t>03/01/2021</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605"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584,250</w:t>
            </w:r>
          </w:p>
        </w:tc>
        <w:tc>
          <w:tcPr>
            <w:tcW w:w="215" w:type="dxa"/>
            <w:tcBorders>
              <w:bottom w:val="single" w:sz="8" w:space="0" w:color="000000"/>
            </w:tcBorders>
            <w:shd w:fill="auto" w:val="clear"/>
            <w:vAlign w:val="center"/>
          </w:tcPr>
          <w:p>
            <w:pPr>
              <w:pStyle w:val="TableContents"/>
              <w:spacing w:before="0" w:after="283"/>
              <w:jc w:val="left"/>
              <w:rPr>
                <w:rFonts w:ascii="Arial" w:hAnsi="Arial"/>
                <w:sz w:val="15"/>
              </w:rPr>
            </w:pPr>
            <w:r>
              <w:rPr>
                <w:rFonts w:ascii="Arial" w:hAnsi="Arial"/>
                <w:position w:val="5"/>
                <w:sz w:val="12"/>
                <w:sz w:val="15"/>
              </w:rPr>
              <w:t>(c)</w:t>
            </w:r>
            <w:r>
              <w:rPr>
                <w:rFonts w:ascii="Arial" w:hAnsi="Arial"/>
                <w:sz w:val="15"/>
              </w:rPr>
              <w:t> </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725"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435,500</w:t>
            </w:r>
          </w:p>
        </w:tc>
        <w:tc>
          <w:tcPr>
            <w:tcW w:w="215" w:type="dxa"/>
            <w:tcBorders>
              <w:bottom w:val="single" w:sz="8" w:space="0" w:color="000000"/>
            </w:tcBorders>
            <w:shd w:fill="auto" w:val="clear"/>
            <w:vAlign w:val="center"/>
          </w:tcPr>
          <w:p>
            <w:pPr>
              <w:pStyle w:val="TableContents"/>
              <w:spacing w:before="0" w:after="283"/>
              <w:jc w:val="left"/>
              <w:rPr>
                <w:rFonts w:ascii="Arial" w:hAnsi="Arial"/>
                <w:sz w:val="15"/>
              </w:rPr>
            </w:pPr>
            <w:r>
              <w:rPr>
                <w:rFonts w:ascii="Arial" w:hAnsi="Arial"/>
                <w:position w:val="5"/>
                <w:sz w:val="12"/>
                <w:sz w:val="15"/>
              </w:rPr>
              <w:t>(c)</w:t>
            </w:r>
            <w:r>
              <w:rPr>
                <w:rFonts w:ascii="Arial" w:hAnsi="Arial"/>
                <w:sz w:val="15"/>
              </w:rPr>
              <w:t> </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605"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289,500</w:t>
            </w:r>
          </w:p>
        </w:tc>
        <w:tc>
          <w:tcPr>
            <w:tcW w:w="215" w:type="dxa"/>
            <w:tcBorders>
              <w:bottom w:val="single" w:sz="8" w:space="0" w:color="000000"/>
            </w:tcBorders>
            <w:shd w:fill="auto" w:val="clear"/>
            <w:vAlign w:val="center"/>
          </w:tcPr>
          <w:p>
            <w:pPr>
              <w:pStyle w:val="TableContents"/>
              <w:spacing w:before="0" w:after="283"/>
              <w:jc w:val="left"/>
              <w:rPr>
                <w:rFonts w:ascii="Arial" w:hAnsi="Arial"/>
                <w:sz w:val="15"/>
              </w:rPr>
            </w:pPr>
            <w:r>
              <w:rPr>
                <w:rFonts w:ascii="Arial" w:hAnsi="Arial"/>
                <w:position w:val="5"/>
                <w:sz w:val="12"/>
                <w:sz w:val="15"/>
              </w:rPr>
              <w:t>(c)</w:t>
            </w:r>
            <w:r>
              <w:rPr>
                <w:rFonts w:ascii="Arial" w:hAnsi="Arial"/>
                <w:sz w:val="15"/>
              </w:rPr>
              <w:t> </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605"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237,000</w:t>
            </w:r>
          </w:p>
        </w:tc>
        <w:tc>
          <w:tcPr>
            <w:tcW w:w="215" w:type="dxa"/>
            <w:tcBorders>
              <w:bottom w:val="single" w:sz="8" w:space="0" w:color="000000"/>
            </w:tcBorders>
            <w:shd w:fill="auto" w:val="clear"/>
            <w:vAlign w:val="center"/>
          </w:tcPr>
          <w:p>
            <w:pPr>
              <w:pStyle w:val="TableContents"/>
              <w:spacing w:before="0" w:after="283"/>
              <w:jc w:val="left"/>
              <w:rPr>
                <w:rFonts w:ascii="Arial" w:hAnsi="Arial"/>
                <w:sz w:val="15"/>
              </w:rPr>
            </w:pPr>
            <w:r>
              <w:rPr>
                <w:rFonts w:ascii="Arial" w:hAnsi="Arial"/>
                <w:position w:val="5"/>
                <w:sz w:val="12"/>
                <w:sz w:val="15"/>
              </w:rPr>
              <w:t>(c)</w:t>
            </w:r>
            <w:r>
              <w:rPr>
                <w:rFonts w:ascii="Arial" w:hAnsi="Arial"/>
                <w:sz w:val="15"/>
              </w:rPr>
              <w:t> </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605"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144,750</w:t>
            </w:r>
          </w:p>
        </w:tc>
        <w:tc>
          <w:tcPr>
            <w:tcW w:w="215" w:type="dxa"/>
            <w:tcBorders>
              <w:bottom w:val="single" w:sz="8" w:space="0" w:color="000000"/>
            </w:tcBorders>
            <w:shd w:fill="auto" w:val="clear"/>
            <w:vAlign w:val="center"/>
          </w:tcPr>
          <w:p>
            <w:pPr>
              <w:pStyle w:val="TableContents"/>
              <w:spacing w:before="0" w:after="283"/>
              <w:jc w:val="left"/>
              <w:rPr>
                <w:rFonts w:ascii="Arial" w:hAnsi="Arial"/>
                <w:sz w:val="15"/>
              </w:rPr>
            </w:pPr>
            <w:r>
              <w:rPr>
                <w:rFonts w:ascii="Arial" w:hAnsi="Arial"/>
                <w:position w:val="5"/>
                <w:sz w:val="12"/>
                <w:sz w:val="15"/>
              </w:rPr>
              <w:t>(c)</w:t>
            </w:r>
            <w:r>
              <w:rPr>
                <w:rFonts w:ascii="Arial" w:hAnsi="Arial"/>
                <w:sz w:val="15"/>
              </w:rPr>
              <w:t> </w:t>
            </w:r>
          </w:p>
        </w:tc>
      </w:tr>
      <w:tr>
        <w:trPr/>
        <w:tc>
          <w:tcPr>
            <w:tcW w:w="995" w:type="dxa"/>
            <w:tcBorders>
              <w:bottom w:val="single" w:sz="8" w:space="0" w:color="000000"/>
            </w:tcBorders>
            <w:shd w:fill="auto" w:val="clear"/>
            <w:vAlign w:val="center"/>
          </w:tcPr>
          <w:p>
            <w:pPr>
              <w:pStyle w:val="TableContents"/>
              <w:spacing w:before="0" w:after="283"/>
              <w:jc w:val="left"/>
              <w:rPr>
                <w:rFonts w:ascii="Arial" w:hAnsi="Arial"/>
                <w:sz w:val="15"/>
              </w:rPr>
            </w:pPr>
            <w:r>
              <w:rPr>
                <w:rFonts w:ascii="Arial" w:hAnsi="Arial"/>
                <w:sz w:val="15"/>
              </w:rPr>
              <w:t>03/01/2022</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605"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685,500</w:t>
            </w:r>
          </w:p>
        </w:tc>
        <w:tc>
          <w:tcPr>
            <w:tcW w:w="215" w:type="dxa"/>
            <w:tcBorders>
              <w:bottom w:val="single" w:sz="8" w:space="0" w:color="000000"/>
            </w:tcBorders>
            <w:shd w:fill="auto" w:val="clear"/>
            <w:vAlign w:val="center"/>
          </w:tcPr>
          <w:p>
            <w:pPr>
              <w:pStyle w:val="TableContents"/>
              <w:spacing w:before="0" w:after="283"/>
              <w:jc w:val="left"/>
              <w:rPr>
                <w:rFonts w:ascii="Arial" w:hAnsi="Arial"/>
                <w:sz w:val="15"/>
              </w:rPr>
            </w:pPr>
            <w:r>
              <w:rPr>
                <w:rFonts w:ascii="Arial" w:hAnsi="Arial"/>
                <w:position w:val="5"/>
                <w:sz w:val="12"/>
                <w:sz w:val="15"/>
              </w:rPr>
              <w:t>(d)</w:t>
            </w:r>
            <w:r>
              <w:rPr>
                <w:rFonts w:ascii="Arial" w:hAnsi="Arial"/>
                <w:sz w:val="15"/>
              </w:rPr>
              <w:t> </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725"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510,887</w:t>
            </w:r>
          </w:p>
        </w:tc>
        <w:tc>
          <w:tcPr>
            <w:tcW w:w="215" w:type="dxa"/>
            <w:tcBorders>
              <w:bottom w:val="single" w:sz="8" w:space="0" w:color="000000"/>
            </w:tcBorders>
            <w:shd w:fill="auto" w:val="clear"/>
            <w:vAlign w:val="center"/>
          </w:tcPr>
          <w:p>
            <w:pPr>
              <w:pStyle w:val="TableContents"/>
              <w:spacing w:before="0" w:after="283"/>
              <w:jc w:val="left"/>
              <w:rPr>
                <w:rFonts w:ascii="Arial" w:hAnsi="Arial"/>
                <w:sz w:val="15"/>
              </w:rPr>
            </w:pPr>
            <w:r>
              <w:rPr>
                <w:rFonts w:ascii="Arial" w:hAnsi="Arial"/>
                <w:position w:val="5"/>
                <w:sz w:val="12"/>
                <w:sz w:val="15"/>
              </w:rPr>
              <w:t>(d)</w:t>
            </w:r>
            <w:r>
              <w:rPr>
                <w:rFonts w:ascii="Arial" w:hAnsi="Arial"/>
                <w:sz w:val="15"/>
              </w:rPr>
              <w:t> </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605"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395,300</w:t>
            </w:r>
          </w:p>
        </w:tc>
        <w:tc>
          <w:tcPr>
            <w:tcW w:w="215" w:type="dxa"/>
            <w:tcBorders>
              <w:bottom w:val="single" w:sz="8" w:space="0" w:color="000000"/>
            </w:tcBorders>
            <w:shd w:fill="auto" w:val="clear"/>
            <w:vAlign w:val="center"/>
          </w:tcPr>
          <w:p>
            <w:pPr>
              <w:pStyle w:val="TableContents"/>
              <w:spacing w:before="0" w:after="283"/>
              <w:jc w:val="left"/>
              <w:rPr>
                <w:rFonts w:ascii="Arial" w:hAnsi="Arial"/>
                <w:sz w:val="15"/>
              </w:rPr>
            </w:pPr>
            <w:r>
              <w:rPr>
                <w:rFonts w:ascii="Arial" w:hAnsi="Arial"/>
                <w:position w:val="5"/>
                <w:sz w:val="12"/>
                <w:sz w:val="15"/>
              </w:rPr>
              <w:t>(d)</w:t>
            </w:r>
            <w:r>
              <w:rPr>
                <w:rFonts w:ascii="Arial" w:hAnsi="Arial"/>
                <w:sz w:val="15"/>
              </w:rPr>
              <w:t> </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605"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338,712</w:t>
            </w:r>
          </w:p>
        </w:tc>
        <w:tc>
          <w:tcPr>
            <w:tcW w:w="215" w:type="dxa"/>
            <w:tcBorders>
              <w:bottom w:val="single" w:sz="8" w:space="0" w:color="000000"/>
            </w:tcBorders>
            <w:shd w:fill="auto" w:val="clear"/>
            <w:vAlign w:val="center"/>
          </w:tcPr>
          <w:p>
            <w:pPr>
              <w:pStyle w:val="TableContents"/>
              <w:spacing w:before="0" w:after="283"/>
              <w:jc w:val="left"/>
              <w:rPr>
                <w:rFonts w:ascii="Arial" w:hAnsi="Arial"/>
                <w:sz w:val="15"/>
              </w:rPr>
            </w:pPr>
            <w:r>
              <w:rPr>
                <w:rFonts w:ascii="Arial" w:hAnsi="Arial"/>
                <w:position w:val="5"/>
                <w:sz w:val="12"/>
                <w:sz w:val="15"/>
              </w:rPr>
              <w:t>(d)</w:t>
            </w:r>
            <w:r>
              <w:rPr>
                <w:rFonts w:ascii="Arial" w:hAnsi="Arial"/>
                <w:sz w:val="15"/>
              </w:rPr>
              <w:t> </w:t>
            </w:r>
          </w:p>
        </w:tc>
        <w:tc>
          <w:tcPr>
            <w:tcW w:w="12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605"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220,687</w:t>
            </w:r>
          </w:p>
        </w:tc>
        <w:tc>
          <w:tcPr>
            <w:tcW w:w="215" w:type="dxa"/>
            <w:tcBorders>
              <w:bottom w:val="single" w:sz="8" w:space="0" w:color="000000"/>
            </w:tcBorders>
            <w:shd w:fill="auto" w:val="clear"/>
            <w:vAlign w:val="center"/>
          </w:tcPr>
          <w:p>
            <w:pPr>
              <w:pStyle w:val="TableContents"/>
              <w:spacing w:before="0" w:after="283"/>
              <w:jc w:val="left"/>
              <w:rPr>
                <w:rFonts w:ascii="Arial" w:hAnsi="Arial"/>
                <w:sz w:val="15"/>
              </w:rPr>
            </w:pPr>
            <w:r>
              <w:rPr>
                <w:rFonts w:ascii="Arial" w:hAnsi="Arial"/>
                <w:position w:val="5"/>
                <w:sz w:val="12"/>
                <w:sz w:val="15"/>
              </w:rPr>
              <w:t>(d)</w:t>
            </w:r>
            <w:r>
              <w:rPr>
                <w:rFonts w:ascii="Arial" w:hAnsi="Arial"/>
                <w:sz w:val="15"/>
              </w:rPr>
              <w:t> </w:t>
            </w:r>
          </w:p>
        </w:tc>
      </w:tr>
    </w:tbl>
    <w:tbl>
      <w:tblPr>
        <w:tblW w:w="10205" w:type="dxa"/>
        <w:jc w:val="left"/>
        <w:tblInd w:w="0" w:type="dxa"/>
        <w:tblCellMar>
          <w:top w:w="0" w:type="dxa"/>
          <w:left w:w="0" w:type="dxa"/>
          <w:bottom w:w="0" w:type="dxa"/>
          <w:right w:w="0" w:type="dxa"/>
        </w:tblCellMar>
      </w:tblPr>
      <w:tblGrid>
        <w:gridCol w:w="300"/>
        <w:gridCol w:w="156"/>
        <w:gridCol w:w="9749"/>
      </w:tblGrid>
      <w:tr>
        <w:trPr/>
        <w:tc>
          <w:tcPr>
            <w:tcW w:w="300" w:type="dxa"/>
            <w:tcBorders/>
            <w:shd w:fill="auto" w:val="clear"/>
            <w:vAlign w:val="center"/>
          </w:tcPr>
          <w:p>
            <w:pPr>
              <w:pStyle w:val="TableContents"/>
              <w:spacing w:before="0" w:after="283"/>
              <w:rPr/>
            </w:pPr>
            <w:r>
              <w:rPr/>
              <w:t>     </w:t>
            </w:r>
          </w:p>
        </w:tc>
        <w:tc>
          <w:tcPr>
            <w:tcW w:w="156" w:type="dxa"/>
            <w:tcBorders/>
            <w:shd w:fill="auto" w:val="clear"/>
            <w:vAlign w:val="center"/>
          </w:tcPr>
          <w:p>
            <w:pPr>
              <w:pStyle w:val="TableContents"/>
              <w:spacing w:before="0" w:after="283"/>
              <w:jc w:val="left"/>
              <w:rPr>
                <w:rFonts w:ascii="Arial" w:hAnsi="Arial"/>
                <w:sz w:val="15"/>
              </w:rPr>
            </w:pPr>
            <w:r>
              <w:rPr>
                <w:rFonts w:ascii="Arial" w:hAnsi="Arial"/>
                <w:position w:val="5"/>
                <w:sz w:val="12"/>
                <w:sz w:val="15"/>
              </w:rPr>
              <w:t>(a)</w:t>
            </w:r>
            <w:r>
              <w:rPr>
                <w:rFonts w:ascii="Arial" w:hAnsi="Arial"/>
                <w:sz w:val="15"/>
              </w:rPr>
              <w:t xml:space="preserve"> </w:t>
            </w:r>
          </w:p>
        </w:tc>
        <w:tc>
          <w:tcPr>
            <w:tcW w:w="9749" w:type="dxa"/>
            <w:tcBorders/>
            <w:shd w:fill="auto" w:val="clear"/>
            <w:vAlign w:val="center"/>
          </w:tcPr>
          <w:p>
            <w:pPr>
              <w:pStyle w:val="TableContents"/>
              <w:spacing w:before="0" w:after="283"/>
              <w:jc w:val="left"/>
              <w:rPr>
                <w:rFonts w:ascii="Arial" w:hAnsi="Arial"/>
                <w:sz w:val="15"/>
              </w:rPr>
            </w:pPr>
            <w:r>
              <w:rPr>
                <w:rFonts w:ascii="Arial" w:hAnsi="Arial"/>
                <w:sz w:val="15"/>
              </w:rPr>
              <w:t>Except as otherwise described in footnotes below, all stock units granted as of the respective grant date had the following vesting schedule: 15%, 15%, 15%, 15% and 40% on the 13-month, second, third, fourth and fifth anniversaries of the grant date, respectively, with Mr. Shell’s first vesting date for his 2018 and 2019 grants being twelve months after the grant date.</w:t>
            </w:r>
          </w:p>
        </w:tc>
      </w:tr>
      <w:tr>
        <w:trPr/>
        <w:tc>
          <w:tcPr>
            <w:tcW w:w="300" w:type="dxa"/>
            <w:tcBorders/>
            <w:shd w:fill="auto" w:val="clear"/>
            <w:vAlign w:val="center"/>
          </w:tcPr>
          <w:p>
            <w:pPr>
              <w:pStyle w:val="TableContents"/>
              <w:spacing w:before="0" w:after="283"/>
              <w:rPr/>
            </w:pPr>
            <w:r>
              <w:rPr/>
              <w:t> </w:t>
            </w:r>
          </w:p>
        </w:tc>
        <w:tc>
          <w:tcPr>
            <w:tcW w:w="156" w:type="dxa"/>
            <w:tcBorders/>
            <w:shd w:fill="auto" w:val="clear"/>
            <w:vAlign w:val="center"/>
          </w:tcPr>
          <w:p>
            <w:pPr>
              <w:pStyle w:val="TableContents"/>
              <w:spacing w:before="0" w:after="283"/>
              <w:jc w:val="left"/>
              <w:rPr>
                <w:rFonts w:ascii="Arial" w:hAnsi="Arial"/>
                <w:sz w:val="15"/>
              </w:rPr>
            </w:pPr>
            <w:r>
              <w:rPr>
                <w:rFonts w:ascii="Arial" w:hAnsi="Arial"/>
                <w:position w:val="5"/>
                <w:sz w:val="12"/>
                <w:sz w:val="15"/>
              </w:rPr>
              <w:t>(b)</w:t>
            </w:r>
            <w:r>
              <w:rPr>
                <w:rFonts w:ascii="Arial" w:hAnsi="Arial"/>
                <w:sz w:val="15"/>
              </w:rPr>
              <w:t xml:space="preserve"> </w:t>
            </w:r>
          </w:p>
        </w:tc>
        <w:tc>
          <w:tcPr>
            <w:tcW w:w="9749" w:type="dxa"/>
            <w:tcBorders/>
            <w:shd w:fill="auto" w:val="clear"/>
            <w:vAlign w:val="center"/>
          </w:tcPr>
          <w:p>
            <w:pPr>
              <w:pStyle w:val="TableContents"/>
              <w:spacing w:before="0" w:after="283"/>
              <w:jc w:val="left"/>
              <w:rPr>
                <w:rFonts w:ascii="Arial" w:hAnsi="Arial"/>
                <w:sz w:val="15"/>
              </w:rPr>
            </w:pPr>
            <w:r>
              <w:rPr>
                <w:rFonts w:ascii="Arial" w:hAnsi="Arial"/>
                <w:sz w:val="15"/>
              </w:rPr>
              <w:t>Reflects the number of shares underlying PSUs that, as of December 31, 2022, had been achieved following attainment of the performance condition, which resulted in all remaining tranches vesting at the maximum of 125% of the award.</w:t>
            </w:r>
          </w:p>
        </w:tc>
      </w:tr>
      <w:tr>
        <w:trPr/>
        <w:tc>
          <w:tcPr>
            <w:tcW w:w="300" w:type="dxa"/>
            <w:tcBorders/>
            <w:shd w:fill="auto" w:val="clear"/>
            <w:vAlign w:val="center"/>
          </w:tcPr>
          <w:p>
            <w:pPr>
              <w:pStyle w:val="TableContents"/>
              <w:spacing w:before="0" w:after="283"/>
              <w:rPr/>
            </w:pPr>
            <w:r>
              <w:rPr/>
              <w:t> </w:t>
            </w:r>
          </w:p>
        </w:tc>
        <w:tc>
          <w:tcPr>
            <w:tcW w:w="156" w:type="dxa"/>
            <w:tcBorders/>
            <w:shd w:fill="auto" w:val="clear"/>
            <w:vAlign w:val="center"/>
          </w:tcPr>
          <w:p>
            <w:pPr>
              <w:pStyle w:val="TableContents"/>
              <w:spacing w:before="0" w:after="283"/>
              <w:jc w:val="left"/>
              <w:rPr>
                <w:rFonts w:ascii="Arial" w:hAnsi="Arial"/>
                <w:sz w:val="15"/>
              </w:rPr>
            </w:pPr>
            <w:r>
              <w:rPr>
                <w:rFonts w:ascii="Arial" w:hAnsi="Arial"/>
                <w:position w:val="5"/>
                <w:sz w:val="12"/>
                <w:sz w:val="15"/>
              </w:rPr>
              <w:t>(c)</w:t>
            </w:r>
            <w:r>
              <w:rPr>
                <w:rFonts w:ascii="Arial" w:hAnsi="Arial"/>
                <w:sz w:val="15"/>
              </w:rPr>
              <w:t xml:space="preserve"> </w:t>
            </w:r>
          </w:p>
        </w:tc>
        <w:tc>
          <w:tcPr>
            <w:tcW w:w="9749" w:type="dxa"/>
            <w:tcBorders/>
            <w:shd w:fill="auto" w:val="clear"/>
            <w:vAlign w:val="center"/>
          </w:tcPr>
          <w:p>
            <w:pPr>
              <w:pStyle w:val="TableContents"/>
              <w:spacing w:before="0" w:after="283"/>
              <w:jc w:val="left"/>
              <w:rPr>
                <w:rFonts w:ascii="Arial" w:hAnsi="Arial"/>
                <w:sz w:val="15"/>
              </w:rPr>
            </w:pPr>
            <w:r>
              <w:rPr>
                <w:rFonts w:ascii="Arial" w:hAnsi="Arial"/>
                <w:sz w:val="15"/>
              </w:rPr>
              <w:t>Reflects the number of shares underlying PSUs that, as of December 31, 2022, may be achieved assuming maximum attainment of the performance condition, which would result in 250% vesting of the award. The CHC Committee will certify actual performance achievement of the PSUs in early 2024. The PSUs vest 100% on the three-year anniversary of the date of grant.</w:t>
            </w:r>
          </w:p>
        </w:tc>
      </w:tr>
      <w:tr>
        <w:trPr/>
        <w:tc>
          <w:tcPr>
            <w:tcW w:w="300" w:type="dxa"/>
            <w:tcBorders/>
            <w:shd w:fill="auto" w:val="clear"/>
            <w:vAlign w:val="center"/>
          </w:tcPr>
          <w:p>
            <w:pPr>
              <w:pStyle w:val="TableContents"/>
              <w:spacing w:before="0" w:after="283"/>
              <w:rPr/>
            </w:pPr>
            <w:r>
              <w:rPr/>
              <w:t> </w:t>
            </w:r>
          </w:p>
        </w:tc>
        <w:tc>
          <w:tcPr>
            <w:tcW w:w="156" w:type="dxa"/>
            <w:tcBorders/>
            <w:shd w:fill="auto" w:val="clear"/>
            <w:vAlign w:val="center"/>
          </w:tcPr>
          <w:p>
            <w:pPr>
              <w:pStyle w:val="TableContents"/>
              <w:spacing w:before="0" w:after="283"/>
              <w:jc w:val="left"/>
              <w:rPr>
                <w:rFonts w:ascii="Arial" w:hAnsi="Arial"/>
                <w:sz w:val="15"/>
              </w:rPr>
            </w:pPr>
            <w:r>
              <w:rPr>
                <w:rFonts w:ascii="Arial" w:hAnsi="Arial"/>
                <w:position w:val="5"/>
                <w:sz w:val="12"/>
                <w:sz w:val="15"/>
              </w:rPr>
              <w:t>(d)</w:t>
            </w:r>
            <w:r>
              <w:rPr>
                <w:rFonts w:ascii="Arial" w:hAnsi="Arial"/>
                <w:sz w:val="15"/>
              </w:rPr>
              <w:t xml:space="preserve"> </w:t>
            </w:r>
          </w:p>
        </w:tc>
        <w:tc>
          <w:tcPr>
            <w:tcW w:w="9749" w:type="dxa"/>
            <w:tcBorders/>
            <w:shd w:fill="auto" w:val="clear"/>
            <w:vAlign w:val="center"/>
          </w:tcPr>
          <w:p>
            <w:pPr>
              <w:pStyle w:val="TableContents"/>
              <w:spacing w:before="0" w:after="283"/>
              <w:jc w:val="left"/>
              <w:rPr>
                <w:rFonts w:ascii="Arial" w:hAnsi="Arial"/>
                <w:sz w:val="15"/>
              </w:rPr>
            </w:pPr>
            <w:r>
              <w:rPr>
                <w:rFonts w:ascii="Arial" w:hAnsi="Arial"/>
                <w:sz w:val="15"/>
              </w:rPr>
              <w:t>Reflects the number of shares underlying PSUs that, as of December 31, 2022, may be achieved assuming maximum attainment of the performance condition, which would result in 250% vesting of the award. The CHC Committee will certify actual performance achievement of the PSUs in early 2025. The PSUs vest 100% on the three-year anniversary of the date of grant.</w:t>
            </w:r>
          </w:p>
        </w:tc>
      </w:tr>
    </w:tbl>
    <w:tbl>
      <w:tblPr>
        <w:tblW w:w="9880" w:type="dxa"/>
        <w:jc w:val="left"/>
        <w:tblInd w:w="0" w:type="dxa"/>
        <w:tblCellMar>
          <w:top w:w="0" w:type="dxa"/>
          <w:left w:w="0" w:type="dxa"/>
          <w:bottom w:w="0" w:type="dxa"/>
          <w:right w:w="0" w:type="dxa"/>
        </w:tblCellMar>
      </w:tblPr>
      <w:tblGrid>
        <w:gridCol w:w="245"/>
        <w:gridCol w:w="9635"/>
      </w:tblGrid>
      <w:tr>
        <w:trPr/>
        <w:tc>
          <w:tcPr>
            <w:tcW w:w="245" w:type="dxa"/>
            <w:tcBorders/>
            <w:shd w:fill="auto" w:val="clear"/>
            <w:vAlign w:val="center"/>
          </w:tcPr>
          <w:p>
            <w:pPr>
              <w:pStyle w:val="TableContents"/>
              <w:spacing w:before="0" w:after="283"/>
              <w:jc w:val="left"/>
              <w:rPr>
                <w:rFonts w:ascii="Arial" w:hAnsi="Arial"/>
                <w:sz w:val="15"/>
              </w:rPr>
            </w:pPr>
            <w:r>
              <w:rPr>
                <w:rFonts w:ascii="Arial" w:hAnsi="Arial"/>
                <w:position w:val="5"/>
                <w:sz w:val="12"/>
                <w:sz w:val="15"/>
              </w:rPr>
              <w:t xml:space="preserve">(5) </w:t>
            </w:r>
            <w:r>
              <w:rPr>
                <w:rFonts w:ascii="Arial" w:hAnsi="Arial"/>
                <w:sz w:val="15"/>
              </w:rPr>
              <w:t> </w:t>
            </w:r>
          </w:p>
        </w:tc>
        <w:tc>
          <w:tcPr>
            <w:tcW w:w="9635" w:type="dxa"/>
            <w:tcBorders/>
            <w:shd w:fill="auto" w:val="clear"/>
            <w:vAlign w:val="center"/>
          </w:tcPr>
          <w:p>
            <w:pPr>
              <w:pStyle w:val="TableContents"/>
              <w:spacing w:before="0" w:after="283"/>
              <w:jc w:val="left"/>
              <w:rPr>
                <w:rFonts w:ascii="Arial" w:hAnsi="Arial"/>
                <w:sz w:val="15"/>
              </w:rPr>
            </w:pPr>
            <w:r>
              <w:rPr>
                <w:rFonts w:ascii="Arial" w:hAnsi="Arial"/>
                <w:sz w:val="15"/>
              </w:rPr>
              <w:t>All unvested equity awards and vested stock options were forfeited and canceled upon Mr. Shell’s termination of employment in April 2023.</w:t>
            </w:r>
          </w:p>
        </w:tc>
      </w:tr>
    </w:tbl>
    <w:p>
      <w:pPr>
        <w:pStyle w:val="TextBody"/>
        <w:spacing w:before="240" w:after="283"/>
        <w:jc w:val="left"/>
        <w:rPr>
          <w:rFonts w:ascii="Arial" w:hAnsi="Arial"/>
          <w:sz w:val="28"/>
        </w:rPr>
      </w:pPr>
      <w:bookmarkStart w:id="27" w:name="optionexercises"/>
      <w:bookmarkEnd w:id="27"/>
      <w:r>
        <w:rPr>
          <w:rFonts w:ascii="Arial" w:hAnsi="Arial"/>
          <w:sz w:val="28"/>
        </w:rPr>
        <w:t>Option Exercises and Stock Vested</w:t>
      </w:r>
    </w:p>
    <w:p>
      <w:pPr>
        <w:pStyle w:val="TextBody"/>
        <w:jc w:val="left"/>
        <w:rPr>
          <w:rFonts w:ascii="Arial" w:hAnsi="Arial"/>
          <w:sz w:val="20"/>
        </w:rPr>
      </w:pPr>
      <w:r>
        <w:rPr>
          <w:rFonts w:ascii="Arial" w:hAnsi="Arial"/>
          <w:sz w:val="20"/>
        </w:rPr>
        <w:t>The following table provides information, for each of our NEOs, on the number of options exercised and the value realized upon such exercise, and the number of shares of Class A common stock resulting from the vesting of stock awards and the value realized before payment of any applicable withholding tax during 2022.</w:t>
      </w:r>
    </w:p>
    <w:tbl>
      <w:tblPr>
        <w:tblW w:w="7305" w:type="dxa"/>
        <w:jc w:val="left"/>
        <w:tblInd w:w="0" w:type="dxa"/>
        <w:tblCellMar>
          <w:top w:w="0" w:type="dxa"/>
          <w:left w:w="0" w:type="dxa"/>
          <w:bottom w:w="0" w:type="dxa"/>
          <w:right w:w="0" w:type="dxa"/>
        </w:tblCellMar>
      </w:tblPr>
      <w:tblGrid>
        <w:gridCol w:w="1940"/>
        <w:gridCol w:w="300"/>
        <w:gridCol w:w="1085"/>
        <w:gridCol w:w="300"/>
        <w:gridCol w:w="1040"/>
        <w:gridCol w:w="300"/>
        <w:gridCol w:w="710"/>
        <w:gridCol w:w="290"/>
        <w:gridCol w:w="300"/>
        <w:gridCol w:w="1040"/>
      </w:tblGrid>
      <w:tr>
        <w:trPr/>
        <w:tc>
          <w:tcPr>
            <w:tcW w:w="1940"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2425" w:type="dxa"/>
            <w:gridSpan w:val="3"/>
            <w:tcBorders>
              <w:bottom w:val="single" w:sz="8" w:space="0" w:color="000000"/>
            </w:tcBorders>
            <w:shd w:fill="auto" w:val="clear"/>
            <w:tcMar>
              <w:bottom w:w="28" w:type="dxa"/>
            </w:tcMar>
            <w:vAlign w:val="center"/>
          </w:tcPr>
          <w:p>
            <w:pPr>
              <w:pStyle w:val="TableContents"/>
              <w:spacing w:before="0" w:after="283"/>
              <w:jc w:val="center"/>
              <w:rPr>
                <w:rFonts w:ascii="Arial" w:hAnsi="Arial"/>
                <w:b/>
                <w:sz w:val="15"/>
              </w:rPr>
            </w:pPr>
            <w:r>
              <w:rPr>
                <w:rFonts w:ascii="Arial" w:hAnsi="Arial"/>
                <w:b/>
                <w:sz w:val="15"/>
              </w:rPr>
              <w:t>OPTION AWARDS</w:t>
            </w:r>
          </w:p>
        </w:tc>
        <w:tc>
          <w:tcPr>
            <w:tcW w:w="300" w:type="dxa"/>
            <w:tcBorders/>
            <w:shd w:fill="auto" w:val="clear"/>
            <w:vAlign w:val="center"/>
          </w:tcPr>
          <w:p>
            <w:pPr>
              <w:pStyle w:val="TableContents"/>
              <w:spacing w:before="0" w:after="283"/>
              <w:rPr>
                <w:sz w:val="4"/>
                <w:szCs w:val="4"/>
              </w:rPr>
            </w:pPr>
            <w:r>
              <w:rPr>
                <w:sz w:val="4"/>
                <w:szCs w:val="4"/>
              </w:rPr>
            </w:r>
          </w:p>
        </w:tc>
        <w:tc>
          <w:tcPr>
            <w:tcW w:w="2340" w:type="dxa"/>
            <w:gridSpan w:val="4"/>
            <w:tcBorders>
              <w:bottom w:val="single" w:sz="8" w:space="0" w:color="000000"/>
            </w:tcBorders>
            <w:shd w:fill="auto" w:val="clear"/>
            <w:tcMar>
              <w:bottom w:w="28" w:type="dxa"/>
            </w:tcMar>
            <w:vAlign w:val="center"/>
          </w:tcPr>
          <w:p>
            <w:pPr>
              <w:pStyle w:val="TableContents"/>
              <w:spacing w:before="0" w:after="283"/>
              <w:jc w:val="center"/>
              <w:rPr>
                <w:rFonts w:ascii="Arial" w:hAnsi="Arial"/>
                <w:b/>
                <w:sz w:val="15"/>
              </w:rPr>
            </w:pPr>
            <w:r>
              <w:rPr>
                <w:rFonts w:ascii="Arial" w:hAnsi="Arial"/>
                <w:b/>
                <w:sz w:val="15"/>
              </w:rPr>
              <w:t>STOCK AWARDS</w:t>
            </w:r>
          </w:p>
        </w:tc>
      </w:tr>
      <w:tr>
        <w:trPr/>
        <w:tc>
          <w:tcPr>
            <w:tcW w:w="1940" w:type="dxa"/>
            <w:tcBorders>
              <w:bottom w:val="single" w:sz="12" w:space="0" w:color="000000"/>
            </w:tcBorders>
            <w:shd w:fill="auto" w:val="clear"/>
            <w:tcMar>
              <w:bottom w:w="28" w:type="dxa"/>
            </w:tcMar>
            <w:vAlign w:val="center"/>
          </w:tcPr>
          <w:p>
            <w:pPr>
              <w:pStyle w:val="TableContents"/>
              <w:spacing w:before="0" w:after="283"/>
              <w:jc w:val="left"/>
              <w:rPr>
                <w:rFonts w:ascii="Arial" w:hAnsi="Arial"/>
                <w:b/>
                <w:sz w:val="15"/>
              </w:rPr>
            </w:pPr>
            <w:r>
              <w:rPr>
                <w:rFonts w:ascii="Arial" w:hAnsi="Arial"/>
                <w:b/>
                <w:sz w:val="15"/>
              </w:rPr>
              <w:t>NAME</w:t>
            </w:r>
          </w:p>
        </w:tc>
        <w:tc>
          <w:tcPr>
            <w:tcW w:w="30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085" w:type="dxa"/>
            <w:tcBorders>
              <w:bottom w:val="single" w:sz="12" w:space="0" w:color="000000"/>
            </w:tcBorders>
            <w:shd w:fill="auto" w:val="clear"/>
            <w:tcMar>
              <w:bottom w:w="28" w:type="dxa"/>
            </w:tcMar>
            <w:vAlign w:val="center"/>
          </w:tcPr>
          <w:p>
            <w:pPr>
              <w:pStyle w:val="TableContents"/>
              <w:spacing w:before="0" w:after="283"/>
              <w:jc w:val="center"/>
              <w:rPr>
                <w:rFonts w:ascii="Arial" w:hAnsi="Arial"/>
                <w:b/>
                <w:sz w:val="15"/>
              </w:rPr>
            </w:pPr>
            <w:r>
              <w:rPr>
                <w:rFonts w:ascii="Arial" w:hAnsi="Arial"/>
                <w:b/>
                <w:sz w:val="15"/>
              </w:rPr>
              <w:t>NUMBER OF</w:t>
              <w:br/>
              <w:t>SHARES</w:t>
              <w:br/>
              <w:t>ACQUIRED ON</w:t>
              <w:br/>
              <w:t>EXERCISE</w:t>
            </w:r>
          </w:p>
        </w:tc>
        <w:tc>
          <w:tcPr>
            <w:tcW w:w="300" w:type="dxa"/>
            <w:tcBorders>
              <w:bottom w:val="single" w:sz="12" w:space="0" w:color="000000"/>
            </w:tcBorders>
            <w:shd w:fill="auto" w:val="clear"/>
            <w:tcMar>
              <w:bottom w:w="28" w:type="dxa"/>
            </w:tcMar>
            <w:vAlign w:val="center"/>
          </w:tcPr>
          <w:p>
            <w:pPr>
              <w:pStyle w:val="TableContents"/>
              <w:spacing w:before="0" w:after="283"/>
              <w:jc w:val="center"/>
              <w:rPr/>
            </w:pPr>
            <w:r>
              <w:rPr/>
              <w:t>     </w:t>
            </w:r>
          </w:p>
        </w:tc>
        <w:tc>
          <w:tcPr>
            <w:tcW w:w="1040" w:type="dxa"/>
            <w:tcBorders>
              <w:bottom w:val="single" w:sz="12" w:space="0" w:color="000000"/>
            </w:tcBorders>
            <w:shd w:fill="auto" w:val="clear"/>
            <w:tcMar>
              <w:bottom w:w="28" w:type="dxa"/>
            </w:tcMar>
            <w:vAlign w:val="center"/>
          </w:tcPr>
          <w:p>
            <w:pPr>
              <w:pStyle w:val="TableContents"/>
              <w:spacing w:before="0" w:after="283"/>
              <w:jc w:val="center"/>
              <w:rPr>
                <w:rFonts w:ascii="Arial" w:hAnsi="Arial"/>
                <w:b/>
                <w:sz w:val="15"/>
              </w:rPr>
            </w:pPr>
            <w:r>
              <w:rPr>
                <w:rFonts w:ascii="Arial" w:hAnsi="Arial"/>
                <w:b/>
                <w:sz w:val="15"/>
              </w:rPr>
              <w:t>VALUE</w:t>
              <w:br/>
              <w:t>REALIZED ON</w:t>
              <w:br/>
              <w:t>EXERCISE</w:t>
              <w:br/>
              <w:t>($)</w:t>
            </w:r>
          </w:p>
        </w:tc>
        <w:tc>
          <w:tcPr>
            <w:tcW w:w="300" w:type="dxa"/>
            <w:tcBorders>
              <w:bottom w:val="single" w:sz="12" w:space="0" w:color="000000"/>
            </w:tcBorders>
            <w:shd w:fill="auto" w:val="clear"/>
            <w:tcMar>
              <w:bottom w:w="28" w:type="dxa"/>
            </w:tcMar>
            <w:vAlign w:val="center"/>
          </w:tcPr>
          <w:p>
            <w:pPr>
              <w:pStyle w:val="TableContents"/>
              <w:spacing w:before="0" w:after="283"/>
              <w:jc w:val="center"/>
              <w:rPr/>
            </w:pPr>
            <w:r>
              <w:rPr/>
              <w:t>     </w:t>
            </w:r>
          </w:p>
        </w:tc>
        <w:tc>
          <w:tcPr>
            <w:tcW w:w="1000" w:type="dxa"/>
            <w:gridSpan w:val="2"/>
            <w:tcBorders>
              <w:bottom w:val="single" w:sz="12" w:space="0" w:color="000000"/>
            </w:tcBorders>
            <w:shd w:fill="auto" w:val="clear"/>
            <w:tcMar>
              <w:bottom w:w="28" w:type="dxa"/>
            </w:tcMar>
            <w:vAlign w:val="center"/>
          </w:tcPr>
          <w:p>
            <w:pPr>
              <w:pStyle w:val="TableContents"/>
              <w:spacing w:before="0" w:after="283"/>
              <w:jc w:val="center"/>
              <w:rPr>
                <w:rFonts w:ascii="Arial" w:hAnsi="Arial"/>
                <w:b/>
                <w:sz w:val="15"/>
              </w:rPr>
            </w:pPr>
            <w:r>
              <w:rPr>
                <w:rFonts w:ascii="Arial" w:hAnsi="Arial"/>
                <w:b/>
                <w:sz w:val="15"/>
              </w:rPr>
              <w:t>NUMBER OF</w:t>
              <w:br/>
              <w:t>SHARES</w:t>
              <w:br/>
              <w:t>ACQUIRED</w:t>
              <w:br/>
              <w:t>ON VESTING</w:t>
            </w:r>
          </w:p>
        </w:tc>
        <w:tc>
          <w:tcPr>
            <w:tcW w:w="300" w:type="dxa"/>
            <w:tcBorders>
              <w:bottom w:val="single" w:sz="12" w:space="0" w:color="000000"/>
            </w:tcBorders>
            <w:shd w:fill="auto" w:val="clear"/>
            <w:tcMar>
              <w:bottom w:w="28" w:type="dxa"/>
            </w:tcMar>
            <w:vAlign w:val="center"/>
          </w:tcPr>
          <w:p>
            <w:pPr>
              <w:pStyle w:val="TableContents"/>
              <w:spacing w:before="0" w:after="283"/>
              <w:jc w:val="center"/>
              <w:rPr/>
            </w:pPr>
            <w:r>
              <w:rPr/>
              <w:t>     </w:t>
            </w:r>
          </w:p>
        </w:tc>
        <w:tc>
          <w:tcPr>
            <w:tcW w:w="1040" w:type="dxa"/>
            <w:tcBorders>
              <w:bottom w:val="single" w:sz="12" w:space="0" w:color="000000"/>
            </w:tcBorders>
            <w:shd w:fill="auto" w:val="clear"/>
            <w:tcMar>
              <w:bottom w:w="28" w:type="dxa"/>
            </w:tcMar>
            <w:vAlign w:val="center"/>
          </w:tcPr>
          <w:p>
            <w:pPr>
              <w:pStyle w:val="TableContents"/>
              <w:spacing w:before="0" w:after="283"/>
              <w:jc w:val="center"/>
              <w:rPr>
                <w:rFonts w:ascii="Arial" w:hAnsi="Arial"/>
                <w:b/>
                <w:sz w:val="15"/>
              </w:rPr>
            </w:pPr>
            <w:r>
              <w:rPr>
                <w:rFonts w:ascii="Arial" w:hAnsi="Arial"/>
                <w:b/>
                <w:sz w:val="15"/>
              </w:rPr>
              <w:t>VALUE</w:t>
              <w:br/>
              <w:t>REALIZED ON</w:t>
              <w:br/>
              <w:t>VESTING</w:t>
              <w:br/>
              <w:t>($)</w:t>
            </w:r>
          </w:p>
        </w:tc>
      </w:tr>
      <w:tr>
        <w:trPr/>
        <w:tc>
          <w:tcPr>
            <w:tcW w:w="1940" w:type="dxa"/>
            <w:tcBorders>
              <w:bottom w:val="single" w:sz="8" w:space="0" w:color="000000"/>
            </w:tcBorders>
            <w:shd w:fill="auto" w:val="clear"/>
            <w:tcMar>
              <w:bottom w:w="28" w:type="dxa"/>
            </w:tcMar>
            <w:vAlign w:val="center"/>
          </w:tcPr>
          <w:p>
            <w:pPr>
              <w:pStyle w:val="TableContents"/>
              <w:spacing w:before="0" w:after="283"/>
              <w:jc w:val="left"/>
              <w:rPr>
                <w:rFonts w:ascii="Arial" w:hAnsi="Arial"/>
                <w:b/>
                <w:sz w:val="20"/>
              </w:rPr>
            </w:pPr>
            <w:r>
              <w:rPr>
                <w:rFonts w:ascii="Arial" w:hAnsi="Arial"/>
                <w:b/>
                <w:sz w:val="20"/>
              </w:rPr>
              <w:t>Brian L. Roberts</w:t>
            </w:r>
          </w:p>
        </w:tc>
        <w:tc>
          <w:tcPr>
            <w:tcW w:w="3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85"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3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40"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3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1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170,923</w:t>
            </w:r>
          </w:p>
        </w:tc>
        <w:tc>
          <w:tcPr>
            <w:tcW w:w="290" w:type="dxa"/>
            <w:tcBorders>
              <w:bottom w:val="single" w:sz="8" w:space="0" w:color="000000"/>
            </w:tcBorders>
            <w:shd w:fill="auto" w:val="clear"/>
            <w:tcMar>
              <w:bottom w:w="28" w:type="dxa"/>
            </w:tcMar>
            <w:vAlign w:val="center"/>
          </w:tcPr>
          <w:p>
            <w:pPr>
              <w:pStyle w:val="TableContents"/>
              <w:spacing w:before="0" w:after="283"/>
              <w:jc w:val="left"/>
              <w:rPr>
                <w:rFonts w:ascii="Arial" w:hAnsi="Arial"/>
                <w:sz w:val="20"/>
              </w:rPr>
            </w:pPr>
            <w:r>
              <w:rPr>
                <w:rFonts w:ascii="Arial" w:hAnsi="Arial"/>
                <w:position w:val="7"/>
                <w:sz w:val="16"/>
                <w:sz w:val="20"/>
              </w:rPr>
              <w:t>(1)</w:t>
            </w:r>
            <w:r>
              <w:rPr>
                <w:rFonts w:ascii="Arial" w:hAnsi="Arial"/>
                <w:sz w:val="20"/>
              </w:rPr>
              <w:t> </w:t>
            </w:r>
          </w:p>
        </w:tc>
        <w:tc>
          <w:tcPr>
            <w:tcW w:w="3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4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7,909,529</w:t>
            </w:r>
          </w:p>
        </w:tc>
      </w:tr>
      <w:tr>
        <w:trPr/>
        <w:tc>
          <w:tcPr>
            <w:tcW w:w="1940" w:type="dxa"/>
            <w:tcBorders>
              <w:bottom w:val="single" w:sz="8" w:space="0" w:color="000000"/>
            </w:tcBorders>
            <w:shd w:fill="auto" w:val="clear"/>
            <w:tcMar>
              <w:bottom w:w="28" w:type="dxa"/>
            </w:tcMar>
            <w:vAlign w:val="center"/>
          </w:tcPr>
          <w:p>
            <w:pPr>
              <w:pStyle w:val="TableContents"/>
              <w:spacing w:before="0" w:after="283"/>
              <w:jc w:val="left"/>
              <w:rPr>
                <w:rFonts w:ascii="Arial" w:hAnsi="Arial"/>
                <w:b/>
                <w:sz w:val="20"/>
              </w:rPr>
            </w:pPr>
            <w:r>
              <w:rPr>
                <w:rFonts w:ascii="Arial" w:hAnsi="Arial"/>
                <w:b/>
                <w:sz w:val="20"/>
              </w:rPr>
              <w:t>Michael J. Cavanagh</w:t>
            </w:r>
          </w:p>
        </w:tc>
        <w:tc>
          <w:tcPr>
            <w:tcW w:w="3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85"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3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40"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3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1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136,687</w:t>
            </w:r>
          </w:p>
        </w:tc>
        <w:tc>
          <w:tcPr>
            <w:tcW w:w="29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3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4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6,315,473</w:t>
            </w:r>
          </w:p>
        </w:tc>
      </w:tr>
      <w:tr>
        <w:trPr/>
        <w:tc>
          <w:tcPr>
            <w:tcW w:w="1940" w:type="dxa"/>
            <w:tcBorders>
              <w:bottom w:val="single" w:sz="8" w:space="0" w:color="000000"/>
            </w:tcBorders>
            <w:shd w:fill="auto" w:val="clear"/>
            <w:tcMar>
              <w:bottom w:w="28" w:type="dxa"/>
            </w:tcMar>
            <w:vAlign w:val="center"/>
          </w:tcPr>
          <w:p>
            <w:pPr>
              <w:pStyle w:val="TableContents"/>
              <w:spacing w:before="0" w:after="283"/>
              <w:jc w:val="left"/>
              <w:rPr>
                <w:rFonts w:ascii="Arial" w:hAnsi="Arial"/>
                <w:b/>
                <w:sz w:val="20"/>
              </w:rPr>
            </w:pPr>
            <w:r>
              <w:rPr>
                <w:rFonts w:ascii="Arial" w:hAnsi="Arial"/>
                <w:b/>
                <w:sz w:val="20"/>
              </w:rPr>
              <w:t>David N. Watson</w:t>
            </w:r>
          </w:p>
        </w:tc>
        <w:tc>
          <w:tcPr>
            <w:tcW w:w="3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85"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169,000</w:t>
            </w:r>
          </w:p>
        </w:tc>
        <w:tc>
          <w:tcPr>
            <w:tcW w:w="3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4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5,212,805</w:t>
            </w:r>
          </w:p>
        </w:tc>
        <w:tc>
          <w:tcPr>
            <w:tcW w:w="3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1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95,001</w:t>
            </w:r>
          </w:p>
        </w:tc>
        <w:tc>
          <w:tcPr>
            <w:tcW w:w="29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3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4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4,433,067</w:t>
            </w:r>
          </w:p>
        </w:tc>
      </w:tr>
      <w:tr>
        <w:trPr/>
        <w:tc>
          <w:tcPr>
            <w:tcW w:w="1940" w:type="dxa"/>
            <w:tcBorders>
              <w:bottom w:val="single" w:sz="8" w:space="0" w:color="000000"/>
            </w:tcBorders>
            <w:shd w:fill="auto" w:val="clear"/>
            <w:tcMar>
              <w:bottom w:w="28" w:type="dxa"/>
            </w:tcMar>
            <w:vAlign w:val="center"/>
          </w:tcPr>
          <w:p>
            <w:pPr>
              <w:pStyle w:val="TableContents"/>
              <w:spacing w:before="0" w:after="283"/>
              <w:jc w:val="left"/>
              <w:rPr>
                <w:rFonts w:ascii="Arial" w:hAnsi="Arial"/>
                <w:b/>
                <w:sz w:val="20"/>
              </w:rPr>
            </w:pPr>
            <w:r>
              <w:rPr>
                <w:rFonts w:ascii="Arial" w:hAnsi="Arial"/>
                <w:b/>
                <w:sz w:val="20"/>
              </w:rPr>
              <w:t>Jeffrey Shell</w:t>
            </w:r>
          </w:p>
        </w:tc>
        <w:tc>
          <w:tcPr>
            <w:tcW w:w="3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85"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3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40"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3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1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71,507</w:t>
            </w:r>
          </w:p>
        </w:tc>
        <w:tc>
          <w:tcPr>
            <w:tcW w:w="29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3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4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3,215,119</w:t>
            </w:r>
          </w:p>
        </w:tc>
      </w:tr>
      <w:tr>
        <w:trPr/>
        <w:tc>
          <w:tcPr>
            <w:tcW w:w="1940" w:type="dxa"/>
            <w:tcBorders>
              <w:bottom w:val="single" w:sz="8" w:space="0" w:color="000000"/>
            </w:tcBorders>
            <w:shd w:fill="auto" w:val="clear"/>
            <w:tcMar>
              <w:bottom w:w="28" w:type="dxa"/>
            </w:tcMar>
            <w:vAlign w:val="center"/>
          </w:tcPr>
          <w:p>
            <w:pPr>
              <w:pStyle w:val="TableContents"/>
              <w:spacing w:before="0" w:after="283"/>
              <w:jc w:val="left"/>
              <w:rPr>
                <w:rFonts w:ascii="Arial" w:hAnsi="Arial"/>
                <w:b/>
                <w:sz w:val="20"/>
              </w:rPr>
            </w:pPr>
            <w:r>
              <w:rPr>
                <w:rFonts w:ascii="Arial" w:hAnsi="Arial"/>
                <w:b/>
                <w:sz w:val="20"/>
              </w:rPr>
              <w:t>Dana Strong</w:t>
            </w:r>
          </w:p>
        </w:tc>
        <w:tc>
          <w:tcPr>
            <w:tcW w:w="3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85"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3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40"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3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1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42,502</w:t>
            </w:r>
          </w:p>
        </w:tc>
        <w:tc>
          <w:tcPr>
            <w:tcW w:w="29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3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4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1,807,006</w:t>
            </w:r>
          </w:p>
        </w:tc>
      </w:tr>
    </w:tbl>
    <w:tbl>
      <w:tblPr>
        <w:tblW w:w="10205" w:type="dxa"/>
        <w:jc w:val="left"/>
        <w:tblInd w:w="0" w:type="dxa"/>
        <w:tblCellMar>
          <w:top w:w="0" w:type="dxa"/>
          <w:left w:w="0" w:type="dxa"/>
          <w:bottom w:w="0" w:type="dxa"/>
          <w:right w:w="0" w:type="dxa"/>
        </w:tblCellMar>
      </w:tblPr>
      <w:tblGrid>
        <w:gridCol w:w="160"/>
        <w:gridCol w:w="10045"/>
      </w:tblGrid>
      <w:tr>
        <w:trPr/>
        <w:tc>
          <w:tcPr>
            <w:tcW w:w="160" w:type="dxa"/>
            <w:tcBorders/>
            <w:shd w:fill="auto" w:val="clear"/>
            <w:vAlign w:val="center"/>
          </w:tcPr>
          <w:p>
            <w:pPr>
              <w:pStyle w:val="TableContents"/>
              <w:spacing w:before="0" w:after="283"/>
              <w:jc w:val="left"/>
              <w:rPr>
                <w:rFonts w:ascii="Arial" w:hAnsi="Arial"/>
                <w:sz w:val="15"/>
              </w:rPr>
            </w:pPr>
            <w:r>
              <w:rPr>
                <w:rFonts w:ascii="Arial" w:hAnsi="Arial"/>
                <w:position w:val="5"/>
                <w:sz w:val="12"/>
                <w:sz w:val="15"/>
              </w:rPr>
              <w:t xml:space="preserve">(1) </w:t>
            </w:r>
            <w:r>
              <w:rPr>
                <w:rFonts w:ascii="Arial" w:hAnsi="Arial"/>
                <w:sz w:val="15"/>
              </w:rPr>
              <w:t> </w:t>
            </w:r>
          </w:p>
        </w:tc>
        <w:tc>
          <w:tcPr>
            <w:tcW w:w="10045" w:type="dxa"/>
            <w:tcBorders/>
            <w:shd w:fill="auto" w:val="clear"/>
            <w:vAlign w:val="center"/>
          </w:tcPr>
          <w:p>
            <w:pPr>
              <w:pStyle w:val="TableContents"/>
              <w:spacing w:before="0" w:after="283"/>
              <w:jc w:val="left"/>
              <w:rPr>
                <w:rFonts w:ascii="Arial" w:hAnsi="Arial"/>
                <w:sz w:val="15"/>
              </w:rPr>
            </w:pPr>
            <w:r>
              <w:rPr>
                <w:rFonts w:ascii="Arial" w:hAnsi="Arial"/>
                <w:sz w:val="15"/>
              </w:rPr>
              <w:t>Mr. Roberts deferred the receipt of shares relating to 23,143, 26,136 and 66,665 PSUs that vested on March 15, 2022, March 16, 2022 and March 17, 2022, respectively. The value of the stock units realized on vesting is based on the value of a share of Class A common stock on the vesting date, regardless of whether the receipt of the shares underlying the PSUs had been deferred. The actual value of the stock units realized upon settlement may be different than the value reflected in this table. The value realized on vesting also is reflected in the “Executive Contributions in Last FY” column of the “Nonqualified Deferred Compensation in and as of Fiscal Year-End” table immediately below.</w:t>
            </w:r>
          </w:p>
        </w:tc>
      </w:tr>
    </w:tbl>
    <w:p>
      <w:pPr>
        <w:pStyle w:val="TextBody"/>
        <w:spacing w:before="0" w:after="0"/>
        <w:rPr/>
      </w:pPr>
      <w:r>
        <w:rPr/>
      </w:r>
    </w:p>
    <w:tbl>
      <w:tblPr>
        <w:tblW w:w="2200" w:type="dxa"/>
        <w:jc w:val="left"/>
        <w:tblInd w:w="0" w:type="dxa"/>
        <w:tblCellMar>
          <w:top w:w="0" w:type="dxa"/>
          <w:left w:w="0" w:type="dxa"/>
          <w:bottom w:w="0" w:type="dxa"/>
          <w:right w:w="0" w:type="dxa"/>
        </w:tblCellMar>
      </w:tblPr>
      <w:tblGrid>
        <w:gridCol w:w="1580"/>
        <w:gridCol w:w="620"/>
      </w:tblGrid>
      <w:tr>
        <w:trPr/>
        <w:tc>
          <w:tcPr>
            <w:tcW w:w="1580" w:type="dxa"/>
            <w:tcBorders/>
            <w:shd w:fill="auto" w:val="clear"/>
            <w:vAlign w:val="center"/>
          </w:tcPr>
          <w:p>
            <w:pPr>
              <w:pStyle w:val="TableContents"/>
              <w:spacing w:before="0" w:after="283"/>
              <w:jc w:val="right"/>
              <w:rPr>
                <w:rFonts w:ascii="Arial" w:hAnsi="Arial"/>
                <w:sz w:val="15"/>
              </w:rPr>
            </w:pPr>
            <w:r>
              <w:rPr>
                <w:rFonts w:ascii="Arial" w:hAnsi="Arial"/>
                <w:sz w:val="15"/>
              </w:rPr>
              <w:t>2023 Proxy Statement</w:t>
            </w:r>
          </w:p>
        </w:tc>
        <w:tc>
          <w:tcPr>
            <w:tcW w:w="620" w:type="dxa"/>
            <w:tcBorders/>
            <w:shd w:fill="auto" w:val="clear"/>
            <w:vAlign w:val="center"/>
          </w:tcPr>
          <w:p>
            <w:pPr>
              <w:pStyle w:val="TableContents"/>
              <w:spacing w:before="0" w:after="283"/>
              <w:jc w:val="right"/>
              <w:rPr/>
            </w:pPr>
            <w:r>
              <w:rPr/>
              <w:t>       </w:t>
            </w:r>
            <w:r>
              <w:rPr>
                <w:rFonts w:ascii="Arial" w:hAnsi="Arial"/>
                <w:b/>
                <w:sz w:val="15"/>
              </w:rPr>
              <w:t>59</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p>
      <w:pPr>
        <w:pStyle w:val="TextBody"/>
        <w:jc w:val="left"/>
        <w:rPr>
          <w:rFonts w:ascii="Arial" w:hAnsi="Arial"/>
          <w:sz w:val="28"/>
        </w:rPr>
      </w:pPr>
      <w:bookmarkStart w:id="28" w:name="nonqualifieddeferred"/>
      <w:bookmarkEnd w:id="28"/>
      <w:r>
        <w:rPr>
          <w:rFonts w:ascii="Arial" w:hAnsi="Arial"/>
          <w:sz w:val="28"/>
        </w:rPr>
        <w:t>Nonqualified Deferred Compensation in and as of Fiscal Year-End</w:t>
      </w:r>
    </w:p>
    <w:p>
      <w:pPr>
        <w:pStyle w:val="TextBody"/>
        <w:jc w:val="left"/>
        <w:rPr>
          <w:rFonts w:ascii="Arial" w:hAnsi="Arial"/>
          <w:sz w:val="20"/>
        </w:rPr>
      </w:pPr>
      <w:r>
        <w:rPr>
          <w:rFonts w:ascii="Arial" w:hAnsi="Arial"/>
          <w:sz w:val="20"/>
        </w:rPr>
        <w:t>The table below provides information on the nonqualified deferred compensation of our NEOs in and as of the end of 2022.</w:t>
      </w:r>
      <w:r>
        <w:rPr>
          <w:rFonts w:ascii="Arial" w:hAnsi="Arial"/>
          <w:position w:val="7"/>
          <w:sz w:val="16"/>
          <w:sz w:val="20"/>
        </w:rPr>
        <w:t>(1)</w:t>
      </w:r>
    </w:p>
    <w:tbl>
      <w:tblPr>
        <w:tblW w:w="7564" w:type="dxa"/>
        <w:jc w:val="left"/>
        <w:tblInd w:w="0" w:type="dxa"/>
        <w:tblCellMar>
          <w:top w:w="0" w:type="dxa"/>
          <w:left w:w="0" w:type="dxa"/>
          <w:bottom w:w="40" w:type="dxa"/>
          <w:right w:w="0" w:type="dxa"/>
        </w:tblCellMar>
      </w:tblPr>
      <w:tblGrid>
        <w:gridCol w:w="1940"/>
        <w:gridCol w:w="1059"/>
        <w:gridCol w:w="290"/>
        <w:gridCol w:w="300"/>
        <w:gridCol w:w="1100"/>
        <w:gridCol w:w="300"/>
        <w:gridCol w:w="1105"/>
        <w:gridCol w:w="85"/>
        <w:gridCol w:w="300"/>
        <w:gridCol w:w="1085"/>
      </w:tblGrid>
      <w:tr>
        <w:trPr/>
        <w:tc>
          <w:tcPr>
            <w:tcW w:w="1940" w:type="dxa"/>
            <w:tcBorders>
              <w:bottom w:val="single" w:sz="16" w:space="0" w:color="000000"/>
            </w:tcBorders>
            <w:shd w:fill="auto" w:val="clear"/>
            <w:vAlign w:val="center"/>
          </w:tcPr>
          <w:p>
            <w:pPr>
              <w:pStyle w:val="TableContents"/>
              <w:spacing w:before="0" w:after="283"/>
              <w:jc w:val="left"/>
              <w:rPr/>
            </w:pPr>
            <w:r>
              <w:rPr>
                <w:rStyle w:val="StrongEmphasis"/>
                <w:rFonts w:ascii="Arial" w:hAnsi="Arial"/>
                <w:sz w:val="15"/>
              </w:rPr>
              <w:t>NAME</w:t>
            </w:r>
          </w:p>
        </w:tc>
        <w:tc>
          <w:tcPr>
            <w:tcW w:w="1349" w:type="dxa"/>
            <w:gridSpan w:val="2"/>
            <w:tcBorders>
              <w:bottom w:val="single" w:sz="16" w:space="0" w:color="000000"/>
            </w:tcBorders>
            <w:shd w:fill="auto" w:val="clear"/>
            <w:vAlign w:val="center"/>
          </w:tcPr>
          <w:p>
            <w:pPr>
              <w:pStyle w:val="TableContents"/>
              <w:spacing w:before="0" w:after="283"/>
              <w:jc w:val="center"/>
              <w:rPr>
                <w:rFonts w:ascii="Arial" w:hAnsi="Arial"/>
                <w:b/>
                <w:sz w:val="15"/>
              </w:rPr>
            </w:pPr>
            <w:r>
              <w:rPr>
                <w:rFonts w:ascii="Arial" w:hAnsi="Arial"/>
                <w:b/>
                <w:sz w:val="15"/>
              </w:rPr>
              <w:t>EXECUTIVE</w:t>
              <w:br/>
              <w:t>CONTRIBUTIONS</w:t>
              <w:br/>
              <w:t>IN LAST FY</w:t>
            </w:r>
            <w:r>
              <w:rPr>
                <w:rFonts w:ascii="Arial" w:hAnsi="Arial"/>
                <w:b/>
                <w:position w:val="5"/>
                <w:sz w:val="12"/>
                <w:sz w:val="15"/>
              </w:rPr>
              <w:t>(2)</w:t>
            </w:r>
            <w:r>
              <w:rPr>
                <w:rFonts w:ascii="Arial" w:hAnsi="Arial"/>
                <w:b/>
                <w:sz w:val="15"/>
              </w:rPr>
              <w:br/>
              <w:t>($)</w:t>
            </w:r>
          </w:p>
        </w:tc>
        <w:tc>
          <w:tcPr>
            <w:tcW w:w="300" w:type="dxa"/>
            <w:tcBorders>
              <w:bottom w:val="single" w:sz="16" w:space="0" w:color="000000"/>
            </w:tcBorders>
            <w:shd w:fill="auto" w:val="clear"/>
            <w:tcMar>
              <w:bottom w:w="28" w:type="dxa"/>
            </w:tcMar>
            <w:vAlign w:val="center"/>
          </w:tcPr>
          <w:p>
            <w:pPr>
              <w:pStyle w:val="TableContents"/>
              <w:spacing w:before="0" w:after="283"/>
              <w:rPr/>
            </w:pPr>
            <w:r>
              <w:rPr/>
              <w:t>     </w:t>
            </w:r>
          </w:p>
        </w:tc>
        <w:tc>
          <w:tcPr>
            <w:tcW w:w="1100" w:type="dxa"/>
            <w:tcBorders>
              <w:bottom w:val="single" w:sz="16" w:space="0" w:color="000000"/>
            </w:tcBorders>
            <w:shd w:fill="auto" w:val="clear"/>
            <w:vAlign w:val="center"/>
          </w:tcPr>
          <w:p>
            <w:pPr>
              <w:pStyle w:val="TableContents"/>
              <w:spacing w:before="0" w:after="283"/>
              <w:jc w:val="center"/>
              <w:rPr/>
            </w:pPr>
            <w:r>
              <w:rPr>
                <w:rStyle w:val="StrongEmphasis"/>
                <w:rFonts w:ascii="Arial" w:hAnsi="Arial"/>
                <w:sz w:val="15"/>
              </w:rPr>
              <w:t>AGGREGATE</w:t>
              <w:br/>
              <w:t>EARNINGS IN</w:t>
              <w:br/>
              <w:t>LAST FY</w:t>
              <w:br/>
              <w:t>($)</w:t>
            </w:r>
          </w:p>
        </w:tc>
        <w:tc>
          <w:tcPr>
            <w:tcW w:w="300" w:type="dxa"/>
            <w:tcBorders>
              <w:bottom w:val="single" w:sz="16" w:space="0" w:color="000000"/>
            </w:tcBorders>
            <w:shd w:fill="auto" w:val="clear"/>
            <w:tcMar>
              <w:bottom w:w="28" w:type="dxa"/>
            </w:tcMar>
            <w:vAlign w:val="center"/>
          </w:tcPr>
          <w:p>
            <w:pPr>
              <w:pStyle w:val="TableContents"/>
              <w:spacing w:before="0" w:after="283"/>
              <w:rPr/>
            </w:pPr>
            <w:r>
              <w:rPr/>
              <w:t>     </w:t>
            </w:r>
          </w:p>
        </w:tc>
        <w:tc>
          <w:tcPr>
            <w:tcW w:w="1190" w:type="dxa"/>
            <w:gridSpan w:val="2"/>
            <w:tcBorders>
              <w:bottom w:val="single" w:sz="16" w:space="0" w:color="000000"/>
            </w:tcBorders>
            <w:shd w:fill="auto" w:val="clear"/>
            <w:vAlign w:val="center"/>
          </w:tcPr>
          <w:p>
            <w:pPr>
              <w:pStyle w:val="TableContents"/>
              <w:spacing w:before="0" w:after="283"/>
              <w:jc w:val="center"/>
              <w:rPr/>
            </w:pPr>
            <w:r>
              <w:rPr>
                <w:rStyle w:val="StrongEmphasis"/>
                <w:rFonts w:ascii="Arial" w:hAnsi="Arial"/>
                <w:sz w:val="15"/>
              </w:rPr>
              <w:t>AGGREGATE</w:t>
              <w:br/>
              <w:t>WITHDRAWALS/</w:t>
              <w:br/>
              <w:t>DISTRIBUTIONS</w:t>
              <w:br/>
              <w:t>($)</w:t>
            </w:r>
          </w:p>
        </w:tc>
        <w:tc>
          <w:tcPr>
            <w:tcW w:w="300" w:type="dxa"/>
            <w:tcBorders>
              <w:bottom w:val="single" w:sz="16" w:space="0" w:color="000000"/>
            </w:tcBorders>
            <w:shd w:fill="auto" w:val="clear"/>
            <w:tcMar>
              <w:bottom w:w="28" w:type="dxa"/>
            </w:tcMar>
            <w:vAlign w:val="center"/>
          </w:tcPr>
          <w:p>
            <w:pPr>
              <w:pStyle w:val="TableContents"/>
              <w:spacing w:before="0" w:after="283"/>
              <w:rPr/>
            </w:pPr>
            <w:r>
              <w:rPr/>
              <w:t>     </w:t>
            </w:r>
          </w:p>
        </w:tc>
        <w:tc>
          <w:tcPr>
            <w:tcW w:w="1085" w:type="dxa"/>
            <w:tcBorders>
              <w:bottom w:val="single" w:sz="16" w:space="0" w:color="000000"/>
            </w:tcBorders>
            <w:shd w:fill="auto" w:val="clear"/>
            <w:vAlign w:val="center"/>
          </w:tcPr>
          <w:p>
            <w:pPr>
              <w:pStyle w:val="TableContents"/>
              <w:spacing w:before="0" w:after="283"/>
              <w:jc w:val="center"/>
              <w:rPr>
                <w:rFonts w:ascii="Arial" w:hAnsi="Arial"/>
                <w:b/>
                <w:sz w:val="15"/>
              </w:rPr>
            </w:pPr>
            <w:r>
              <w:rPr>
                <w:rFonts w:ascii="Arial" w:hAnsi="Arial"/>
                <w:b/>
                <w:sz w:val="15"/>
              </w:rPr>
              <w:t>AGGREGATE</w:t>
              <w:br/>
              <w:t>BALANCE AT</w:t>
              <w:br/>
              <w:t>LAST FYE</w:t>
            </w:r>
            <w:r>
              <w:rPr>
                <w:rFonts w:ascii="Arial" w:hAnsi="Arial"/>
                <w:b/>
                <w:position w:val="5"/>
                <w:sz w:val="12"/>
                <w:sz w:val="15"/>
              </w:rPr>
              <w:t>(2)</w:t>
            </w:r>
            <w:r>
              <w:rPr>
                <w:rFonts w:ascii="Arial" w:hAnsi="Arial"/>
                <w:b/>
                <w:sz w:val="15"/>
              </w:rPr>
              <w:br/>
              <w:t>($)</w:t>
            </w:r>
          </w:p>
        </w:tc>
      </w:tr>
      <w:tr>
        <w:trPr/>
        <w:tc>
          <w:tcPr>
            <w:tcW w:w="1940" w:type="dxa"/>
            <w:tcBorders>
              <w:bottom w:val="single" w:sz="8" w:space="0" w:color="000000"/>
            </w:tcBorders>
            <w:shd w:fill="auto" w:val="clear"/>
            <w:tcMar>
              <w:bottom w:w="28" w:type="dxa"/>
            </w:tcMar>
            <w:vAlign w:val="center"/>
          </w:tcPr>
          <w:p>
            <w:pPr>
              <w:pStyle w:val="TableContents"/>
              <w:spacing w:before="0" w:after="283"/>
              <w:jc w:val="left"/>
              <w:rPr/>
            </w:pPr>
            <w:r>
              <w:rPr>
                <w:rStyle w:val="StrongEmphasis"/>
                <w:rFonts w:ascii="Arial" w:hAnsi="Arial"/>
                <w:sz w:val="20"/>
              </w:rPr>
              <w:t>Brian L. Roberts</w:t>
            </w:r>
          </w:p>
        </w:tc>
        <w:tc>
          <w:tcPr>
            <w:tcW w:w="1059"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5,360,789</w:t>
            </w:r>
          </w:p>
        </w:tc>
        <w:tc>
          <w:tcPr>
            <w:tcW w:w="29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position w:val="7"/>
                <w:sz w:val="16"/>
                <w:sz w:val="20"/>
              </w:rPr>
              <w:t>(1)</w:t>
            </w:r>
            <w:r>
              <w:rPr>
                <w:rFonts w:ascii="Arial" w:hAnsi="Arial"/>
                <w:sz w:val="20"/>
              </w:rPr>
              <w:t> </w:t>
            </w:r>
          </w:p>
        </w:tc>
        <w:tc>
          <w:tcPr>
            <w:tcW w:w="300" w:type="dxa"/>
            <w:tcBorders>
              <w:bottom w:val="single" w:sz="8" w:space="0" w:color="000000"/>
            </w:tcBorders>
            <w:shd w:fill="auto" w:val="clear"/>
            <w:tcMar>
              <w:bottom w:w="28" w:type="dxa"/>
            </w:tcMar>
            <w:vAlign w:val="center"/>
          </w:tcPr>
          <w:p>
            <w:pPr>
              <w:pStyle w:val="TableContents"/>
              <w:spacing w:before="0" w:after="283"/>
              <w:rPr/>
            </w:pPr>
            <w:r>
              <w:rPr/>
              <w:t> </w:t>
            </w:r>
          </w:p>
        </w:tc>
        <w:tc>
          <w:tcPr>
            <w:tcW w:w="110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(28,649,903)</w:t>
            </w:r>
          </w:p>
        </w:tc>
        <w:tc>
          <w:tcPr>
            <w:tcW w:w="300" w:type="dxa"/>
            <w:tcBorders>
              <w:bottom w:val="single" w:sz="8" w:space="0" w:color="000000"/>
            </w:tcBorders>
            <w:shd w:fill="auto" w:val="clear"/>
            <w:tcMar>
              <w:bottom w:w="28" w:type="dxa"/>
            </w:tcMar>
            <w:vAlign w:val="center"/>
          </w:tcPr>
          <w:p>
            <w:pPr>
              <w:pStyle w:val="TableContents"/>
              <w:spacing w:before="0" w:after="283"/>
              <w:rPr/>
            </w:pPr>
            <w:r>
              <w:rPr/>
              <w:t> </w:t>
            </w:r>
          </w:p>
        </w:tc>
        <w:tc>
          <w:tcPr>
            <w:tcW w:w="1105"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(1,096,593</w:t>
            </w:r>
          </w:p>
        </w:tc>
        <w:tc>
          <w:tcPr>
            <w:tcW w:w="85"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300" w:type="dxa"/>
            <w:tcBorders>
              <w:bottom w:val="single" w:sz="8" w:space="0" w:color="000000"/>
            </w:tcBorders>
            <w:shd w:fill="auto" w:val="clear"/>
            <w:tcMar>
              <w:bottom w:w="28" w:type="dxa"/>
            </w:tcMar>
            <w:vAlign w:val="center"/>
          </w:tcPr>
          <w:p>
            <w:pPr>
              <w:pStyle w:val="TableContents"/>
              <w:spacing w:before="0" w:after="283"/>
              <w:rPr/>
            </w:pPr>
            <w:r>
              <w:rPr/>
              <w:t> </w:t>
            </w:r>
          </w:p>
        </w:tc>
        <w:tc>
          <w:tcPr>
            <w:tcW w:w="1085"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115,004,649</w:t>
            </w:r>
          </w:p>
        </w:tc>
      </w:tr>
      <w:tr>
        <w:trPr/>
        <w:tc>
          <w:tcPr>
            <w:tcW w:w="1940" w:type="dxa"/>
            <w:tcBorders>
              <w:bottom w:val="single" w:sz="8" w:space="0" w:color="000000"/>
            </w:tcBorders>
            <w:shd w:fill="auto" w:val="clear"/>
            <w:tcMar>
              <w:bottom w:w="28" w:type="dxa"/>
            </w:tcMar>
            <w:vAlign w:val="center"/>
          </w:tcPr>
          <w:p>
            <w:pPr>
              <w:pStyle w:val="TableContents"/>
              <w:spacing w:before="0" w:after="283"/>
              <w:jc w:val="left"/>
              <w:rPr/>
            </w:pPr>
            <w:r>
              <w:rPr>
                <w:rStyle w:val="StrongEmphasis"/>
                <w:rFonts w:ascii="Arial" w:hAnsi="Arial"/>
                <w:sz w:val="20"/>
              </w:rPr>
              <w:t>Michael J. Cavanagh</w:t>
            </w:r>
          </w:p>
        </w:tc>
        <w:tc>
          <w:tcPr>
            <w:tcW w:w="1059"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290" w:type="dxa"/>
            <w:tcBorders>
              <w:bottom w:val="single" w:sz="8" w:space="0" w:color="000000"/>
            </w:tcBorders>
            <w:shd w:fill="auto" w:val="clear"/>
            <w:tcMar>
              <w:bottom w:w="28" w:type="dxa"/>
            </w:tcMar>
            <w:vAlign w:val="center"/>
          </w:tcPr>
          <w:p>
            <w:pPr>
              <w:pStyle w:val="TableContents"/>
              <w:spacing w:before="0" w:after="283"/>
              <w:rPr/>
            </w:pPr>
            <w:r>
              <w:rPr/>
              <w:t> </w:t>
            </w:r>
          </w:p>
        </w:tc>
        <w:tc>
          <w:tcPr>
            <w:tcW w:w="300" w:type="dxa"/>
            <w:tcBorders>
              <w:bottom w:val="single" w:sz="8" w:space="0" w:color="000000"/>
            </w:tcBorders>
            <w:shd w:fill="auto" w:val="clear"/>
            <w:tcMar>
              <w:bottom w:w="28" w:type="dxa"/>
            </w:tcMar>
            <w:vAlign w:val="center"/>
          </w:tcPr>
          <w:p>
            <w:pPr>
              <w:pStyle w:val="TableContents"/>
              <w:spacing w:before="0" w:after="283"/>
              <w:rPr/>
            </w:pPr>
            <w:r>
              <w:rPr/>
              <w:t> </w:t>
            </w:r>
          </w:p>
        </w:tc>
        <w:tc>
          <w:tcPr>
            <w:tcW w:w="110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(5,201,796)</w:t>
            </w:r>
          </w:p>
        </w:tc>
        <w:tc>
          <w:tcPr>
            <w:tcW w:w="300" w:type="dxa"/>
            <w:tcBorders>
              <w:bottom w:val="single" w:sz="8" w:space="0" w:color="000000"/>
            </w:tcBorders>
            <w:shd w:fill="auto" w:val="clear"/>
            <w:tcMar>
              <w:bottom w:w="28" w:type="dxa"/>
            </w:tcMar>
            <w:vAlign w:val="center"/>
          </w:tcPr>
          <w:p>
            <w:pPr>
              <w:pStyle w:val="TableContents"/>
              <w:spacing w:before="0" w:after="283"/>
              <w:rPr/>
            </w:pPr>
            <w:r>
              <w:rPr/>
              <w:t> </w:t>
            </w:r>
          </w:p>
        </w:tc>
        <w:tc>
          <w:tcPr>
            <w:tcW w:w="1105"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(11,128,326</w:t>
            </w:r>
          </w:p>
        </w:tc>
        <w:tc>
          <w:tcPr>
            <w:tcW w:w="85"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300" w:type="dxa"/>
            <w:tcBorders>
              <w:bottom w:val="single" w:sz="8" w:space="0" w:color="000000"/>
            </w:tcBorders>
            <w:shd w:fill="auto" w:val="clear"/>
            <w:tcMar>
              <w:bottom w:w="28" w:type="dxa"/>
            </w:tcMar>
            <w:vAlign w:val="center"/>
          </w:tcPr>
          <w:p>
            <w:pPr>
              <w:pStyle w:val="TableContents"/>
              <w:spacing w:before="0" w:after="283"/>
              <w:rPr/>
            </w:pPr>
            <w:r>
              <w:rPr/>
              <w:t> </w:t>
            </w:r>
          </w:p>
        </w:tc>
        <w:tc>
          <w:tcPr>
            <w:tcW w:w="1085"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54,338,498</w:t>
            </w:r>
          </w:p>
        </w:tc>
      </w:tr>
      <w:tr>
        <w:trPr/>
        <w:tc>
          <w:tcPr>
            <w:tcW w:w="1940" w:type="dxa"/>
            <w:tcBorders>
              <w:bottom w:val="single" w:sz="8" w:space="0" w:color="000000"/>
            </w:tcBorders>
            <w:shd w:fill="auto" w:val="clear"/>
            <w:tcMar>
              <w:bottom w:w="28" w:type="dxa"/>
            </w:tcMar>
            <w:vAlign w:val="center"/>
          </w:tcPr>
          <w:p>
            <w:pPr>
              <w:pStyle w:val="TableContents"/>
              <w:spacing w:before="0" w:after="283"/>
              <w:jc w:val="left"/>
              <w:rPr/>
            </w:pPr>
            <w:r>
              <w:rPr>
                <w:rStyle w:val="StrongEmphasis"/>
                <w:rFonts w:ascii="Arial" w:hAnsi="Arial"/>
                <w:sz w:val="20"/>
              </w:rPr>
              <w:t>David N. Watson</w:t>
            </w:r>
          </w:p>
        </w:tc>
        <w:tc>
          <w:tcPr>
            <w:tcW w:w="1059"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290" w:type="dxa"/>
            <w:tcBorders>
              <w:bottom w:val="single" w:sz="8" w:space="0" w:color="000000"/>
            </w:tcBorders>
            <w:shd w:fill="auto" w:val="clear"/>
            <w:tcMar>
              <w:bottom w:w="28" w:type="dxa"/>
            </w:tcMar>
            <w:vAlign w:val="center"/>
          </w:tcPr>
          <w:p>
            <w:pPr>
              <w:pStyle w:val="TableContents"/>
              <w:spacing w:before="0" w:after="283"/>
              <w:rPr/>
            </w:pPr>
            <w:r>
              <w:rPr/>
              <w:t> </w:t>
            </w:r>
          </w:p>
        </w:tc>
        <w:tc>
          <w:tcPr>
            <w:tcW w:w="300" w:type="dxa"/>
            <w:tcBorders>
              <w:bottom w:val="single" w:sz="8" w:space="0" w:color="000000"/>
            </w:tcBorders>
            <w:shd w:fill="auto" w:val="clear"/>
            <w:tcMar>
              <w:bottom w:w="28" w:type="dxa"/>
            </w:tcMar>
            <w:vAlign w:val="center"/>
          </w:tcPr>
          <w:p>
            <w:pPr>
              <w:pStyle w:val="TableContents"/>
              <w:spacing w:before="0" w:after="283"/>
              <w:rPr/>
            </w:pPr>
            <w:r>
              <w:rPr/>
              <w:t> </w:t>
            </w:r>
          </w:p>
        </w:tc>
        <w:tc>
          <w:tcPr>
            <w:tcW w:w="110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(896,066)</w:t>
            </w:r>
          </w:p>
        </w:tc>
        <w:tc>
          <w:tcPr>
            <w:tcW w:w="300" w:type="dxa"/>
            <w:tcBorders>
              <w:bottom w:val="single" w:sz="8" w:space="0" w:color="000000"/>
            </w:tcBorders>
            <w:shd w:fill="auto" w:val="clear"/>
            <w:tcMar>
              <w:bottom w:w="28" w:type="dxa"/>
            </w:tcMar>
            <w:vAlign w:val="center"/>
          </w:tcPr>
          <w:p>
            <w:pPr>
              <w:pStyle w:val="TableContents"/>
              <w:spacing w:before="0" w:after="283"/>
              <w:rPr/>
            </w:pPr>
            <w:r>
              <w:rPr/>
              <w:t> </w:t>
            </w:r>
          </w:p>
        </w:tc>
        <w:tc>
          <w:tcPr>
            <w:tcW w:w="1105"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(25,679,551</w:t>
            </w:r>
          </w:p>
        </w:tc>
        <w:tc>
          <w:tcPr>
            <w:tcW w:w="85"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300" w:type="dxa"/>
            <w:tcBorders>
              <w:bottom w:val="single" w:sz="8" w:space="0" w:color="000000"/>
            </w:tcBorders>
            <w:shd w:fill="auto" w:val="clear"/>
            <w:tcMar>
              <w:bottom w:w="28" w:type="dxa"/>
            </w:tcMar>
            <w:vAlign w:val="center"/>
          </w:tcPr>
          <w:p>
            <w:pPr>
              <w:pStyle w:val="TableContents"/>
              <w:spacing w:before="0" w:after="283"/>
              <w:rPr/>
            </w:pPr>
            <w:r>
              <w:rPr/>
              <w:t> </w:t>
            </w:r>
          </w:p>
        </w:tc>
        <w:tc>
          <w:tcPr>
            <w:tcW w:w="1085"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12,748,779</w:t>
            </w:r>
          </w:p>
        </w:tc>
      </w:tr>
      <w:tr>
        <w:trPr/>
        <w:tc>
          <w:tcPr>
            <w:tcW w:w="1940" w:type="dxa"/>
            <w:tcBorders>
              <w:bottom w:val="single" w:sz="8" w:space="0" w:color="000000"/>
            </w:tcBorders>
            <w:shd w:fill="auto" w:val="clear"/>
            <w:tcMar>
              <w:bottom w:w="28" w:type="dxa"/>
            </w:tcMar>
            <w:vAlign w:val="center"/>
          </w:tcPr>
          <w:p>
            <w:pPr>
              <w:pStyle w:val="TableContents"/>
              <w:spacing w:before="0" w:after="283"/>
              <w:jc w:val="left"/>
              <w:rPr/>
            </w:pPr>
            <w:r>
              <w:rPr>
                <w:rStyle w:val="StrongEmphasis"/>
                <w:rFonts w:ascii="Arial" w:hAnsi="Arial"/>
                <w:sz w:val="20"/>
              </w:rPr>
              <w:t>Jeffrey Shell</w:t>
            </w:r>
          </w:p>
        </w:tc>
        <w:tc>
          <w:tcPr>
            <w:tcW w:w="1059"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290" w:type="dxa"/>
            <w:tcBorders>
              <w:bottom w:val="single" w:sz="8" w:space="0" w:color="000000"/>
            </w:tcBorders>
            <w:shd w:fill="auto" w:val="clear"/>
            <w:tcMar>
              <w:bottom w:w="28" w:type="dxa"/>
            </w:tcMar>
            <w:vAlign w:val="center"/>
          </w:tcPr>
          <w:p>
            <w:pPr>
              <w:pStyle w:val="TableContents"/>
              <w:spacing w:before="0" w:after="283"/>
              <w:rPr/>
            </w:pPr>
            <w:r>
              <w:rPr/>
              <w:t> </w:t>
            </w:r>
          </w:p>
        </w:tc>
        <w:tc>
          <w:tcPr>
            <w:tcW w:w="300" w:type="dxa"/>
            <w:tcBorders>
              <w:bottom w:val="single" w:sz="8" w:space="0" w:color="000000"/>
            </w:tcBorders>
            <w:shd w:fill="auto" w:val="clear"/>
            <w:tcMar>
              <w:bottom w:w="28" w:type="dxa"/>
            </w:tcMar>
            <w:vAlign w:val="center"/>
          </w:tcPr>
          <w:p>
            <w:pPr>
              <w:pStyle w:val="TableContents"/>
              <w:spacing w:before="0" w:after="283"/>
              <w:rPr/>
            </w:pPr>
            <w:r>
              <w:rPr/>
              <w:t> </w:t>
            </w:r>
          </w:p>
        </w:tc>
        <w:tc>
          <w:tcPr>
            <w:tcW w:w="110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(1,103,043)</w:t>
            </w:r>
          </w:p>
        </w:tc>
        <w:tc>
          <w:tcPr>
            <w:tcW w:w="300" w:type="dxa"/>
            <w:tcBorders>
              <w:bottom w:val="single" w:sz="8" w:space="0" w:color="000000"/>
            </w:tcBorders>
            <w:shd w:fill="auto" w:val="clear"/>
            <w:tcMar>
              <w:bottom w:w="28" w:type="dxa"/>
            </w:tcMar>
            <w:vAlign w:val="center"/>
          </w:tcPr>
          <w:p>
            <w:pPr>
              <w:pStyle w:val="TableContents"/>
              <w:spacing w:before="0" w:after="283"/>
              <w:rPr/>
            </w:pPr>
            <w:r>
              <w:rPr/>
              <w:t> </w:t>
            </w:r>
          </w:p>
        </w:tc>
        <w:tc>
          <w:tcPr>
            <w:tcW w:w="1105"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(4,122,284</w:t>
            </w:r>
          </w:p>
        </w:tc>
        <w:tc>
          <w:tcPr>
            <w:tcW w:w="85"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w:t>
            </w:r>
          </w:p>
        </w:tc>
        <w:tc>
          <w:tcPr>
            <w:tcW w:w="300" w:type="dxa"/>
            <w:tcBorders>
              <w:bottom w:val="single" w:sz="8" w:space="0" w:color="000000"/>
            </w:tcBorders>
            <w:shd w:fill="auto" w:val="clear"/>
            <w:tcMar>
              <w:bottom w:w="28" w:type="dxa"/>
            </w:tcMar>
            <w:vAlign w:val="center"/>
          </w:tcPr>
          <w:p>
            <w:pPr>
              <w:pStyle w:val="TableContents"/>
              <w:spacing w:before="0" w:after="283"/>
              <w:rPr/>
            </w:pPr>
            <w:r>
              <w:rPr/>
              <w:t> </w:t>
            </w:r>
          </w:p>
        </w:tc>
        <w:tc>
          <w:tcPr>
            <w:tcW w:w="1085"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2,824,107</w:t>
            </w:r>
          </w:p>
        </w:tc>
      </w:tr>
      <w:tr>
        <w:trPr/>
        <w:tc>
          <w:tcPr>
            <w:tcW w:w="1940" w:type="dxa"/>
            <w:tcBorders>
              <w:bottom w:val="single" w:sz="8" w:space="0" w:color="000000"/>
            </w:tcBorders>
            <w:shd w:fill="auto" w:val="clear"/>
            <w:tcMar>
              <w:bottom w:w="28" w:type="dxa"/>
            </w:tcMar>
            <w:vAlign w:val="center"/>
          </w:tcPr>
          <w:p>
            <w:pPr>
              <w:pStyle w:val="TableContents"/>
              <w:spacing w:before="0" w:after="283"/>
              <w:jc w:val="left"/>
              <w:rPr/>
            </w:pPr>
            <w:r>
              <w:rPr>
                <w:rStyle w:val="StrongEmphasis"/>
                <w:rFonts w:ascii="Arial" w:hAnsi="Arial"/>
                <w:sz w:val="20"/>
              </w:rPr>
              <w:t>Dana Strong</w:t>
            </w:r>
          </w:p>
        </w:tc>
        <w:tc>
          <w:tcPr>
            <w:tcW w:w="1059"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2,771,961</w:t>
            </w:r>
          </w:p>
        </w:tc>
        <w:tc>
          <w:tcPr>
            <w:tcW w:w="290" w:type="dxa"/>
            <w:tcBorders>
              <w:bottom w:val="single" w:sz="8" w:space="0" w:color="000000"/>
            </w:tcBorders>
            <w:shd w:fill="auto" w:val="clear"/>
            <w:tcMar>
              <w:bottom w:w="28" w:type="dxa"/>
            </w:tcMar>
            <w:vAlign w:val="center"/>
          </w:tcPr>
          <w:p>
            <w:pPr>
              <w:pStyle w:val="TableContents"/>
              <w:spacing w:before="0" w:after="283"/>
              <w:rPr/>
            </w:pPr>
            <w:r>
              <w:rPr/>
              <w:t> </w:t>
            </w:r>
          </w:p>
        </w:tc>
        <w:tc>
          <w:tcPr>
            <w:tcW w:w="300" w:type="dxa"/>
            <w:tcBorders>
              <w:bottom w:val="single" w:sz="8" w:space="0" w:color="000000"/>
            </w:tcBorders>
            <w:shd w:fill="auto" w:val="clear"/>
            <w:tcMar>
              <w:bottom w:w="28" w:type="dxa"/>
            </w:tcMar>
            <w:vAlign w:val="center"/>
          </w:tcPr>
          <w:p>
            <w:pPr>
              <w:pStyle w:val="TableContents"/>
              <w:spacing w:before="0" w:after="283"/>
              <w:rPr/>
            </w:pPr>
            <w:r>
              <w:rPr/>
              <w:t> </w:t>
            </w:r>
          </w:p>
        </w:tc>
        <w:tc>
          <w:tcPr>
            <w:tcW w:w="110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(824,275)</w:t>
            </w:r>
          </w:p>
        </w:tc>
        <w:tc>
          <w:tcPr>
            <w:tcW w:w="300" w:type="dxa"/>
            <w:tcBorders>
              <w:bottom w:val="single" w:sz="8" w:space="0" w:color="000000"/>
            </w:tcBorders>
            <w:shd w:fill="auto" w:val="clear"/>
            <w:tcMar>
              <w:bottom w:w="28" w:type="dxa"/>
            </w:tcMar>
            <w:vAlign w:val="center"/>
          </w:tcPr>
          <w:p>
            <w:pPr>
              <w:pStyle w:val="TableContents"/>
              <w:spacing w:before="0" w:after="283"/>
              <w:rPr/>
            </w:pPr>
            <w:r>
              <w:rPr/>
              <w:t> </w:t>
            </w:r>
          </w:p>
        </w:tc>
        <w:tc>
          <w:tcPr>
            <w:tcW w:w="1105"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85" w:type="dxa"/>
            <w:tcBorders>
              <w:bottom w:val="single" w:sz="8" w:space="0" w:color="000000"/>
            </w:tcBorders>
            <w:shd w:fill="auto" w:val="clear"/>
            <w:tcMar>
              <w:bottom w:w="28" w:type="dxa"/>
            </w:tcMar>
            <w:vAlign w:val="center"/>
          </w:tcPr>
          <w:p>
            <w:pPr>
              <w:pStyle w:val="TableContents"/>
              <w:spacing w:before="0" w:after="283"/>
              <w:rPr/>
            </w:pPr>
            <w:r>
              <w:rPr/>
              <w:t> </w:t>
            </w:r>
          </w:p>
        </w:tc>
        <w:tc>
          <w:tcPr>
            <w:tcW w:w="300" w:type="dxa"/>
            <w:tcBorders>
              <w:bottom w:val="single" w:sz="8" w:space="0" w:color="000000"/>
            </w:tcBorders>
            <w:shd w:fill="auto" w:val="clear"/>
            <w:tcMar>
              <w:bottom w:w="28" w:type="dxa"/>
            </w:tcMar>
            <w:vAlign w:val="center"/>
          </w:tcPr>
          <w:p>
            <w:pPr>
              <w:pStyle w:val="TableContents"/>
              <w:spacing w:before="0" w:after="283"/>
              <w:rPr/>
            </w:pPr>
            <w:r>
              <w:rPr/>
              <w:t> </w:t>
            </w:r>
          </w:p>
        </w:tc>
        <w:tc>
          <w:tcPr>
            <w:tcW w:w="1085"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5,160,668</w:t>
            </w:r>
          </w:p>
        </w:tc>
      </w:tr>
    </w:tbl>
    <w:tbl>
      <w:tblPr>
        <w:tblW w:w="10205" w:type="dxa"/>
        <w:jc w:val="left"/>
        <w:tblInd w:w="0" w:type="dxa"/>
        <w:tblCellMar>
          <w:top w:w="0" w:type="dxa"/>
          <w:left w:w="0" w:type="dxa"/>
          <w:bottom w:w="0" w:type="dxa"/>
          <w:right w:w="0" w:type="dxa"/>
        </w:tblCellMar>
      </w:tblPr>
      <w:tblGrid>
        <w:gridCol w:w="132"/>
        <w:gridCol w:w="10073"/>
      </w:tblGrid>
      <w:tr>
        <w:trPr/>
        <w:tc>
          <w:tcPr>
            <w:tcW w:w="132"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(1)</w:t>
            </w:r>
          </w:p>
        </w:tc>
        <w:tc>
          <w:tcPr>
            <w:tcW w:w="10073" w:type="dxa"/>
            <w:tcBorders/>
            <w:shd w:fill="auto" w:val="clear"/>
            <w:vAlign w:val="center"/>
          </w:tcPr>
          <w:p>
            <w:pPr>
              <w:pStyle w:val="TableContents"/>
              <w:spacing w:before="0" w:after="283"/>
              <w:jc w:val="left"/>
              <w:rPr>
                <w:rFonts w:ascii="Arial" w:hAnsi="Arial"/>
                <w:sz w:val="15"/>
              </w:rPr>
            </w:pPr>
            <w:r>
              <w:rPr>
                <w:rFonts w:ascii="Arial" w:hAnsi="Arial"/>
                <w:sz w:val="15"/>
              </w:rPr>
              <w:t>Amounts in this table have been deferred under our deferred compensation plans, except for deferrals of stock units with respect to shares of Class A common stock under our restricted stock plan. Eligible employees and directors may participate in these plans. Amounts credited to an NEO’s account are invested notionally in a third-party mutual or exchange fund or our company’s common stock fund.</w:t>
              <w:br/>
              <w:br/>
              <w:t>Under our restricted stock plan, eligible employees may defer the receipt of shares that may, subject to an award of stock units, vest in the future. Upon vesting, deferred stock units are invested in our company stock fund. An employee who has elected to defer stock units may also make a “diversification election” of the shares subject to such stock units to have the value of such stock units transferred to our deferred compensation plans. Pursuant to our restricted stock plan, Mr. Roberts deferred the settlement of 23,143 PSUs, 26,136 PSUs and 66,665 PSUs that vested on March 15, 2022, March 16, 2022 and March 17, 2022, respectively.</w:t>
              <w:br/>
              <w:br/>
              <w:t>The amounts shown in the “Executive Contributions in Last FY” column reflect the aggregate value of (i) stock units that were deferred in 2022 as of their respective vesting dates and (ii) amounts deemed invested in third-party mutual or exchange funds under our deferred compensation plans; the amounts shown in the “Aggregate Earnings in Last FY” column reflect the value of any aggregate gain or loss in 2022. During 2022, (i) the annual rates of return under the third-party mutual or exchange funds were as follows: -12.05%, -13.00%, -18.13%, -39.58%, -1.64%, -18.12%, -23.24%, -15.74%, -15.76 and 1.54%, and (ii) the annual rate of return under our company stock fund was -28.69%. No amounts represent interest earned in excess of 120% of the long-term applicable federal rate.</w:t>
            </w:r>
          </w:p>
        </w:tc>
      </w:tr>
      <w:tr>
        <w:trPr/>
        <w:tc>
          <w:tcPr>
            <w:tcW w:w="132"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(2)</w:t>
            </w:r>
          </w:p>
        </w:tc>
        <w:tc>
          <w:tcPr>
            <w:tcW w:w="10073" w:type="dxa"/>
            <w:tcBorders/>
            <w:shd w:fill="auto" w:val="clear"/>
            <w:vAlign w:val="center"/>
          </w:tcPr>
          <w:p>
            <w:pPr>
              <w:pStyle w:val="TableContents"/>
              <w:spacing w:before="0" w:after="283"/>
              <w:jc w:val="left"/>
              <w:rPr>
                <w:rFonts w:ascii="Arial" w:hAnsi="Arial"/>
                <w:sz w:val="15"/>
              </w:rPr>
            </w:pPr>
            <w:r>
              <w:rPr>
                <w:rFonts w:ascii="Arial" w:hAnsi="Arial"/>
                <w:sz w:val="15"/>
              </w:rPr>
              <w:t>These amounts (other than amounts related to deferrals of PSUs) are reported as compensation in the “Summary Compensation Table” above under the columns “Salary” and “ Non-Equity Incentive Plan Compensation.” All amounts contributed in prior years under our deferred compensation plans have been reported in the Summary Compensation Table in previously filed proxy statements in the year earned to the extent an individual was an NEO for purposes of the SEC’s executive compensation disclosure. The grant date fair value of stock units deferred under our restricted stock plan has been reported in the year granted in the Summary Compensation Table in previously filed proxy statements. Fiscal year-end balances for each fund include net transfers between funds that occurred during the year.</w:t>
            </w:r>
          </w:p>
        </w:tc>
      </w:tr>
    </w:tbl>
    <w:p>
      <w:pPr>
        <w:pStyle w:val="TextBody"/>
        <w:spacing w:before="240" w:after="283"/>
        <w:jc w:val="left"/>
        <w:rPr>
          <w:rFonts w:ascii="Arial" w:hAnsi="Arial"/>
          <w:sz w:val="28"/>
        </w:rPr>
      </w:pPr>
      <w:bookmarkStart w:id="29" w:name="agreementswithournamed"/>
      <w:bookmarkEnd w:id="29"/>
      <w:r>
        <w:rPr>
          <w:rFonts w:ascii="Arial" w:hAnsi="Arial"/>
          <w:sz w:val="28"/>
        </w:rPr>
        <w:t>Agreements with Our Named Executive Officers</w:t>
      </w:r>
    </w:p>
    <w:p>
      <w:pPr>
        <w:pStyle w:val="TextBody"/>
        <w:jc w:val="left"/>
        <w:rPr>
          <w:rFonts w:ascii="Arial" w:hAnsi="Arial"/>
          <w:sz w:val="20"/>
        </w:rPr>
      </w:pPr>
      <w:r>
        <w:rPr>
          <w:rFonts w:ascii="Arial" w:hAnsi="Arial"/>
          <w:sz w:val="20"/>
        </w:rPr>
        <w:t>Each of our active NEOs has an employment agreement with us. Mr. Roberts’ agreement was effective as of August 1, 2017 and provides for an initial term of employment through July 31, 2020, which term will be extended automatically by one additional day for each day that elapses after August 1, 2017 (so that the term of the agreement will always be three years), unless otherwise terminated by either party in accordance with the employment agreement. Mr. Cavanagh’s agreement was entered into on December 28, 2022 and secures his employment through December 31, 2027. Mr. Watson’s agreement was entered into on October 25, 2022 and secures his employment through December 31, 2025. Ms. Strong’s agreement was entered into on January 1, 2021 and secures her employment through December 31, 2025.</w:t>
      </w:r>
    </w:p>
    <w:p>
      <w:pPr>
        <w:pStyle w:val="TextBody"/>
        <w:jc w:val="left"/>
        <w:rPr>
          <w:rFonts w:ascii="Arial" w:hAnsi="Arial"/>
          <w:sz w:val="20"/>
        </w:rPr>
      </w:pPr>
      <w:r>
        <w:rPr>
          <w:rFonts w:ascii="Arial" w:hAnsi="Arial"/>
          <w:sz w:val="20"/>
        </w:rPr>
        <w:t>Each of the employment agreements provides for a base salary either as specified in the agreement or otherwise then in effect. An NEO’s salary may not be reduced, except under an overall plan to reduce the salary on a basis consistent with other senior executives at their respective levels. The NEOs also are eligible to receive an annual performance bonus, payable in cash, of a percentage of their respective base salaries for the applicable year. Each NEO’s target bonus opportunity may not be less than 300% of their respective base salaries if all performance targets are achieved. Our NEOs are also entitled to receive certain severance benefits under their respective agreements in the event of a qualifying termination of employment as described under the “Potential Payments upon Termination or Change in Control” table below.</w:t>
      </w:r>
    </w:p>
    <w:p>
      <w:pPr>
        <w:pStyle w:val="TextBody"/>
        <w:jc w:val="left"/>
        <w:rPr>
          <w:rFonts w:ascii="Arial" w:hAnsi="Arial"/>
          <w:sz w:val="20"/>
        </w:rPr>
      </w:pPr>
      <w:r>
        <w:rPr>
          <w:rFonts w:ascii="Arial" w:hAnsi="Arial"/>
          <w:sz w:val="20"/>
        </w:rPr>
        <w:t>Under the agreements, each NEO has agreed not to compete with us during their employment and, in the event their employment terminates other than by us without cause or by them with good reason, for one year after termination of their employment.</w:t>
      </w:r>
    </w:p>
    <w:tbl>
      <w:tblPr>
        <w:tblW w:w="223" w:type="dxa"/>
        <w:jc w:val="left"/>
        <w:tblInd w:w="0" w:type="dxa"/>
        <w:tblCellMar>
          <w:top w:w="0" w:type="dxa"/>
          <w:left w:w="0" w:type="dxa"/>
          <w:bottom w:w="0" w:type="dxa"/>
          <w:right w:w="0" w:type="dxa"/>
        </w:tblCellMar>
      </w:tblPr>
      <w:tblGrid>
        <w:gridCol w:w="200"/>
        <w:gridCol w:w="23"/>
      </w:tblGrid>
      <w:tr>
        <w:trPr/>
        <w:tc>
          <w:tcPr>
            <w:tcW w:w="200" w:type="dxa"/>
            <w:tcBorders/>
            <w:shd w:fill="auto" w:val="clear"/>
            <w:vAlign w:val="center"/>
          </w:tcPr>
          <w:p>
            <w:pPr>
              <w:pStyle w:val="TableContents"/>
              <w:spacing w:before="0" w:after="283"/>
              <w:jc w:val="left"/>
              <w:rPr>
                <w:rFonts w:ascii="Arial" w:hAnsi="Arial"/>
                <w:b/>
                <w:sz w:val="15"/>
              </w:rPr>
            </w:pPr>
            <w:r>
              <w:rPr>
                <w:rFonts w:ascii="Arial" w:hAnsi="Arial"/>
                <w:b/>
                <w:sz w:val="15"/>
              </w:rPr>
              <w:t>60</w:t>
            </w:r>
          </w:p>
        </w:tc>
        <w:tc>
          <w:tcPr>
            <w:tcW w:w="2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p>
      <w:pPr>
        <w:pStyle w:val="TextBody"/>
        <w:jc w:val="left"/>
        <w:rPr>
          <w:rFonts w:ascii="Arial" w:hAnsi="Arial"/>
          <w:sz w:val="20"/>
        </w:rPr>
      </w:pPr>
      <w:r>
        <w:rPr>
          <w:rFonts w:ascii="Arial" w:hAnsi="Arial"/>
          <w:sz w:val="20"/>
        </w:rPr>
        <w:t>Each of our NEOs has agreed not to solicit our employees or customers for one year after termination of their employment and is subject to confidentiality covenants. Each has agreed to maintain the confidentiality of our information and not to use such information, except for our benefit, at all times during and after their employment with us.</w:t>
      </w:r>
    </w:p>
    <w:p>
      <w:pPr>
        <w:pStyle w:val="TextBody"/>
        <w:jc w:val="left"/>
        <w:rPr>
          <w:rFonts w:ascii="Arial" w:hAnsi="Arial"/>
          <w:sz w:val="20"/>
        </w:rPr>
      </w:pPr>
      <w:r>
        <w:rPr>
          <w:rFonts w:ascii="Arial" w:hAnsi="Arial"/>
          <w:sz w:val="20"/>
        </w:rPr>
        <w:t xml:space="preserve">As previously disclosed, Mr. Shell’s employment was terminated with cause on April 23, 2023. As a result, he did not receive any supplemental payments or benefits in connection with his termination. He will receive only his accrued but unpaid base salary and vacation time, vested employee benefits and reimbursement for any unreimbursed business expenses in accordance with his employment agreement. Upon his termination, all unvested PSUs and RSUs and all vested and unvested stock options, which had an estimated fair value of $43.3 million as of the termination date, were forfeited and canceled. </w:t>
      </w:r>
    </w:p>
    <w:p>
      <w:pPr>
        <w:pStyle w:val="TextBody"/>
        <w:jc w:val="left"/>
        <w:rPr>
          <w:rFonts w:ascii="Arial" w:hAnsi="Arial"/>
          <w:sz w:val="28"/>
        </w:rPr>
      </w:pPr>
      <w:bookmarkStart w:id="30" w:name="potentialpayments"/>
      <w:bookmarkEnd w:id="30"/>
      <w:r>
        <w:rPr>
          <w:rFonts w:ascii="Arial" w:hAnsi="Arial"/>
          <w:sz w:val="28"/>
        </w:rPr>
        <w:t>Potential Payments upon Termination or Change in Control</w:t>
      </w:r>
    </w:p>
    <w:p>
      <w:pPr>
        <w:pStyle w:val="TextBody"/>
        <w:jc w:val="left"/>
        <w:rPr>
          <w:rFonts w:ascii="Arial" w:hAnsi="Arial"/>
          <w:sz w:val="20"/>
        </w:rPr>
      </w:pPr>
      <w:r>
        <w:rPr>
          <w:rFonts w:ascii="Arial" w:hAnsi="Arial"/>
          <w:sz w:val="20"/>
        </w:rPr>
        <w:t>The table below describes the payments and benefits to which each of our active NEOs would have been entitled (i) had their employment terminated on December 31, 2022 (a) by us without cause or by them with good reason, (b) because of their death, (c) due to their disability or (d) upon their retirement or (ii) upon a change in control. In addition to the specific payments and benefits described below for each NEO, our NEOs also would have been entitled to receive any benefits due under the terms of our benefit plans and programs, including our deferred compensation plans described in further detail in the “Nonqualified Deferred Compensation in and as of Fiscal Year-End” table above. All amounts are estimates only, and actual amounts will vary depending upon the facts and circumstances applicable at the time of the triggering event.</w:t>
      </w:r>
    </w:p>
    <w:tbl>
      <w:tblPr>
        <w:tblW w:w="10205" w:type="dxa"/>
        <w:jc w:val="left"/>
        <w:tblInd w:w="0" w:type="dxa"/>
        <w:tblCellMar>
          <w:top w:w="0" w:type="dxa"/>
          <w:left w:w="0" w:type="dxa"/>
          <w:bottom w:w="40" w:type="dxa"/>
          <w:right w:w="0" w:type="dxa"/>
        </w:tblCellMar>
      </w:tblPr>
      <w:tblGrid>
        <w:gridCol w:w="1185"/>
        <w:gridCol w:w="1160"/>
        <w:gridCol w:w="180"/>
        <w:gridCol w:w="1160"/>
        <w:gridCol w:w="180"/>
        <w:gridCol w:w="1100"/>
        <w:gridCol w:w="180"/>
        <w:gridCol w:w="1280"/>
        <w:gridCol w:w="180"/>
        <w:gridCol w:w="1250"/>
        <w:gridCol w:w="180"/>
        <w:gridCol w:w="1160"/>
        <w:gridCol w:w="180"/>
        <w:gridCol w:w="830"/>
      </w:tblGrid>
      <w:tr>
        <w:trPr/>
        <w:tc>
          <w:tcPr>
            <w:tcW w:w="1185" w:type="dxa"/>
            <w:tcBorders>
              <w:bottom w:val="single" w:sz="16" w:space="0" w:color="000000"/>
            </w:tcBorders>
            <w:shd w:fill="auto" w:val="clear"/>
            <w:vAlign w:val="center"/>
          </w:tcPr>
          <w:p>
            <w:pPr>
              <w:pStyle w:val="TableContents"/>
              <w:spacing w:before="0" w:after="283"/>
              <w:jc w:val="left"/>
              <w:rPr/>
            </w:pPr>
            <w:r>
              <w:rPr>
                <w:rStyle w:val="StrongEmphasis"/>
                <w:rFonts w:ascii="Arial" w:hAnsi="Arial"/>
                <w:sz w:val="15"/>
              </w:rPr>
              <w:t>NAME</w:t>
            </w:r>
          </w:p>
        </w:tc>
        <w:tc>
          <w:tcPr>
            <w:tcW w:w="1160" w:type="dxa"/>
            <w:tcBorders>
              <w:bottom w:val="single" w:sz="16" w:space="0" w:color="000000"/>
            </w:tcBorders>
            <w:shd w:fill="auto" w:val="clear"/>
            <w:vAlign w:val="center"/>
          </w:tcPr>
          <w:p>
            <w:pPr>
              <w:pStyle w:val="TableContents"/>
              <w:spacing w:before="0" w:after="283"/>
              <w:jc w:val="center"/>
              <w:rPr/>
            </w:pPr>
            <w:r>
              <w:rPr>
                <w:rStyle w:val="StrongEmphasis"/>
                <w:rFonts w:ascii="Arial" w:hAnsi="Arial"/>
                <w:sz w:val="15"/>
              </w:rPr>
              <w:t>BASE SALARY</w:t>
              <w:br/>
              <w:t>CONTINUATION</w:t>
              <w:br/>
              <w:t>($)</w:t>
            </w:r>
          </w:p>
        </w:tc>
        <w:tc>
          <w:tcPr>
            <w:tcW w:w="180" w:type="dxa"/>
            <w:tcBorders>
              <w:bottom w:val="single" w:sz="16" w:space="0" w:color="000000"/>
            </w:tcBorders>
            <w:shd w:fill="auto" w:val="clear"/>
            <w:vAlign w:val="center"/>
          </w:tcPr>
          <w:p>
            <w:pPr>
              <w:pStyle w:val="TableContents"/>
              <w:spacing w:before="0" w:after="283"/>
              <w:jc w:val="center"/>
              <w:rPr/>
            </w:pPr>
            <w:r>
              <w:rPr>
                <w:rStyle w:val="StrongEmphasis"/>
              </w:rPr>
              <w:t>   </w:t>
            </w:r>
          </w:p>
        </w:tc>
        <w:tc>
          <w:tcPr>
            <w:tcW w:w="1160" w:type="dxa"/>
            <w:tcBorders>
              <w:bottom w:val="single" w:sz="16" w:space="0" w:color="000000"/>
            </w:tcBorders>
            <w:shd w:fill="auto" w:val="clear"/>
            <w:vAlign w:val="center"/>
          </w:tcPr>
          <w:p>
            <w:pPr>
              <w:pStyle w:val="TableContents"/>
              <w:spacing w:before="0" w:after="283"/>
              <w:jc w:val="center"/>
              <w:rPr/>
            </w:pPr>
            <w:r>
              <w:rPr>
                <w:rStyle w:val="StrongEmphasis"/>
                <w:rFonts w:ascii="Arial" w:hAnsi="Arial"/>
                <w:sz w:val="15"/>
              </w:rPr>
              <w:t>ANNUAL</w:t>
              <w:br/>
              <w:t>CASH BONUS</w:t>
              <w:br/>
              <w:t>CONTINUATION</w:t>
              <w:br/>
              <w:t>($)</w:t>
            </w:r>
          </w:p>
        </w:tc>
        <w:tc>
          <w:tcPr>
            <w:tcW w:w="180" w:type="dxa"/>
            <w:tcBorders>
              <w:bottom w:val="single" w:sz="16" w:space="0" w:color="000000"/>
            </w:tcBorders>
            <w:shd w:fill="auto" w:val="clear"/>
            <w:vAlign w:val="center"/>
          </w:tcPr>
          <w:p>
            <w:pPr>
              <w:pStyle w:val="TableContents"/>
              <w:spacing w:before="0" w:after="283"/>
              <w:jc w:val="center"/>
              <w:rPr/>
            </w:pPr>
            <w:r>
              <w:rPr>
                <w:rStyle w:val="StrongEmphasis"/>
              </w:rPr>
              <w:t>   </w:t>
            </w:r>
          </w:p>
        </w:tc>
        <w:tc>
          <w:tcPr>
            <w:tcW w:w="1100" w:type="dxa"/>
            <w:tcBorders>
              <w:bottom w:val="single" w:sz="16" w:space="0" w:color="000000"/>
            </w:tcBorders>
            <w:shd w:fill="auto" w:val="clear"/>
            <w:vAlign w:val="center"/>
          </w:tcPr>
          <w:p>
            <w:pPr>
              <w:pStyle w:val="TableContents"/>
              <w:spacing w:before="0" w:after="283"/>
              <w:jc w:val="center"/>
              <w:rPr/>
            </w:pPr>
            <w:r>
              <w:rPr>
                <w:rStyle w:val="StrongEmphasis"/>
                <w:rFonts w:ascii="Arial" w:hAnsi="Arial"/>
                <w:sz w:val="15"/>
              </w:rPr>
              <w:t>ACCRUED</w:t>
              <w:br/>
              <w:t>ANNUAL CASH</w:t>
              <w:br/>
              <w:t>BONUS</w:t>
              <w:br/>
              <w:t>($)</w:t>
            </w:r>
          </w:p>
        </w:tc>
        <w:tc>
          <w:tcPr>
            <w:tcW w:w="180" w:type="dxa"/>
            <w:tcBorders>
              <w:bottom w:val="single" w:sz="16" w:space="0" w:color="000000"/>
            </w:tcBorders>
            <w:shd w:fill="auto" w:val="clear"/>
            <w:vAlign w:val="center"/>
          </w:tcPr>
          <w:p>
            <w:pPr>
              <w:pStyle w:val="TableContents"/>
              <w:spacing w:before="0" w:after="283"/>
              <w:jc w:val="center"/>
              <w:rPr/>
            </w:pPr>
            <w:r>
              <w:rPr>
                <w:rStyle w:val="StrongEmphasis"/>
              </w:rPr>
              <w:t>   </w:t>
            </w:r>
          </w:p>
        </w:tc>
        <w:tc>
          <w:tcPr>
            <w:tcW w:w="1280" w:type="dxa"/>
            <w:tcBorders>
              <w:bottom w:val="single" w:sz="16" w:space="0" w:color="000000"/>
            </w:tcBorders>
            <w:shd w:fill="auto" w:val="clear"/>
            <w:vAlign w:val="center"/>
          </w:tcPr>
          <w:p>
            <w:pPr>
              <w:pStyle w:val="TableContents"/>
              <w:spacing w:before="0" w:after="283"/>
              <w:jc w:val="center"/>
              <w:rPr>
                <w:rFonts w:ascii="Arial" w:hAnsi="Arial"/>
                <w:b/>
                <w:sz w:val="15"/>
              </w:rPr>
            </w:pPr>
            <w:r>
              <w:rPr>
                <w:rFonts w:ascii="Arial" w:hAnsi="Arial"/>
                <w:b/>
                <w:sz w:val="15"/>
              </w:rPr>
              <w:t>ACCELERATION/</w:t>
              <w:br/>
              <w:t>CONTINUED</w:t>
              <w:br/>
              <w:t>VESTING &amp;</w:t>
              <w:br/>
              <w:t>EXERCISABILITY</w:t>
              <w:br/>
              <w:t>OF UNVESTED</w:t>
              <w:br/>
              <w:t>STOCK</w:t>
              <w:br/>
              <w:t>OPTIONS</w:t>
            </w:r>
            <w:r>
              <w:rPr>
                <w:rFonts w:ascii="Arial" w:hAnsi="Arial"/>
                <w:b/>
                <w:position w:val="5"/>
                <w:sz w:val="12"/>
                <w:sz w:val="15"/>
              </w:rPr>
              <w:t>(1)</w:t>
            </w:r>
            <w:r>
              <w:rPr>
                <w:rFonts w:ascii="Arial" w:hAnsi="Arial"/>
                <w:b/>
                <w:sz w:val="15"/>
              </w:rPr>
              <w:br/>
              <w:t>($)</w:t>
            </w:r>
          </w:p>
        </w:tc>
        <w:tc>
          <w:tcPr>
            <w:tcW w:w="180" w:type="dxa"/>
            <w:tcBorders>
              <w:bottom w:val="single" w:sz="16" w:space="0" w:color="000000"/>
            </w:tcBorders>
            <w:shd w:fill="auto" w:val="clear"/>
            <w:vAlign w:val="center"/>
          </w:tcPr>
          <w:p>
            <w:pPr>
              <w:pStyle w:val="TableContents"/>
              <w:spacing w:before="0" w:after="283"/>
              <w:jc w:val="center"/>
              <w:rPr/>
            </w:pPr>
            <w:r>
              <w:rPr>
                <w:rStyle w:val="StrongEmphasis"/>
              </w:rPr>
              <w:t>   </w:t>
            </w:r>
          </w:p>
        </w:tc>
        <w:tc>
          <w:tcPr>
            <w:tcW w:w="1250" w:type="dxa"/>
            <w:tcBorders>
              <w:bottom w:val="single" w:sz="16" w:space="0" w:color="000000"/>
            </w:tcBorders>
            <w:shd w:fill="auto" w:val="clear"/>
            <w:vAlign w:val="center"/>
          </w:tcPr>
          <w:p>
            <w:pPr>
              <w:pStyle w:val="TableContents"/>
              <w:spacing w:before="0" w:after="283"/>
              <w:jc w:val="center"/>
              <w:rPr>
                <w:rFonts w:ascii="Arial" w:hAnsi="Arial"/>
                <w:b/>
                <w:sz w:val="15"/>
              </w:rPr>
            </w:pPr>
            <w:r>
              <w:rPr>
                <w:rFonts w:ascii="Arial" w:hAnsi="Arial"/>
                <w:b/>
                <w:sz w:val="15"/>
              </w:rPr>
              <w:t>ACCELERATION/</w:t>
              <w:br/>
              <w:t>CONTINUED</w:t>
              <w:br/>
              <w:t>VESTING OF</w:t>
              <w:br/>
              <w:t>UNVESTED</w:t>
              <w:br/>
              <w:t>STOCK UNITS</w:t>
            </w:r>
            <w:r>
              <w:rPr>
                <w:rFonts w:ascii="Arial" w:hAnsi="Arial"/>
                <w:b/>
                <w:position w:val="5"/>
                <w:sz w:val="12"/>
                <w:sz w:val="15"/>
              </w:rPr>
              <w:t>(1)</w:t>
            </w:r>
            <w:r>
              <w:rPr>
                <w:rFonts w:ascii="Arial" w:hAnsi="Arial"/>
                <w:b/>
                <w:sz w:val="15"/>
              </w:rPr>
              <w:t xml:space="preserve"> </w:t>
              <w:br/>
              <w:t>($)</w:t>
            </w:r>
          </w:p>
        </w:tc>
        <w:tc>
          <w:tcPr>
            <w:tcW w:w="180" w:type="dxa"/>
            <w:tcBorders>
              <w:bottom w:val="single" w:sz="16" w:space="0" w:color="000000"/>
            </w:tcBorders>
            <w:shd w:fill="auto" w:val="clear"/>
            <w:vAlign w:val="center"/>
          </w:tcPr>
          <w:p>
            <w:pPr>
              <w:pStyle w:val="TableContents"/>
              <w:spacing w:before="0" w:after="283"/>
              <w:jc w:val="center"/>
              <w:rPr/>
            </w:pPr>
            <w:r>
              <w:rPr>
                <w:rStyle w:val="StrongEmphasis"/>
              </w:rPr>
              <w:t>   </w:t>
            </w:r>
          </w:p>
        </w:tc>
        <w:tc>
          <w:tcPr>
            <w:tcW w:w="1160" w:type="dxa"/>
            <w:tcBorders>
              <w:bottom w:val="single" w:sz="16" w:space="0" w:color="000000"/>
            </w:tcBorders>
            <w:shd w:fill="auto" w:val="clear"/>
            <w:vAlign w:val="center"/>
          </w:tcPr>
          <w:p>
            <w:pPr>
              <w:pStyle w:val="TableContents"/>
              <w:spacing w:before="0" w:after="283"/>
              <w:jc w:val="center"/>
              <w:rPr/>
            </w:pPr>
            <w:r>
              <w:rPr>
                <w:rStyle w:val="StrongEmphasis"/>
                <w:rFonts w:ascii="Arial" w:hAnsi="Arial"/>
                <w:sz w:val="15"/>
              </w:rPr>
              <w:t>HEALTH</w:t>
              <w:br/>
              <w:t>BENEFIT</w:t>
              <w:br/>
              <w:t>CONTINUATION</w:t>
              <w:br/>
              <w:t>($)</w:t>
            </w:r>
          </w:p>
        </w:tc>
        <w:tc>
          <w:tcPr>
            <w:tcW w:w="180" w:type="dxa"/>
            <w:tcBorders>
              <w:bottom w:val="single" w:sz="16" w:space="0" w:color="000000"/>
            </w:tcBorders>
            <w:shd w:fill="auto" w:val="clear"/>
            <w:vAlign w:val="center"/>
          </w:tcPr>
          <w:p>
            <w:pPr>
              <w:pStyle w:val="TableContents"/>
              <w:spacing w:before="0" w:after="283"/>
              <w:jc w:val="center"/>
              <w:rPr/>
            </w:pPr>
            <w:r>
              <w:rPr>
                <w:rStyle w:val="StrongEmphasis"/>
              </w:rPr>
              <w:t>   </w:t>
            </w:r>
          </w:p>
        </w:tc>
        <w:tc>
          <w:tcPr>
            <w:tcW w:w="830" w:type="dxa"/>
            <w:tcBorders>
              <w:bottom w:val="single" w:sz="16" w:space="0" w:color="000000"/>
            </w:tcBorders>
            <w:shd w:fill="auto" w:val="clear"/>
            <w:vAlign w:val="center"/>
          </w:tcPr>
          <w:p>
            <w:pPr>
              <w:pStyle w:val="TableContents"/>
              <w:spacing w:before="0" w:after="283"/>
              <w:jc w:val="center"/>
              <w:rPr/>
            </w:pPr>
            <w:r>
              <w:rPr>
                <w:rStyle w:val="StrongEmphasis"/>
                <w:rFonts w:ascii="Arial" w:hAnsi="Arial"/>
                <w:sz w:val="15"/>
              </w:rPr>
              <w:t>TOTAL</w:t>
              <w:br/>
              <w:t>($)</w:t>
            </w:r>
          </w:p>
        </w:tc>
      </w:tr>
      <w:tr>
        <w:trPr/>
        <w:tc>
          <w:tcPr>
            <w:tcW w:w="1185" w:type="dxa"/>
            <w:tcBorders>
              <w:bottom w:val="single" w:sz="8" w:space="0" w:color="000000"/>
            </w:tcBorders>
            <w:shd w:fill="auto" w:val="clear"/>
            <w:tcMar>
              <w:bottom w:w="28" w:type="dxa"/>
            </w:tcMar>
            <w:vAlign w:val="center"/>
          </w:tcPr>
          <w:p>
            <w:pPr>
              <w:pStyle w:val="TableContents"/>
              <w:spacing w:before="0" w:after="283"/>
              <w:jc w:val="left"/>
              <w:rPr/>
            </w:pPr>
            <w:r>
              <w:rPr>
                <w:rStyle w:val="StrongEmphasis"/>
                <w:rFonts w:ascii="Arial" w:hAnsi="Arial"/>
                <w:sz w:val="15"/>
              </w:rPr>
              <w:t>Brian L. Roberts</w:t>
            </w:r>
          </w:p>
        </w:tc>
        <w:tc>
          <w:tcPr>
            <w:tcW w:w="116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6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5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6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1185" w:type="dxa"/>
            <w:tcBorders>
              <w:bottom w:val="single" w:sz="8" w:space="0" w:color="000000"/>
            </w:tcBorders>
            <w:shd w:fill="auto" w:val="clear"/>
            <w:tcMar>
              <w:bottom w:w="28" w:type="dxa"/>
            </w:tcMar>
            <w:vAlign w:val="center"/>
          </w:tcPr>
          <w:p>
            <w:pPr>
              <w:pStyle w:val="TableContents"/>
              <w:spacing w:before="0" w:after="283"/>
              <w:jc w:val="left"/>
              <w:rPr>
                <w:rFonts w:ascii="Arial" w:hAnsi="Arial"/>
                <w:sz w:val="15"/>
              </w:rPr>
            </w:pPr>
            <w:r>
              <w:rPr>
                <w:rFonts w:ascii="Arial" w:hAnsi="Arial"/>
                <w:sz w:val="15"/>
              </w:rPr>
              <w:t>Without Cause/</w:t>
              <w:br/>
              <w:t>With Good Reason</w:t>
            </w:r>
            <w:r>
              <w:rPr>
                <w:rFonts w:ascii="Arial" w:hAnsi="Arial"/>
                <w:position w:val="5"/>
                <w:sz w:val="12"/>
                <w:sz w:val="15"/>
              </w:rPr>
              <w:t>(2)</w:t>
            </w:r>
          </w:p>
        </w:tc>
        <w:tc>
          <w:tcPr>
            <w:tcW w:w="116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7,500,000</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6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22,500,000</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0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7,500,000</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8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2,627,786</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5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31,178,308</w:t>
            </w:r>
          </w:p>
        </w:tc>
        <w:tc>
          <w:tcPr>
            <w:tcW w:w="180" w:type="dxa"/>
            <w:tcBorders>
              <w:bottom w:val="single" w:sz="8" w:space="0" w:color="000000"/>
            </w:tcBorders>
            <w:shd w:fill="auto" w:val="clear"/>
            <w:tcMar>
              <w:bottom w:w="28" w:type="dxa"/>
            </w:tcMar>
            <w:vAlign w:val="center"/>
          </w:tcPr>
          <w:p>
            <w:pPr>
              <w:pStyle w:val="TableContents"/>
              <w:spacing w:before="0" w:after="283"/>
              <w:jc w:val="right"/>
              <w:rPr/>
            </w:pPr>
            <w:r>
              <w:rPr/>
              <w:t> </w:t>
            </w:r>
          </w:p>
        </w:tc>
        <w:tc>
          <w:tcPr>
            <w:tcW w:w="116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35,342</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71,341,436</w:t>
            </w:r>
          </w:p>
        </w:tc>
      </w:tr>
      <w:tr>
        <w:trPr/>
        <w:tc>
          <w:tcPr>
            <w:tcW w:w="1185" w:type="dxa"/>
            <w:tcBorders>
              <w:bottom w:val="single" w:sz="8" w:space="0" w:color="000000"/>
            </w:tcBorders>
            <w:shd w:fill="auto" w:val="clear"/>
            <w:tcMar>
              <w:bottom w:w="28" w:type="dxa"/>
            </w:tcMar>
            <w:vAlign w:val="center"/>
          </w:tcPr>
          <w:p>
            <w:pPr>
              <w:pStyle w:val="TableContents"/>
              <w:spacing w:before="0" w:after="283"/>
              <w:jc w:val="left"/>
              <w:rPr>
                <w:rFonts w:ascii="Arial" w:hAnsi="Arial"/>
                <w:sz w:val="15"/>
              </w:rPr>
            </w:pPr>
            <w:r>
              <w:rPr>
                <w:rFonts w:ascii="Arial" w:hAnsi="Arial"/>
                <w:sz w:val="15"/>
              </w:rPr>
              <w:t>Death</w:t>
            </w:r>
            <w:r>
              <w:rPr>
                <w:rFonts w:ascii="Arial" w:hAnsi="Arial"/>
                <w:position w:val="5"/>
                <w:sz w:val="12"/>
                <w:sz w:val="15"/>
              </w:rPr>
              <w:t>(3)</w:t>
            </w:r>
          </w:p>
        </w:tc>
        <w:tc>
          <w:tcPr>
            <w:tcW w:w="1160"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60"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0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7,500,000</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8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2,627,786</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5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31,178,308</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6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200,273</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41,506,367</w:t>
            </w:r>
          </w:p>
        </w:tc>
      </w:tr>
      <w:tr>
        <w:trPr/>
        <w:tc>
          <w:tcPr>
            <w:tcW w:w="1185" w:type="dxa"/>
            <w:tcBorders>
              <w:bottom w:val="single" w:sz="8" w:space="0" w:color="000000"/>
            </w:tcBorders>
            <w:shd w:fill="auto" w:val="clear"/>
            <w:tcMar>
              <w:bottom w:w="28" w:type="dxa"/>
            </w:tcMar>
            <w:vAlign w:val="center"/>
          </w:tcPr>
          <w:p>
            <w:pPr>
              <w:pStyle w:val="TableContents"/>
              <w:spacing w:before="0" w:after="283"/>
              <w:jc w:val="left"/>
              <w:rPr>
                <w:rFonts w:ascii="Arial" w:hAnsi="Arial"/>
                <w:sz w:val="15"/>
              </w:rPr>
            </w:pPr>
            <w:r>
              <w:rPr>
                <w:rFonts w:ascii="Arial" w:hAnsi="Arial"/>
                <w:sz w:val="15"/>
              </w:rPr>
              <w:t>Disability</w:t>
            </w:r>
            <w:r>
              <w:rPr>
                <w:rFonts w:ascii="Arial" w:hAnsi="Arial"/>
                <w:position w:val="5"/>
                <w:sz w:val="12"/>
                <w:sz w:val="15"/>
              </w:rPr>
              <w:t>(4)</w:t>
            </w:r>
          </w:p>
        </w:tc>
        <w:tc>
          <w:tcPr>
            <w:tcW w:w="116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7,500,000</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6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22,500,000</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0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7,500,000</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8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2,627,786</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5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31,178,308</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60"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71,306,094</w:t>
            </w:r>
          </w:p>
        </w:tc>
      </w:tr>
      <w:tr>
        <w:trPr/>
        <w:tc>
          <w:tcPr>
            <w:tcW w:w="1185" w:type="dxa"/>
            <w:tcBorders>
              <w:bottom w:val="single" w:sz="8" w:space="0" w:color="000000"/>
            </w:tcBorders>
            <w:shd w:fill="auto" w:val="clear"/>
            <w:tcMar>
              <w:bottom w:w="28" w:type="dxa"/>
            </w:tcMar>
            <w:vAlign w:val="center"/>
          </w:tcPr>
          <w:p>
            <w:pPr>
              <w:pStyle w:val="TableContents"/>
              <w:spacing w:before="0" w:after="283"/>
              <w:jc w:val="left"/>
              <w:rPr>
                <w:rFonts w:ascii="Arial" w:hAnsi="Arial"/>
                <w:sz w:val="15"/>
              </w:rPr>
            </w:pPr>
            <w:r>
              <w:rPr>
                <w:rFonts w:ascii="Arial" w:hAnsi="Arial"/>
                <w:sz w:val="15"/>
              </w:rPr>
              <w:t>Retirement</w:t>
            </w:r>
            <w:r>
              <w:rPr>
                <w:rFonts w:ascii="Arial" w:hAnsi="Arial"/>
                <w:position w:val="5"/>
                <w:sz w:val="12"/>
                <w:sz w:val="15"/>
              </w:rPr>
              <w:t>(5)</w:t>
            </w:r>
          </w:p>
        </w:tc>
        <w:tc>
          <w:tcPr>
            <w:tcW w:w="1160"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60"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00"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8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2,627,786</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5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31,178,308</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60"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33,806,094</w:t>
            </w:r>
          </w:p>
        </w:tc>
      </w:tr>
      <w:tr>
        <w:trPr/>
        <w:tc>
          <w:tcPr>
            <w:tcW w:w="1185" w:type="dxa"/>
            <w:tcBorders>
              <w:bottom w:val="single" w:sz="8" w:space="0" w:color="000000"/>
            </w:tcBorders>
            <w:shd w:fill="auto" w:val="clear"/>
            <w:tcMar>
              <w:bottom w:w="28" w:type="dxa"/>
            </w:tcMar>
            <w:vAlign w:val="center"/>
          </w:tcPr>
          <w:p>
            <w:pPr>
              <w:pStyle w:val="TableContents"/>
              <w:spacing w:before="0" w:after="283"/>
              <w:jc w:val="left"/>
              <w:rPr>
                <w:rFonts w:ascii="Arial" w:hAnsi="Arial"/>
                <w:sz w:val="15"/>
              </w:rPr>
            </w:pPr>
            <w:r>
              <w:rPr>
                <w:rFonts w:ascii="Arial" w:hAnsi="Arial"/>
                <w:sz w:val="15"/>
              </w:rPr>
              <w:t>Change in Control</w:t>
            </w:r>
            <w:r>
              <w:rPr>
                <w:rFonts w:ascii="Arial" w:hAnsi="Arial"/>
                <w:position w:val="5"/>
                <w:sz w:val="12"/>
                <w:sz w:val="15"/>
              </w:rPr>
              <w:t>(6)</w:t>
            </w:r>
          </w:p>
        </w:tc>
        <w:tc>
          <w:tcPr>
            <w:tcW w:w="1160"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60"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00"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80"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50"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60"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tcMar>
              <w:bottom w:w="28" w:type="dxa"/>
            </w:tcMar>
            <w:vAlign w:val="center"/>
          </w:tcPr>
          <w:p>
            <w:pPr>
              <w:pStyle w:val="TableContents"/>
              <w:spacing w:before="0" w:after="283"/>
              <w:jc w:val="right"/>
              <w:rPr/>
            </w:pPr>
            <w:r>
              <w:rPr/>
              <w:t>—</w:t>
            </w:r>
          </w:p>
        </w:tc>
      </w:tr>
      <w:tr>
        <w:trPr/>
        <w:tc>
          <w:tcPr>
            <w:tcW w:w="1185" w:type="dxa"/>
            <w:tcBorders>
              <w:bottom w:val="single" w:sz="8" w:space="0" w:color="000000"/>
            </w:tcBorders>
            <w:shd w:fill="auto" w:val="clear"/>
            <w:tcMar>
              <w:bottom w:w="28" w:type="dxa"/>
            </w:tcMar>
            <w:vAlign w:val="center"/>
          </w:tcPr>
          <w:p>
            <w:pPr>
              <w:pStyle w:val="TableContents"/>
              <w:spacing w:before="0" w:after="283"/>
              <w:jc w:val="left"/>
              <w:rPr/>
            </w:pPr>
            <w:r>
              <w:rPr>
                <w:rStyle w:val="StrongEmphasis"/>
                <w:rFonts w:ascii="Arial" w:hAnsi="Arial"/>
                <w:sz w:val="15"/>
              </w:rPr>
              <w:t>Michael J. Cavanagh</w:t>
            </w:r>
          </w:p>
        </w:tc>
        <w:tc>
          <w:tcPr>
            <w:tcW w:w="116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6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5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6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1185" w:type="dxa"/>
            <w:tcBorders>
              <w:bottom w:val="single" w:sz="8" w:space="0" w:color="000000"/>
            </w:tcBorders>
            <w:shd w:fill="auto" w:val="clear"/>
            <w:tcMar>
              <w:bottom w:w="28" w:type="dxa"/>
            </w:tcMar>
            <w:vAlign w:val="center"/>
          </w:tcPr>
          <w:p>
            <w:pPr>
              <w:pStyle w:val="TableContents"/>
              <w:spacing w:before="0" w:after="283"/>
              <w:jc w:val="left"/>
              <w:rPr>
                <w:rFonts w:ascii="Arial" w:hAnsi="Arial"/>
                <w:sz w:val="15"/>
              </w:rPr>
            </w:pPr>
            <w:r>
              <w:rPr>
                <w:rFonts w:ascii="Arial" w:hAnsi="Arial"/>
                <w:sz w:val="15"/>
              </w:rPr>
              <w:t>Without Cause/</w:t>
              <w:br/>
              <w:t>With Good Reason</w:t>
            </w:r>
            <w:r>
              <w:rPr>
                <w:rFonts w:ascii="Arial" w:hAnsi="Arial"/>
                <w:position w:val="5"/>
                <w:sz w:val="12"/>
                <w:sz w:val="15"/>
              </w:rPr>
              <w:t>(7)</w:t>
            </w:r>
          </w:p>
        </w:tc>
        <w:tc>
          <w:tcPr>
            <w:tcW w:w="116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4,600,000</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6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6,900,000</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0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6,900,000</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8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891,119</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5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4,132,125</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6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22,723</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23,445,967</w:t>
            </w:r>
          </w:p>
        </w:tc>
      </w:tr>
      <w:tr>
        <w:trPr/>
        <w:tc>
          <w:tcPr>
            <w:tcW w:w="1185" w:type="dxa"/>
            <w:tcBorders>
              <w:bottom w:val="single" w:sz="8" w:space="0" w:color="000000"/>
            </w:tcBorders>
            <w:shd w:fill="auto" w:val="clear"/>
            <w:tcMar>
              <w:bottom w:w="28" w:type="dxa"/>
            </w:tcMar>
            <w:vAlign w:val="center"/>
          </w:tcPr>
          <w:p>
            <w:pPr>
              <w:pStyle w:val="TableContents"/>
              <w:spacing w:before="0" w:after="283"/>
              <w:jc w:val="left"/>
              <w:rPr>
                <w:rFonts w:ascii="Arial" w:hAnsi="Arial"/>
                <w:sz w:val="15"/>
              </w:rPr>
            </w:pPr>
            <w:r>
              <w:rPr>
                <w:rFonts w:ascii="Arial" w:hAnsi="Arial"/>
                <w:sz w:val="15"/>
              </w:rPr>
              <w:t>Death/Disability</w:t>
            </w:r>
            <w:r>
              <w:rPr>
                <w:rFonts w:ascii="Arial" w:hAnsi="Arial"/>
                <w:position w:val="5"/>
                <w:sz w:val="12"/>
                <w:sz w:val="15"/>
              </w:rPr>
              <w:t>(8)</w:t>
            </w:r>
          </w:p>
        </w:tc>
        <w:tc>
          <w:tcPr>
            <w:tcW w:w="116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575,000</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60"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0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6,900,000</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8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1,424,958</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5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24,272,817</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60"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33,172,775</w:t>
            </w:r>
          </w:p>
        </w:tc>
      </w:tr>
      <w:tr>
        <w:trPr/>
        <w:tc>
          <w:tcPr>
            <w:tcW w:w="1185" w:type="dxa"/>
            <w:tcBorders>
              <w:bottom w:val="single" w:sz="8" w:space="0" w:color="000000"/>
            </w:tcBorders>
            <w:shd w:fill="auto" w:val="clear"/>
            <w:tcMar>
              <w:bottom w:w="28" w:type="dxa"/>
            </w:tcMar>
            <w:vAlign w:val="center"/>
          </w:tcPr>
          <w:p>
            <w:pPr>
              <w:pStyle w:val="TableContents"/>
              <w:spacing w:before="0" w:after="283"/>
              <w:jc w:val="left"/>
              <w:rPr>
                <w:rFonts w:ascii="Arial" w:hAnsi="Arial"/>
                <w:sz w:val="15"/>
              </w:rPr>
            </w:pPr>
            <w:r>
              <w:rPr>
                <w:rFonts w:ascii="Arial" w:hAnsi="Arial"/>
                <w:sz w:val="15"/>
              </w:rPr>
              <w:t>Retirement</w:t>
            </w:r>
            <w:r>
              <w:rPr>
                <w:rFonts w:ascii="Arial" w:hAnsi="Arial"/>
                <w:position w:val="5"/>
                <w:sz w:val="12"/>
                <w:sz w:val="15"/>
              </w:rPr>
              <w:t>(5)</w:t>
            </w:r>
          </w:p>
        </w:tc>
        <w:tc>
          <w:tcPr>
            <w:tcW w:w="1160"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60"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00"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80"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50"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60"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tcMar>
              <w:bottom w:w="28" w:type="dxa"/>
            </w:tcMar>
            <w:vAlign w:val="center"/>
          </w:tcPr>
          <w:p>
            <w:pPr>
              <w:pStyle w:val="TableContents"/>
              <w:spacing w:before="0" w:after="283"/>
              <w:jc w:val="right"/>
              <w:rPr/>
            </w:pPr>
            <w:r>
              <w:rPr/>
              <w:t>—</w:t>
            </w:r>
          </w:p>
        </w:tc>
      </w:tr>
      <w:tr>
        <w:trPr/>
        <w:tc>
          <w:tcPr>
            <w:tcW w:w="1185" w:type="dxa"/>
            <w:tcBorders>
              <w:bottom w:val="single" w:sz="8" w:space="0" w:color="000000"/>
            </w:tcBorders>
            <w:shd w:fill="auto" w:val="clear"/>
            <w:tcMar>
              <w:bottom w:w="28" w:type="dxa"/>
            </w:tcMar>
            <w:vAlign w:val="center"/>
          </w:tcPr>
          <w:p>
            <w:pPr>
              <w:pStyle w:val="TableContents"/>
              <w:spacing w:before="0" w:after="283"/>
              <w:jc w:val="left"/>
              <w:rPr>
                <w:rFonts w:ascii="Arial" w:hAnsi="Arial"/>
                <w:sz w:val="15"/>
              </w:rPr>
            </w:pPr>
            <w:r>
              <w:rPr>
                <w:rFonts w:ascii="Arial" w:hAnsi="Arial"/>
                <w:sz w:val="15"/>
              </w:rPr>
              <w:t>Change in Control</w:t>
            </w:r>
            <w:r>
              <w:rPr>
                <w:rFonts w:ascii="Arial" w:hAnsi="Arial"/>
                <w:position w:val="5"/>
                <w:sz w:val="12"/>
                <w:sz w:val="15"/>
              </w:rPr>
              <w:t>(6)</w:t>
            </w:r>
          </w:p>
        </w:tc>
        <w:tc>
          <w:tcPr>
            <w:tcW w:w="1160"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60"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00"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80"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50"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60"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tcMar>
              <w:bottom w:w="28" w:type="dxa"/>
            </w:tcMar>
            <w:vAlign w:val="center"/>
          </w:tcPr>
          <w:p>
            <w:pPr>
              <w:pStyle w:val="TableContents"/>
              <w:spacing w:before="0" w:after="283"/>
              <w:jc w:val="right"/>
              <w:rPr/>
            </w:pPr>
            <w:r>
              <w:rPr/>
              <w:t>—</w:t>
            </w:r>
          </w:p>
        </w:tc>
      </w:tr>
      <w:tr>
        <w:trPr/>
        <w:tc>
          <w:tcPr>
            <w:tcW w:w="1185" w:type="dxa"/>
            <w:tcBorders>
              <w:bottom w:val="single" w:sz="8" w:space="0" w:color="000000"/>
            </w:tcBorders>
            <w:shd w:fill="auto" w:val="clear"/>
            <w:tcMar>
              <w:bottom w:w="28" w:type="dxa"/>
            </w:tcMar>
            <w:vAlign w:val="center"/>
          </w:tcPr>
          <w:p>
            <w:pPr>
              <w:pStyle w:val="TableContents"/>
              <w:spacing w:before="0" w:after="283"/>
              <w:jc w:val="left"/>
              <w:rPr/>
            </w:pPr>
            <w:r>
              <w:rPr>
                <w:rStyle w:val="StrongEmphasis"/>
                <w:rFonts w:ascii="Arial" w:hAnsi="Arial"/>
                <w:sz w:val="15"/>
              </w:rPr>
              <w:t>David N. Watson</w:t>
            </w:r>
          </w:p>
        </w:tc>
        <w:tc>
          <w:tcPr>
            <w:tcW w:w="116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6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5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6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1185" w:type="dxa"/>
            <w:tcBorders>
              <w:bottom w:val="single" w:sz="8" w:space="0" w:color="000000"/>
            </w:tcBorders>
            <w:shd w:fill="auto" w:val="clear"/>
            <w:tcMar>
              <w:bottom w:w="28" w:type="dxa"/>
            </w:tcMar>
            <w:vAlign w:val="center"/>
          </w:tcPr>
          <w:p>
            <w:pPr>
              <w:pStyle w:val="TableContents"/>
              <w:spacing w:before="0" w:after="283"/>
              <w:jc w:val="left"/>
              <w:rPr>
                <w:rFonts w:ascii="Arial" w:hAnsi="Arial"/>
                <w:sz w:val="15"/>
              </w:rPr>
            </w:pPr>
            <w:r>
              <w:rPr>
                <w:rFonts w:ascii="Arial" w:hAnsi="Arial"/>
                <w:sz w:val="15"/>
              </w:rPr>
              <w:t>Without Cause/</w:t>
              <w:br/>
              <w:t>With Good Reason</w:t>
            </w:r>
            <w:r>
              <w:rPr>
                <w:rFonts w:ascii="Arial" w:hAnsi="Arial"/>
                <w:position w:val="5"/>
                <w:sz w:val="12"/>
                <w:sz w:val="15"/>
              </w:rPr>
              <w:t>(7)</w:t>
            </w:r>
          </w:p>
        </w:tc>
        <w:tc>
          <w:tcPr>
            <w:tcW w:w="116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4,600,000</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6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6,900,000</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0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6,900,000</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8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614,564</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5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15,875,541</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6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17,671</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34,907,776</w:t>
            </w:r>
          </w:p>
        </w:tc>
      </w:tr>
      <w:tr>
        <w:trPr/>
        <w:tc>
          <w:tcPr>
            <w:tcW w:w="1185" w:type="dxa"/>
            <w:tcBorders>
              <w:bottom w:val="single" w:sz="8" w:space="0" w:color="000000"/>
            </w:tcBorders>
            <w:shd w:fill="auto" w:val="clear"/>
            <w:tcMar>
              <w:bottom w:w="28" w:type="dxa"/>
            </w:tcMar>
            <w:vAlign w:val="center"/>
          </w:tcPr>
          <w:p>
            <w:pPr>
              <w:pStyle w:val="TableContents"/>
              <w:spacing w:before="0" w:after="283"/>
              <w:jc w:val="left"/>
              <w:rPr>
                <w:rFonts w:ascii="Arial" w:hAnsi="Arial"/>
                <w:sz w:val="15"/>
              </w:rPr>
            </w:pPr>
            <w:r>
              <w:rPr>
                <w:rFonts w:ascii="Arial" w:hAnsi="Arial"/>
                <w:sz w:val="15"/>
              </w:rPr>
              <w:t>Death/Disability</w:t>
            </w:r>
            <w:r>
              <w:rPr>
                <w:rFonts w:ascii="Arial" w:hAnsi="Arial"/>
                <w:position w:val="5"/>
                <w:sz w:val="12"/>
                <w:sz w:val="15"/>
              </w:rPr>
              <w:t>(8)</w:t>
            </w:r>
          </w:p>
        </w:tc>
        <w:tc>
          <w:tcPr>
            <w:tcW w:w="116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575,000</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60"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0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6,900,000</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8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614,564</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5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15,875,541</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60"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23,965,105</w:t>
            </w:r>
          </w:p>
        </w:tc>
      </w:tr>
      <w:tr>
        <w:trPr/>
        <w:tc>
          <w:tcPr>
            <w:tcW w:w="1185" w:type="dxa"/>
            <w:tcBorders>
              <w:bottom w:val="single" w:sz="8" w:space="0" w:color="000000"/>
            </w:tcBorders>
            <w:shd w:fill="auto" w:val="clear"/>
            <w:tcMar>
              <w:bottom w:w="28" w:type="dxa"/>
            </w:tcMar>
            <w:vAlign w:val="center"/>
          </w:tcPr>
          <w:p>
            <w:pPr>
              <w:pStyle w:val="TableContents"/>
              <w:spacing w:before="0" w:after="283"/>
              <w:jc w:val="left"/>
              <w:rPr>
                <w:rFonts w:ascii="Arial" w:hAnsi="Arial"/>
                <w:sz w:val="15"/>
              </w:rPr>
            </w:pPr>
            <w:r>
              <w:rPr>
                <w:rFonts w:ascii="Arial" w:hAnsi="Arial"/>
                <w:sz w:val="15"/>
              </w:rPr>
              <w:t>Retirement</w:t>
            </w:r>
            <w:r>
              <w:rPr>
                <w:rFonts w:ascii="Arial" w:hAnsi="Arial"/>
                <w:position w:val="5"/>
                <w:sz w:val="12"/>
                <w:sz w:val="15"/>
              </w:rPr>
              <w:t>(5)</w:t>
            </w:r>
          </w:p>
        </w:tc>
        <w:tc>
          <w:tcPr>
            <w:tcW w:w="1160"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60"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00"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8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614,564</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5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15,875,541</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60"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16,490,105</w:t>
            </w:r>
          </w:p>
        </w:tc>
      </w:tr>
      <w:tr>
        <w:trPr/>
        <w:tc>
          <w:tcPr>
            <w:tcW w:w="1185" w:type="dxa"/>
            <w:tcBorders>
              <w:bottom w:val="single" w:sz="8" w:space="0" w:color="000000"/>
            </w:tcBorders>
            <w:shd w:fill="auto" w:val="clear"/>
            <w:tcMar>
              <w:bottom w:w="28" w:type="dxa"/>
            </w:tcMar>
            <w:vAlign w:val="center"/>
          </w:tcPr>
          <w:p>
            <w:pPr>
              <w:pStyle w:val="TableContents"/>
              <w:spacing w:before="0" w:after="283"/>
              <w:jc w:val="left"/>
              <w:rPr>
                <w:rFonts w:ascii="Arial" w:hAnsi="Arial"/>
                <w:sz w:val="15"/>
              </w:rPr>
            </w:pPr>
            <w:r>
              <w:rPr>
                <w:rFonts w:ascii="Arial" w:hAnsi="Arial"/>
                <w:sz w:val="15"/>
              </w:rPr>
              <w:t>Change in Control</w:t>
            </w:r>
            <w:r>
              <w:rPr>
                <w:rFonts w:ascii="Arial" w:hAnsi="Arial"/>
                <w:position w:val="5"/>
                <w:sz w:val="12"/>
                <w:sz w:val="15"/>
              </w:rPr>
              <w:t>(6)</w:t>
            </w:r>
          </w:p>
        </w:tc>
        <w:tc>
          <w:tcPr>
            <w:tcW w:w="1160"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60"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00"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80"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50"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60"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tcMar>
              <w:bottom w:w="28" w:type="dxa"/>
            </w:tcMar>
            <w:vAlign w:val="center"/>
          </w:tcPr>
          <w:p>
            <w:pPr>
              <w:pStyle w:val="TableContents"/>
              <w:spacing w:before="0" w:after="283"/>
              <w:jc w:val="right"/>
              <w:rPr/>
            </w:pPr>
            <w:r>
              <w:rPr/>
              <w:t>—</w:t>
            </w:r>
          </w:p>
        </w:tc>
      </w:tr>
      <w:tr>
        <w:trPr/>
        <w:tc>
          <w:tcPr>
            <w:tcW w:w="1185" w:type="dxa"/>
            <w:tcBorders>
              <w:bottom w:val="single" w:sz="8" w:space="0" w:color="000000"/>
            </w:tcBorders>
            <w:shd w:fill="auto" w:val="clear"/>
            <w:tcMar>
              <w:bottom w:w="28" w:type="dxa"/>
            </w:tcMar>
            <w:vAlign w:val="center"/>
          </w:tcPr>
          <w:p>
            <w:pPr>
              <w:pStyle w:val="TableContents"/>
              <w:spacing w:before="0" w:after="283"/>
              <w:jc w:val="left"/>
              <w:rPr/>
            </w:pPr>
            <w:r>
              <w:rPr>
                <w:rStyle w:val="StrongEmphasis"/>
                <w:rFonts w:ascii="Arial" w:hAnsi="Arial"/>
                <w:sz w:val="15"/>
              </w:rPr>
              <w:t>Dana Strong</w:t>
            </w:r>
          </w:p>
        </w:tc>
        <w:tc>
          <w:tcPr>
            <w:tcW w:w="116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6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5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6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1185" w:type="dxa"/>
            <w:tcBorders>
              <w:bottom w:val="single" w:sz="8" w:space="0" w:color="000000"/>
            </w:tcBorders>
            <w:shd w:fill="auto" w:val="clear"/>
            <w:tcMar>
              <w:bottom w:w="28" w:type="dxa"/>
            </w:tcMar>
            <w:vAlign w:val="center"/>
          </w:tcPr>
          <w:p>
            <w:pPr>
              <w:pStyle w:val="TableContents"/>
              <w:spacing w:before="0" w:after="283"/>
              <w:jc w:val="left"/>
              <w:rPr>
                <w:rFonts w:ascii="Arial" w:hAnsi="Arial"/>
                <w:sz w:val="15"/>
              </w:rPr>
            </w:pPr>
            <w:r>
              <w:rPr>
                <w:rFonts w:ascii="Arial" w:hAnsi="Arial"/>
                <w:sz w:val="15"/>
              </w:rPr>
              <w:t>Without Cause/</w:t>
              <w:br/>
              <w:t>With Good Reason</w:t>
            </w:r>
            <w:r>
              <w:rPr>
                <w:rFonts w:ascii="Arial" w:hAnsi="Arial"/>
                <w:position w:val="5"/>
                <w:sz w:val="12"/>
                <w:sz w:val="15"/>
              </w:rPr>
              <w:t>(7)</w:t>
            </w:r>
          </w:p>
        </w:tc>
        <w:tc>
          <w:tcPr>
            <w:tcW w:w="116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3,902,042</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6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5,853,063</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0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5,806,610</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8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115,428</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5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1,039,448</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6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65,344</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16,781,935</w:t>
            </w:r>
          </w:p>
        </w:tc>
      </w:tr>
      <w:tr>
        <w:trPr/>
        <w:tc>
          <w:tcPr>
            <w:tcW w:w="1185" w:type="dxa"/>
            <w:tcBorders>
              <w:bottom w:val="single" w:sz="8" w:space="0" w:color="000000"/>
            </w:tcBorders>
            <w:shd w:fill="auto" w:val="clear"/>
            <w:tcMar>
              <w:bottom w:w="28" w:type="dxa"/>
            </w:tcMar>
            <w:vAlign w:val="center"/>
          </w:tcPr>
          <w:p>
            <w:pPr>
              <w:pStyle w:val="TableContents"/>
              <w:spacing w:before="0" w:after="283"/>
              <w:jc w:val="left"/>
              <w:rPr>
                <w:rFonts w:ascii="Arial" w:hAnsi="Arial"/>
                <w:sz w:val="15"/>
              </w:rPr>
            </w:pPr>
            <w:r>
              <w:rPr>
                <w:rFonts w:ascii="Arial" w:hAnsi="Arial"/>
                <w:sz w:val="15"/>
              </w:rPr>
              <w:t>Death/Disability</w:t>
            </w:r>
            <w:r>
              <w:rPr>
                <w:rFonts w:ascii="Arial" w:hAnsi="Arial"/>
                <w:position w:val="5"/>
                <w:sz w:val="12"/>
                <w:sz w:val="15"/>
              </w:rPr>
              <w:t>(8)</w:t>
            </w:r>
          </w:p>
        </w:tc>
        <w:tc>
          <w:tcPr>
            <w:tcW w:w="116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487,755</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60"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0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5,806,610</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8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307,809</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5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7,349,085</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60"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13,951,259</w:t>
            </w:r>
          </w:p>
        </w:tc>
      </w:tr>
      <w:tr>
        <w:trPr/>
        <w:tc>
          <w:tcPr>
            <w:tcW w:w="1185" w:type="dxa"/>
            <w:tcBorders>
              <w:bottom w:val="single" w:sz="8" w:space="0" w:color="000000"/>
            </w:tcBorders>
            <w:shd w:fill="auto" w:val="clear"/>
            <w:tcMar>
              <w:bottom w:w="28" w:type="dxa"/>
            </w:tcMar>
            <w:vAlign w:val="center"/>
          </w:tcPr>
          <w:p>
            <w:pPr>
              <w:pStyle w:val="TableContents"/>
              <w:spacing w:before="0" w:after="283"/>
              <w:jc w:val="left"/>
              <w:rPr>
                <w:rFonts w:ascii="Arial" w:hAnsi="Arial"/>
                <w:sz w:val="15"/>
              </w:rPr>
            </w:pPr>
            <w:r>
              <w:rPr>
                <w:rFonts w:ascii="Arial" w:hAnsi="Arial"/>
                <w:sz w:val="15"/>
              </w:rPr>
              <w:t>Retirement</w:t>
            </w:r>
            <w:r>
              <w:rPr>
                <w:rFonts w:ascii="Arial" w:hAnsi="Arial"/>
                <w:position w:val="5"/>
                <w:sz w:val="12"/>
                <w:sz w:val="15"/>
              </w:rPr>
              <w:t>(5)</w:t>
            </w:r>
          </w:p>
        </w:tc>
        <w:tc>
          <w:tcPr>
            <w:tcW w:w="1160"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60"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00"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80"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50"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60"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tcMar>
              <w:bottom w:w="28" w:type="dxa"/>
            </w:tcMar>
            <w:vAlign w:val="center"/>
          </w:tcPr>
          <w:p>
            <w:pPr>
              <w:pStyle w:val="TableContents"/>
              <w:spacing w:before="0" w:after="283"/>
              <w:jc w:val="right"/>
              <w:rPr/>
            </w:pPr>
            <w:r>
              <w:rPr/>
              <w:t>—</w:t>
            </w:r>
          </w:p>
        </w:tc>
      </w:tr>
      <w:tr>
        <w:trPr/>
        <w:tc>
          <w:tcPr>
            <w:tcW w:w="1185" w:type="dxa"/>
            <w:tcBorders>
              <w:bottom w:val="single" w:sz="8" w:space="0" w:color="000000"/>
            </w:tcBorders>
            <w:shd w:fill="auto" w:val="clear"/>
            <w:tcMar>
              <w:bottom w:w="28" w:type="dxa"/>
            </w:tcMar>
            <w:vAlign w:val="center"/>
          </w:tcPr>
          <w:p>
            <w:pPr>
              <w:pStyle w:val="TableContents"/>
              <w:spacing w:before="0" w:after="283"/>
              <w:jc w:val="left"/>
              <w:rPr>
                <w:rFonts w:ascii="Arial" w:hAnsi="Arial"/>
                <w:sz w:val="15"/>
              </w:rPr>
            </w:pPr>
            <w:r>
              <w:rPr>
                <w:rFonts w:ascii="Arial" w:hAnsi="Arial"/>
                <w:sz w:val="15"/>
              </w:rPr>
              <w:t>Change in Control</w:t>
            </w:r>
            <w:r>
              <w:rPr>
                <w:rFonts w:ascii="Arial" w:hAnsi="Arial"/>
                <w:position w:val="5"/>
                <w:sz w:val="12"/>
                <w:sz w:val="15"/>
              </w:rPr>
              <w:t>(6)</w:t>
            </w:r>
          </w:p>
        </w:tc>
        <w:tc>
          <w:tcPr>
            <w:tcW w:w="1160"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60"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00"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80"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50"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60"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tcMar>
              <w:bottom w:w="28" w:type="dxa"/>
            </w:tcMar>
            <w:vAlign w:val="center"/>
          </w:tcPr>
          <w:p>
            <w:pPr>
              <w:pStyle w:val="TableContents"/>
              <w:spacing w:before="0" w:after="283"/>
              <w:jc w:val="right"/>
              <w:rPr/>
            </w:pPr>
            <w:r>
              <w:rPr/>
              <w:t>—</w:t>
            </w:r>
          </w:p>
        </w:tc>
      </w:tr>
    </w:tbl>
    <w:p>
      <w:pPr>
        <w:pStyle w:val="TextBody"/>
        <w:spacing w:before="0" w:after="0"/>
        <w:rPr/>
      </w:pPr>
      <w:r>
        <w:rPr/>
      </w:r>
    </w:p>
    <w:tbl>
      <w:tblPr>
        <w:tblW w:w="2200" w:type="dxa"/>
        <w:jc w:val="left"/>
        <w:tblInd w:w="0" w:type="dxa"/>
        <w:tblCellMar>
          <w:top w:w="0" w:type="dxa"/>
          <w:left w:w="0" w:type="dxa"/>
          <w:bottom w:w="0" w:type="dxa"/>
          <w:right w:w="0" w:type="dxa"/>
        </w:tblCellMar>
      </w:tblPr>
      <w:tblGrid>
        <w:gridCol w:w="1580"/>
        <w:gridCol w:w="620"/>
      </w:tblGrid>
      <w:tr>
        <w:trPr/>
        <w:tc>
          <w:tcPr>
            <w:tcW w:w="1580" w:type="dxa"/>
            <w:tcBorders/>
            <w:shd w:fill="auto" w:val="clear"/>
            <w:vAlign w:val="center"/>
          </w:tcPr>
          <w:p>
            <w:pPr>
              <w:pStyle w:val="TableContents"/>
              <w:spacing w:before="0" w:after="283"/>
              <w:jc w:val="right"/>
              <w:rPr>
                <w:rFonts w:ascii="Arial" w:hAnsi="Arial"/>
                <w:sz w:val="15"/>
              </w:rPr>
            </w:pPr>
            <w:r>
              <w:rPr>
                <w:rFonts w:ascii="Arial" w:hAnsi="Arial"/>
                <w:sz w:val="15"/>
              </w:rPr>
              <w:t>2023 Proxy Statement</w:t>
            </w:r>
          </w:p>
        </w:tc>
        <w:tc>
          <w:tcPr>
            <w:tcW w:w="620" w:type="dxa"/>
            <w:tcBorders/>
            <w:shd w:fill="auto" w:val="clear"/>
            <w:vAlign w:val="center"/>
          </w:tcPr>
          <w:p>
            <w:pPr>
              <w:pStyle w:val="TableContents"/>
              <w:spacing w:before="0" w:after="283"/>
              <w:jc w:val="right"/>
              <w:rPr/>
            </w:pPr>
            <w:r>
              <w:rPr/>
              <w:t>       </w:t>
            </w:r>
            <w:r>
              <w:rPr>
                <w:rFonts w:ascii="Arial" w:hAnsi="Arial"/>
                <w:b/>
                <w:sz w:val="15"/>
              </w:rPr>
              <w:t>61</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10205" w:type="dxa"/>
        <w:jc w:val="left"/>
        <w:tblInd w:w="0" w:type="dxa"/>
        <w:tblCellMar>
          <w:top w:w="0" w:type="dxa"/>
          <w:left w:w="0" w:type="dxa"/>
          <w:bottom w:w="0" w:type="dxa"/>
          <w:right w:w="0" w:type="dxa"/>
        </w:tblCellMar>
      </w:tblPr>
      <w:tblGrid>
        <w:gridCol w:w="129"/>
        <w:gridCol w:w="10076"/>
      </w:tblGrid>
      <w:tr>
        <w:trPr/>
        <w:tc>
          <w:tcPr>
            <w:tcW w:w="129"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(1)</w:t>
            </w:r>
          </w:p>
        </w:tc>
        <w:tc>
          <w:tcPr>
            <w:tcW w:w="10076" w:type="dxa"/>
            <w:tcBorders/>
            <w:shd w:fill="auto" w:val="clear"/>
            <w:vAlign w:val="center"/>
          </w:tcPr>
          <w:p>
            <w:pPr>
              <w:pStyle w:val="TableContents"/>
              <w:spacing w:before="0" w:after="283"/>
              <w:jc w:val="left"/>
              <w:rPr>
                <w:rFonts w:ascii="Arial" w:hAnsi="Arial"/>
                <w:sz w:val="15"/>
              </w:rPr>
            </w:pPr>
            <w:r>
              <w:rPr>
                <w:rFonts w:ascii="Arial" w:hAnsi="Arial"/>
                <w:sz w:val="15"/>
              </w:rPr>
              <w:t>Based on the closing market price of a share of our Class A common stock as of December 30, 2022 ($34.97), minus, in the case of stock options, the exercise price. PSUs and the Performance Option granted to Mr. Cavanagh are based on the target vesting.</w:t>
            </w:r>
          </w:p>
        </w:tc>
      </w:tr>
      <w:tr>
        <w:trPr/>
        <w:tc>
          <w:tcPr>
            <w:tcW w:w="129"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(2)</w:t>
            </w:r>
          </w:p>
        </w:tc>
        <w:tc>
          <w:tcPr>
            <w:tcW w:w="10076" w:type="dxa"/>
            <w:tcBorders/>
            <w:shd w:fill="auto" w:val="clear"/>
            <w:vAlign w:val="center"/>
          </w:tcPr>
          <w:p>
            <w:pPr>
              <w:pStyle w:val="TableContents"/>
              <w:spacing w:before="0" w:after="283"/>
              <w:jc w:val="left"/>
              <w:rPr>
                <w:rFonts w:ascii="Arial" w:hAnsi="Arial"/>
                <w:sz w:val="15"/>
              </w:rPr>
            </w:pPr>
            <w:r>
              <w:rPr>
                <w:rFonts w:ascii="Arial" w:hAnsi="Arial"/>
                <w:sz w:val="15"/>
              </w:rPr>
              <w:t>Mr. Roberts’ termination without cause or with good reason would entitle him to (i) payment of his base salary on a monthly basis for three years after the termination date, (ii) payment of his annual cash bonus (appropriately prorated for partial calendar years), assuming full achievement of performance goals, on an annual basis for three years and (iii) vesting of his unvested stock options and stock units in accordance with their terms as if his employment had continued. Mr. Roberts’ receipt of the payments and benefits is subject to his execution of our standard agreement containing certain mutual releases. Mr. Roberts is also entitled to receive a prorated annual cash bonus for the year of his termination, assuming full achievement of the performance goals, and to continued health and welfare benefits for three years after the termination date.</w:t>
            </w:r>
          </w:p>
        </w:tc>
      </w:tr>
      <w:tr>
        <w:trPr/>
        <w:tc>
          <w:tcPr>
            <w:tcW w:w="129"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(3)</w:t>
            </w:r>
          </w:p>
        </w:tc>
        <w:tc>
          <w:tcPr>
            <w:tcW w:w="10076" w:type="dxa"/>
            <w:tcBorders/>
            <w:shd w:fill="auto" w:val="clear"/>
            <w:vAlign w:val="center"/>
          </w:tcPr>
          <w:p>
            <w:pPr>
              <w:pStyle w:val="TableContents"/>
              <w:spacing w:before="0" w:after="283"/>
              <w:jc w:val="left"/>
              <w:rPr>
                <w:rFonts w:ascii="Arial" w:hAnsi="Arial"/>
                <w:sz w:val="15"/>
              </w:rPr>
            </w:pPr>
            <w:r>
              <w:rPr>
                <w:rFonts w:ascii="Arial" w:hAnsi="Arial"/>
                <w:sz w:val="15"/>
              </w:rPr>
              <w:t>Upon Mr. Roberts’ death, his unvested stock options and stock units will vest in full and his options will remain exercisable for the remainder of their terms. His spouse or his or her estate will receive payment of his annual cash bonus, prorated to reflect the number of days he was employed during the year of his death (assuming full achievement of the performance goals), and his spouse will receive health and welfare benefits during her lifetime.</w:t>
            </w:r>
          </w:p>
        </w:tc>
      </w:tr>
      <w:tr>
        <w:trPr/>
        <w:tc>
          <w:tcPr>
            <w:tcW w:w="129"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(4)</w:t>
            </w:r>
          </w:p>
        </w:tc>
        <w:tc>
          <w:tcPr>
            <w:tcW w:w="10076" w:type="dxa"/>
            <w:tcBorders/>
            <w:shd w:fill="auto" w:val="clear"/>
            <w:vAlign w:val="center"/>
          </w:tcPr>
          <w:p>
            <w:pPr>
              <w:pStyle w:val="TableContents"/>
              <w:spacing w:before="0" w:after="283"/>
              <w:jc w:val="left"/>
              <w:rPr>
                <w:rFonts w:ascii="Arial" w:hAnsi="Arial"/>
                <w:sz w:val="15"/>
              </w:rPr>
            </w:pPr>
            <w:r>
              <w:rPr>
                <w:rFonts w:ascii="Arial" w:hAnsi="Arial"/>
                <w:sz w:val="15"/>
              </w:rPr>
              <w:t>If Mr. Roberts’ employment is terminated by reason of his disability, we must continue to pay his base salary on a monthly basis for three years, his annual cash bonus (appropriately prorated for partial calendar years), assuming full achievement of performance goals, on an annual basis for three years, and his unvested stock options and stock units will vest in full and his options will remain exercisable for the remainder of their term. In the event of Mr. Roberts’ death prior to the end of such three-year period, no remaining payments will be made. Mr. Roberts is also entitled to receive a prorated annual cash bonus for the year of his termination, assuming full achievement of the performance goals.</w:t>
            </w:r>
          </w:p>
        </w:tc>
      </w:tr>
      <w:tr>
        <w:trPr/>
        <w:tc>
          <w:tcPr>
            <w:tcW w:w="129"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(5)</w:t>
            </w:r>
          </w:p>
        </w:tc>
        <w:tc>
          <w:tcPr>
            <w:tcW w:w="10076" w:type="dxa"/>
            <w:tcBorders/>
            <w:shd w:fill="auto" w:val="clear"/>
            <w:vAlign w:val="center"/>
          </w:tcPr>
          <w:p>
            <w:pPr>
              <w:pStyle w:val="TableContents"/>
              <w:spacing w:before="0" w:after="283"/>
              <w:jc w:val="left"/>
              <w:rPr>
                <w:rFonts w:ascii="Arial" w:hAnsi="Arial"/>
                <w:sz w:val="15"/>
              </w:rPr>
            </w:pPr>
            <w:r>
              <w:rPr>
                <w:rFonts w:ascii="Arial" w:hAnsi="Arial"/>
                <w:sz w:val="15"/>
              </w:rPr>
              <w:t>Certain senior executives, including our NEOs, are entitled to continued vesting on retirement. For stock option awards granted before 2021, NEOs who reach the age of 62 are entitled to the continued vesting and exercisability of options following termination for (a) 36 and 39 months, respectively, with 10 years of service, (b) 60 and 63 months, respectively, with 15 years of service and (c) 114 and 117 months, respectively, with 20 years of service, provided that no option will be exercisable after the 10th anniversary of the date of grant. For stock units granted before 2021, NEOs who reach the age of 62 are entitled to the continued vesting of stock units following termination for (x) 36 months with 10 years of service, (y) 48 months with 15 years of service and (z) 60 months with 20 years of service. For stock option and stock unit awards granted in 2021 and 2022, NEOs qualify for continued vesting on retirement when the sum of the NEO’s age and completed years of service equals or exceeds 70 (provided that the NEO has reached age 62 and completed 5 years of service).</w:t>
            </w:r>
          </w:p>
        </w:tc>
      </w:tr>
      <w:tr>
        <w:trPr/>
        <w:tc>
          <w:tcPr>
            <w:tcW w:w="129"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(6)</w:t>
            </w:r>
          </w:p>
        </w:tc>
        <w:tc>
          <w:tcPr>
            <w:tcW w:w="10076" w:type="dxa"/>
            <w:tcBorders/>
            <w:shd w:fill="auto" w:val="clear"/>
            <w:vAlign w:val="center"/>
          </w:tcPr>
          <w:p>
            <w:pPr>
              <w:pStyle w:val="TableContents"/>
              <w:spacing w:before="0" w:after="283"/>
              <w:jc w:val="left"/>
              <w:rPr>
                <w:rFonts w:ascii="Arial" w:hAnsi="Arial"/>
                <w:sz w:val="15"/>
              </w:rPr>
            </w:pPr>
            <w:r>
              <w:rPr>
                <w:rFonts w:ascii="Arial" w:hAnsi="Arial"/>
                <w:sz w:val="15"/>
              </w:rPr>
              <w:t>None of our NEOs’ employment agreements provides for the automatic accelerated vesting of equity awards in connection with a change in control (a “single trigger”), and none of our NEOs’ employment agreements, other than Mr. Roberts’, provides for the automatic accelerated vesting of equity awards upon the occurrence of one or more specified events that may follow a change in control, such as a termination of employment (a “double trigger”). Under Mr. Roberts’ employment agreement, if we were to terminate Mr. Roberts’ employment following a change in control transaction, it would be treated as a termination without cause and he would be entitled to the same amounts set forth in the “Without Cause/With Good Reason” category, as described in footnote (2) to this table.</w:t>
            </w:r>
          </w:p>
        </w:tc>
      </w:tr>
      <w:tr>
        <w:trPr/>
        <w:tc>
          <w:tcPr>
            <w:tcW w:w="129"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(7)</w:t>
            </w:r>
          </w:p>
        </w:tc>
        <w:tc>
          <w:tcPr>
            <w:tcW w:w="10076" w:type="dxa"/>
            <w:tcBorders/>
            <w:shd w:fill="auto" w:val="clear"/>
            <w:vAlign w:val="center"/>
          </w:tcPr>
          <w:p>
            <w:pPr>
              <w:pStyle w:val="TableContents"/>
              <w:spacing w:before="0" w:after="283"/>
              <w:jc w:val="left"/>
              <w:rPr>
                <w:rFonts w:ascii="Arial" w:hAnsi="Arial"/>
                <w:sz w:val="15"/>
              </w:rPr>
            </w:pPr>
            <w:r>
              <w:rPr>
                <w:rFonts w:ascii="Arial" w:hAnsi="Arial"/>
                <w:sz w:val="15"/>
              </w:rPr>
              <w:t>If we terminate such executive’s employment without cause or the executive terminates with good reason, they will receive their then-current base salary for a period of 24 months, and they are entitled to receive continued health benefits for a period of 18 months. If the executive becomes reemployed, these payments will be reduced by the amount of any compensation earned or received by the executive in respect of such period and we will stop providing health and welfare benefits. Such executive will receive the full (non-prorated) amount of the current year’s annual cash bonus (assuming full achievement of performance goals) and the following year’s target annual cash bonus (prorated for time employed during the year of termination and assuming full achievement of performance goals). Stock options and stock units will continue to vest in accordance with their respective terms for 12 months following termination, and vested stock options will remain exercisable for a period equal to the lesser of 15 months or the end of the stock options’ term. Mr. Roberts and Mr. Watson, who are over the age of 62, are entitled to receive retirement-related compensation as set forth in footnote (5) to this table. The executives’ receipt of the payments and benefits described above are subject to execution of our standard agreement containing certain mutual releases.</w:t>
            </w:r>
          </w:p>
        </w:tc>
      </w:tr>
      <w:tr>
        <w:trPr/>
        <w:tc>
          <w:tcPr>
            <w:tcW w:w="129"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(8)</w:t>
            </w:r>
          </w:p>
        </w:tc>
        <w:tc>
          <w:tcPr>
            <w:tcW w:w="10076" w:type="dxa"/>
            <w:tcBorders/>
            <w:shd w:fill="auto" w:val="clear"/>
            <w:vAlign w:val="center"/>
          </w:tcPr>
          <w:p>
            <w:pPr>
              <w:pStyle w:val="TableContents"/>
              <w:spacing w:before="0" w:after="283"/>
              <w:jc w:val="left"/>
              <w:rPr>
                <w:rFonts w:ascii="Arial" w:hAnsi="Arial"/>
                <w:sz w:val="15"/>
              </w:rPr>
            </w:pPr>
            <w:r>
              <w:rPr>
                <w:rFonts w:ascii="Arial" w:hAnsi="Arial"/>
                <w:sz w:val="15"/>
              </w:rPr>
              <w:t>If such executive’s employment terminates due to his death or disability, the executive or his or her estate will receive three months of base salary and payment of annual cash bonus, prorated for time employed during the year of such termination (assuming full achievement of performance goals), and stock options and stock units will fully vest, with stock options remaining exercisable for the remainder of their terms.</w:t>
            </w:r>
          </w:p>
        </w:tc>
      </w:tr>
    </w:tbl>
    <w:p>
      <w:pPr>
        <w:pStyle w:val="TextBody"/>
        <w:spacing w:before="0" w:after="0"/>
        <w:rPr/>
      </w:pPr>
      <w:r>
        <w:rPr/>
      </w:r>
    </w:p>
    <w:tbl>
      <w:tblPr>
        <w:tblW w:w="223" w:type="dxa"/>
        <w:jc w:val="left"/>
        <w:tblInd w:w="0" w:type="dxa"/>
        <w:tblCellMar>
          <w:top w:w="0" w:type="dxa"/>
          <w:left w:w="0" w:type="dxa"/>
          <w:bottom w:w="0" w:type="dxa"/>
          <w:right w:w="0" w:type="dxa"/>
        </w:tblCellMar>
      </w:tblPr>
      <w:tblGrid>
        <w:gridCol w:w="200"/>
        <w:gridCol w:w="23"/>
      </w:tblGrid>
      <w:tr>
        <w:trPr/>
        <w:tc>
          <w:tcPr>
            <w:tcW w:w="200" w:type="dxa"/>
            <w:tcBorders/>
            <w:shd w:fill="auto" w:val="clear"/>
            <w:vAlign w:val="center"/>
          </w:tcPr>
          <w:p>
            <w:pPr>
              <w:pStyle w:val="TableContents"/>
              <w:spacing w:before="0" w:after="283"/>
              <w:jc w:val="left"/>
              <w:rPr>
                <w:rFonts w:ascii="Arial" w:hAnsi="Arial"/>
                <w:b/>
                <w:sz w:val="15"/>
              </w:rPr>
            </w:pPr>
            <w:r>
              <w:rPr>
                <w:rFonts w:ascii="Arial" w:hAnsi="Arial"/>
                <w:b/>
                <w:sz w:val="15"/>
              </w:rPr>
              <w:t>62</w:t>
            </w:r>
          </w:p>
        </w:tc>
        <w:tc>
          <w:tcPr>
            <w:tcW w:w="2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p>
      <w:pPr>
        <w:pStyle w:val="TextBody"/>
        <w:jc w:val="left"/>
        <w:rPr>
          <w:rFonts w:ascii="Arial" w:hAnsi="Arial"/>
          <w:sz w:val="28"/>
        </w:rPr>
      </w:pPr>
      <w:bookmarkStart w:id="31" w:name="equitycompensation"/>
      <w:bookmarkEnd w:id="31"/>
      <w:r>
        <w:rPr>
          <w:rFonts w:ascii="Arial" w:hAnsi="Arial"/>
          <w:sz w:val="28"/>
        </w:rPr>
        <w:t>Equity Compensation Plan Information</w:t>
      </w:r>
    </w:p>
    <w:p>
      <w:pPr>
        <w:pStyle w:val="TextBody"/>
        <w:jc w:val="left"/>
        <w:rPr>
          <w:rFonts w:ascii="Arial" w:hAnsi="Arial"/>
          <w:sz w:val="20"/>
        </w:rPr>
      </w:pPr>
      <w:r>
        <w:rPr>
          <w:rFonts w:ascii="Arial" w:hAnsi="Arial"/>
          <w:sz w:val="20"/>
        </w:rPr>
        <w:t>The following table summarizes our equity plan information as of December 31, 2022.</w:t>
      </w:r>
    </w:p>
    <w:tbl>
      <w:tblPr>
        <w:tblW w:w="9350" w:type="dxa"/>
        <w:jc w:val="left"/>
        <w:tblInd w:w="0" w:type="dxa"/>
        <w:tblCellMar>
          <w:top w:w="0" w:type="dxa"/>
          <w:left w:w="0" w:type="dxa"/>
          <w:bottom w:w="40" w:type="dxa"/>
          <w:right w:w="0" w:type="dxa"/>
        </w:tblCellMar>
      </w:tblPr>
      <w:tblGrid>
        <w:gridCol w:w="2990"/>
        <w:gridCol w:w="2150"/>
        <w:gridCol w:w="180"/>
        <w:gridCol w:w="1655"/>
        <w:gridCol w:w="180"/>
        <w:gridCol w:w="2195"/>
      </w:tblGrid>
      <w:tr>
        <w:trPr/>
        <w:tc>
          <w:tcPr>
            <w:tcW w:w="2990" w:type="dxa"/>
            <w:tcBorders>
              <w:bottom w:val="single" w:sz="16" w:space="0" w:color="000000"/>
            </w:tcBorders>
            <w:shd w:fill="auto" w:val="clear"/>
            <w:vAlign w:val="center"/>
          </w:tcPr>
          <w:p>
            <w:pPr>
              <w:pStyle w:val="TableContents"/>
              <w:spacing w:before="0" w:after="283"/>
              <w:jc w:val="left"/>
              <w:rPr/>
            </w:pPr>
            <w:r>
              <w:rPr>
                <w:rStyle w:val="StrongEmphasis"/>
                <w:rFonts w:ascii="Arial" w:hAnsi="Arial"/>
                <w:sz w:val="15"/>
              </w:rPr>
              <w:t>PLAN CATEGORY</w:t>
            </w:r>
          </w:p>
        </w:tc>
        <w:tc>
          <w:tcPr>
            <w:tcW w:w="2150" w:type="dxa"/>
            <w:tcBorders>
              <w:bottom w:val="single" w:sz="16" w:space="0" w:color="000000"/>
            </w:tcBorders>
            <w:shd w:fill="auto" w:val="clear"/>
            <w:vAlign w:val="center"/>
          </w:tcPr>
          <w:p>
            <w:pPr>
              <w:pStyle w:val="TableContents"/>
              <w:spacing w:before="0" w:after="283"/>
              <w:jc w:val="center"/>
              <w:rPr>
                <w:rFonts w:ascii="Arial" w:hAnsi="Arial"/>
                <w:b/>
                <w:sz w:val="15"/>
              </w:rPr>
            </w:pPr>
            <w:r>
              <w:rPr>
                <w:rFonts w:ascii="Arial" w:hAnsi="Arial"/>
                <w:b/>
                <w:sz w:val="15"/>
              </w:rPr>
              <w:t>NUMBER OF SECURITIES TO</w:t>
              <w:br/>
              <w:t>BE ISSUED UPON EXERCISE</w:t>
              <w:br/>
              <w:t>OF OUTSTANDING OPTIONS,</w:t>
              <w:br/>
              <w:t>WARRANTS AND RIGHTS</w:t>
            </w:r>
            <w:r>
              <w:rPr>
                <w:rFonts w:ascii="Arial" w:hAnsi="Arial"/>
                <w:b/>
                <w:position w:val="5"/>
                <w:sz w:val="12"/>
                <w:sz w:val="15"/>
              </w:rPr>
              <w:t>(1)</w:t>
            </w:r>
            <w:r>
              <w:rPr>
                <w:rFonts w:ascii="Arial" w:hAnsi="Arial"/>
                <w:b/>
                <w:sz w:val="15"/>
              </w:rPr>
              <w:br/>
              <w:t>(a)</w:t>
            </w:r>
          </w:p>
        </w:tc>
        <w:tc>
          <w:tcPr>
            <w:tcW w:w="180" w:type="dxa"/>
            <w:tcBorders>
              <w:bottom w:val="single" w:sz="16" w:space="0" w:color="000000"/>
            </w:tcBorders>
            <w:shd w:fill="auto" w:val="clear"/>
            <w:vAlign w:val="center"/>
          </w:tcPr>
          <w:p>
            <w:pPr>
              <w:pStyle w:val="TableContents"/>
              <w:spacing w:before="0" w:after="283"/>
              <w:jc w:val="center"/>
              <w:rPr/>
            </w:pPr>
            <w:r>
              <w:rPr/>
              <w:t>   </w:t>
            </w:r>
          </w:p>
        </w:tc>
        <w:tc>
          <w:tcPr>
            <w:tcW w:w="1655" w:type="dxa"/>
            <w:tcBorders>
              <w:bottom w:val="single" w:sz="16" w:space="0" w:color="000000"/>
            </w:tcBorders>
            <w:shd w:fill="auto" w:val="clear"/>
            <w:vAlign w:val="center"/>
          </w:tcPr>
          <w:p>
            <w:pPr>
              <w:pStyle w:val="TableContents"/>
              <w:spacing w:before="0" w:after="283"/>
              <w:jc w:val="center"/>
              <w:rPr>
                <w:rFonts w:ascii="Arial" w:hAnsi="Arial"/>
                <w:b/>
                <w:sz w:val="15"/>
              </w:rPr>
            </w:pPr>
            <w:r>
              <w:rPr>
                <w:rFonts w:ascii="Arial" w:hAnsi="Arial"/>
                <w:b/>
                <w:sz w:val="15"/>
              </w:rPr>
              <w:t>WEIGHTED-AVERAGE</w:t>
              <w:br/>
              <w:t>EXERCISE PRICE</w:t>
              <w:br/>
              <w:t>OF OUTSTANDING</w:t>
              <w:br/>
              <w:t>OPTIONS, WARRANTS</w:t>
              <w:br/>
              <w:t>AND RIGHTS</w:t>
            </w:r>
            <w:r>
              <w:rPr>
                <w:rFonts w:ascii="Arial" w:hAnsi="Arial"/>
                <w:b/>
                <w:position w:val="5"/>
                <w:sz w:val="12"/>
                <w:sz w:val="15"/>
              </w:rPr>
              <w:t>(2)</w:t>
            </w:r>
            <w:r>
              <w:rPr>
                <w:rFonts w:ascii="Arial" w:hAnsi="Arial"/>
                <w:b/>
                <w:sz w:val="15"/>
              </w:rPr>
              <w:br/>
              <w:t>($)</w:t>
              <w:br/>
              <w:t>(b)</w:t>
            </w:r>
          </w:p>
        </w:tc>
        <w:tc>
          <w:tcPr>
            <w:tcW w:w="180" w:type="dxa"/>
            <w:tcBorders>
              <w:bottom w:val="single" w:sz="16" w:space="0" w:color="000000"/>
            </w:tcBorders>
            <w:shd w:fill="auto" w:val="clear"/>
            <w:vAlign w:val="center"/>
          </w:tcPr>
          <w:p>
            <w:pPr>
              <w:pStyle w:val="TableContents"/>
              <w:spacing w:before="0" w:after="283"/>
              <w:jc w:val="center"/>
              <w:rPr/>
            </w:pPr>
            <w:r>
              <w:rPr/>
              <w:t>   </w:t>
            </w:r>
          </w:p>
        </w:tc>
        <w:tc>
          <w:tcPr>
            <w:tcW w:w="2195" w:type="dxa"/>
            <w:tcBorders>
              <w:bottom w:val="single" w:sz="16" w:space="0" w:color="000000"/>
            </w:tcBorders>
            <w:shd w:fill="auto" w:val="clear"/>
            <w:vAlign w:val="center"/>
          </w:tcPr>
          <w:p>
            <w:pPr>
              <w:pStyle w:val="TableContents"/>
              <w:spacing w:before="0" w:after="283"/>
              <w:jc w:val="center"/>
              <w:rPr>
                <w:rFonts w:ascii="Arial" w:hAnsi="Arial"/>
                <w:b/>
                <w:sz w:val="15"/>
              </w:rPr>
            </w:pPr>
            <w:r>
              <w:rPr>
                <w:rFonts w:ascii="Arial" w:hAnsi="Arial"/>
                <w:b/>
                <w:sz w:val="15"/>
              </w:rPr>
              <w:t>NUMBER OF SECURITIES</w:t>
              <w:br/>
              <w:t>REMAINING AVAILABLE</w:t>
              <w:br/>
              <w:t>FOR FUTURE ISSUANCE</w:t>
              <w:br/>
              <w:t>UNDER EQUITY</w:t>
              <w:br/>
              <w:t>COMPENSATION PLANS</w:t>
              <w:br/>
              <w:t>EXCLUDING SECURITIES</w:t>
              <w:br/>
              <w:t>REFLECTED IN COLUMN (A)</w:t>
            </w:r>
            <w:r>
              <w:rPr>
                <w:rFonts w:ascii="Arial" w:hAnsi="Arial"/>
                <w:b/>
                <w:position w:val="5"/>
                <w:sz w:val="12"/>
                <w:sz w:val="15"/>
              </w:rPr>
              <w:t>(3)</w:t>
            </w:r>
            <w:r>
              <w:rPr>
                <w:rFonts w:ascii="Arial" w:hAnsi="Arial"/>
                <w:b/>
                <w:sz w:val="15"/>
              </w:rPr>
              <w:br/>
              <w:t>(c)</w:t>
            </w:r>
          </w:p>
        </w:tc>
      </w:tr>
      <w:tr>
        <w:trPr/>
        <w:tc>
          <w:tcPr>
            <w:tcW w:w="2990" w:type="dxa"/>
            <w:tcBorders>
              <w:bottom w:val="single" w:sz="8" w:space="0" w:color="000000"/>
            </w:tcBorders>
            <w:shd w:fill="auto" w:val="clear"/>
            <w:tcMar>
              <w:bottom w:w="28" w:type="dxa"/>
            </w:tcMar>
            <w:vAlign w:val="center"/>
          </w:tcPr>
          <w:p>
            <w:pPr>
              <w:pStyle w:val="TableContents"/>
              <w:spacing w:before="0" w:after="283"/>
              <w:jc w:val="left"/>
              <w:rPr/>
            </w:pPr>
            <w:r>
              <w:rPr>
                <w:rStyle w:val="StrongEmphasis"/>
                <w:rFonts w:ascii="Arial" w:hAnsi="Arial"/>
                <w:sz w:val="20"/>
              </w:rPr>
              <w:t xml:space="preserve">Equity compensation plans </w:t>
              <w:br/>
              <w:t>approved by security holders</w:t>
            </w:r>
          </w:p>
        </w:tc>
        <w:tc>
          <w:tcPr>
            <w:tcW w:w="215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287,064,415</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655"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41.84</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2195"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422,531,734</w:t>
            </w:r>
          </w:p>
        </w:tc>
      </w:tr>
      <w:tr>
        <w:trPr/>
        <w:tc>
          <w:tcPr>
            <w:tcW w:w="2990" w:type="dxa"/>
            <w:tcBorders>
              <w:bottom w:val="single" w:sz="8" w:space="0" w:color="000000"/>
            </w:tcBorders>
            <w:shd w:fill="auto" w:val="clear"/>
            <w:tcMar>
              <w:bottom w:w="28" w:type="dxa"/>
            </w:tcMar>
            <w:vAlign w:val="center"/>
          </w:tcPr>
          <w:p>
            <w:pPr>
              <w:pStyle w:val="TableContents"/>
              <w:spacing w:before="0" w:after="283"/>
              <w:jc w:val="left"/>
              <w:rPr/>
            </w:pPr>
            <w:r>
              <w:rPr>
                <w:rStyle w:val="StrongEmphasis"/>
                <w:rFonts w:ascii="Arial" w:hAnsi="Arial"/>
                <w:sz w:val="20"/>
              </w:rPr>
              <w:t xml:space="preserve">Equity compensation plans not </w:t>
              <w:br/>
              <w:t>approved by security holders</w:t>
            </w:r>
          </w:p>
        </w:tc>
        <w:tc>
          <w:tcPr>
            <w:tcW w:w="2150"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655"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2195" w:type="dxa"/>
            <w:tcBorders>
              <w:bottom w:val="single" w:sz="8" w:space="0" w:color="000000"/>
            </w:tcBorders>
            <w:shd w:fill="auto" w:val="clear"/>
            <w:tcMar>
              <w:bottom w:w="28" w:type="dxa"/>
            </w:tcMar>
            <w:vAlign w:val="center"/>
          </w:tcPr>
          <w:p>
            <w:pPr>
              <w:pStyle w:val="TableContents"/>
              <w:spacing w:before="0" w:after="283"/>
              <w:jc w:val="right"/>
              <w:rPr/>
            </w:pPr>
            <w:r>
              <w:rPr/>
              <w:t>—</w:t>
            </w:r>
          </w:p>
        </w:tc>
      </w:tr>
      <w:tr>
        <w:trPr/>
        <w:tc>
          <w:tcPr>
            <w:tcW w:w="2990" w:type="dxa"/>
            <w:tcBorders>
              <w:bottom w:val="single" w:sz="8" w:space="0" w:color="000000"/>
            </w:tcBorders>
            <w:shd w:fill="auto" w:val="clear"/>
            <w:tcMar>
              <w:bottom w:w="28" w:type="dxa"/>
            </w:tcMar>
            <w:vAlign w:val="center"/>
          </w:tcPr>
          <w:p>
            <w:pPr>
              <w:pStyle w:val="TableContents"/>
              <w:spacing w:before="0" w:after="283"/>
              <w:jc w:val="left"/>
              <w:rPr/>
            </w:pPr>
            <w:r>
              <w:rPr>
                <w:rStyle w:val="StrongEmphasis"/>
                <w:rFonts w:ascii="Arial" w:hAnsi="Arial"/>
                <w:sz w:val="20"/>
              </w:rPr>
              <w:t>Total</w:t>
            </w:r>
          </w:p>
        </w:tc>
        <w:tc>
          <w:tcPr>
            <w:tcW w:w="215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287,064,415</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655"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2195"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422,531,734</w:t>
            </w:r>
          </w:p>
        </w:tc>
      </w:tr>
    </w:tbl>
    <w:tbl>
      <w:tblPr>
        <w:tblW w:w="10205" w:type="dxa"/>
        <w:jc w:val="left"/>
        <w:tblInd w:w="0" w:type="dxa"/>
        <w:tblCellMar>
          <w:top w:w="0" w:type="dxa"/>
          <w:left w:w="0" w:type="dxa"/>
          <w:bottom w:w="0" w:type="dxa"/>
          <w:right w:w="0" w:type="dxa"/>
        </w:tblCellMar>
      </w:tblPr>
      <w:tblGrid>
        <w:gridCol w:w="128"/>
        <w:gridCol w:w="10077"/>
      </w:tblGrid>
      <w:tr>
        <w:trPr/>
        <w:tc>
          <w:tcPr>
            <w:tcW w:w="128"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(1)</w:t>
            </w:r>
          </w:p>
        </w:tc>
        <w:tc>
          <w:tcPr>
            <w:tcW w:w="10077" w:type="dxa"/>
            <w:tcBorders/>
            <w:shd w:fill="auto" w:val="clear"/>
            <w:vAlign w:val="center"/>
          </w:tcPr>
          <w:p>
            <w:pPr>
              <w:pStyle w:val="TableContents"/>
              <w:spacing w:before="0" w:after="283"/>
              <w:jc w:val="left"/>
              <w:rPr>
                <w:rFonts w:ascii="Arial" w:hAnsi="Arial"/>
                <w:sz w:val="15"/>
              </w:rPr>
            </w:pPr>
            <w:r>
              <w:rPr>
                <w:rFonts w:ascii="Arial" w:hAnsi="Arial"/>
                <w:sz w:val="15"/>
              </w:rPr>
              <w:t>Includes shares of Class A common stock under the following plans: 2003 Stock Option Plan, 2002 Restricted Stock Plan (under which RSUs and PSUs have been granted), Comcast Corporation 2002 Employee Stock Purchase Plan (“2002 ESPP”), Comcast-NBCUniversal 2011 Employee Stock Purchase Plan (“2011 ESPP”) and 2019 Omnibus Sharesave Plan. Also includes our 2002 and 2005 Deferred Compensation Plans (under which shares of Class A common stock have been credited to participants’ accounts).</w:t>
            </w:r>
          </w:p>
        </w:tc>
      </w:tr>
      <w:tr>
        <w:trPr/>
        <w:tc>
          <w:tcPr>
            <w:tcW w:w="128"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(2)</w:t>
            </w:r>
          </w:p>
        </w:tc>
        <w:tc>
          <w:tcPr>
            <w:tcW w:w="10077" w:type="dxa"/>
            <w:tcBorders/>
            <w:shd w:fill="auto" w:val="clear"/>
            <w:vAlign w:val="center"/>
          </w:tcPr>
          <w:p>
            <w:pPr>
              <w:pStyle w:val="TableContents"/>
              <w:spacing w:before="0" w:after="283"/>
              <w:jc w:val="left"/>
              <w:rPr>
                <w:rFonts w:ascii="Arial" w:hAnsi="Arial"/>
                <w:sz w:val="15"/>
              </w:rPr>
            </w:pPr>
            <w:r>
              <w:rPr>
                <w:rFonts w:ascii="Arial" w:hAnsi="Arial"/>
                <w:sz w:val="15"/>
              </w:rPr>
              <w:t>The weighted-average exercise price only reflects stock options under our 2003 Stock Option Plan.</w:t>
            </w:r>
          </w:p>
        </w:tc>
      </w:tr>
      <w:tr>
        <w:trPr/>
        <w:tc>
          <w:tcPr>
            <w:tcW w:w="128"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(3)</w:t>
            </w:r>
          </w:p>
        </w:tc>
        <w:tc>
          <w:tcPr>
            <w:tcW w:w="10077" w:type="dxa"/>
            <w:tcBorders/>
            <w:shd w:fill="auto" w:val="clear"/>
            <w:vAlign w:val="center"/>
          </w:tcPr>
          <w:p>
            <w:pPr>
              <w:pStyle w:val="TableContents"/>
              <w:spacing w:before="0" w:after="283"/>
              <w:jc w:val="left"/>
              <w:rPr>
                <w:rFonts w:ascii="Arial" w:hAnsi="Arial"/>
                <w:sz w:val="15"/>
              </w:rPr>
            </w:pPr>
            <w:r>
              <w:rPr>
                <w:rFonts w:ascii="Arial" w:hAnsi="Arial"/>
                <w:sz w:val="15"/>
              </w:rPr>
              <w:t>The number of shares available for issuance includes the following number of shares of Class A common stock: 344,711,367 shares available for issuance under the 2003 Stock Option Plan; 57,102,791 shares available for issuance under the 2002 Restricted Stock Plan; 3,821,758 shares available for issuance under the 2019 Omnibus Sharesave Plan; 1,442,180 shares that were issued in connection with the fourth quarter 2022 purchase period under the 2002 ESPP and 7,161,803 shares available for issuance under the 2002 ESPP; and 404,502 shares that were issued in connection with the fourth quarter 2022 purchase period under the 2011 ESPP and 7,887,333 shares available for issuance under the 2011 ESPP. We are requesting that shareholders vote in favor of adopting the Comcast Corporation 2023 Omnibus Equity Incentive Plan and if that plan is approved, we will not issue the remaining available shares under the 2003 Stock Option Plan and the 2002 Restricted Stock Plan (see “Proposal 3: Approval of Comcast Corporation 2023 Omnibus Equity Incentive Plan” for additional details). We are also requesting that shareholders vote in favor of amending the 2002 ESPP which would increase the number of available shares (see Proposal 4: Approval of Amended and Restated Comcast Corporation 2002 Employee Stock Purchase Plan” for additional details).</w:t>
            </w:r>
          </w:p>
        </w:tc>
      </w:tr>
    </w:tbl>
    <w:p>
      <w:pPr>
        <w:pStyle w:val="TextBody"/>
        <w:spacing w:before="240" w:after="283"/>
        <w:jc w:val="left"/>
        <w:rPr>
          <w:rFonts w:ascii="Arial" w:hAnsi="Arial"/>
          <w:sz w:val="28"/>
        </w:rPr>
      </w:pPr>
      <w:bookmarkStart w:id="32" w:name="ceopayratio"/>
      <w:bookmarkEnd w:id="32"/>
      <w:r>
        <w:rPr>
          <w:rFonts w:ascii="Arial" w:hAnsi="Arial"/>
          <w:sz w:val="28"/>
        </w:rPr>
        <w:t>CEO Pay Ratio</w:t>
      </w:r>
    </w:p>
    <w:p>
      <w:pPr>
        <w:pStyle w:val="TextBody"/>
        <w:jc w:val="left"/>
        <w:rPr>
          <w:rFonts w:ascii="Arial" w:hAnsi="Arial"/>
          <w:sz w:val="20"/>
        </w:rPr>
      </w:pPr>
      <w:r>
        <w:rPr>
          <w:rFonts w:ascii="Arial" w:hAnsi="Arial"/>
          <w:sz w:val="20"/>
        </w:rPr>
        <w:t>We are required under SEC rules to provide a pay ratio comparing Mr. Roberts’ 2022 compensation to our median employee’s 2022 compensation (excluding Mr. Roberts). To identify the median employee, we engaged an unaffiliated third-party advisory services firm to conduct a statistical sampling of approximately 193,411 full-time, part-time, seasonal and temporary employees as of December 31, 2022 (which included approximately 56,014 non-U.S. employees) based on comparisons of base wages.</w:t>
      </w:r>
    </w:p>
    <w:p>
      <w:pPr>
        <w:pStyle w:val="TextBody"/>
        <w:jc w:val="left"/>
        <w:rPr>
          <w:rFonts w:ascii="Arial" w:hAnsi="Arial"/>
          <w:sz w:val="20"/>
        </w:rPr>
      </w:pPr>
      <w:r>
        <w:rPr>
          <w:rFonts w:ascii="Arial" w:hAnsi="Arial"/>
          <w:sz w:val="20"/>
        </w:rPr>
        <w:t>All of our part-time, seasonal and temporary employees as of December 31, 2022, including in our theme park and entertainment production businesses, were required to be taken into account for purposes of identifying our median employee under SEC rules. SEC rules do not permit us to annualize the compensation paid to these workers as if they were full-time employees, which has the effect of reducing the level of our median employee’s total compensation relative to what it would have been had the rules permitted us to annualize compensation across our entire workforce or to use only full-time U.S. employees. As a result, the impact of this rule may be different for us than some companies in our peer groups given the composition of our workforce across our uniquely diversified company, and year-over-year comparisons may not be meaningful. We believe putting into context how our median employee was identified highlights why that employee’s compensation and the resulting pay ratio, and year-over-year changes thereto, should not be compared on an “apples-to-apples” basis.</w:t>
      </w:r>
    </w:p>
    <w:p>
      <w:pPr>
        <w:pStyle w:val="TextBody"/>
        <w:jc w:val="left"/>
        <w:rPr>
          <w:rFonts w:ascii="Arial" w:hAnsi="Arial"/>
          <w:sz w:val="20"/>
        </w:rPr>
      </w:pPr>
      <w:r>
        <w:rPr>
          <w:rFonts w:ascii="Arial" w:hAnsi="Arial"/>
          <w:sz w:val="20"/>
        </w:rPr>
        <w:t>We have estimated that our pay ratio for 2022 is 385 to 1, calculated by dividing Mr. Roberts’ 2022 total compensation set forth in the Summary Compensation Table, adjusted as described below ($32,084,174), by $83,399, which represents the annual total compensation of our median employee. Our median employee’s annual total compensation was determined using the same methodology we used to determine the annual total compensation of our NEOs, which, along with Mr. Roberts’ compensation, was then adjusted to include the cost to the Company of specified employee benefits provided on a non-discriminatory basis, including group health and welfare benefits and the value of courtesy cable services.</w:t>
      </w:r>
    </w:p>
    <w:tbl>
      <w:tblPr>
        <w:tblW w:w="2200" w:type="dxa"/>
        <w:jc w:val="left"/>
        <w:tblInd w:w="0" w:type="dxa"/>
        <w:tblCellMar>
          <w:top w:w="0" w:type="dxa"/>
          <w:left w:w="0" w:type="dxa"/>
          <w:bottom w:w="0" w:type="dxa"/>
          <w:right w:w="0" w:type="dxa"/>
        </w:tblCellMar>
      </w:tblPr>
      <w:tblGrid>
        <w:gridCol w:w="1580"/>
        <w:gridCol w:w="620"/>
      </w:tblGrid>
      <w:tr>
        <w:trPr/>
        <w:tc>
          <w:tcPr>
            <w:tcW w:w="1580" w:type="dxa"/>
            <w:tcBorders/>
            <w:shd w:fill="auto" w:val="clear"/>
            <w:vAlign w:val="center"/>
          </w:tcPr>
          <w:p>
            <w:pPr>
              <w:pStyle w:val="TableContents"/>
              <w:spacing w:before="0" w:after="283"/>
              <w:jc w:val="right"/>
              <w:rPr>
                <w:rFonts w:ascii="Arial" w:hAnsi="Arial"/>
                <w:sz w:val="15"/>
              </w:rPr>
            </w:pPr>
            <w:r>
              <w:rPr>
                <w:rFonts w:ascii="Arial" w:hAnsi="Arial"/>
                <w:sz w:val="15"/>
              </w:rPr>
              <w:t>2023 Proxy Statement</w:t>
            </w:r>
          </w:p>
        </w:tc>
        <w:tc>
          <w:tcPr>
            <w:tcW w:w="620" w:type="dxa"/>
            <w:tcBorders/>
            <w:shd w:fill="auto" w:val="clear"/>
            <w:vAlign w:val="center"/>
          </w:tcPr>
          <w:p>
            <w:pPr>
              <w:pStyle w:val="TableContents"/>
              <w:spacing w:before="0" w:after="283"/>
              <w:jc w:val="right"/>
              <w:rPr/>
            </w:pPr>
            <w:r>
              <w:rPr/>
              <w:t>       </w:t>
            </w:r>
            <w:r>
              <w:rPr>
                <w:rFonts w:ascii="Arial" w:hAnsi="Arial"/>
                <w:b/>
                <w:sz w:val="15"/>
              </w:rPr>
              <w:t>63</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p>
      <w:pPr>
        <w:pStyle w:val="TextBody"/>
        <w:jc w:val="left"/>
        <w:rPr>
          <w:rFonts w:ascii="Arial" w:hAnsi="Arial"/>
          <w:sz w:val="20"/>
        </w:rPr>
      </w:pPr>
      <w:r>
        <w:rPr>
          <w:rFonts w:ascii="Arial" w:hAnsi="Arial"/>
          <w:sz w:val="20"/>
        </w:rPr>
        <w:t>As permitted under SEC rules, we adjusted our total employee population for purposes of identifying our median employee by excluding approximately 1.9% of our employee population as follows (all amounts are approximate): 36 in Brazil; 85 in Canada; 2,701 in India; 890 in Ireland; 239 in Mexico; and 4 in Russia.</w:t>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jc w:val="left"/>
        <w:rPr>
          <w:rFonts w:ascii="Arial" w:hAnsi="Arial"/>
          <w:sz w:val="28"/>
        </w:rPr>
      </w:pPr>
      <w:bookmarkStart w:id="33" w:name="payversusperformance"/>
      <w:bookmarkEnd w:id="33"/>
      <w:r>
        <w:rPr>
          <w:rFonts w:ascii="Arial" w:hAnsi="Arial"/>
          <w:sz w:val="28"/>
        </w:rPr>
        <w:t>Pay Versus Performance</w:t>
      </w:r>
    </w:p>
    <w:p>
      <w:pPr>
        <w:pStyle w:val="TextBody"/>
        <w:jc w:val="left"/>
        <w:rPr>
          <w:rFonts w:ascii="Arial" w:hAnsi="Arial"/>
          <w:sz w:val="20"/>
        </w:rPr>
      </w:pPr>
      <w:r>
        <w:rPr>
          <w:rFonts w:ascii="Arial" w:hAnsi="Arial"/>
          <w:sz w:val="20"/>
        </w:rPr>
        <w:t>The table below provides information on the compensation for our CEO and the average compensation for our other NEOs, both as reported in the Summary Compensation Table and with certain adjustments to reflect the compensation “actually paid” to such individuals, as defined under SEC rules, for each of 2022, 2021 and 2020. The table also provides information on our cumulative TSR, the cumulative TSR of our peer group, Net Income and Adjusted EBITDA.</w:t>
      </w:r>
    </w:p>
    <w:p>
      <w:pPr>
        <w:pStyle w:val="Normal"/>
        <w:spacing w:before="0" w:after="0"/>
        <w:rPr>
          <w:sz w:val="4"/>
          <w:szCs w:val="4"/>
        </w:rPr>
      </w:pPr>
      <w:r>
        <w:rPr>
          <w:sz w:val="4"/>
          <w:szCs w:val="4"/>
        </w:rPr>
      </w:r>
      <w:bookmarkStart w:id="34" w:name="xdx_300_zdmE1uo9sRV9"/>
      <w:bookmarkStart w:id="35" w:name="xdx_300_zdmE1uo9sRV9"/>
      <w:bookmarkEnd w:id="35"/>
    </w:p>
    <w:tbl>
      <w:tblPr>
        <w:tblW w:w="10350" w:type="dxa"/>
        <w:jc w:val="left"/>
        <w:tblInd w:w="0" w:type="dxa"/>
        <w:tblCellMar>
          <w:top w:w="0" w:type="dxa"/>
          <w:left w:w="0" w:type="dxa"/>
          <w:bottom w:w="0" w:type="dxa"/>
          <w:right w:w="0" w:type="dxa"/>
        </w:tblCellMar>
      </w:tblPr>
      <w:tblGrid>
        <w:gridCol w:w="440"/>
        <w:gridCol w:w="120"/>
        <w:gridCol w:w="1250"/>
        <w:gridCol w:w="120"/>
        <w:gridCol w:w="1007"/>
        <w:gridCol w:w="243"/>
        <w:gridCol w:w="120"/>
        <w:gridCol w:w="1250"/>
        <w:gridCol w:w="120"/>
        <w:gridCol w:w="1250"/>
        <w:gridCol w:w="120"/>
        <w:gridCol w:w="1175"/>
        <w:gridCol w:w="120"/>
        <w:gridCol w:w="1175"/>
        <w:gridCol w:w="120"/>
        <w:gridCol w:w="770"/>
        <w:gridCol w:w="120"/>
        <w:gridCol w:w="830"/>
      </w:tblGrid>
      <w:tr>
        <w:trPr/>
        <w:tc>
          <w:tcPr>
            <w:tcW w:w="4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bookmarkStart w:id="36" w:name="xdx_487_eecd--PeoTotalCompAmt_z6CbKu6oMV"/>
            <w:bookmarkEnd w:id="36"/>
          </w:p>
        </w:tc>
        <w:tc>
          <w:tcPr>
            <w:tcW w:w="12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bookmarkStart w:id="37" w:name="xdx_484_eecd--PeoActuallyPaidCompAmt_zfh"/>
            <w:bookmarkEnd w:id="37"/>
          </w:p>
        </w:tc>
        <w:tc>
          <w:tcPr>
            <w:tcW w:w="1007" w:type="dxa"/>
            <w:tcBorders/>
            <w:shd w:fill="auto" w:val="clear"/>
            <w:vAlign w:val="center"/>
          </w:tcPr>
          <w:p>
            <w:pPr>
              <w:pStyle w:val="TableContents"/>
              <w:spacing w:before="0" w:after="283"/>
              <w:rPr/>
            </w:pPr>
            <w:r>
              <w:rPr/>
              <w:t> </w:t>
            </w:r>
          </w:p>
        </w:tc>
        <w:tc>
          <w:tcPr>
            <w:tcW w:w="243"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bookmarkStart w:id="38" w:name="xdx_48C_eecd--NonPeoNeoAvgTotalCompAmt_z"/>
            <w:bookmarkEnd w:id="38"/>
          </w:p>
        </w:tc>
        <w:tc>
          <w:tcPr>
            <w:tcW w:w="12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bookmarkStart w:id="39" w:name="xdx_487_eecd--NonPeoNeoAvgCompActuallyPa"/>
            <w:bookmarkEnd w:id="39"/>
          </w:p>
        </w:tc>
        <w:tc>
          <w:tcPr>
            <w:tcW w:w="12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bookmarkStart w:id="40" w:name="xdx_482_eecd--TotalShareholderRtnAmt_pp2"/>
            <w:bookmarkEnd w:id="40"/>
          </w:p>
        </w:tc>
        <w:tc>
          <w:tcPr>
            <w:tcW w:w="11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bookmarkStart w:id="41" w:name="xdx_481_eecd--PeerGroupTotalShareholderR"/>
            <w:bookmarkEnd w:id="41"/>
          </w:p>
        </w:tc>
        <w:tc>
          <w:tcPr>
            <w:tcW w:w="11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bookmarkStart w:id="42" w:name="xdx_488_eus-gaap--NetIncomeLoss_pdn9_z5R"/>
            <w:bookmarkEnd w:id="42"/>
          </w:p>
        </w:tc>
        <w:tc>
          <w:tcPr>
            <w:tcW w:w="7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bookmarkStart w:id="43" w:name="xdx_48D_eecd--CoSelectedMeasureAmt_pdn9_"/>
            <w:bookmarkEnd w:id="43"/>
          </w:p>
        </w:tc>
        <w:tc>
          <w:tcPr>
            <w:tcW w:w="830" w:type="dxa"/>
            <w:tcBorders/>
            <w:shd w:fill="auto" w:val="clear"/>
            <w:vAlign w:val="center"/>
          </w:tcPr>
          <w:p>
            <w:pPr>
              <w:pStyle w:val="TableContents"/>
              <w:spacing w:before="0" w:after="283"/>
              <w:rPr/>
            </w:pPr>
            <w:r>
              <w:rPr/>
              <w:t> </w:t>
            </w:r>
          </w:p>
        </w:tc>
      </w:tr>
      <w:tr>
        <w:trPr/>
        <w:tc>
          <w:tcPr>
            <w:tcW w:w="4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50" w:type="dxa"/>
            <w:vMerge w:val="restart"/>
            <w:tcBorders>
              <w:bottom w:val="single" w:sz="12" w:space="0" w:color="000000"/>
            </w:tcBorders>
            <w:shd w:fill="auto" w:val="clear"/>
            <w:tcMar>
              <w:bottom w:w="28" w:type="dxa"/>
            </w:tcMar>
            <w:vAlign w:val="center"/>
          </w:tcPr>
          <w:p>
            <w:pPr>
              <w:pStyle w:val="TableContents"/>
              <w:spacing w:before="0" w:after="283"/>
              <w:jc w:val="center"/>
              <w:rPr>
                <w:rFonts w:ascii="Arial" w:hAnsi="Arial"/>
                <w:b/>
                <w:sz w:val="15"/>
              </w:rPr>
            </w:pPr>
            <w:r>
              <w:rPr>
                <w:rFonts w:ascii="Arial" w:hAnsi="Arial"/>
                <w:b/>
                <w:sz w:val="15"/>
              </w:rPr>
              <w:t>AVERAGE</w:t>
              <w:br/>
              <w:t>SUMMARY</w:t>
              <w:br/>
              <w:t>COMPENSATION</w:t>
              <w:br/>
              <w:t>TABLE TOTAL</w:t>
              <w:br/>
              <w:t>FOR NON-PEO</w:t>
              <w:br/>
              <w:t>NEOS</w:t>
            </w:r>
            <w:r>
              <w:rPr>
                <w:rFonts w:ascii="Arial" w:hAnsi="Arial"/>
                <w:b/>
                <w:position w:val="5"/>
                <w:sz w:val="12"/>
                <w:sz w:val="15"/>
              </w:rPr>
              <w:t>(1)</w:t>
            </w:r>
            <w:r>
              <w:rPr>
                <w:rFonts w:ascii="Arial" w:hAnsi="Arial"/>
                <w:b/>
                <w:sz w:val="15"/>
              </w:rPr>
              <w:br/>
              <w:t>($)</w:t>
              <w:br/>
              <w:t>(d)</w:t>
            </w:r>
          </w:p>
        </w:tc>
        <w:tc>
          <w:tcPr>
            <w:tcW w:w="120" w:type="dxa"/>
            <w:tcBorders/>
            <w:shd w:fill="auto" w:val="clear"/>
            <w:vAlign w:val="center"/>
          </w:tcPr>
          <w:p>
            <w:pPr>
              <w:pStyle w:val="TableContents"/>
              <w:spacing w:before="0" w:after="283"/>
              <w:rPr>
                <w:sz w:val="4"/>
                <w:szCs w:val="4"/>
              </w:rPr>
            </w:pPr>
            <w:r>
              <w:rPr>
                <w:sz w:val="4"/>
                <w:szCs w:val="4"/>
              </w:rPr>
            </w:r>
          </w:p>
        </w:tc>
        <w:tc>
          <w:tcPr>
            <w:tcW w:w="1250" w:type="dxa"/>
            <w:vMerge w:val="restart"/>
            <w:tcBorders>
              <w:bottom w:val="single" w:sz="12" w:space="0" w:color="000000"/>
            </w:tcBorders>
            <w:shd w:fill="auto" w:val="clear"/>
            <w:tcMar>
              <w:bottom w:w="28" w:type="dxa"/>
            </w:tcMar>
            <w:vAlign w:val="center"/>
          </w:tcPr>
          <w:p>
            <w:pPr>
              <w:pStyle w:val="TableContents"/>
              <w:spacing w:before="0" w:after="283"/>
              <w:jc w:val="center"/>
              <w:rPr>
                <w:rFonts w:ascii="Arial" w:hAnsi="Arial"/>
                <w:b/>
                <w:sz w:val="15"/>
              </w:rPr>
            </w:pPr>
            <w:r>
              <w:rPr>
                <w:rFonts w:ascii="Arial" w:hAnsi="Arial"/>
                <w:b/>
                <w:sz w:val="15"/>
              </w:rPr>
              <w:br/>
              <w:t>AVERAGE</w:t>
              <w:br/>
              <w:t>COMPENSATION</w:t>
              <w:br/>
              <w:t>ACTUALLY PAID</w:t>
              <w:br/>
              <w:t>TO NON-PEO</w:t>
              <w:br/>
              <w:t>NEOS</w:t>
            </w:r>
            <w:r>
              <w:rPr>
                <w:rFonts w:ascii="Arial" w:hAnsi="Arial"/>
                <w:b/>
                <w:position w:val="5"/>
                <w:sz w:val="12"/>
                <w:sz w:val="15"/>
              </w:rPr>
              <w:t>(2)</w:t>
            </w:r>
            <w:r>
              <w:rPr>
                <w:rFonts w:ascii="Arial" w:hAnsi="Arial"/>
                <w:b/>
                <w:sz w:val="15"/>
              </w:rPr>
              <w:br/>
              <w:t>($)</w:t>
              <w:br/>
              <w:t>(e)</w:t>
            </w:r>
          </w:p>
        </w:tc>
        <w:tc>
          <w:tcPr>
            <w:tcW w:w="120" w:type="dxa"/>
            <w:tcBorders/>
            <w:shd w:fill="auto" w:val="clear"/>
            <w:vAlign w:val="center"/>
          </w:tcPr>
          <w:p>
            <w:pPr>
              <w:pStyle w:val="TableContents"/>
              <w:spacing w:before="0" w:after="283"/>
              <w:rPr>
                <w:sz w:val="4"/>
                <w:szCs w:val="4"/>
              </w:rPr>
            </w:pPr>
            <w:r>
              <w:rPr>
                <w:sz w:val="4"/>
                <w:szCs w:val="4"/>
              </w:rPr>
            </w:r>
          </w:p>
        </w:tc>
        <w:tc>
          <w:tcPr>
            <w:tcW w:w="2470" w:type="dxa"/>
            <w:gridSpan w:val="3"/>
            <w:tcBorders>
              <w:bottom w:val="single" w:sz="12" w:space="0" w:color="000000"/>
            </w:tcBorders>
            <w:shd w:fill="auto" w:val="clear"/>
            <w:tcMar>
              <w:bottom w:w="28" w:type="dxa"/>
            </w:tcMar>
            <w:vAlign w:val="center"/>
          </w:tcPr>
          <w:p>
            <w:pPr>
              <w:pStyle w:val="TableContents"/>
              <w:spacing w:before="0" w:after="283"/>
              <w:jc w:val="center"/>
              <w:rPr>
                <w:rFonts w:ascii="Arial" w:hAnsi="Arial"/>
                <w:b/>
                <w:sz w:val="15"/>
              </w:rPr>
            </w:pPr>
            <w:r>
              <w:rPr>
                <w:rFonts w:ascii="Arial" w:hAnsi="Arial"/>
                <w:b/>
                <w:sz w:val="15"/>
              </w:rPr>
              <w:t>VALUE OF INITIAL FIXED $100</w:t>
              <w:br/>
              <w:t>INVESTMENT BASED ON:</w:t>
            </w:r>
          </w:p>
        </w:tc>
        <w:tc>
          <w:tcPr>
            <w:tcW w:w="120"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r>
      <w:tr>
        <w:trPr/>
        <w:tc>
          <w:tcPr>
            <w:tcW w:w="440" w:type="dxa"/>
            <w:tcBorders>
              <w:bottom w:val="single" w:sz="12" w:space="0" w:color="000000"/>
            </w:tcBorders>
            <w:shd w:fill="auto" w:val="clear"/>
            <w:tcMar>
              <w:bottom w:w="28" w:type="dxa"/>
            </w:tcMar>
            <w:vAlign w:val="center"/>
          </w:tcPr>
          <w:p>
            <w:pPr>
              <w:pStyle w:val="TableContents"/>
              <w:spacing w:before="0" w:after="283"/>
              <w:jc w:val="center"/>
              <w:rPr>
                <w:rFonts w:ascii="Arial" w:hAnsi="Arial"/>
                <w:b/>
                <w:sz w:val="15"/>
              </w:rPr>
            </w:pPr>
            <w:r>
              <w:rPr>
                <w:rFonts w:ascii="Arial" w:hAnsi="Arial"/>
                <w:b/>
                <w:sz w:val="15"/>
              </w:rPr>
              <w:t>YEAR</w:t>
              <w:br/>
              <w:t>(a)</w:t>
            </w:r>
          </w:p>
        </w:tc>
        <w:tc>
          <w:tcPr>
            <w:tcW w:w="12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50" w:type="dxa"/>
            <w:tcBorders>
              <w:bottom w:val="single" w:sz="12" w:space="0" w:color="000000"/>
            </w:tcBorders>
            <w:shd w:fill="auto" w:val="clear"/>
            <w:tcMar>
              <w:bottom w:w="28" w:type="dxa"/>
            </w:tcMar>
            <w:vAlign w:val="center"/>
          </w:tcPr>
          <w:p>
            <w:pPr>
              <w:pStyle w:val="TableContents"/>
              <w:spacing w:before="0" w:after="283"/>
              <w:jc w:val="center"/>
              <w:rPr>
                <w:rFonts w:ascii="Arial" w:hAnsi="Arial"/>
                <w:b/>
                <w:sz w:val="15"/>
              </w:rPr>
            </w:pPr>
            <w:r>
              <w:rPr>
                <w:rFonts w:ascii="Arial" w:hAnsi="Arial"/>
                <w:b/>
                <w:sz w:val="15"/>
              </w:rPr>
              <w:t>SUMMARY</w:t>
              <w:br/>
              <w:t>COMPENSATION</w:t>
              <w:br/>
              <w:t>TABLE TOTAL</w:t>
              <w:br/>
              <w:t>FOR PEO</w:t>
            </w:r>
            <w:r>
              <w:rPr>
                <w:rFonts w:ascii="Arial" w:hAnsi="Arial"/>
                <w:b/>
                <w:position w:val="5"/>
                <w:sz w:val="12"/>
                <w:sz w:val="15"/>
              </w:rPr>
              <w:t>(1)</w:t>
            </w:r>
            <w:r>
              <w:rPr>
                <w:rFonts w:ascii="Arial" w:hAnsi="Arial"/>
                <w:b/>
                <w:sz w:val="15"/>
              </w:rPr>
              <w:br/>
              <w:t xml:space="preserve">($) </w:t>
              <w:br/>
              <w:t>(b)</w:t>
            </w:r>
          </w:p>
        </w:tc>
        <w:tc>
          <w:tcPr>
            <w:tcW w:w="120" w:type="dxa"/>
            <w:tcBorders>
              <w:bottom w:val="single" w:sz="12" w:space="0" w:color="000000"/>
            </w:tcBorders>
            <w:shd w:fill="auto" w:val="clear"/>
            <w:tcMar>
              <w:bottom w:w="28" w:type="dxa"/>
            </w:tcMar>
            <w:vAlign w:val="center"/>
          </w:tcPr>
          <w:p>
            <w:pPr>
              <w:pStyle w:val="TableContents"/>
              <w:spacing w:before="0" w:after="283"/>
              <w:jc w:val="center"/>
              <w:rPr/>
            </w:pPr>
            <w:r>
              <w:rPr/>
              <w:t>  </w:t>
            </w:r>
          </w:p>
        </w:tc>
        <w:tc>
          <w:tcPr>
            <w:tcW w:w="1250" w:type="dxa"/>
            <w:gridSpan w:val="2"/>
            <w:tcBorders>
              <w:bottom w:val="single" w:sz="12" w:space="0" w:color="000000"/>
            </w:tcBorders>
            <w:shd w:fill="auto" w:val="clear"/>
            <w:tcMar>
              <w:bottom w:w="28" w:type="dxa"/>
            </w:tcMar>
            <w:vAlign w:val="center"/>
          </w:tcPr>
          <w:p>
            <w:pPr>
              <w:pStyle w:val="TableContents"/>
              <w:spacing w:before="0" w:after="283"/>
              <w:jc w:val="center"/>
              <w:rPr>
                <w:rFonts w:ascii="Arial" w:hAnsi="Arial"/>
                <w:b/>
                <w:sz w:val="15"/>
              </w:rPr>
            </w:pPr>
            <w:r>
              <w:rPr>
                <w:rFonts w:ascii="Arial" w:hAnsi="Arial"/>
                <w:b/>
                <w:sz w:val="15"/>
              </w:rPr>
              <w:t>COMPENSATION</w:t>
              <w:br/>
              <w:t>ACTUALLY PAID</w:t>
              <w:br/>
              <w:t>TO PEO</w:t>
            </w:r>
            <w:r>
              <w:rPr>
                <w:rFonts w:ascii="Arial" w:hAnsi="Arial"/>
                <w:b/>
                <w:position w:val="5"/>
                <w:sz w:val="12"/>
                <w:sz w:val="15"/>
              </w:rPr>
              <w:t>(2)</w:t>
            </w:r>
            <w:r>
              <w:rPr>
                <w:rFonts w:ascii="Arial" w:hAnsi="Arial"/>
                <w:b/>
                <w:sz w:val="15"/>
              </w:rPr>
              <w:br/>
              <w:t>($)</w:t>
              <w:br/>
              <w:t>(c)</w:t>
            </w:r>
          </w:p>
        </w:tc>
        <w:tc>
          <w:tcPr>
            <w:tcW w:w="12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50" w:type="dxa"/>
            <w:vMerge w:val="continue"/>
            <w:tcBorders>
              <w:bottom w:val="single" w:sz="12" w:space="0" w:color="000000"/>
            </w:tcBorders>
            <w:shd w:fill="auto" w:val="clear"/>
            <w:tcMar>
              <w:bottom w:w="28" w:type="dxa"/>
            </w:tcMar>
            <w:vAlign w:val="center"/>
          </w:tcPr>
          <w:p>
            <w:pPr>
              <w:pStyle w:val="Normal"/>
              <w:rPr/>
            </w:pPr>
            <w:r>
              <w:rPr/>
            </w:r>
          </w:p>
        </w:tc>
        <w:tc>
          <w:tcPr>
            <w:tcW w:w="120" w:type="dxa"/>
            <w:tcBorders>
              <w:bottom w:val="single" w:sz="12" w:space="0" w:color="000000"/>
            </w:tcBorders>
            <w:shd w:fill="auto" w:val="clear"/>
            <w:tcMar>
              <w:bottom w:w="28" w:type="dxa"/>
            </w:tcMar>
            <w:vAlign w:val="center"/>
          </w:tcPr>
          <w:p>
            <w:pPr>
              <w:pStyle w:val="TableContents"/>
              <w:spacing w:before="0" w:after="283"/>
              <w:jc w:val="center"/>
              <w:rPr/>
            </w:pPr>
            <w:r>
              <w:rPr/>
              <w:t>  </w:t>
            </w:r>
          </w:p>
        </w:tc>
        <w:tc>
          <w:tcPr>
            <w:tcW w:w="1250" w:type="dxa"/>
            <w:vMerge w:val="continue"/>
            <w:tcBorders>
              <w:bottom w:val="single" w:sz="12" w:space="0" w:color="000000"/>
            </w:tcBorders>
            <w:shd w:fill="auto" w:val="clear"/>
            <w:tcMar>
              <w:bottom w:w="28" w:type="dxa"/>
            </w:tcMar>
            <w:vAlign w:val="center"/>
          </w:tcPr>
          <w:p>
            <w:pPr>
              <w:pStyle w:val="Normal"/>
              <w:rPr/>
            </w:pPr>
            <w:r>
              <w:rPr/>
            </w:r>
          </w:p>
        </w:tc>
        <w:tc>
          <w:tcPr>
            <w:tcW w:w="120" w:type="dxa"/>
            <w:tcBorders>
              <w:bottom w:val="single" w:sz="12" w:space="0" w:color="000000"/>
            </w:tcBorders>
            <w:shd w:fill="auto" w:val="clear"/>
            <w:tcMar>
              <w:bottom w:w="28" w:type="dxa"/>
            </w:tcMar>
            <w:vAlign w:val="center"/>
          </w:tcPr>
          <w:p>
            <w:pPr>
              <w:pStyle w:val="TableContents"/>
              <w:spacing w:before="0" w:after="283"/>
              <w:jc w:val="center"/>
              <w:rPr/>
            </w:pPr>
            <w:r>
              <w:rPr/>
              <w:t>  </w:t>
            </w:r>
          </w:p>
        </w:tc>
        <w:tc>
          <w:tcPr>
            <w:tcW w:w="1175" w:type="dxa"/>
            <w:tcBorders>
              <w:bottom w:val="single" w:sz="12" w:space="0" w:color="000000"/>
            </w:tcBorders>
            <w:shd w:fill="auto" w:val="clear"/>
            <w:tcMar>
              <w:bottom w:w="28" w:type="dxa"/>
            </w:tcMar>
            <w:vAlign w:val="center"/>
          </w:tcPr>
          <w:p>
            <w:pPr>
              <w:pStyle w:val="TableContents"/>
              <w:spacing w:before="0" w:after="283"/>
              <w:jc w:val="center"/>
              <w:rPr>
                <w:rFonts w:ascii="Arial" w:hAnsi="Arial"/>
                <w:b/>
                <w:sz w:val="15"/>
              </w:rPr>
            </w:pPr>
            <w:r>
              <w:rPr>
                <w:rFonts w:ascii="Arial" w:hAnsi="Arial"/>
                <w:b/>
                <w:sz w:val="15"/>
              </w:rPr>
              <w:t>TOTAL</w:t>
              <w:br/>
              <w:t>SHAREHOLDER</w:t>
              <w:br/>
              <w:t>RETURN</w:t>
            </w:r>
            <w:r>
              <w:rPr>
                <w:rFonts w:ascii="Arial" w:hAnsi="Arial"/>
                <w:b/>
                <w:position w:val="5"/>
                <w:sz w:val="12"/>
                <w:sz w:val="15"/>
              </w:rPr>
              <w:t>(3)(5)</w:t>
            </w:r>
            <w:r>
              <w:rPr>
                <w:rFonts w:ascii="Arial" w:hAnsi="Arial"/>
                <w:b/>
                <w:sz w:val="15"/>
              </w:rPr>
              <w:br/>
              <w:t xml:space="preserve">($) </w:t>
              <w:br/>
              <w:t>(f)</w:t>
            </w:r>
          </w:p>
        </w:tc>
        <w:tc>
          <w:tcPr>
            <w:tcW w:w="120" w:type="dxa"/>
            <w:tcBorders>
              <w:bottom w:val="single" w:sz="12" w:space="0" w:color="000000"/>
            </w:tcBorders>
            <w:shd w:fill="auto" w:val="clear"/>
            <w:tcMar>
              <w:bottom w:w="28" w:type="dxa"/>
            </w:tcMar>
            <w:vAlign w:val="center"/>
          </w:tcPr>
          <w:p>
            <w:pPr>
              <w:pStyle w:val="TableContents"/>
              <w:spacing w:before="0" w:after="283"/>
              <w:jc w:val="center"/>
              <w:rPr/>
            </w:pPr>
            <w:r>
              <w:rPr/>
              <w:t>  </w:t>
            </w:r>
          </w:p>
        </w:tc>
        <w:tc>
          <w:tcPr>
            <w:tcW w:w="1175" w:type="dxa"/>
            <w:tcBorders>
              <w:bottom w:val="single" w:sz="12" w:space="0" w:color="000000"/>
            </w:tcBorders>
            <w:shd w:fill="auto" w:val="clear"/>
            <w:tcMar>
              <w:bottom w:w="28" w:type="dxa"/>
            </w:tcMar>
            <w:vAlign w:val="center"/>
          </w:tcPr>
          <w:p>
            <w:pPr>
              <w:pStyle w:val="TableContents"/>
              <w:spacing w:before="0" w:after="283"/>
              <w:jc w:val="center"/>
              <w:rPr>
                <w:rFonts w:ascii="Arial" w:hAnsi="Arial"/>
                <w:b/>
                <w:sz w:val="15"/>
              </w:rPr>
            </w:pPr>
            <w:r>
              <w:rPr>
                <w:rFonts w:ascii="Arial" w:hAnsi="Arial"/>
                <w:b/>
                <w:sz w:val="15"/>
              </w:rPr>
              <w:t>PEER</w:t>
              <w:br/>
              <w:t>GROUP TOTAL</w:t>
              <w:br/>
              <w:t>SHAREHOLDER</w:t>
              <w:br/>
              <w:t>RETURN</w:t>
            </w:r>
            <w:r>
              <w:rPr>
                <w:rFonts w:ascii="Arial" w:hAnsi="Arial"/>
                <w:b/>
                <w:position w:val="5"/>
                <w:sz w:val="12"/>
                <w:sz w:val="15"/>
              </w:rPr>
              <w:t>(3)(5)</w:t>
            </w:r>
            <w:r>
              <w:rPr>
                <w:rFonts w:ascii="Arial" w:hAnsi="Arial"/>
                <w:b/>
                <w:sz w:val="15"/>
              </w:rPr>
              <w:br/>
              <w:t>($)</w:t>
              <w:br/>
              <w:t>(g)</w:t>
            </w:r>
          </w:p>
        </w:tc>
        <w:tc>
          <w:tcPr>
            <w:tcW w:w="120" w:type="dxa"/>
            <w:tcBorders>
              <w:bottom w:val="single" w:sz="12" w:space="0" w:color="000000"/>
            </w:tcBorders>
            <w:shd w:fill="auto" w:val="clear"/>
            <w:tcMar>
              <w:bottom w:w="28" w:type="dxa"/>
            </w:tcMar>
            <w:vAlign w:val="center"/>
          </w:tcPr>
          <w:p>
            <w:pPr>
              <w:pStyle w:val="TableContents"/>
              <w:spacing w:before="0" w:after="283"/>
              <w:jc w:val="center"/>
              <w:rPr/>
            </w:pPr>
            <w:r>
              <w:rPr/>
              <w:t>  </w:t>
            </w:r>
          </w:p>
        </w:tc>
        <w:tc>
          <w:tcPr>
            <w:tcW w:w="770" w:type="dxa"/>
            <w:tcBorders>
              <w:bottom w:val="single" w:sz="12" w:space="0" w:color="000000"/>
            </w:tcBorders>
            <w:shd w:fill="auto" w:val="clear"/>
            <w:tcMar>
              <w:bottom w:w="28" w:type="dxa"/>
            </w:tcMar>
            <w:vAlign w:val="center"/>
          </w:tcPr>
          <w:p>
            <w:pPr>
              <w:pStyle w:val="TableContents"/>
              <w:spacing w:before="0" w:after="283"/>
              <w:jc w:val="center"/>
              <w:rPr>
                <w:rFonts w:ascii="Arial" w:hAnsi="Arial"/>
                <w:b/>
                <w:sz w:val="15"/>
              </w:rPr>
            </w:pPr>
            <w:r>
              <w:rPr>
                <w:rFonts w:ascii="Arial" w:hAnsi="Arial"/>
                <w:b/>
                <w:sz w:val="15"/>
              </w:rPr>
              <w:t>NET</w:t>
              <w:br/>
              <w:t>INCOME</w:t>
              <w:br/>
              <w:t>($ IN</w:t>
              <w:br/>
              <w:t>BILLIONS</w:t>
            </w:r>
            <w:r>
              <w:rPr>
                <w:rFonts w:ascii="Arial" w:hAnsi="Arial"/>
                <w:b/>
                <w:position w:val="5"/>
                <w:sz w:val="12"/>
                <w:sz w:val="15"/>
              </w:rPr>
              <w:t>(4)(5)</w:t>
            </w:r>
            <w:r>
              <w:rPr>
                <w:rFonts w:ascii="Arial" w:hAnsi="Arial"/>
                <w:b/>
                <w:sz w:val="15"/>
              </w:rPr>
              <w:br/>
              <w:t xml:space="preserve">(h) </w:t>
            </w:r>
          </w:p>
        </w:tc>
        <w:tc>
          <w:tcPr>
            <w:tcW w:w="120" w:type="dxa"/>
            <w:tcBorders>
              <w:bottom w:val="single" w:sz="12" w:space="0" w:color="000000"/>
            </w:tcBorders>
            <w:shd w:fill="auto" w:val="clear"/>
            <w:tcMar>
              <w:bottom w:w="28" w:type="dxa"/>
            </w:tcMar>
            <w:vAlign w:val="center"/>
          </w:tcPr>
          <w:p>
            <w:pPr>
              <w:pStyle w:val="TableContents"/>
              <w:spacing w:before="0" w:after="283"/>
              <w:jc w:val="center"/>
              <w:rPr/>
            </w:pPr>
            <w:r>
              <w:rPr/>
              <w:t>  </w:t>
            </w:r>
          </w:p>
        </w:tc>
        <w:tc>
          <w:tcPr>
            <w:tcW w:w="830" w:type="dxa"/>
            <w:tcBorders>
              <w:bottom w:val="single" w:sz="12" w:space="0" w:color="000000"/>
            </w:tcBorders>
            <w:shd w:fill="auto" w:val="clear"/>
            <w:tcMar>
              <w:bottom w:w="28" w:type="dxa"/>
            </w:tcMar>
            <w:vAlign w:val="center"/>
          </w:tcPr>
          <w:p>
            <w:pPr>
              <w:pStyle w:val="TableContents"/>
              <w:spacing w:before="0" w:after="283"/>
              <w:jc w:val="center"/>
              <w:rPr>
                <w:rFonts w:ascii="Arial" w:hAnsi="Arial"/>
                <w:b/>
                <w:sz w:val="15"/>
              </w:rPr>
            </w:pPr>
            <w:r>
              <w:rPr>
                <w:rFonts w:ascii="Arial" w:hAnsi="Arial"/>
                <w:b/>
                <w:sz w:val="15"/>
              </w:rPr>
              <w:t>ADJUSTED</w:t>
              <w:br/>
              <w:t>EBITDA*</w:t>
              <w:br/>
              <w:t>($ IN</w:t>
              <w:br/>
              <w:t>BILLIONS)</w:t>
            </w:r>
            <w:r>
              <w:rPr>
                <w:rFonts w:ascii="Arial" w:hAnsi="Arial"/>
                <w:b/>
                <w:position w:val="5"/>
                <w:sz w:val="12"/>
                <w:sz w:val="15"/>
              </w:rPr>
              <w:t>(5)(6)</w:t>
            </w:r>
            <w:r>
              <w:rPr>
                <w:rFonts w:ascii="Arial" w:hAnsi="Arial"/>
                <w:b/>
                <w:sz w:val="15"/>
              </w:rPr>
              <w:br/>
              <w:t xml:space="preserve">(i) </w:t>
            </w:r>
            <w:bookmarkStart w:id="44" w:name="xdx_419_20220101__20221231_zHb3knDghvf"/>
            <w:bookmarkEnd w:id="44"/>
          </w:p>
        </w:tc>
      </w:tr>
      <w:tr>
        <w:trPr/>
        <w:tc>
          <w:tcPr>
            <w:tcW w:w="440" w:type="dxa"/>
            <w:tcBorders>
              <w:bottom w:val="single" w:sz="8" w:space="0" w:color="000000"/>
            </w:tcBorders>
            <w:shd w:fill="auto" w:val="clear"/>
            <w:tcMar>
              <w:bottom w:w="28" w:type="dxa"/>
            </w:tcMar>
            <w:vAlign w:val="center"/>
          </w:tcPr>
          <w:p>
            <w:pPr>
              <w:pStyle w:val="TableContents"/>
              <w:spacing w:before="0" w:after="283"/>
              <w:jc w:val="left"/>
              <w:rPr>
                <w:rFonts w:ascii="Arial" w:hAnsi="Arial"/>
                <w:b/>
                <w:sz w:val="15"/>
              </w:rPr>
            </w:pPr>
            <w:r>
              <w:rPr>
                <w:rFonts w:ascii="Arial" w:hAnsi="Arial"/>
                <w:b/>
                <w:sz w:val="15"/>
              </w:rPr>
              <w:t>2022</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5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32,069,850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07"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(4,091,854</w:t>
            </w:r>
          </w:p>
        </w:tc>
        <w:tc>
          <w:tcPr>
            <w:tcW w:w="243" w:type="dxa"/>
            <w:tcBorders>
              <w:bottom w:val="single" w:sz="8" w:space="0" w:color="000000"/>
            </w:tcBorders>
            <w:shd w:fill="auto" w:val="clear"/>
            <w:tcMar>
              <w:bottom w:w="28" w:type="dxa"/>
            </w:tcMar>
            <w:vAlign w:val="center"/>
          </w:tcPr>
          <w:p>
            <w:pPr>
              <w:pStyle w:val="TableContents"/>
              <w:spacing w:before="0" w:after="283"/>
              <w:jc w:val="left"/>
              <w:rPr>
                <w:rFonts w:ascii="Arial" w:hAnsi="Arial"/>
                <w:sz w:val="15"/>
              </w:rPr>
            </w:pPr>
            <w:r>
              <w:rPr>
                <w:rFonts w:ascii="Arial" w:hAnsi="Arial"/>
                <w:sz w:val="15"/>
              </w:rPr>
              <w:t>)   </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5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24,672,250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5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10,501,980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75"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83.09</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75"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81.70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7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4.9</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36.5</w:t>
            </w:r>
            <w:bookmarkStart w:id="45" w:name="xdx_416_20210101__20211231_zwKWGGhoYyUc"/>
            <w:bookmarkEnd w:id="45"/>
          </w:p>
        </w:tc>
      </w:tr>
      <w:tr>
        <w:trPr/>
        <w:tc>
          <w:tcPr>
            <w:tcW w:w="440" w:type="dxa"/>
            <w:tcBorders>
              <w:bottom w:val="single" w:sz="8" w:space="0" w:color="000000"/>
            </w:tcBorders>
            <w:shd w:fill="auto" w:val="clear"/>
            <w:tcMar>
              <w:bottom w:w="28" w:type="dxa"/>
            </w:tcMar>
            <w:vAlign w:val="center"/>
          </w:tcPr>
          <w:p>
            <w:pPr>
              <w:pStyle w:val="TableContents"/>
              <w:spacing w:before="0" w:after="283"/>
              <w:jc w:val="left"/>
              <w:rPr>
                <w:rFonts w:ascii="Arial" w:hAnsi="Arial"/>
                <w:b/>
                <w:sz w:val="15"/>
              </w:rPr>
            </w:pPr>
            <w:r>
              <w:rPr>
                <w:rFonts w:ascii="Arial" w:hAnsi="Arial"/>
                <w:b/>
                <w:sz w:val="15"/>
              </w:rPr>
              <w:t>2021</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5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33,978,581</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07"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31,854,876</w:t>
            </w:r>
          </w:p>
        </w:tc>
        <w:tc>
          <w:tcPr>
            <w:tcW w:w="243"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5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21,905,224</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5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20,790,358</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75"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116.51</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75"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103.82</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7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13.8</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34.7</w:t>
            </w:r>
            <w:bookmarkStart w:id="46" w:name="xdx_41F_20200101__20201231_zaHHGoYLDeBl"/>
            <w:bookmarkEnd w:id="46"/>
          </w:p>
        </w:tc>
      </w:tr>
      <w:tr>
        <w:trPr/>
        <w:tc>
          <w:tcPr>
            <w:tcW w:w="440" w:type="dxa"/>
            <w:tcBorders>
              <w:bottom w:val="single" w:sz="8" w:space="0" w:color="000000"/>
            </w:tcBorders>
            <w:shd w:fill="auto" w:val="clear"/>
            <w:tcMar>
              <w:bottom w:w="28" w:type="dxa"/>
            </w:tcMar>
            <w:vAlign w:val="center"/>
          </w:tcPr>
          <w:p>
            <w:pPr>
              <w:pStyle w:val="TableContents"/>
              <w:spacing w:before="0" w:after="283"/>
              <w:jc w:val="left"/>
              <w:rPr>
                <w:rFonts w:ascii="Arial" w:hAnsi="Arial"/>
                <w:b/>
                <w:sz w:val="15"/>
              </w:rPr>
            </w:pPr>
            <w:r>
              <w:rPr>
                <w:rFonts w:ascii="Arial" w:hAnsi="Arial"/>
                <w:b/>
                <w:sz w:val="15"/>
              </w:rPr>
              <w:t>2020</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5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32,713,267</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07"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54,701,549</w:t>
            </w:r>
          </w:p>
        </w:tc>
        <w:tc>
          <w:tcPr>
            <w:tcW w:w="243"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5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17,695,036</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5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26,502,693</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75"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119.16</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75"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111.54</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7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10.7</w:t>
            </w:r>
          </w:p>
        </w:tc>
        <w:tc>
          <w:tcPr>
            <w:tcW w:w="12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r>
              <w:rPr>
                <w:rFonts w:ascii="Arial" w:hAnsi="Arial"/>
                <w:sz w:val="15"/>
              </w:rPr>
              <w:t>30.8</w:t>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bookmarkStart w:id="47" w:name="xdx_30F_zm5wgKXgtvf8"/>
      <w:bookmarkStart w:id="48" w:name="xdx_30F_zm5wgKXgtvf8"/>
      <w:bookmarkEnd w:id="48"/>
    </w:p>
    <w:tbl>
      <w:tblPr>
        <w:tblW w:w="10205" w:type="dxa"/>
        <w:jc w:val="left"/>
        <w:tblInd w:w="0" w:type="dxa"/>
        <w:tblCellMar>
          <w:top w:w="0" w:type="dxa"/>
          <w:left w:w="0" w:type="dxa"/>
          <w:bottom w:w="0" w:type="dxa"/>
          <w:right w:w="0" w:type="dxa"/>
        </w:tblCellMar>
      </w:tblPr>
      <w:tblGrid>
        <w:gridCol w:w="158"/>
        <w:gridCol w:w="10047"/>
      </w:tblGrid>
      <w:tr>
        <w:trPr/>
        <w:tc>
          <w:tcPr>
            <w:tcW w:w="158" w:type="dxa"/>
            <w:tcBorders/>
            <w:shd w:fill="auto" w:val="clear"/>
            <w:vAlign w:val="center"/>
          </w:tcPr>
          <w:p>
            <w:pPr>
              <w:pStyle w:val="TableContents"/>
              <w:spacing w:before="0" w:after="283"/>
              <w:jc w:val="left"/>
              <w:rPr>
                <w:rFonts w:ascii="Arial" w:hAnsi="Arial"/>
                <w:sz w:val="15"/>
              </w:rPr>
            </w:pPr>
            <w:r>
              <w:rPr>
                <w:rFonts w:ascii="Arial" w:hAnsi="Arial"/>
                <w:sz w:val="15"/>
              </w:rPr>
              <w:t xml:space="preserve">* </w:t>
            </w:r>
          </w:p>
        </w:tc>
        <w:tc>
          <w:tcPr>
            <w:tcW w:w="10047" w:type="dxa"/>
            <w:tcBorders/>
            <w:shd w:fill="auto" w:val="clear"/>
            <w:vAlign w:val="center"/>
          </w:tcPr>
          <w:p>
            <w:pPr>
              <w:pStyle w:val="TableContents"/>
              <w:spacing w:before="0" w:after="283"/>
              <w:jc w:val="left"/>
              <w:rPr/>
            </w:pPr>
            <w:r>
              <w:rPr>
                <w:rFonts w:ascii="Arial" w:hAnsi="Arial"/>
                <w:sz w:val="15"/>
              </w:rPr>
              <w:t>Reconciliations of non-GAAP financial metrics to GAAP are set forth in </w:t>
            </w:r>
            <w:r>
              <w:rPr>
                <w:rFonts w:ascii="Arial" w:hAnsi="Arial"/>
                <w:sz w:val="15"/>
                <w:u w:val="single"/>
              </w:rPr>
              <w:t>Appendix A</w:t>
            </w:r>
            <w:r>
              <w:rPr>
                <w:rFonts w:ascii="Arial" w:hAnsi="Arial"/>
                <w:sz w:val="15"/>
              </w:rPr>
              <w:t>.</w:t>
            </w:r>
          </w:p>
        </w:tc>
      </w:tr>
      <w:tr>
        <w:trPr/>
        <w:tc>
          <w:tcPr>
            <w:tcW w:w="158"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 xml:space="preserve">(1) </w:t>
            </w:r>
            <w:bookmarkStart w:id="49" w:name="xdx_986_eecd--NamedExecutiveOfficersFnTe"/>
            <w:bookmarkEnd w:id="49"/>
          </w:p>
        </w:tc>
        <w:tc>
          <w:tcPr>
            <w:tcW w:w="10047" w:type="dxa"/>
            <w:tcBorders/>
            <w:shd w:fill="auto" w:val="clear"/>
            <w:vAlign w:val="center"/>
          </w:tcPr>
          <w:p>
            <w:pPr>
              <w:pStyle w:val="TableContents"/>
              <w:spacing w:before="0" w:after="283"/>
              <w:jc w:val="left"/>
              <w:rPr>
                <w:rFonts w:ascii="Arial" w:hAnsi="Arial"/>
                <w:sz w:val="15"/>
              </w:rPr>
            </w:pPr>
            <w:r>
              <w:rPr>
                <w:rFonts w:ascii="Arial" w:hAnsi="Arial"/>
                <w:sz w:val="15"/>
              </w:rPr>
              <w:t xml:space="preserve">Compensation for our PEO, </w:t>
            </w:r>
            <w:bookmarkStart w:id="50" w:name="xdx_90A_eecd--PeoName_c20200101__2020123"/>
            <w:bookmarkStart w:id="51" w:name="xdx_900_eecd--PeoName_c20210101__2021123"/>
            <w:bookmarkStart w:id="52" w:name="xdx_903_eecd--PeoName_c20220101__2022123"/>
            <w:bookmarkEnd w:id="50"/>
            <w:bookmarkEnd w:id="51"/>
            <w:bookmarkEnd w:id="52"/>
            <w:r>
              <w:rPr>
                <w:rFonts w:ascii="Arial" w:hAnsi="Arial"/>
                <w:sz w:val="15"/>
              </w:rPr>
              <w:t>Mr. Roberts, reflects the amounts reported in the “Summary Compensation Table” for the respective years. Average compensation for non-PEO NEOs in 2022 and 2021 is for Messrs. Cavanagh, Shell and Watson and Ms. Strong, and for 2020 includes Mr. Reid but not Ms. Strong.</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10205" w:type="dxa"/>
        <w:jc w:val="left"/>
        <w:tblInd w:w="0" w:type="dxa"/>
        <w:tblCellMar>
          <w:top w:w="0" w:type="dxa"/>
          <w:left w:w="0" w:type="dxa"/>
          <w:bottom w:w="0" w:type="dxa"/>
          <w:right w:w="0" w:type="dxa"/>
        </w:tblCellMar>
      </w:tblPr>
      <w:tblGrid>
        <w:gridCol w:w="141"/>
        <w:gridCol w:w="10064"/>
      </w:tblGrid>
      <w:tr>
        <w:trPr/>
        <w:tc>
          <w:tcPr>
            <w:tcW w:w="141"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 xml:space="preserve">(2) </w:t>
            </w:r>
          </w:p>
        </w:tc>
        <w:tc>
          <w:tcPr>
            <w:tcW w:w="10064" w:type="dxa"/>
            <w:tcBorders/>
            <w:shd w:fill="auto" w:val="clear"/>
            <w:vAlign w:val="center"/>
          </w:tcPr>
          <w:p>
            <w:pPr>
              <w:pStyle w:val="TableContents"/>
              <w:spacing w:before="0" w:after="283"/>
              <w:jc w:val="left"/>
              <w:rPr>
                <w:rFonts w:ascii="Arial" w:hAnsi="Arial"/>
                <w:sz w:val="15"/>
              </w:rPr>
            </w:pPr>
            <w:r>
              <w:rPr>
                <w:rFonts w:ascii="Arial" w:hAnsi="Arial"/>
                <w:sz w:val="15"/>
              </w:rPr>
              <w:t>Compensation “actually paid” for the PEO and average compensation “actually paid” for our non-PEO NEOs in 2022, 2021 and 2020 reflects the respective amounts set forth (b) and (d) in the above table, adjusted in the table below, as determined in accordance with SEC rules. For awards that remain unvested or unexercised as of the end of the year, the ultimate value that will be realized upon vesting or upon exercise may be more or less than the current fair value below. See the “Option Exercises and Stock Vested” table on page 59 for the value of any such amounts received in 2022.</w:t>
            </w:r>
          </w:p>
        </w:tc>
      </w:tr>
    </w:tbl>
    <w:p>
      <w:pPr>
        <w:pStyle w:val="Normal"/>
        <w:spacing w:before="0" w:after="0"/>
        <w:rPr>
          <w:sz w:val="4"/>
          <w:szCs w:val="4"/>
        </w:rPr>
      </w:pPr>
      <w:r>
        <w:rPr>
          <w:sz w:val="4"/>
          <w:szCs w:val="4"/>
        </w:rPr>
      </w:r>
      <w:bookmarkStart w:id="53" w:name="xdx_302_zdhqUn6qoxjd"/>
      <w:bookmarkStart w:id="54" w:name="xdx_302_zdhqUn6qoxjd"/>
      <w:bookmarkEnd w:id="54"/>
    </w:p>
    <w:tbl>
      <w:tblPr>
        <w:tblW w:w="10066" w:type="dxa"/>
        <w:jc w:val="left"/>
        <w:tblInd w:w="0" w:type="dxa"/>
        <w:tblCellMar>
          <w:top w:w="0" w:type="dxa"/>
          <w:left w:w="0" w:type="dxa"/>
          <w:bottom w:w="0" w:type="dxa"/>
          <w:right w:w="0" w:type="dxa"/>
        </w:tblCellMar>
      </w:tblPr>
      <w:tblGrid>
        <w:gridCol w:w="1535"/>
        <w:gridCol w:w="180"/>
        <w:gridCol w:w="1248"/>
        <w:gridCol w:w="541"/>
        <w:gridCol w:w="180"/>
        <w:gridCol w:w="890"/>
        <w:gridCol w:w="180"/>
        <w:gridCol w:w="997"/>
        <w:gridCol w:w="177"/>
        <w:gridCol w:w="180"/>
        <w:gridCol w:w="1008"/>
        <w:gridCol w:w="256"/>
        <w:gridCol w:w="180"/>
        <w:gridCol w:w="950"/>
        <w:gridCol w:w="180"/>
        <w:gridCol w:w="1127"/>
        <w:gridCol w:w="257"/>
      </w:tblGrid>
      <w:tr>
        <w:trPr/>
        <w:tc>
          <w:tcPr>
            <w:tcW w:w="1535" w:type="dxa"/>
            <w:tcBorders/>
            <w:shd w:fill="auto" w:val="clear"/>
            <w:vAlign w:val="center"/>
          </w:tcPr>
          <w:p>
            <w:pPr>
              <w:pStyle w:val="TableContents"/>
              <w:spacing w:before="0" w:after="283"/>
              <w:rPr/>
            </w:pPr>
            <w:r>
              <w:rPr/>
              <w:t> </w:t>
            </w:r>
          </w:p>
        </w:tc>
        <w:tc>
          <w:tcPr>
            <w:tcW w:w="180" w:type="dxa"/>
            <w:tcBorders/>
            <w:shd w:fill="auto" w:val="clear"/>
            <w:vAlign w:val="center"/>
          </w:tcPr>
          <w:p>
            <w:pPr>
              <w:pStyle w:val="TableContents"/>
              <w:spacing w:before="0" w:after="283"/>
              <w:rPr/>
            </w:pPr>
            <w:r>
              <w:rPr/>
              <w:t> </w:t>
            </w:r>
          </w:p>
        </w:tc>
        <w:tc>
          <w:tcPr>
            <w:tcW w:w="1248" w:type="dxa"/>
            <w:tcBorders/>
            <w:shd w:fill="auto" w:val="clear"/>
            <w:vAlign w:val="center"/>
          </w:tcPr>
          <w:p>
            <w:pPr>
              <w:pStyle w:val="TableContents"/>
              <w:spacing w:before="0" w:after="283"/>
              <w:rPr/>
            </w:pPr>
            <w:r>
              <w:rPr/>
              <w:t> </w:t>
            </w:r>
          </w:p>
        </w:tc>
        <w:tc>
          <w:tcPr>
            <w:tcW w:w="541" w:type="dxa"/>
            <w:tcBorders/>
            <w:shd w:fill="auto" w:val="clear"/>
            <w:vAlign w:val="center"/>
          </w:tcPr>
          <w:p>
            <w:pPr>
              <w:pStyle w:val="TableContents"/>
              <w:spacing w:before="0" w:after="283"/>
              <w:rPr/>
            </w:pPr>
            <w:r>
              <w:rPr/>
              <w:t> </w:t>
            </w:r>
          </w:p>
        </w:tc>
        <w:tc>
          <w:tcPr>
            <w:tcW w:w="180" w:type="dxa"/>
            <w:tcBorders/>
            <w:shd w:fill="auto" w:val="clear"/>
            <w:vAlign w:val="center"/>
          </w:tcPr>
          <w:p>
            <w:pPr>
              <w:pStyle w:val="TableContents"/>
              <w:spacing w:before="0" w:after="283"/>
              <w:rPr/>
            </w:pPr>
            <w:r>
              <w:rPr/>
              <w:t> </w:t>
            </w:r>
          </w:p>
        </w:tc>
        <w:tc>
          <w:tcPr>
            <w:tcW w:w="890" w:type="dxa"/>
            <w:tcBorders/>
            <w:shd w:fill="auto" w:val="clear"/>
            <w:vAlign w:val="center"/>
          </w:tcPr>
          <w:p>
            <w:pPr>
              <w:pStyle w:val="TableContents"/>
              <w:spacing w:before="0" w:after="283"/>
              <w:rPr/>
            </w:pPr>
            <w:r>
              <w:rPr/>
              <w:t> </w:t>
            </w:r>
          </w:p>
        </w:tc>
        <w:tc>
          <w:tcPr>
            <w:tcW w:w="180" w:type="dxa"/>
            <w:tcBorders/>
            <w:shd w:fill="auto" w:val="clear"/>
            <w:vAlign w:val="center"/>
          </w:tcPr>
          <w:p>
            <w:pPr>
              <w:pStyle w:val="TableContents"/>
              <w:spacing w:before="0" w:after="283"/>
              <w:rPr/>
            </w:pPr>
            <w:r>
              <w:rPr/>
              <w:t> </w:t>
            </w:r>
          </w:p>
        </w:tc>
        <w:tc>
          <w:tcPr>
            <w:tcW w:w="997"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283"/>
              <w:rPr/>
            </w:pPr>
            <w:r>
              <w:rPr/>
              <w:t> </w:t>
            </w:r>
          </w:p>
        </w:tc>
        <w:tc>
          <w:tcPr>
            <w:tcW w:w="180" w:type="dxa"/>
            <w:tcBorders/>
            <w:shd w:fill="auto" w:val="clear"/>
            <w:vAlign w:val="center"/>
          </w:tcPr>
          <w:p>
            <w:pPr>
              <w:pStyle w:val="TableContents"/>
              <w:spacing w:before="0" w:after="283"/>
              <w:rPr/>
            </w:pPr>
            <w:r>
              <w:rPr/>
              <w:t> </w:t>
            </w:r>
          </w:p>
        </w:tc>
        <w:tc>
          <w:tcPr>
            <w:tcW w:w="1008" w:type="dxa"/>
            <w:tcBorders/>
            <w:shd w:fill="auto" w:val="clear"/>
            <w:vAlign w:val="center"/>
          </w:tcPr>
          <w:p>
            <w:pPr>
              <w:pStyle w:val="TableContents"/>
              <w:spacing w:before="0" w:after="283"/>
              <w:rPr/>
            </w:pPr>
            <w:r>
              <w:rPr/>
              <w:t> </w:t>
            </w:r>
          </w:p>
        </w:tc>
        <w:tc>
          <w:tcPr>
            <w:tcW w:w="256" w:type="dxa"/>
            <w:tcBorders/>
            <w:shd w:fill="auto" w:val="clear"/>
            <w:vAlign w:val="center"/>
          </w:tcPr>
          <w:p>
            <w:pPr>
              <w:pStyle w:val="TableContents"/>
              <w:spacing w:before="0" w:after="283"/>
              <w:rPr/>
            </w:pPr>
            <w:r>
              <w:rPr/>
              <w:t> </w:t>
            </w:r>
          </w:p>
        </w:tc>
        <w:tc>
          <w:tcPr>
            <w:tcW w:w="180" w:type="dxa"/>
            <w:tcBorders/>
            <w:shd w:fill="auto" w:val="clear"/>
            <w:vAlign w:val="center"/>
          </w:tcPr>
          <w:p>
            <w:pPr>
              <w:pStyle w:val="TableContents"/>
              <w:spacing w:before="0" w:after="283"/>
              <w:rPr/>
            </w:pPr>
            <w:r>
              <w:rPr/>
              <w:t> </w:t>
            </w:r>
          </w:p>
        </w:tc>
        <w:tc>
          <w:tcPr>
            <w:tcW w:w="950" w:type="dxa"/>
            <w:tcBorders/>
            <w:shd w:fill="auto" w:val="clear"/>
            <w:vAlign w:val="center"/>
          </w:tcPr>
          <w:p>
            <w:pPr>
              <w:pStyle w:val="TableContents"/>
              <w:spacing w:before="0" w:after="283"/>
              <w:rPr/>
            </w:pPr>
            <w:r>
              <w:rPr/>
              <w:t> </w:t>
            </w:r>
          </w:p>
        </w:tc>
        <w:tc>
          <w:tcPr>
            <w:tcW w:w="180" w:type="dxa"/>
            <w:tcBorders/>
            <w:shd w:fill="auto" w:val="clear"/>
            <w:vAlign w:val="center"/>
          </w:tcPr>
          <w:p>
            <w:pPr>
              <w:pStyle w:val="TableContents"/>
              <w:spacing w:before="0" w:after="283"/>
              <w:rPr/>
            </w:pPr>
            <w:r>
              <w:rPr/>
              <w:t> </w:t>
            </w:r>
          </w:p>
        </w:tc>
        <w:tc>
          <w:tcPr>
            <w:tcW w:w="1127" w:type="dxa"/>
            <w:tcBorders/>
            <w:shd w:fill="auto" w:val="clear"/>
            <w:vAlign w:val="center"/>
          </w:tcPr>
          <w:p>
            <w:pPr>
              <w:pStyle w:val="TableContents"/>
              <w:spacing w:before="0" w:after="283"/>
              <w:rPr/>
            </w:pPr>
            <w:r>
              <w:rPr/>
              <w:t> </w:t>
            </w:r>
          </w:p>
        </w:tc>
        <w:tc>
          <w:tcPr>
            <w:tcW w:w="257" w:type="dxa"/>
            <w:tcBorders/>
            <w:shd w:fill="auto" w:val="clear"/>
            <w:vAlign w:val="center"/>
          </w:tcPr>
          <w:p>
            <w:pPr>
              <w:pStyle w:val="TableContents"/>
              <w:spacing w:before="0" w:after="283"/>
              <w:rPr/>
            </w:pPr>
            <w:r>
              <w:rPr/>
              <w:t> </w:t>
            </w:r>
          </w:p>
        </w:tc>
      </w:tr>
      <w:tr>
        <w:trPr/>
        <w:tc>
          <w:tcPr>
            <w:tcW w:w="1535" w:type="dxa"/>
            <w:tcBorders>
              <w:bottom w:val="single" w:sz="12"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80" w:type="dxa"/>
            <w:tcBorders>
              <w:bottom w:val="single" w:sz="12" w:space="0" w:color="000000"/>
            </w:tcBorders>
            <w:shd w:fill="auto" w:val="clear"/>
            <w:tcMar>
              <w:bottom w:w="28" w:type="dxa"/>
            </w:tcMar>
            <w:vAlign w:val="center"/>
          </w:tcPr>
          <w:p>
            <w:pPr>
              <w:pStyle w:val="TableContents"/>
              <w:spacing w:before="0" w:after="283"/>
              <w:jc w:val="center"/>
              <w:rPr/>
            </w:pPr>
            <w:r>
              <w:rPr/>
              <w:t>   </w:t>
            </w:r>
          </w:p>
        </w:tc>
        <w:tc>
          <w:tcPr>
            <w:tcW w:w="1789" w:type="dxa"/>
            <w:gridSpan w:val="2"/>
            <w:tcBorders>
              <w:bottom w:val="single" w:sz="12" w:space="0" w:color="000000"/>
            </w:tcBorders>
            <w:shd w:fill="auto" w:val="clear"/>
            <w:tcMar>
              <w:bottom w:w="28" w:type="dxa"/>
            </w:tcMar>
            <w:vAlign w:val="center"/>
          </w:tcPr>
          <w:p>
            <w:pPr>
              <w:pStyle w:val="TableContents"/>
              <w:spacing w:before="0" w:after="283"/>
              <w:jc w:val="center"/>
              <w:rPr>
                <w:rFonts w:ascii="Arial" w:hAnsi="Arial"/>
                <w:b/>
                <w:sz w:val="15"/>
              </w:rPr>
            </w:pPr>
            <w:r>
              <w:rPr>
                <w:rFonts w:ascii="Arial" w:hAnsi="Arial"/>
                <w:b/>
                <w:i/>
                <w:sz w:val="15"/>
              </w:rPr>
              <w:t xml:space="preserve">LESS </w:t>
            </w:r>
            <w:r>
              <w:rPr>
                <w:rFonts w:ascii="Arial" w:hAnsi="Arial"/>
                <w:b/>
                <w:sz w:val="15"/>
              </w:rPr>
              <w:t>STOCK/</w:t>
              <w:br/>
              <w:t>OPTION AWARD</w:t>
              <w:br/>
              <w:t>VALUE REPORTED</w:t>
              <w:br/>
              <w:t>IN SUMMARY</w:t>
              <w:br/>
              <w:t>COMPENSATION TABLE</w:t>
              <w:br/>
              <w:t>FOR THE COVERED</w:t>
              <w:br/>
              <w:t>YEAR</w:t>
              <w:br/>
              <w:t>($)</w:t>
            </w:r>
          </w:p>
        </w:tc>
        <w:tc>
          <w:tcPr>
            <w:tcW w:w="180" w:type="dxa"/>
            <w:tcBorders>
              <w:bottom w:val="single" w:sz="12" w:space="0" w:color="000000"/>
            </w:tcBorders>
            <w:shd w:fill="auto" w:val="clear"/>
            <w:tcMar>
              <w:bottom w:w="28" w:type="dxa"/>
            </w:tcMar>
            <w:vAlign w:val="center"/>
          </w:tcPr>
          <w:p>
            <w:pPr>
              <w:pStyle w:val="TableContents"/>
              <w:spacing w:before="0" w:after="283"/>
              <w:jc w:val="center"/>
              <w:rPr/>
            </w:pPr>
            <w:r>
              <w:rPr/>
              <w:t>   </w:t>
            </w:r>
          </w:p>
        </w:tc>
        <w:tc>
          <w:tcPr>
            <w:tcW w:w="890" w:type="dxa"/>
            <w:tcBorders>
              <w:bottom w:val="single" w:sz="12" w:space="0" w:color="000000"/>
            </w:tcBorders>
            <w:shd w:fill="auto" w:val="clear"/>
            <w:tcMar>
              <w:bottom w:w="28" w:type="dxa"/>
            </w:tcMar>
            <w:vAlign w:val="center"/>
          </w:tcPr>
          <w:p>
            <w:pPr>
              <w:pStyle w:val="TableContents"/>
              <w:spacing w:before="0" w:after="283"/>
              <w:jc w:val="center"/>
              <w:rPr>
                <w:rFonts w:ascii="Arial" w:hAnsi="Arial"/>
                <w:b/>
                <w:sz w:val="15"/>
              </w:rPr>
            </w:pPr>
            <w:r>
              <w:rPr>
                <w:rFonts w:ascii="Arial" w:hAnsi="Arial"/>
                <w:b/>
                <w:i/>
                <w:sz w:val="15"/>
              </w:rPr>
              <w:t xml:space="preserve">PLUS </w:t>
            </w:r>
            <w:r>
              <w:rPr>
                <w:rFonts w:ascii="Arial" w:hAnsi="Arial"/>
                <w:b/>
                <w:sz w:val="15"/>
              </w:rPr>
              <w:t>FAIR</w:t>
              <w:br/>
              <w:t>VALUE FOR</w:t>
              <w:br/>
              <w:t>UNVESTED</w:t>
              <w:br/>
              <w:t>AWARDS</w:t>
              <w:br/>
              <w:t>GRANTED</w:t>
              <w:br/>
              <w:t>IN THE</w:t>
              <w:br/>
              <w:t>COVERED</w:t>
              <w:br/>
              <w:t>YEAR</w:t>
              <w:br/>
              <w:t>($)</w:t>
            </w:r>
          </w:p>
        </w:tc>
        <w:tc>
          <w:tcPr>
            <w:tcW w:w="180" w:type="dxa"/>
            <w:tcBorders>
              <w:bottom w:val="single" w:sz="12" w:space="0" w:color="000000"/>
            </w:tcBorders>
            <w:shd w:fill="auto" w:val="clear"/>
            <w:tcMar>
              <w:bottom w:w="28" w:type="dxa"/>
            </w:tcMar>
            <w:vAlign w:val="center"/>
          </w:tcPr>
          <w:p>
            <w:pPr>
              <w:pStyle w:val="TableContents"/>
              <w:spacing w:before="0" w:after="283"/>
              <w:jc w:val="center"/>
              <w:rPr/>
            </w:pPr>
            <w:r>
              <w:rPr/>
              <w:t>   </w:t>
            </w:r>
          </w:p>
        </w:tc>
        <w:tc>
          <w:tcPr>
            <w:tcW w:w="1174" w:type="dxa"/>
            <w:gridSpan w:val="2"/>
            <w:tcBorders>
              <w:bottom w:val="single" w:sz="12" w:space="0" w:color="000000"/>
            </w:tcBorders>
            <w:shd w:fill="auto" w:val="clear"/>
            <w:tcMar>
              <w:bottom w:w="28" w:type="dxa"/>
            </w:tcMar>
            <w:vAlign w:val="center"/>
          </w:tcPr>
          <w:p>
            <w:pPr>
              <w:pStyle w:val="TableContents"/>
              <w:spacing w:before="0" w:after="283"/>
              <w:jc w:val="center"/>
              <w:rPr>
                <w:rFonts w:ascii="Arial" w:hAnsi="Arial"/>
                <w:b/>
                <w:sz w:val="15"/>
              </w:rPr>
            </w:pPr>
            <w:r>
              <w:rPr>
                <w:rFonts w:ascii="Arial" w:hAnsi="Arial"/>
                <w:b/>
                <w:sz w:val="15"/>
              </w:rPr>
              <w:t>CHANGE IN</w:t>
              <w:br/>
              <w:t>FAIR VALUE OF</w:t>
              <w:br/>
              <w:t>OUTSTANDING</w:t>
              <w:br/>
              <w:t>UNVESTED</w:t>
              <w:br/>
              <w:t>AWARDS</w:t>
              <w:br/>
              <w:t>FROM PRIOR</w:t>
              <w:br/>
              <w:t>YEARS</w:t>
              <w:br/>
              <w:t>($)</w:t>
            </w:r>
          </w:p>
        </w:tc>
        <w:tc>
          <w:tcPr>
            <w:tcW w:w="180" w:type="dxa"/>
            <w:tcBorders>
              <w:bottom w:val="single" w:sz="12" w:space="0" w:color="000000"/>
            </w:tcBorders>
            <w:shd w:fill="auto" w:val="clear"/>
            <w:tcMar>
              <w:bottom w:w="28" w:type="dxa"/>
            </w:tcMar>
            <w:vAlign w:val="center"/>
          </w:tcPr>
          <w:p>
            <w:pPr>
              <w:pStyle w:val="TableContents"/>
              <w:spacing w:before="0" w:after="283"/>
              <w:jc w:val="center"/>
              <w:rPr/>
            </w:pPr>
            <w:r>
              <w:rPr/>
              <w:t>   </w:t>
            </w:r>
          </w:p>
        </w:tc>
        <w:tc>
          <w:tcPr>
            <w:tcW w:w="1264" w:type="dxa"/>
            <w:gridSpan w:val="2"/>
            <w:tcBorders>
              <w:bottom w:val="single" w:sz="12" w:space="0" w:color="000000"/>
            </w:tcBorders>
            <w:shd w:fill="auto" w:val="clear"/>
            <w:tcMar>
              <w:bottom w:w="28" w:type="dxa"/>
            </w:tcMar>
            <w:vAlign w:val="center"/>
          </w:tcPr>
          <w:p>
            <w:pPr>
              <w:pStyle w:val="TableContents"/>
              <w:spacing w:before="0" w:after="283"/>
              <w:jc w:val="center"/>
              <w:rPr>
                <w:rFonts w:ascii="Arial" w:hAnsi="Arial"/>
                <w:b/>
                <w:sz w:val="15"/>
              </w:rPr>
            </w:pPr>
            <w:r>
              <w:rPr>
                <w:rFonts w:ascii="Arial" w:hAnsi="Arial"/>
                <w:b/>
                <w:sz w:val="15"/>
              </w:rPr>
              <w:t>CHANGE IN</w:t>
              <w:br/>
              <w:t>FAIR VALUE OF</w:t>
              <w:br/>
              <w:t>AWARDS FROM</w:t>
              <w:br/>
              <w:t>PRIOR YEARS</w:t>
              <w:br/>
              <w:t>THAT VESTED IN</w:t>
              <w:br/>
              <w:t>THE COVERED</w:t>
              <w:br/>
              <w:t>YEAR</w:t>
              <w:br/>
              <w:t>($)</w:t>
            </w:r>
          </w:p>
        </w:tc>
        <w:tc>
          <w:tcPr>
            <w:tcW w:w="180" w:type="dxa"/>
            <w:tcBorders>
              <w:bottom w:val="single" w:sz="12" w:space="0" w:color="000000"/>
            </w:tcBorders>
            <w:shd w:fill="auto" w:val="clear"/>
            <w:tcMar>
              <w:bottom w:w="28" w:type="dxa"/>
            </w:tcMar>
            <w:vAlign w:val="center"/>
          </w:tcPr>
          <w:p>
            <w:pPr>
              <w:pStyle w:val="TableContents"/>
              <w:spacing w:before="0" w:after="283"/>
              <w:jc w:val="center"/>
              <w:rPr/>
            </w:pPr>
            <w:r>
              <w:rPr/>
              <w:t>   </w:t>
            </w:r>
          </w:p>
        </w:tc>
        <w:tc>
          <w:tcPr>
            <w:tcW w:w="950" w:type="dxa"/>
            <w:tcBorders>
              <w:bottom w:val="single" w:sz="12" w:space="0" w:color="000000"/>
            </w:tcBorders>
            <w:shd w:fill="auto" w:val="clear"/>
            <w:tcMar>
              <w:bottom w:w="28" w:type="dxa"/>
            </w:tcMar>
            <w:vAlign w:val="center"/>
          </w:tcPr>
          <w:p>
            <w:pPr>
              <w:pStyle w:val="TableContents"/>
              <w:spacing w:before="0" w:after="283"/>
              <w:jc w:val="center"/>
              <w:rPr>
                <w:rFonts w:ascii="Arial" w:hAnsi="Arial"/>
                <w:sz w:val="15"/>
              </w:rPr>
            </w:pPr>
            <w:r>
              <w:rPr>
                <w:rFonts w:ascii="Arial" w:hAnsi="Arial"/>
                <w:b/>
                <w:i/>
                <w:sz w:val="15"/>
              </w:rPr>
              <w:t xml:space="preserve">LESS </w:t>
            </w:r>
            <w:r>
              <w:rPr>
                <w:rFonts w:ascii="Arial" w:hAnsi="Arial"/>
                <w:b/>
                <w:sz w:val="15"/>
              </w:rPr>
              <w:t>FAIR</w:t>
              <w:br/>
              <w:t>VALUE OF</w:t>
              <w:br/>
              <w:t>AWARDS</w:t>
              <w:br/>
              <w:t>FORFEITED</w:t>
              <w:br/>
              <w:t>DURING THE</w:t>
              <w:br/>
              <w:t>COVERED</w:t>
              <w:br/>
              <w:t>YEAR</w:t>
            </w:r>
            <w:r>
              <w:rPr>
                <w:rFonts w:ascii="Arial" w:hAnsi="Arial"/>
                <w:sz w:val="15"/>
              </w:rPr>
              <w:br/>
              <w:t>($)</w:t>
            </w:r>
          </w:p>
        </w:tc>
        <w:tc>
          <w:tcPr>
            <w:tcW w:w="180" w:type="dxa"/>
            <w:tcBorders>
              <w:bottom w:val="single" w:sz="12" w:space="0" w:color="000000"/>
            </w:tcBorders>
            <w:shd w:fill="auto" w:val="clear"/>
            <w:tcMar>
              <w:bottom w:w="28" w:type="dxa"/>
            </w:tcMar>
            <w:vAlign w:val="center"/>
          </w:tcPr>
          <w:p>
            <w:pPr>
              <w:pStyle w:val="TableContents"/>
              <w:spacing w:before="0" w:after="283"/>
              <w:jc w:val="center"/>
              <w:rPr/>
            </w:pPr>
            <w:r>
              <w:rPr/>
              <w:t>   </w:t>
            </w:r>
          </w:p>
        </w:tc>
        <w:tc>
          <w:tcPr>
            <w:tcW w:w="1384" w:type="dxa"/>
            <w:gridSpan w:val="2"/>
            <w:tcBorders>
              <w:bottom w:val="single" w:sz="12" w:space="0" w:color="000000"/>
            </w:tcBorders>
            <w:shd w:fill="auto" w:val="clear"/>
            <w:tcMar>
              <w:bottom w:w="28" w:type="dxa"/>
            </w:tcMar>
            <w:vAlign w:val="center"/>
          </w:tcPr>
          <w:p>
            <w:pPr>
              <w:pStyle w:val="TableContents"/>
              <w:spacing w:before="0" w:after="283"/>
              <w:jc w:val="center"/>
              <w:rPr>
                <w:rFonts w:ascii="Arial" w:hAnsi="Arial"/>
                <w:b/>
                <w:sz w:val="15"/>
              </w:rPr>
            </w:pPr>
            <w:r>
              <w:rPr>
                <w:rFonts w:ascii="Arial" w:hAnsi="Arial"/>
                <w:b/>
                <w:sz w:val="15"/>
              </w:rPr>
              <w:t>NET ADJUSTMENT</w:t>
              <w:br/>
              <w:t>($)</w:t>
            </w:r>
          </w:p>
        </w:tc>
      </w:tr>
      <w:tr>
        <w:trPr/>
        <w:tc>
          <w:tcPr>
            <w:tcW w:w="1535" w:type="dxa"/>
            <w:tcBorders>
              <w:bottom w:val="single" w:sz="8" w:space="0" w:color="000000"/>
            </w:tcBorders>
            <w:shd w:fill="auto" w:val="clear"/>
            <w:tcMar>
              <w:bottom w:w="28" w:type="dxa"/>
            </w:tcMar>
            <w:vAlign w:val="center"/>
          </w:tcPr>
          <w:p>
            <w:pPr>
              <w:pStyle w:val="TableContents"/>
              <w:spacing w:before="0" w:after="283"/>
              <w:jc w:val="left"/>
              <w:rPr>
                <w:rFonts w:ascii="Arial" w:hAnsi="Arial"/>
                <w:sz w:val="15"/>
              </w:rPr>
            </w:pPr>
            <w:r>
              <w:rPr>
                <w:rFonts w:ascii="Arial" w:hAnsi="Arial"/>
                <w:sz w:val="15"/>
              </w:rPr>
              <w:t>PEO 2022</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48"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bookmarkStart w:id="55" w:name="xdx_906_eecd--AdjToCompAmt_c20220101__20"/>
            <w:bookmarkEnd w:id="55"/>
            <w:r>
              <w:rPr>
                <w:rFonts w:ascii="Arial" w:hAnsi="Arial"/>
                <w:sz w:val="15"/>
              </w:rPr>
              <w:t>(21,863,723</w:t>
            </w:r>
          </w:p>
        </w:tc>
        <w:tc>
          <w:tcPr>
            <w:tcW w:w="541" w:type="dxa"/>
            <w:tcBorders>
              <w:bottom w:val="single" w:sz="8" w:space="0" w:color="000000"/>
            </w:tcBorders>
            <w:shd w:fill="auto" w:val="clear"/>
            <w:tcMar>
              <w:bottom w:w="28" w:type="dxa"/>
            </w:tcMar>
            <w:vAlign w:val="center"/>
          </w:tcPr>
          <w:p>
            <w:pPr>
              <w:pStyle w:val="TableContents"/>
              <w:spacing w:before="0" w:after="283"/>
              <w:jc w:val="left"/>
              <w:rPr>
                <w:rFonts w:ascii="Arial" w:hAnsi="Arial"/>
                <w:sz w:val="15"/>
              </w:rPr>
            </w:pPr>
            <w:r>
              <w:rPr>
                <w:rFonts w:ascii="Arial" w:hAnsi="Arial"/>
                <w:sz w:val="15"/>
              </w:rPr>
              <w:t>)       </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90" w:type="dxa"/>
            <w:tcBorders>
              <w:bottom w:val="single" w:sz="8" w:space="0" w:color="000000"/>
            </w:tcBorders>
            <w:shd w:fill="auto" w:val="clear"/>
            <w:tcMar>
              <w:bottom w:w="28" w:type="dxa"/>
            </w:tcMar>
            <w:vAlign w:val="center"/>
          </w:tcPr>
          <w:p>
            <w:pPr>
              <w:pStyle w:val="TableContents"/>
              <w:spacing w:before="0" w:after="283"/>
              <w:jc w:val="center"/>
              <w:rPr>
                <w:rFonts w:ascii="Arial" w:hAnsi="Arial"/>
                <w:sz w:val="15"/>
              </w:rPr>
            </w:pPr>
            <w:bookmarkStart w:id="56" w:name="xdx_900_eecd--AdjToCompAmt_c20220101__20"/>
            <w:bookmarkEnd w:id="56"/>
            <w:r>
              <w:rPr>
                <w:rFonts w:ascii="Arial" w:hAnsi="Arial"/>
                <w:sz w:val="15"/>
              </w:rPr>
              <w:t>22,285,379</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97"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bookmarkStart w:id="57" w:name="xdx_90B_eecd--AdjToCompAmt_c20220101__20"/>
            <w:bookmarkEnd w:id="57"/>
            <w:r>
              <w:rPr>
                <w:rFonts w:ascii="Arial" w:hAnsi="Arial"/>
                <w:sz w:val="15"/>
              </w:rPr>
              <w:t>(31,633,629</w:t>
            </w:r>
          </w:p>
        </w:tc>
        <w:tc>
          <w:tcPr>
            <w:tcW w:w="177" w:type="dxa"/>
            <w:tcBorders>
              <w:bottom w:val="single" w:sz="8" w:space="0" w:color="000000"/>
            </w:tcBorders>
            <w:shd w:fill="auto" w:val="clear"/>
            <w:tcMar>
              <w:bottom w:w="28" w:type="dxa"/>
            </w:tcMar>
            <w:vAlign w:val="center"/>
          </w:tcPr>
          <w:p>
            <w:pPr>
              <w:pStyle w:val="TableContents"/>
              <w:spacing w:before="0" w:after="283"/>
              <w:jc w:val="left"/>
              <w:rPr>
                <w:rFonts w:ascii="Arial" w:hAnsi="Arial"/>
                <w:sz w:val="15"/>
              </w:rPr>
            </w:pPr>
            <w:r>
              <w:rPr>
                <w:rFonts w:ascii="Arial" w:hAnsi="Arial"/>
                <w:sz w:val="15"/>
              </w:rPr>
              <w:t>)  </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08"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bookmarkStart w:id="58" w:name="xdx_905_eecd--AdjToCompAmt_c20220101__20"/>
            <w:bookmarkEnd w:id="58"/>
            <w:r>
              <w:rPr>
                <w:rFonts w:ascii="Arial" w:hAnsi="Arial"/>
                <w:sz w:val="15"/>
              </w:rPr>
              <w:t>(4,949,732</w:t>
            </w:r>
          </w:p>
        </w:tc>
        <w:tc>
          <w:tcPr>
            <w:tcW w:w="256" w:type="dxa"/>
            <w:tcBorders>
              <w:bottom w:val="single" w:sz="8" w:space="0" w:color="000000"/>
            </w:tcBorders>
            <w:shd w:fill="auto" w:val="clear"/>
            <w:tcMar>
              <w:bottom w:w="28" w:type="dxa"/>
            </w:tcMar>
            <w:vAlign w:val="center"/>
          </w:tcPr>
          <w:p>
            <w:pPr>
              <w:pStyle w:val="TableContents"/>
              <w:spacing w:before="0" w:after="283"/>
              <w:jc w:val="left"/>
              <w:rPr>
                <w:rFonts w:ascii="Arial" w:hAnsi="Arial"/>
                <w:sz w:val="15"/>
              </w:rPr>
            </w:pPr>
            <w:r>
              <w:rPr>
                <w:rFonts w:ascii="Arial" w:hAnsi="Arial"/>
                <w:sz w:val="15"/>
              </w:rPr>
              <w:t>)   </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50" w:type="dxa"/>
            <w:tcBorders>
              <w:bottom w:val="single" w:sz="8" w:space="0" w:color="000000"/>
            </w:tcBorders>
            <w:shd w:fill="auto" w:val="clear"/>
            <w:tcMar>
              <w:bottom w:w="28" w:type="dxa"/>
            </w:tcMar>
            <w:vAlign w:val="center"/>
          </w:tcPr>
          <w:p>
            <w:pPr>
              <w:pStyle w:val="TableContents"/>
              <w:spacing w:before="0" w:after="283"/>
              <w:jc w:val="center"/>
              <w:rPr/>
            </w:pPr>
            <w:bookmarkStart w:id="59" w:name="xdx_90A_eecd--AdjToCompAmt_d0_c20220101_"/>
            <w:bookmarkEnd w:id="59"/>
            <w:r>
              <w:rPr/>
              <w:t>—</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27"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bookmarkStart w:id="60" w:name="xdx_905_eecd--AdjToCompAmt_c20220101__20"/>
            <w:bookmarkEnd w:id="60"/>
            <w:r>
              <w:rPr>
                <w:rFonts w:ascii="Arial" w:hAnsi="Arial"/>
                <w:sz w:val="15"/>
              </w:rPr>
              <w:t>(36,161,704</w:t>
            </w:r>
          </w:p>
        </w:tc>
        <w:tc>
          <w:tcPr>
            <w:tcW w:w="257" w:type="dxa"/>
            <w:tcBorders>
              <w:bottom w:val="single" w:sz="8" w:space="0" w:color="000000"/>
            </w:tcBorders>
            <w:shd w:fill="auto" w:val="clear"/>
            <w:tcMar>
              <w:bottom w:w="28" w:type="dxa"/>
            </w:tcMar>
            <w:vAlign w:val="center"/>
          </w:tcPr>
          <w:p>
            <w:pPr>
              <w:pStyle w:val="TableContents"/>
              <w:spacing w:before="0" w:after="283"/>
              <w:jc w:val="left"/>
              <w:rPr>
                <w:rFonts w:ascii="Arial" w:hAnsi="Arial"/>
                <w:sz w:val="15"/>
              </w:rPr>
            </w:pPr>
            <w:r>
              <w:rPr>
                <w:rFonts w:ascii="Arial" w:hAnsi="Arial"/>
                <w:sz w:val="15"/>
              </w:rPr>
              <w:t>)   </w:t>
            </w:r>
          </w:p>
        </w:tc>
      </w:tr>
      <w:tr>
        <w:trPr/>
        <w:tc>
          <w:tcPr>
            <w:tcW w:w="1535" w:type="dxa"/>
            <w:tcBorders>
              <w:bottom w:val="single" w:sz="8" w:space="0" w:color="000000"/>
            </w:tcBorders>
            <w:shd w:fill="auto" w:val="clear"/>
            <w:tcMar>
              <w:bottom w:w="28" w:type="dxa"/>
            </w:tcMar>
            <w:vAlign w:val="center"/>
          </w:tcPr>
          <w:p>
            <w:pPr>
              <w:pStyle w:val="TableContents"/>
              <w:spacing w:before="0" w:after="283"/>
              <w:jc w:val="left"/>
              <w:rPr>
                <w:rFonts w:ascii="Arial" w:hAnsi="Arial"/>
                <w:sz w:val="15"/>
              </w:rPr>
            </w:pPr>
            <w:r>
              <w:rPr>
                <w:rFonts w:ascii="Arial" w:hAnsi="Arial"/>
                <w:sz w:val="15"/>
              </w:rPr>
              <w:t>PEO 2021</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48"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bookmarkStart w:id="61" w:name="xdx_90D_eecd--AdjToCompAmt_c20210101__20"/>
            <w:bookmarkEnd w:id="61"/>
            <w:r>
              <w:rPr>
                <w:rFonts w:ascii="Arial" w:hAnsi="Arial"/>
                <w:sz w:val="15"/>
              </w:rPr>
              <w:t>(21,988,022</w:t>
            </w:r>
          </w:p>
        </w:tc>
        <w:tc>
          <w:tcPr>
            <w:tcW w:w="541" w:type="dxa"/>
            <w:tcBorders>
              <w:bottom w:val="single" w:sz="8" w:space="0" w:color="000000"/>
            </w:tcBorders>
            <w:shd w:fill="auto" w:val="clear"/>
            <w:tcMar>
              <w:bottom w:w="28" w:type="dxa"/>
            </w:tcMar>
            <w:vAlign w:val="center"/>
          </w:tcPr>
          <w:p>
            <w:pPr>
              <w:pStyle w:val="TableContents"/>
              <w:spacing w:before="0" w:after="283"/>
              <w:jc w:val="left"/>
              <w:rPr>
                <w:rFonts w:ascii="Arial" w:hAnsi="Arial"/>
                <w:sz w:val="15"/>
              </w:rPr>
            </w:pPr>
            <w:r>
              <w:rPr>
                <w:rFonts w:ascii="Arial" w:hAnsi="Arial"/>
                <w:sz w:val="15"/>
              </w:rPr>
              <w:t>)</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90" w:type="dxa"/>
            <w:tcBorders>
              <w:bottom w:val="single" w:sz="8" w:space="0" w:color="000000"/>
            </w:tcBorders>
            <w:shd w:fill="auto" w:val="clear"/>
            <w:tcMar>
              <w:bottom w:w="28" w:type="dxa"/>
            </w:tcMar>
            <w:vAlign w:val="center"/>
          </w:tcPr>
          <w:p>
            <w:pPr>
              <w:pStyle w:val="TableContents"/>
              <w:spacing w:before="0" w:after="283"/>
              <w:jc w:val="center"/>
              <w:rPr>
                <w:rFonts w:ascii="Arial" w:hAnsi="Arial"/>
                <w:sz w:val="15"/>
              </w:rPr>
            </w:pPr>
            <w:bookmarkStart w:id="62" w:name="xdx_900_eecd--AdjToCompAmt_c20210101__20"/>
            <w:bookmarkEnd w:id="62"/>
            <w:r>
              <w:rPr>
                <w:rFonts w:ascii="Arial" w:hAnsi="Arial"/>
                <w:sz w:val="15"/>
              </w:rPr>
              <w:t>21,524,528</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97"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bookmarkStart w:id="63" w:name="xdx_909_eecd--AdjToCompAmt_c20210101__20"/>
            <w:bookmarkEnd w:id="63"/>
            <w:r>
              <w:rPr>
                <w:rFonts w:ascii="Arial" w:hAnsi="Arial"/>
                <w:sz w:val="15"/>
              </w:rPr>
              <w:t>(5,141,104</w:t>
            </w:r>
          </w:p>
        </w:tc>
        <w:tc>
          <w:tcPr>
            <w:tcW w:w="177" w:type="dxa"/>
            <w:tcBorders>
              <w:bottom w:val="single" w:sz="8" w:space="0" w:color="000000"/>
            </w:tcBorders>
            <w:shd w:fill="auto" w:val="clear"/>
            <w:tcMar>
              <w:bottom w:w="28" w:type="dxa"/>
            </w:tcMar>
            <w:vAlign w:val="center"/>
          </w:tcPr>
          <w:p>
            <w:pPr>
              <w:pStyle w:val="TableContents"/>
              <w:spacing w:before="0" w:after="283"/>
              <w:jc w:val="left"/>
              <w:rPr>
                <w:rFonts w:ascii="Arial" w:hAnsi="Arial"/>
                <w:sz w:val="15"/>
              </w:rPr>
            </w:pPr>
            <w:r>
              <w:rPr>
                <w:rFonts w:ascii="Arial" w:hAnsi="Arial"/>
                <w:sz w:val="15"/>
              </w:rPr>
              <w:t>)</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08"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bookmarkStart w:id="64" w:name="xdx_90B_eecd--AdjToCompAmt_c20210101__20"/>
            <w:bookmarkEnd w:id="64"/>
            <w:r>
              <w:rPr>
                <w:rFonts w:ascii="Arial" w:hAnsi="Arial"/>
                <w:sz w:val="15"/>
              </w:rPr>
              <w:t>3,480,893</w:t>
            </w:r>
          </w:p>
        </w:tc>
        <w:tc>
          <w:tcPr>
            <w:tcW w:w="25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50" w:type="dxa"/>
            <w:tcBorders>
              <w:bottom w:val="single" w:sz="8" w:space="0" w:color="000000"/>
            </w:tcBorders>
            <w:shd w:fill="auto" w:val="clear"/>
            <w:tcMar>
              <w:bottom w:w="28" w:type="dxa"/>
            </w:tcMar>
            <w:vAlign w:val="center"/>
          </w:tcPr>
          <w:p>
            <w:pPr>
              <w:pStyle w:val="TableContents"/>
              <w:spacing w:before="0" w:after="283"/>
              <w:jc w:val="center"/>
              <w:rPr/>
            </w:pPr>
            <w:bookmarkStart w:id="65" w:name="xdx_90D_eecd--AdjToCompAmt_d0_c20210101_"/>
            <w:bookmarkEnd w:id="65"/>
            <w:r>
              <w:rPr/>
              <w:t>—</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27"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bookmarkStart w:id="66" w:name="xdx_900_eecd--AdjToCompAmt_c20210101__20"/>
            <w:bookmarkEnd w:id="66"/>
            <w:r>
              <w:rPr>
                <w:rFonts w:ascii="Arial" w:hAnsi="Arial"/>
                <w:sz w:val="15"/>
              </w:rPr>
              <w:t>(2,123,705</w:t>
            </w:r>
          </w:p>
        </w:tc>
        <w:tc>
          <w:tcPr>
            <w:tcW w:w="257" w:type="dxa"/>
            <w:tcBorders>
              <w:bottom w:val="single" w:sz="8" w:space="0" w:color="000000"/>
            </w:tcBorders>
            <w:shd w:fill="auto" w:val="clear"/>
            <w:tcMar>
              <w:bottom w:w="28" w:type="dxa"/>
            </w:tcMar>
            <w:vAlign w:val="center"/>
          </w:tcPr>
          <w:p>
            <w:pPr>
              <w:pStyle w:val="TableContents"/>
              <w:spacing w:before="0" w:after="283"/>
              <w:jc w:val="left"/>
              <w:rPr>
                <w:rFonts w:ascii="Arial" w:hAnsi="Arial"/>
                <w:sz w:val="15"/>
              </w:rPr>
            </w:pPr>
            <w:r>
              <w:rPr>
                <w:rFonts w:ascii="Arial" w:hAnsi="Arial"/>
                <w:sz w:val="15"/>
              </w:rPr>
              <w:t>)</w:t>
            </w:r>
          </w:p>
        </w:tc>
      </w:tr>
      <w:tr>
        <w:trPr/>
        <w:tc>
          <w:tcPr>
            <w:tcW w:w="1535" w:type="dxa"/>
            <w:tcBorders>
              <w:bottom w:val="single" w:sz="8" w:space="0" w:color="000000"/>
            </w:tcBorders>
            <w:shd w:fill="auto" w:val="clear"/>
            <w:tcMar>
              <w:bottom w:w="28" w:type="dxa"/>
            </w:tcMar>
            <w:vAlign w:val="center"/>
          </w:tcPr>
          <w:p>
            <w:pPr>
              <w:pStyle w:val="TableContents"/>
              <w:spacing w:before="0" w:after="283"/>
              <w:jc w:val="left"/>
              <w:rPr>
                <w:rFonts w:ascii="Arial" w:hAnsi="Arial"/>
                <w:sz w:val="15"/>
              </w:rPr>
            </w:pPr>
            <w:r>
              <w:rPr>
                <w:rFonts w:ascii="Arial" w:hAnsi="Arial"/>
                <w:sz w:val="15"/>
              </w:rPr>
              <w:t>PEO 2020</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48"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bookmarkStart w:id="67" w:name="xdx_90F_eecd--AdjToCompAmt_c20200101__20"/>
            <w:bookmarkEnd w:id="67"/>
            <w:r>
              <w:rPr>
                <w:rFonts w:ascii="Arial" w:hAnsi="Arial"/>
                <w:sz w:val="15"/>
              </w:rPr>
              <w:t>(21,185,427</w:t>
            </w:r>
          </w:p>
        </w:tc>
        <w:tc>
          <w:tcPr>
            <w:tcW w:w="541" w:type="dxa"/>
            <w:tcBorders>
              <w:bottom w:val="single" w:sz="8" w:space="0" w:color="000000"/>
            </w:tcBorders>
            <w:shd w:fill="auto" w:val="clear"/>
            <w:tcMar>
              <w:bottom w:w="28" w:type="dxa"/>
            </w:tcMar>
            <w:vAlign w:val="center"/>
          </w:tcPr>
          <w:p>
            <w:pPr>
              <w:pStyle w:val="TableContents"/>
              <w:spacing w:before="0" w:after="283"/>
              <w:jc w:val="left"/>
              <w:rPr>
                <w:rFonts w:ascii="Arial" w:hAnsi="Arial"/>
                <w:sz w:val="15"/>
              </w:rPr>
            </w:pPr>
            <w:r>
              <w:rPr>
                <w:rFonts w:ascii="Arial" w:hAnsi="Arial"/>
                <w:sz w:val="15"/>
              </w:rPr>
              <w:t>)</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90" w:type="dxa"/>
            <w:tcBorders>
              <w:bottom w:val="single" w:sz="8" w:space="0" w:color="000000"/>
            </w:tcBorders>
            <w:shd w:fill="auto" w:val="clear"/>
            <w:tcMar>
              <w:bottom w:w="28" w:type="dxa"/>
            </w:tcMar>
            <w:vAlign w:val="center"/>
          </w:tcPr>
          <w:p>
            <w:pPr>
              <w:pStyle w:val="TableContents"/>
              <w:spacing w:before="0" w:after="283"/>
              <w:jc w:val="center"/>
              <w:rPr>
                <w:rFonts w:ascii="Arial" w:hAnsi="Arial"/>
                <w:sz w:val="15"/>
              </w:rPr>
            </w:pPr>
            <w:bookmarkStart w:id="68" w:name="xdx_901_eecd--AdjToCompAmt_c20200101__20"/>
            <w:bookmarkEnd w:id="68"/>
            <w:r>
              <w:rPr>
                <w:rFonts w:ascii="Arial" w:hAnsi="Arial"/>
                <w:sz w:val="15"/>
              </w:rPr>
              <w:t>33,698,156</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97"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bookmarkStart w:id="69" w:name="xdx_90C_eecd--AdjToCompAmt_c20200101__20"/>
            <w:bookmarkEnd w:id="69"/>
            <w:r>
              <w:rPr>
                <w:rFonts w:ascii="Arial" w:hAnsi="Arial"/>
                <w:sz w:val="15"/>
              </w:rPr>
              <w:t>17,130,816</w:t>
            </w:r>
          </w:p>
        </w:tc>
        <w:tc>
          <w:tcPr>
            <w:tcW w:w="177"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08"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bookmarkStart w:id="70" w:name="xdx_906_eecd--AdjToCompAmt_c20200101__20"/>
            <w:bookmarkEnd w:id="70"/>
            <w:r>
              <w:rPr>
                <w:rFonts w:ascii="Arial" w:hAnsi="Arial"/>
                <w:sz w:val="15"/>
              </w:rPr>
              <w:t>(7,655,263</w:t>
            </w:r>
          </w:p>
        </w:tc>
        <w:tc>
          <w:tcPr>
            <w:tcW w:w="256" w:type="dxa"/>
            <w:tcBorders>
              <w:bottom w:val="single" w:sz="8" w:space="0" w:color="000000"/>
            </w:tcBorders>
            <w:shd w:fill="auto" w:val="clear"/>
            <w:tcMar>
              <w:bottom w:w="28" w:type="dxa"/>
            </w:tcMar>
            <w:vAlign w:val="center"/>
          </w:tcPr>
          <w:p>
            <w:pPr>
              <w:pStyle w:val="TableContents"/>
              <w:spacing w:before="0" w:after="283"/>
              <w:jc w:val="left"/>
              <w:rPr>
                <w:rFonts w:ascii="Arial" w:hAnsi="Arial"/>
                <w:sz w:val="15"/>
              </w:rPr>
            </w:pPr>
            <w:r>
              <w:rPr>
                <w:rFonts w:ascii="Arial" w:hAnsi="Arial"/>
                <w:sz w:val="15"/>
              </w:rPr>
              <w:t>)</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50" w:type="dxa"/>
            <w:tcBorders>
              <w:bottom w:val="single" w:sz="8" w:space="0" w:color="000000"/>
            </w:tcBorders>
            <w:shd w:fill="auto" w:val="clear"/>
            <w:tcMar>
              <w:bottom w:w="28" w:type="dxa"/>
            </w:tcMar>
            <w:vAlign w:val="center"/>
          </w:tcPr>
          <w:p>
            <w:pPr>
              <w:pStyle w:val="TableContents"/>
              <w:spacing w:before="0" w:after="283"/>
              <w:jc w:val="center"/>
              <w:rPr/>
            </w:pPr>
            <w:bookmarkStart w:id="71" w:name="xdx_90A_eecd--AdjToCompAmt_d0_c20200101_"/>
            <w:bookmarkEnd w:id="71"/>
            <w:r>
              <w:rPr/>
              <w:t>—</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27"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bookmarkStart w:id="72" w:name="xdx_905_eecd--AdjToCompAmt_c20200101__20"/>
            <w:bookmarkEnd w:id="72"/>
            <w:r>
              <w:rPr>
                <w:rFonts w:ascii="Arial" w:hAnsi="Arial"/>
                <w:sz w:val="15"/>
              </w:rPr>
              <w:t>21,988,282</w:t>
            </w:r>
          </w:p>
        </w:tc>
        <w:tc>
          <w:tcPr>
            <w:tcW w:w="257"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r>
      <w:tr>
        <w:trPr/>
        <w:tc>
          <w:tcPr>
            <w:tcW w:w="1535" w:type="dxa"/>
            <w:tcBorders>
              <w:bottom w:val="single" w:sz="8" w:space="0" w:color="000000"/>
            </w:tcBorders>
            <w:shd w:fill="auto" w:val="clear"/>
            <w:tcMar>
              <w:bottom w:w="28" w:type="dxa"/>
            </w:tcMar>
            <w:vAlign w:val="center"/>
          </w:tcPr>
          <w:p>
            <w:pPr>
              <w:pStyle w:val="TableContents"/>
              <w:spacing w:before="0" w:after="283"/>
              <w:jc w:val="left"/>
              <w:rPr>
                <w:rFonts w:ascii="Arial" w:hAnsi="Arial"/>
                <w:sz w:val="15"/>
              </w:rPr>
            </w:pPr>
            <w:r>
              <w:rPr>
                <w:rFonts w:ascii="Arial" w:hAnsi="Arial"/>
                <w:sz w:val="15"/>
              </w:rPr>
              <w:t>Non-PEO NEOs 2022</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48"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bookmarkStart w:id="73" w:name="xdx_90A_eecd--AdjToCompAmt_c20220101__20"/>
            <w:bookmarkEnd w:id="73"/>
            <w:r>
              <w:rPr>
                <w:rFonts w:ascii="Arial" w:hAnsi="Arial"/>
                <w:sz w:val="15"/>
              </w:rPr>
              <w:t>(15,386,069</w:t>
            </w:r>
          </w:p>
        </w:tc>
        <w:tc>
          <w:tcPr>
            <w:tcW w:w="541" w:type="dxa"/>
            <w:tcBorders>
              <w:bottom w:val="single" w:sz="8" w:space="0" w:color="000000"/>
            </w:tcBorders>
            <w:shd w:fill="auto" w:val="clear"/>
            <w:tcMar>
              <w:bottom w:w="28" w:type="dxa"/>
            </w:tcMar>
            <w:vAlign w:val="center"/>
          </w:tcPr>
          <w:p>
            <w:pPr>
              <w:pStyle w:val="TableContents"/>
              <w:spacing w:before="0" w:after="283"/>
              <w:jc w:val="left"/>
              <w:rPr>
                <w:rFonts w:ascii="Arial" w:hAnsi="Arial"/>
                <w:sz w:val="15"/>
              </w:rPr>
            </w:pPr>
            <w:r>
              <w:rPr>
                <w:rFonts w:ascii="Arial" w:hAnsi="Arial"/>
                <w:sz w:val="15"/>
              </w:rPr>
              <w:t>)</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90" w:type="dxa"/>
            <w:tcBorders>
              <w:bottom w:val="single" w:sz="8" w:space="0" w:color="000000"/>
            </w:tcBorders>
            <w:shd w:fill="auto" w:val="clear"/>
            <w:tcMar>
              <w:bottom w:w="28" w:type="dxa"/>
            </w:tcMar>
            <w:vAlign w:val="center"/>
          </w:tcPr>
          <w:p>
            <w:pPr>
              <w:pStyle w:val="TableContents"/>
              <w:spacing w:before="0" w:after="283"/>
              <w:jc w:val="center"/>
              <w:rPr>
                <w:rFonts w:ascii="Arial" w:hAnsi="Arial"/>
                <w:sz w:val="15"/>
              </w:rPr>
            </w:pPr>
            <w:bookmarkStart w:id="74" w:name="xdx_902_eecd--AdjToCompAmt_c20220101__20"/>
            <w:bookmarkEnd w:id="74"/>
            <w:r>
              <w:rPr>
                <w:rFonts w:ascii="Arial" w:hAnsi="Arial"/>
                <w:sz w:val="15"/>
              </w:rPr>
              <w:t>15,604,969</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97"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bookmarkStart w:id="75" w:name="xdx_90D_eecd--AdjToCompAmt_c20220101__20"/>
            <w:bookmarkEnd w:id="75"/>
            <w:r>
              <w:rPr>
                <w:rFonts w:ascii="Arial" w:hAnsi="Arial"/>
                <w:sz w:val="15"/>
              </w:rPr>
              <w:t>(12,701,844</w:t>
            </w:r>
          </w:p>
        </w:tc>
        <w:tc>
          <w:tcPr>
            <w:tcW w:w="177" w:type="dxa"/>
            <w:tcBorders>
              <w:bottom w:val="single" w:sz="8" w:space="0" w:color="000000"/>
            </w:tcBorders>
            <w:shd w:fill="auto" w:val="clear"/>
            <w:tcMar>
              <w:bottom w:w="28" w:type="dxa"/>
            </w:tcMar>
            <w:vAlign w:val="center"/>
          </w:tcPr>
          <w:p>
            <w:pPr>
              <w:pStyle w:val="TableContents"/>
              <w:spacing w:before="0" w:after="283"/>
              <w:jc w:val="left"/>
              <w:rPr>
                <w:rFonts w:ascii="Arial" w:hAnsi="Arial"/>
                <w:sz w:val="15"/>
              </w:rPr>
            </w:pPr>
            <w:r>
              <w:rPr>
                <w:rFonts w:ascii="Arial" w:hAnsi="Arial"/>
                <w:sz w:val="15"/>
              </w:rPr>
              <w:t>)</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08"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bookmarkStart w:id="76" w:name="xdx_90B_eecd--AdjToCompAmt_c20220101__20"/>
            <w:bookmarkEnd w:id="76"/>
            <w:r>
              <w:rPr>
                <w:rFonts w:ascii="Arial" w:hAnsi="Arial"/>
                <w:sz w:val="15"/>
              </w:rPr>
              <w:t>(1,687,326</w:t>
            </w:r>
          </w:p>
        </w:tc>
        <w:tc>
          <w:tcPr>
            <w:tcW w:w="256" w:type="dxa"/>
            <w:tcBorders>
              <w:bottom w:val="single" w:sz="8" w:space="0" w:color="000000"/>
            </w:tcBorders>
            <w:shd w:fill="auto" w:val="clear"/>
            <w:tcMar>
              <w:bottom w:w="28" w:type="dxa"/>
            </w:tcMar>
            <w:vAlign w:val="center"/>
          </w:tcPr>
          <w:p>
            <w:pPr>
              <w:pStyle w:val="TableContents"/>
              <w:spacing w:before="0" w:after="283"/>
              <w:jc w:val="left"/>
              <w:rPr>
                <w:rFonts w:ascii="Arial" w:hAnsi="Arial"/>
                <w:sz w:val="15"/>
              </w:rPr>
            </w:pPr>
            <w:r>
              <w:rPr>
                <w:rFonts w:ascii="Arial" w:hAnsi="Arial"/>
                <w:sz w:val="15"/>
              </w:rPr>
              <w:t>)</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50" w:type="dxa"/>
            <w:tcBorders>
              <w:bottom w:val="single" w:sz="8" w:space="0" w:color="000000"/>
            </w:tcBorders>
            <w:shd w:fill="auto" w:val="clear"/>
            <w:tcMar>
              <w:bottom w:w="28" w:type="dxa"/>
            </w:tcMar>
            <w:vAlign w:val="center"/>
          </w:tcPr>
          <w:p>
            <w:pPr>
              <w:pStyle w:val="TableContents"/>
              <w:spacing w:before="0" w:after="283"/>
              <w:jc w:val="center"/>
              <w:rPr/>
            </w:pPr>
            <w:bookmarkStart w:id="77" w:name="xdx_90B_eecd--AdjToCompAmt_d0_c20220101_"/>
            <w:bookmarkEnd w:id="77"/>
            <w:r>
              <w:rPr/>
              <w:t>—</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27"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bookmarkStart w:id="78" w:name="xdx_90C_eecd--AdjToCompAmt_c20220101__20"/>
            <w:bookmarkEnd w:id="78"/>
            <w:r>
              <w:rPr>
                <w:rFonts w:ascii="Arial" w:hAnsi="Arial"/>
                <w:sz w:val="15"/>
              </w:rPr>
              <w:t>(14,170,270</w:t>
            </w:r>
          </w:p>
        </w:tc>
        <w:tc>
          <w:tcPr>
            <w:tcW w:w="257" w:type="dxa"/>
            <w:tcBorders>
              <w:bottom w:val="single" w:sz="8" w:space="0" w:color="000000"/>
            </w:tcBorders>
            <w:shd w:fill="auto" w:val="clear"/>
            <w:tcMar>
              <w:bottom w:w="28" w:type="dxa"/>
            </w:tcMar>
            <w:vAlign w:val="center"/>
          </w:tcPr>
          <w:p>
            <w:pPr>
              <w:pStyle w:val="TableContents"/>
              <w:spacing w:before="0" w:after="283"/>
              <w:jc w:val="left"/>
              <w:rPr>
                <w:rFonts w:ascii="Arial" w:hAnsi="Arial"/>
                <w:sz w:val="15"/>
              </w:rPr>
            </w:pPr>
            <w:r>
              <w:rPr>
                <w:rFonts w:ascii="Arial" w:hAnsi="Arial"/>
                <w:sz w:val="15"/>
              </w:rPr>
              <w:t>)</w:t>
            </w:r>
          </w:p>
        </w:tc>
      </w:tr>
      <w:tr>
        <w:trPr/>
        <w:tc>
          <w:tcPr>
            <w:tcW w:w="1535" w:type="dxa"/>
            <w:tcBorders>
              <w:bottom w:val="single" w:sz="8" w:space="0" w:color="000000"/>
            </w:tcBorders>
            <w:shd w:fill="auto" w:val="clear"/>
            <w:tcMar>
              <w:bottom w:w="28" w:type="dxa"/>
            </w:tcMar>
            <w:vAlign w:val="center"/>
          </w:tcPr>
          <w:p>
            <w:pPr>
              <w:pStyle w:val="TableContents"/>
              <w:spacing w:before="0" w:after="283"/>
              <w:jc w:val="left"/>
              <w:rPr>
                <w:rFonts w:ascii="Arial" w:hAnsi="Arial"/>
                <w:sz w:val="15"/>
              </w:rPr>
            </w:pPr>
            <w:r>
              <w:rPr>
                <w:rFonts w:ascii="Arial" w:hAnsi="Arial"/>
                <w:sz w:val="15"/>
              </w:rPr>
              <w:t>Non-PEO NEOs 2021</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48"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bookmarkStart w:id="79" w:name="xdx_90F_eecd--AdjToCompAmt_c20210101__20"/>
            <w:bookmarkEnd w:id="79"/>
            <w:r>
              <w:rPr>
                <w:rFonts w:ascii="Arial" w:hAnsi="Arial"/>
                <w:sz w:val="15"/>
              </w:rPr>
              <w:t>(10,410,915</w:t>
            </w:r>
          </w:p>
        </w:tc>
        <w:tc>
          <w:tcPr>
            <w:tcW w:w="541" w:type="dxa"/>
            <w:tcBorders>
              <w:bottom w:val="single" w:sz="8" w:space="0" w:color="000000"/>
            </w:tcBorders>
            <w:shd w:fill="auto" w:val="clear"/>
            <w:tcMar>
              <w:bottom w:w="28" w:type="dxa"/>
            </w:tcMar>
            <w:vAlign w:val="center"/>
          </w:tcPr>
          <w:p>
            <w:pPr>
              <w:pStyle w:val="TableContents"/>
              <w:spacing w:before="0" w:after="283"/>
              <w:jc w:val="left"/>
              <w:rPr>
                <w:rFonts w:ascii="Arial" w:hAnsi="Arial"/>
                <w:sz w:val="15"/>
              </w:rPr>
            </w:pPr>
            <w:r>
              <w:rPr>
                <w:rFonts w:ascii="Arial" w:hAnsi="Arial"/>
                <w:sz w:val="15"/>
              </w:rPr>
              <w:t>)</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90" w:type="dxa"/>
            <w:tcBorders>
              <w:bottom w:val="single" w:sz="8" w:space="0" w:color="000000"/>
            </w:tcBorders>
            <w:shd w:fill="auto" w:val="clear"/>
            <w:tcMar>
              <w:bottom w:w="28" w:type="dxa"/>
            </w:tcMar>
            <w:vAlign w:val="center"/>
          </w:tcPr>
          <w:p>
            <w:pPr>
              <w:pStyle w:val="TableContents"/>
              <w:spacing w:before="0" w:after="283"/>
              <w:jc w:val="center"/>
              <w:rPr>
                <w:rFonts w:ascii="Arial" w:hAnsi="Arial"/>
                <w:sz w:val="15"/>
              </w:rPr>
            </w:pPr>
            <w:bookmarkStart w:id="80" w:name="xdx_908_eecd--AdjToCompAmt_c20210101__20"/>
            <w:bookmarkEnd w:id="80"/>
            <w:r>
              <w:rPr>
                <w:rFonts w:ascii="Arial" w:hAnsi="Arial"/>
                <w:sz w:val="15"/>
              </w:rPr>
              <w:t>10,191,675</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97"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bookmarkStart w:id="81" w:name="xdx_90D_eecd--AdjToCompAmt_c20210101__20"/>
            <w:bookmarkEnd w:id="81"/>
            <w:r>
              <w:rPr>
                <w:rFonts w:ascii="Arial" w:hAnsi="Arial"/>
                <w:sz w:val="15"/>
              </w:rPr>
              <w:t>(1,844,037</w:t>
            </w:r>
          </w:p>
        </w:tc>
        <w:tc>
          <w:tcPr>
            <w:tcW w:w="177" w:type="dxa"/>
            <w:tcBorders>
              <w:bottom w:val="single" w:sz="8" w:space="0" w:color="000000"/>
            </w:tcBorders>
            <w:shd w:fill="auto" w:val="clear"/>
            <w:tcMar>
              <w:bottom w:w="28" w:type="dxa"/>
            </w:tcMar>
            <w:vAlign w:val="center"/>
          </w:tcPr>
          <w:p>
            <w:pPr>
              <w:pStyle w:val="TableContents"/>
              <w:spacing w:before="0" w:after="283"/>
              <w:jc w:val="left"/>
              <w:rPr>
                <w:rFonts w:ascii="Arial" w:hAnsi="Arial"/>
                <w:sz w:val="15"/>
              </w:rPr>
            </w:pPr>
            <w:r>
              <w:rPr>
                <w:rFonts w:ascii="Arial" w:hAnsi="Arial"/>
                <w:sz w:val="15"/>
              </w:rPr>
              <w:t>)</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08"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bookmarkStart w:id="82" w:name="xdx_90A_eecd--AdjToCompAmt_c20210101__20"/>
            <w:bookmarkEnd w:id="82"/>
            <w:r>
              <w:rPr>
                <w:rFonts w:ascii="Arial" w:hAnsi="Arial"/>
                <w:sz w:val="15"/>
              </w:rPr>
              <w:t>948,410</w:t>
            </w:r>
          </w:p>
        </w:tc>
        <w:tc>
          <w:tcPr>
            <w:tcW w:w="25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50" w:type="dxa"/>
            <w:tcBorders>
              <w:bottom w:val="single" w:sz="8" w:space="0" w:color="000000"/>
            </w:tcBorders>
            <w:shd w:fill="auto" w:val="clear"/>
            <w:tcMar>
              <w:bottom w:w="28" w:type="dxa"/>
            </w:tcMar>
            <w:vAlign w:val="center"/>
          </w:tcPr>
          <w:p>
            <w:pPr>
              <w:pStyle w:val="TableContents"/>
              <w:spacing w:before="0" w:after="283"/>
              <w:jc w:val="center"/>
              <w:rPr/>
            </w:pPr>
            <w:bookmarkStart w:id="83" w:name="xdx_907_eecd--AdjToCompAmt_d0_c20210101_"/>
            <w:bookmarkEnd w:id="83"/>
            <w:r>
              <w:rPr/>
              <w:t>—</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27"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bookmarkStart w:id="84" w:name="xdx_900_eecd--AdjToCompAmt_c20210101__20"/>
            <w:bookmarkEnd w:id="84"/>
            <w:r>
              <w:rPr>
                <w:rFonts w:ascii="Arial" w:hAnsi="Arial"/>
                <w:sz w:val="15"/>
              </w:rPr>
              <w:t>(1,114,866</w:t>
            </w:r>
          </w:p>
        </w:tc>
        <w:tc>
          <w:tcPr>
            <w:tcW w:w="257" w:type="dxa"/>
            <w:tcBorders>
              <w:bottom w:val="single" w:sz="8" w:space="0" w:color="000000"/>
            </w:tcBorders>
            <w:shd w:fill="auto" w:val="clear"/>
            <w:tcMar>
              <w:bottom w:w="28" w:type="dxa"/>
            </w:tcMar>
            <w:vAlign w:val="center"/>
          </w:tcPr>
          <w:p>
            <w:pPr>
              <w:pStyle w:val="TableContents"/>
              <w:spacing w:before="0" w:after="283"/>
              <w:jc w:val="left"/>
              <w:rPr>
                <w:rFonts w:ascii="Arial" w:hAnsi="Arial"/>
                <w:sz w:val="15"/>
              </w:rPr>
            </w:pPr>
            <w:r>
              <w:rPr>
                <w:rFonts w:ascii="Arial" w:hAnsi="Arial"/>
                <w:sz w:val="15"/>
              </w:rPr>
              <w:t>)</w:t>
            </w:r>
          </w:p>
        </w:tc>
      </w:tr>
      <w:tr>
        <w:trPr/>
        <w:tc>
          <w:tcPr>
            <w:tcW w:w="1535" w:type="dxa"/>
            <w:tcBorders>
              <w:bottom w:val="single" w:sz="8" w:space="0" w:color="000000"/>
            </w:tcBorders>
            <w:shd w:fill="auto" w:val="clear"/>
            <w:tcMar>
              <w:bottom w:w="28" w:type="dxa"/>
            </w:tcMar>
            <w:vAlign w:val="center"/>
          </w:tcPr>
          <w:p>
            <w:pPr>
              <w:pStyle w:val="TableContents"/>
              <w:spacing w:before="0" w:after="283"/>
              <w:jc w:val="left"/>
              <w:rPr>
                <w:rFonts w:ascii="Arial" w:hAnsi="Arial"/>
                <w:sz w:val="15"/>
              </w:rPr>
            </w:pPr>
            <w:r>
              <w:rPr>
                <w:rFonts w:ascii="Arial" w:hAnsi="Arial"/>
                <w:sz w:val="15"/>
              </w:rPr>
              <w:t>Non-PEO NEOs 2020</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48"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bookmarkStart w:id="85" w:name="xdx_909_eecd--AdjToCompAmt_c20200101__20"/>
            <w:bookmarkEnd w:id="85"/>
            <w:r>
              <w:rPr>
                <w:rFonts w:ascii="Arial" w:hAnsi="Arial"/>
                <w:sz w:val="15"/>
              </w:rPr>
              <w:t>(8,619,244</w:t>
            </w:r>
          </w:p>
        </w:tc>
        <w:tc>
          <w:tcPr>
            <w:tcW w:w="541" w:type="dxa"/>
            <w:tcBorders>
              <w:bottom w:val="single" w:sz="8" w:space="0" w:color="000000"/>
            </w:tcBorders>
            <w:shd w:fill="auto" w:val="clear"/>
            <w:tcMar>
              <w:bottom w:w="28" w:type="dxa"/>
            </w:tcMar>
            <w:vAlign w:val="center"/>
          </w:tcPr>
          <w:p>
            <w:pPr>
              <w:pStyle w:val="TableContents"/>
              <w:spacing w:before="0" w:after="283"/>
              <w:jc w:val="left"/>
              <w:rPr>
                <w:rFonts w:ascii="Arial" w:hAnsi="Arial"/>
                <w:sz w:val="15"/>
              </w:rPr>
            </w:pPr>
            <w:r>
              <w:rPr>
                <w:rFonts w:ascii="Arial" w:hAnsi="Arial"/>
                <w:sz w:val="15"/>
              </w:rPr>
              <w:t>)</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90" w:type="dxa"/>
            <w:tcBorders>
              <w:bottom w:val="single" w:sz="8" w:space="0" w:color="000000"/>
            </w:tcBorders>
            <w:shd w:fill="auto" w:val="clear"/>
            <w:tcMar>
              <w:bottom w:w="28" w:type="dxa"/>
            </w:tcMar>
            <w:vAlign w:val="center"/>
          </w:tcPr>
          <w:p>
            <w:pPr>
              <w:pStyle w:val="TableContents"/>
              <w:spacing w:before="0" w:after="283"/>
              <w:jc w:val="center"/>
              <w:rPr>
                <w:rFonts w:ascii="Arial" w:hAnsi="Arial"/>
                <w:sz w:val="15"/>
              </w:rPr>
            </w:pPr>
            <w:bookmarkStart w:id="86" w:name="xdx_903_eecd--AdjToCompAmt_c20200101__20"/>
            <w:bookmarkEnd w:id="86"/>
            <w:r>
              <w:rPr>
                <w:rFonts w:ascii="Arial" w:hAnsi="Arial"/>
                <w:sz w:val="15"/>
              </w:rPr>
              <w:t>13,815,414</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97"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bookmarkStart w:id="87" w:name="xdx_90E_eecd--AdjToCompAmt_c20200101__20"/>
            <w:bookmarkEnd w:id="87"/>
            <w:r>
              <w:rPr>
                <w:rFonts w:ascii="Arial" w:hAnsi="Arial"/>
                <w:sz w:val="15"/>
              </w:rPr>
              <w:t>5,498,177</w:t>
            </w:r>
          </w:p>
        </w:tc>
        <w:tc>
          <w:tcPr>
            <w:tcW w:w="177"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08"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bookmarkStart w:id="88" w:name="xdx_904_eecd--AdjToCompAmt_c20200101__20"/>
            <w:bookmarkEnd w:id="88"/>
            <w:r>
              <w:rPr>
                <w:rFonts w:ascii="Arial" w:hAnsi="Arial"/>
                <w:sz w:val="15"/>
              </w:rPr>
              <w:t>(1,886,689</w:t>
            </w:r>
          </w:p>
        </w:tc>
        <w:tc>
          <w:tcPr>
            <w:tcW w:w="256" w:type="dxa"/>
            <w:tcBorders>
              <w:bottom w:val="single" w:sz="8" w:space="0" w:color="000000"/>
            </w:tcBorders>
            <w:shd w:fill="auto" w:val="clear"/>
            <w:tcMar>
              <w:bottom w:w="28" w:type="dxa"/>
            </w:tcMar>
            <w:vAlign w:val="center"/>
          </w:tcPr>
          <w:p>
            <w:pPr>
              <w:pStyle w:val="TableContents"/>
              <w:spacing w:before="0" w:after="283"/>
              <w:jc w:val="left"/>
              <w:rPr>
                <w:rFonts w:ascii="Arial" w:hAnsi="Arial"/>
                <w:sz w:val="15"/>
              </w:rPr>
            </w:pPr>
            <w:r>
              <w:rPr>
                <w:rFonts w:ascii="Arial" w:hAnsi="Arial"/>
                <w:sz w:val="15"/>
              </w:rPr>
              <w:t>)</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50" w:type="dxa"/>
            <w:tcBorders>
              <w:bottom w:val="single" w:sz="8" w:space="0" w:color="000000"/>
            </w:tcBorders>
            <w:shd w:fill="auto" w:val="clear"/>
            <w:tcMar>
              <w:bottom w:w="28" w:type="dxa"/>
            </w:tcMar>
            <w:vAlign w:val="center"/>
          </w:tcPr>
          <w:p>
            <w:pPr>
              <w:pStyle w:val="TableContents"/>
              <w:spacing w:before="0" w:after="283"/>
              <w:jc w:val="center"/>
              <w:rPr/>
            </w:pPr>
            <w:bookmarkStart w:id="89" w:name="xdx_90A_eecd--AdjToCompAmt_d0_c20200101_"/>
            <w:bookmarkEnd w:id="89"/>
            <w:r>
              <w:rPr/>
              <w:t>—</w:t>
            </w:r>
          </w:p>
        </w:tc>
        <w:tc>
          <w:tcPr>
            <w:tcW w:w="18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27"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15"/>
              </w:rPr>
            </w:pPr>
            <w:bookmarkStart w:id="90" w:name="xdx_90E_eecd--AdjToCompAmt_c20200101__20"/>
            <w:bookmarkEnd w:id="90"/>
            <w:r>
              <w:rPr>
                <w:rFonts w:ascii="Arial" w:hAnsi="Arial"/>
                <w:sz w:val="15"/>
              </w:rPr>
              <w:t>8,807,657</w:t>
            </w:r>
          </w:p>
        </w:tc>
        <w:tc>
          <w:tcPr>
            <w:tcW w:w="257"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r>
    </w:tbl>
    <w:p>
      <w:pPr>
        <w:pStyle w:val="TextBody"/>
        <w:spacing w:before="240" w:after="283"/>
        <w:jc w:val="left"/>
        <w:rPr>
          <w:rFonts w:ascii="Arial" w:hAnsi="Arial"/>
          <w:sz w:val="15"/>
        </w:rPr>
      </w:pPr>
      <w:r>
        <w:rPr>
          <w:rFonts w:ascii="Arial" w:hAnsi="Arial"/>
          <w:sz w:val="15"/>
        </w:rPr>
        <w:t>Fair values are calculated in accordance with FASB ASC Topic 718 as of the end of the respective fiscal year, other than awards that vest in the covered year, which are valued as of the applicable vesting dates. Stock option fair values were calculated using the Black-Scholes option pricing model, determined based on the same methodology as used to determine grant date fair values but using the common stock closing price on the applicable revaluation date, and in all cases based on volatility, term to exercise, dividend yields and interest rates determined as of the revaluation date. For PSUs and RSUs granted prior to 2021, the fair values were determined by multiplying the Class A common stock closing price on the valuation date by the number of outstanding shares, adjusted for dividends accrued, and, for PSUs as defined in the Glossary to FASB ASC Topic 718, taking into account the probable outcome of the PSUs’ performance conditions as of the valuation date. For PSUs granted in 2021 and 2022, fair values were calculated using a Monte Carlo simulation model, as of the applicable year-end revaluation date(s).</w:t>
      </w:r>
    </w:p>
    <w:p>
      <w:pPr>
        <w:sectPr>
          <w:type w:val="continuous"/>
          <w:pgSz w:w="11906" w:h="16838"/>
          <w:pgMar w:left="1134" w:right="567" w:header="0" w:top="567" w:footer="0" w:bottom="567" w:gutter="0"/>
          <w:formProt w:val="false"/>
          <w:textDirection w:val="lrTb"/>
          <w:docGrid w:type="default" w:linePitch="600" w:charSpace="32768"/>
        </w:sectPr>
      </w:pPr>
    </w:p>
    <w:tbl>
      <w:tblPr>
        <w:tblW w:w="223" w:type="dxa"/>
        <w:jc w:val="left"/>
        <w:tblInd w:w="0" w:type="dxa"/>
        <w:tblCellMar>
          <w:top w:w="0" w:type="dxa"/>
          <w:left w:w="0" w:type="dxa"/>
          <w:bottom w:w="0" w:type="dxa"/>
          <w:right w:w="0" w:type="dxa"/>
        </w:tblCellMar>
      </w:tblPr>
      <w:tblGrid>
        <w:gridCol w:w="200"/>
        <w:gridCol w:w="23"/>
      </w:tblGrid>
      <w:tr>
        <w:trPr/>
        <w:tc>
          <w:tcPr>
            <w:tcW w:w="200" w:type="dxa"/>
            <w:tcBorders/>
            <w:shd w:fill="auto" w:val="clear"/>
            <w:vAlign w:val="center"/>
          </w:tcPr>
          <w:p>
            <w:pPr>
              <w:pStyle w:val="TableContents"/>
              <w:spacing w:before="0" w:after="283"/>
              <w:jc w:val="left"/>
              <w:rPr>
                <w:rFonts w:ascii="Arial" w:hAnsi="Arial"/>
                <w:b/>
                <w:sz w:val="15"/>
              </w:rPr>
            </w:pPr>
            <w:r>
              <w:rPr>
                <w:rFonts w:ascii="Arial" w:hAnsi="Arial"/>
                <w:b/>
                <w:sz w:val="15"/>
              </w:rPr>
              <w:t>64</w:t>
            </w:r>
          </w:p>
        </w:tc>
        <w:tc>
          <w:tcPr>
            <w:tcW w:w="2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p>
      <w:pPr>
        <w:pStyle w:val="TextBody"/>
        <w:pBdr/>
        <w:jc w:val="left"/>
        <w:rPr>
          <w:rFonts w:ascii="Arial" w:hAnsi="Arial"/>
          <w:sz w:val="15"/>
        </w:rPr>
      </w:pPr>
      <w:r>
        <w:rPr>
          <w:rFonts w:ascii="Arial" w:hAnsi="Arial"/>
          <w:sz w:val="15"/>
        </w:rPr>
        <w:t>No awards were granted and vested within the same year in any period covered by the table above, and no dividends, dividend equivalents or other earnings are paid on equity awards prior to their vesting dates.</w:t>
      </w:r>
    </w:p>
    <w:tbl>
      <w:tblPr>
        <w:tblW w:w="10205" w:type="dxa"/>
        <w:jc w:val="left"/>
        <w:tblInd w:w="0" w:type="dxa"/>
        <w:tblCellMar>
          <w:top w:w="0" w:type="dxa"/>
          <w:left w:w="0" w:type="dxa"/>
          <w:bottom w:w="0" w:type="dxa"/>
          <w:right w:w="0" w:type="dxa"/>
        </w:tblCellMar>
      </w:tblPr>
      <w:tblGrid>
        <w:gridCol w:w="147"/>
        <w:gridCol w:w="10058"/>
      </w:tblGrid>
      <w:tr>
        <w:trPr/>
        <w:tc>
          <w:tcPr>
            <w:tcW w:w="147"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 xml:space="preserve">(3) </w:t>
            </w:r>
            <w:bookmarkStart w:id="91" w:name="xdx_986_eecd--PeerGroupIssuersFnTextBloc"/>
            <w:bookmarkEnd w:id="91"/>
          </w:p>
        </w:tc>
        <w:tc>
          <w:tcPr>
            <w:tcW w:w="10058" w:type="dxa"/>
            <w:tcBorders/>
            <w:shd w:fill="auto" w:val="clear"/>
            <w:vAlign w:val="center"/>
          </w:tcPr>
          <w:p>
            <w:pPr>
              <w:pStyle w:val="TableContents"/>
              <w:spacing w:before="0" w:after="283"/>
              <w:jc w:val="left"/>
              <w:rPr>
                <w:rFonts w:ascii="Arial" w:hAnsi="Arial"/>
                <w:sz w:val="15"/>
              </w:rPr>
            </w:pPr>
            <w:r>
              <w:rPr>
                <w:rFonts w:ascii="Arial" w:hAnsi="Arial"/>
                <w:sz w:val="15"/>
              </w:rPr>
              <w:t>TSR is cumulative for the measurement period beginning on December 31, 2019 and ending on December 31 of each of 2022, 2021 and 2020, respectively, calculated in accordance with Item 201(e) of Regulation S-K. The composition of the peer group (the “TSR Peer Group”) is the “Peer Group Index” set forth in the Stock Performance Graph of the Company’s Annual Reports on Form 10-K for the years ended December 31, 2022, 2021 and 2020.</w:t>
            </w:r>
          </w:p>
        </w:tc>
      </w:tr>
      <w:tr>
        <w:trPr/>
        <w:tc>
          <w:tcPr>
            <w:tcW w:w="147"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 xml:space="preserve">(4) </w:t>
            </w:r>
          </w:p>
        </w:tc>
        <w:tc>
          <w:tcPr>
            <w:tcW w:w="10058" w:type="dxa"/>
            <w:tcBorders/>
            <w:shd w:fill="auto" w:val="clear"/>
            <w:vAlign w:val="center"/>
          </w:tcPr>
          <w:p>
            <w:pPr>
              <w:pStyle w:val="TableContents"/>
              <w:spacing w:before="0" w:after="283"/>
              <w:jc w:val="left"/>
              <w:rPr>
                <w:rFonts w:ascii="Arial" w:hAnsi="Arial"/>
                <w:sz w:val="15"/>
              </w:rPr>
            </w:pPr>
            <w:r>
              <w:rPr>
                <w:rFonts w:ascii="Arial" w:hAnsi="Arial"/>
                <w:sz w:val="15"/>
              </w:rPr>
              <w:t>Reflects “Net Income” in the Company’s Consolidated Statement of Income included in the Company’s Annual Reports on Form 10-K for each of the years ended December 31, 2022, 2021 and 2020.</w:t>
            </w:r>
          </w:p>
        </w:tc>
      </w:tr>
    </w:tbl>
    <w:tbl>
      <w:tblPr>
        <w:tblW w:w="10205" w:type="dxa"/>
        <w:jc w:val="left"/>
        <w:tblInd w:w="0" w:type="dxa"/>
        <w:tblCellMar>
          <w:top w:w="0" w:type="dxa"/>
          <w:left w:w="0" w:type="dxa"/>
          <w:bottom w:w="0" w:type="dxa"/>
          <w:right w:w="0" w:type="dxa"/>
        </w:tblCellMar>
      </w:tblPr>
      <w:tblGrid>
        <w:gridCol w:w="151"/>
        <w:gridCol w:w="10054"/>
      </w:tblGrid>
      <w:tr>
        <w:trPr/>
        <w:tc>
          <w:tcPr>
            <w:tcW w:w="151"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 xml:space="preserve">(5) </w:t>
            </w:r>
          </w:p>
        </w:tc>
        <w:tc>
          <w:tcPr>
            <w:tcW w:w="10054" w:type="dxa"/>
            <w:tcBorders/>
            <w:shd w:fill="auto" w:val="clear"/>
            <w:vAlign w:val="center"/>
          </w:tcPr>
          <w:p>
            <w:pPr>
              <w:pStyle w:val="TableContents"/>
              <w:spacing w:before="0" w:after="283"/>
              <w:jc w:val="left"/>
              <w:rPr>
                <w:rFonts w:ascii="Arial" w:hAnsi="Arial"/>
                <w:sz w:val="15"/>
              </w:rPr>
            </w:pPr>
            <w:r>
              <w:rPr>
                <w:rFonts w:ascii="Arial" w:hAnsi="Arial"/>
                <w:sz w:val="15"/>
              </w:rPr>
              <w:t>The following table describes the relationship between company financial performance measures included in the Pay Versus Performance Table and the compensation “actually paid” to our NEOs, as reported in that table for the covered period, and the relationship between the Company’s cumulative TSR and the cumulative TSR of the TSR Peer Group over the covered period.</w:t>
            </w:r>
          </w:p>
        </w:tc>
      </w:tr>
    </w:tbl>
    <w:p>
      <w:pPr>
        <w:pStyle w:val="TextBody"/>
        <w:spacing w:before="0" w:after="0"/>
        <w:rPr/>
      </w:pPr>
      <w:r>
        <w:rPr/>
      </w:r>
    </w:p>
    <w:tbl>
      <w:tblPr>
        <w:tblW w:w="9015" w:type="dxa"/>
        <w:jc w:val="left"/>
        <w:tblInd w:w="0" w:type="dxa"/>
        <w:tblCellMar>
          <w:top w:w="0" w:type="dxa"/>
          <w:left w:w="0" w:type="dxa"/>
          <w:bottom w:w="28" w:type="dxa"/>
          <w:right w:w="0" w:type="dxa"/>
        </w:tblCellMar>
      </w:tblPr>
      <w:tblGrid>
        <w:gridCol w:w="2900"/>
        <w:gridCol w:w="180"/>
        <w:gridCol w:w="830"/>
        <w:gridCol w:w="65"/>
        <w:gridCol w:w="180"/>
        <w:gridCol w:w="830"/>
        <w:gridCol w:w="180"/>
        <w:gridCol w:w="830"/>
        <w:gridCol w:w="180"/>
        <w:gridCol w:w="935"/>
        <w:gridCol w:w="380"/>
        <w:gridCol w:w="180"/>
        <w:gridCol w:w="965"/>
        <w:gridCol w:w="380"/>
      </w:tblGrid>
      <w:tr>
        <w:trPr/>
        <w:tc>
          <w:tcPr>
            <w:tcW w:w="2900" w:type="dxa"/>
            <w:tcBorders>
              <w:bottom w:val="single" w:sz="12" w:space="0" w:color="000000"/>
            </w:tcBorders>
            <w:shd w:fill="auto" w:val="clear"/>
            <w:vAlign w:val="center"/>
          </w:tcPr>
          <w:p>
            <w:pPr>
              <w:pStyle w:val="TableContents"/>
              <w:spacing w:before="0" w:after="283"/>
              <w:jc w:val="left"/>
              <w:rPr>
                <w:rFonts w:ascii="Arial" w:hAnsi="Arial"/>
                <w:b/>
                <w:sz w:val="15"/>
              </w:rPr>
            </w:pPr>
            <w:r>
              <w:rPr>
                <w:rFonts w:ascii="Arial" w:hAnsi="Arial"/>
                <w:b/>
                <w:sz w:val="15"/>
              </w:rPr>
              <w:t>PERFORMANCE MEASURE</w:t>
            </w:r>
          </w:p>
        </w:tc>
        <w:tc>
          <w:tcPr>
            <w:tcW w:w="180" w:type="dxa"/>
            <w:tcBorders>
              <w:bottom w:val="single" w:sz="12" w:space="0" w:color="000000"/>
            </w:tcBorders>
            <w:shd w:fill="auto" w:val="clear"/>
            <w:vAlign w:val="center"/>
          </w:tcPr>
          <w:p>
            <w:pPr>
              <w:pStyle w:val="TableContents"/>
              <w:spacing w:before="0" w:after="283"/>
              <w:jc w:val="left"/>
              <w:rPr/>
            </w:pPr>
            <w:r>
              <w:rPr/>
              <w:t>   </w:t>
            </w:r>
          </w:p>
        </w:tc>
        <w:tc>
          <w:tcPr>
            <w:tcW w:w="895" w:type="dxa"/>
            <w:gridSpan w:val="2"/>
            <w:tcBorders>
              <w:bottom w:val="single" w:sz="12" w:space="0" w:color="000000"/>
            </w:tcBorders>
            <w:shd w:fill="auto" w:val="clear"/>
            <w:vAlign w:val="center"/>
          </w:tcPr>
          <w:p>
            <w:pPr>
              <w:pStyle w:val="TableContents"/>
              <w:spacing w:before="0" w:after="283"/>
              <w:jc w:val="center"/>
              <w:rPr>
                <w:rFonts w:ascii="Arial" w:hAnsi="Arial"/>
                <w:b/>
                <w:sz w:val="15"/>
              </w:rPr>
            </w:pPr>
            <w:r>
              <w:rPr>
                <w:rFonts w:ascii="Arial" w:hAnsi="Arial"/>
                <w:b/>
                <w:sz w:val="15"/>
              </w:rPr>
              <w:t>2022</w:t>
              <w:br/>
              <w:t>($)</w:t>
            </w:r>
          </w:p>
        </w:tc>
        <w:tc>
          <w:tcPr>
            <w:tcW w:w="180" w:type="dxa"/>
            <w:tcBorders>
              <w:bottom w:val="single" w:sz="12" w:space="0" w:color="000000"/>
            </w:tcBorders>
            <w:shd w:fill="auto" w:val="clear"/>
            <w:vAlign w:val="center"/>
          </w:tcPr>
          <w:p>
            <w:pPr>
              <w:pStyle w:val="TableContents"/>
              <w:spacing w:before="0" w:after="283"/>
              <w:jc w:val="left"/>
              <w:rPr/>
            </w:pPr>
            <w:r>
              <w:rPr/>
              <w:t>   </w:t>
            </w:r>
          </w:p>
        </w:tc>
        <w:tc>
          <w:tcPr>
            <w:tcW w:w="830" w:type="dxa"/>
            <w:tcBorders>
              <w:bottom w:val="single" w:sz="12" w:space="0" w:color="000000"/>
            </w:tcBorders>
            <w:shd w:fill="auto" w:val="clear"/>
            <w:vAlign w:val="center"/>
          </w:tcPr>
          <w:p>
            <w:pPr>
              <w:pStyle w:val="TableContents"/>
              <w:spacing w:before="0" w:after="283"/>
              <w:jc w:val="center"/>
              <w:rPr>
                <w:rFonts w:ascii="Arial" w:hAnsi="Arial"/>
                <w:b/>
                <w:sz w:val="15"/>
              </w:rPr>
            </w:pPr>
            <w:r>
              <w:rPr>
                <w:rFonts w:ascii="Arial" w:hAnsi="Arial"/>
                <w:b/>
                <w:sz w:val="15"/>
              </w:rPr>
              <w:t>2021</w:t>
              <w:br/>
              <w:t>($)</w:t>
            </w:r>
          </w:p>
        </w:tc>
        <w:tc>
          <w:tcPr>
            <w:tcW w:w="180" w:type="dxa"/>
            <w:tcBorders>
              <w:bottom w:val="single" w:sz="12" w:space="0" w:color="000000"/>
            </w:tcBorders>
            <w:shd w:fill="auto" w:val="clear"/>
            <w:vAlign w:val="center"/>
          </w:tcPr>
          <w:p>
            <w:pPr>
              <w:pStyle w:val="TableContents"/>
              <w:spacing w:before="0" w:after="283"/>
              <w:jc w:val="center"/>
              <w:rPr/>
            </w:pPr>
            <w:r>
              <w:rPr/>
              <w:t>   </w:t>
            </w:r>
          </w:p>
        </w:tc>
        <w:tc>
          <w:tcPr>
            <w:tcW w:w="830" w:type="dxa"/>
            <w:tcBorders>
              <w:bottom w:val="single" w:sz="12" w:space="0" w:color="000000"/>
            </w:tcBorders>
            <w:shd w:fill="auto" w:val="clear"/>
            <w:vAlign w:val="center"/>
          </w:tcPr>
          <w:p>
            <w:pPr>
              <w:pStyle w:val="TableContents"/>
              <w:spacing w:before="0" w:after="283"/>
              <w:jc w:val="center"/>
              <w:rPr>
                <w:rFonts w:ascii="Arial" w:hAnsi="Arial"/>
                <w:b/>
                <w:sz w:val="15"/>
              </w:rPr>
            </w:pPr>
            <w:r>
              <w:rPr>
                <w:rFonts w:ascii="Arial" w:hAnsi="Arial"/>
                <w:b/>
                <w:sz w:val="15"/>
              </w:rPr>
              <w:t>2020</w:t>
              <w:br/>
              <w:t>($)</w:t>
            </w:r>
          </w:p>
        </w:tc>
        <w:tc>
          <w:tcPr>
            <w:tcW w:w="180" w:type="dxa"/>
            <w:tcBorders>
              <w:bottom w:val="single" w:sz="12" w:space="0" w:color="000000"/>
            </w:tcBorders>
            <w:shd w:fill="auto" w:val="clear"/>
            <w:vAlign w:val="center"/>
          </w:tcPr>
          <w:p>
            <w:pPr>
              <w:pStyle w:val="TableContents"/>
              <w:spacing w:before="0" w:after="283"/>
              <w:jc w:val="center"/>
              <w:rPr/>
            </w:pPr>
            <w:r>
              <w:rPr/>
              <w:t>   </w:t>
            </w:r>
          </w:p>
        </w:tc>
        <w:tc>
          <w:tcPr>
            <w:tcW w:w="1315" w:type="dxa"/>
            <w:gridSpan w:val="2"/>
            <w:tcBorders>
              <w:bottom w:val="single" w:sz="12" w:space="0" w:color="000000"/>
            </w:tcBorders>
            <w:shd w:fill="auto" w:val="clear"/>
            <w:vAlign w:val="center"/>
          </w:tcPr>
          <w:p>
            <w:pPr>
              <w:pStyle w:val="TableContents"/>
              <w:spacing w:before="0" w:after="283"/>
              <w:jc w:val="right"/>
              <w:rPr>
                <w:rFonts w:ascii="Arial" w:hAnsi="Arial"/>
                <w:b/>
                <w:sz w:val="15"/>
              </w:rPr>
            </w:pPr>
            <w:r>
              <w:rPr>
                <w:rFonts w:ascii="Arial" w:hAnsi="Arial"/>
                <w:b/>
                <w:sz w:val="15"/>
              </w:rPr>
              <w:t>2021-22 YOY</w:t>
              <w:br/>
              <w:t>CHANGE</w:t>
            </w:r>
          </w:p>
        </w:tc>
        <w:tc>
          <w:tcPr>
            <w:tcW w:w="180" w:type="dxa"/>
            <w:tcBorders>
              <w:bottom w:val="single" w:sz="12" w:space="0" w:color="000000"/>
            </w:tcBorders>
            <w:shd w:fill="auto" w:val="clear"/>
            <w:vAlign w:val="center"/>
          </w:tcPr>
          <w:p>
            <w:pPr>
              <w:pStyle w:val="TableContents"/>
              <w:spacing w:before="0" w:after="283"/>
              <w:jc w:val="left"/>
              <w:rPr/>
            </w:pPr>
            <w:r>
              <w:rPr/>
              <w:t>   </w:t>
            </w:r>
          </w:p>
        </w:tc>
        <w:tc>
          <w:tcPr>
            <w:tcW w:w="1345" w:type="dxa"/>
            <w:gridSpan w:val="2"/>
            <w:tcBorders>
              <w:bottom w:val="single" w:sz="12" w:space="0" w:color="000000"/>
            </w:tcBorders>
            <w:shd w:fill="auto" w:val="clear"/>
            <w:vAlign w:val="center"/>
          </w:tcPr>
          <w:p>
            <w:pPr>
              <w:pStyle w:val="TableContents"/>
              <w:spacing w:before="0" w:after="283"/>
              <w:jc w:val="right"/>
              <w:rPr>
                <w:rFonts w:ascii="Arial" w:hAnsi="Arial"/>
                <w:b/>
                <w:sz w:val="15"/>
              </w:rPr>
            </w:pPr>
            <w:r>
              <w:rPr>
                <w:rFonts w:ascii="Arial" w:hAnsi="Arial"/>
                <w:b/>
                <w:sz w:val="15"/>
              </w:rPr>
              <w:t>2020-21 YOY</w:t>
              <w:br/>
              <w:t>CHANGE</w:t>
            </w:r>
          </w:p>
        </w:tc>
      </w:tr>
      <w:tr>
        <w:trPr/>
        <w:tc>
          <w:tcPr>
            <w:tcW w:w="2900" w:type="dxa"/>
            <w:tcBorders>
              <w:bottom w:val="single" w:sz="8" w:space="0" w:color="000000"/>
            </w:tcBorders>
            <w:shd w:fill="auto" w:val="clear"/>
            <w:vAlign w:val="center"/>
          </w:tcPr>
          <w:p>
            <w:pPr>
              <w:pStyle w:val="TableContents"/>
              <w:spacing w:before="0" w:after="283"/>
              <w:jc w:val="left"/>
              <w:rPr>
                <w:rFonts w:ascii="Arial" w:hAnsi="Arial"/>
                <w:b/>
                <w:sz w:val="15"/>
              </w:rPr>
            </w:pPr>
            <w:r>
              <w:rPr>
                <w:rFonts w:ascii="Arial" w:hAnsi="Arial"/>
                <w:b/>
                <w:sz w:val="15"/>
              </w:rPr>
              <w:t>Compensation “Actually Paid” to PEO</w:t>
            </w:r>
          </w:p>
        </w:tc>
        <w:tc>
          <w:tcPr>
            <w:tcW w:w="18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(4,091,854</w:t>
            </w:r>
          </w:p>
        </w:tc>
        <w:tc>
          <w:tcPr>
            <w:tcW w:w="65" w:type="dxa"/>
            <w:tcBorders>
              <w:bottom w:val="single" w:sz="8" w:space="0" w:color="000000"/>
            </w:tcBorders>
            <w:shd w:fill="auto" w:val="clear"/>
            <w:vAlign w:val="center"/>
          </w:tcPr>
          <w:p>
            <w:pPr>
              <w:pStyle w:val="TableContents"/>
              <w:spacing w:before="0" w:after="283"/>
              <w:jc w:val="left"/>
              <w:rPr>
                <w:rFonts w:ascii="Arial" w:hAnsi="Arial"/>
                <w:sz w:val="15"/>
              </w:rPr>
            </w:pPr>
            <w:r>
              <w:rPr>
                <w:rFonts w:ascii="Arial" w:hAnsi="Arial"/>
                <w:sz w:val="15"/>
              </w:rPr>
              <w:t>)</w:t>
            </w:r>
          </w:p>
        </w:tc>
        <w:tc>
          <w:tcPr>
            <w:tcW w:w="18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31,854,876</w:t>
            </w:r>
          </w:p>
        </w:tc>
        <w:tc>
          <w:tcPr>
            <w:tcW w:w="18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54,701,549</w:t>
            </w:r>
          </w:p>
        </w:tc>
        <w:tc>
          <w:tcPr>
            <w:tcW w:w="18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935" w:type="dxa"/>
            <w:tcBorders>
              <w:bottom w:val="single" w:sz="8" w:space="0" w:color="000000"/>
            </w:tcBorders>
            <w:shd w:fill="auto" w:val="clear"/>
            <w:vAlign w:val="center"/>
          </w:tcPr>
          <w:p>
            <w:pPr>
              <w:pStyle w:val="TableContents"/>
              <w:spacing w:before="0" w:after="283"/>
              <w:jc w:val="right"/>
              <w:rPr/>
            </w:pPr>
            <w:r>
              <w:rPr/>
              <w:t>          </w:t>
            </w:r>
            <w:r>
              <w:rPr>
                <w:rFonts w:ascii="Arial" w:hAnsi="Arial"/>
                <w:sz w:val="15"/>
              </w:rPr>
              <w:t>(113</w:t>
            </w:r>
          </w:p>
        </w:tc>
        <w:tc>
          <w:tcPr>
            <w:tcW w:w="380" w:type="dxa"/>
            <w:tcBorders>
              <w:bottom w:val="single" w:sz="8" w:space="0" w:color="000000"/>
            </w:tcBorders>
            <w:shd w:fill="auto" w:val="clear"/>
            <w:vAlign w:val="center"/>
          </w:tcPr>
          <w:p>
            <w:pPr>
              <w:pStyle w:val="TableContents"/>
              <w:spacing w:before="0" w:after="283"/>
              <w:jc w:val="left"/>
              <w:rPr>
                <w:rFonts w:ascii="Arial" w:hAnsi="Arial"/>
                <w:sz w:val="15"/>
              </w:rPr>
            </w:pPr>
            <w:r>
              <w:rPr>
                <w:rFonts w:ascii="Arial" w:hAnsi="Arial"/>
                <w:sz w:val="15"/>
              </w:rPr>
              <w:t>)%    </w:t>
            </w:r>
          </w:p>
        </w:tc>
        <w:tc>
          <w:tcPr>
            <w:tcW w:w="18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965" w:type="dxa"/>
            <w:tcBorders>
              <w:bottom w:val="single" w:sz="8" w:space="0" w:color="000000"/>
            </w:tcBorders>
            <w:shd w:fill="auto" w:val="clear"/>
            <w:vAlign w:val="center"/>
          </w:tcPr>
          <w:p>
            <w:pPr>
              <w:pStyle w:val="TableContents"/>
              <w:spacing w:before="0" w:after="283"/>
              <w:jc w:val="right"/>
              <w:rPr/>
            </w:pPr>
            <w:r>
              <w:rPr/>
              <w:t>            </w:t>
            </w:r>
            <w:r>
              <w:rPr>
                <w:rFonts w:ascii="Arial" w:hAnsi="Arial"/>
                <w:sz w:val="15"/>
              </w:rPr>
              <w:t>(42</w:t>
            </w:r>
          </w:p>
        </w:tc>
        <w:tc>
          <w:tcPr>
            <w:tcW w:w="380" w:type="dxa"/>
            <w:tcBorders>
              <w:bottom w:val="single" w:sz="8" w:space="0" w:color="000000"/>
            </w:tcBorders>
            <w:shd w:fill="auto" w:val="clear"/>
            <w:vAlign w:val="center"/>
          </w:tcPr>
          <w:p>
            <w:pPr>
              <w:pStyle w:val="TableContents"/>
              <w:spacing w:before="0" w:after="283"/>
              <w:jc w:val="left"/>
              <w:rPr>
                <w:rFonts w:ascii="Arial" w:hAnsi="Arial"/>
                <w:sz w:val="15"/>
              </w:rPr>
            </w:pPr>
            <w:r>
              <w:rPr>
                <w:rFonts w:ascii="Arial" w:hAnsi="Arial"/>
                <w:sz w:val="15"/>
              </w:rPr>
              <w:t>)%    </w:t>
            </w:r>
          </w:p>
        </w:tc>
      </w:tr>
      <w:tr>
        <w:trPr/>
        <w:tc>
          <w:tcPr>
            <w:tcW w:w="2900" w:type="dxa"/>
            <w:tcBorders>
              <w:bottom w:val="single" w:sz="8" w:space="0" w:color="000000"/>
            </w:tcBorders>
            <w:shd w:fill="auto" w:val="clear"/>
            <w:vAlign w:val="center"/>
          </w:tcPr>
          <w:p>
            <w:pPr>
              <w:pStyle w:val="TableContents"/>
              <w:spacing w:before="0" w:after="283"/>
              <w:jc w:val="left"/>
              <w:rPr>
                <w:rFonts w:ascii="Arial" w:hAnsi="Arial"/>
                <w:b/>
                <w:sz w:val="15"/>
              </w:rPr>
            </w:pPr>
            <w:r>
              <w:rPr>
                <w:rFonts w:ascii="Arial" w:hAnsi="Arial"/>
                <w:b/>
                <w:sz w:val="15"/>
              </w:rPr>
              <w:t>Average Compensation “Actually Paid”</w:t>
              <w:br/>
              <w:t>to non-PEOs</w:t>
            </w:r>
          </w:p>
        </w:tc>
        <w:tc>
          <w:tcPr>
            <w:tcW w:w="18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10,501,980</w:t>
            </w:r>
          </w:p>
        </w:tc>
        <w:tc>
          <w:tcPr>
            <w:tcW w:w="65"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8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20,790,358</w:t>
            </w:r>
          </w:p>
        </w:tc>
        <w:tc>
          <w:tcPr>
            <w:tcW w:w="18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26,502,693</w:t>
            </w:r>
          </w:p>
        </w:tc>
        <w:tc>
          <w:tcPr>
            <w:tcW w:w="18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935"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(49</w:t>
            </w:r>
          </w:p>
        </w:tc>
        <w:tc>
          <w:tcPr>
            <w:tcW w:w="380" w:type="dxa"/>
            <w:tcBorders>
              <w:bottom w:val="single" w:sz="8" w:space="0" w:color="000000"/>
            </w:tcBorders>
            <w:shd w:fill="auto" w:val="clear"/>
            <w:vAlign w:val="center"/>
          </w:tcPr>
          <w:p>
            <w:pPr>
              <w:pStyle w:val="TableContents"/>
              <w:spacing w:before="0" w:after="283"/>
              <w:jc w:val="left"/>
              <w:rPr>
                <w:rFonts w:ascii="Arial" w:hAnsi="Arial"/>
                <w:sz w:val="15"/>
              </w:rPr>
            </w:pPr>
            <w:r>
              <w:rPr>
                <w:rFonts w:ascii="Arial" w:hAnsi="Arial"/>
                <w:sz w:val="15"/>
              </w:rPr>
              <w:t>)%</w:t>
            </w:r>
          </w:p>
        </w:tc>
        <w:tc>
          <w:tcPr>
            <w:tcW w:w="18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965"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(22</w:t>
            </w:r>
          </w:p>
        </w:tc>
        <w:tc>
          <w:tcPr>
            <w:tcW w:w="380" w:type="dxa"/>
            <w:tcBorders>
              <w:bottom w:val="single" w:sz="8" w:space="0" w:color="000000"/>
            </w:tcBorders>
            <w:shd w:fill="auto" w:val="clear"/>
            <w:vAlign w:val="center"/>
          </w:tcPr>
          <w:p>
            <w:pPr>
              <w:pStyle w:val="TableContents"/>
              <w:spacing w:before="0" w:after="283"/>
              <w:jc w:val="left"/>
              <w:rPr>
                <w:rFonts w:ascii="Arial" w:hAnsi="Arial"/>
                <w:sz w:val="15"/>
              </w:rPr>
            </w:pPr>
            <w:r>
              <w:rPr>
                <w:rFonts w:ascii="Arial" w:hAnsi="Arial"/>
                <w:sz w:val="15"/>
              </w:rPr>
              <w:t>)%</w:t>
            </w:r>
          </w:p>
        </w:tc>
      </w:tr>
      <w:tr>
        <w:trPr/>
        <w:tc>
          <w:tcPr>
            <w:tcW w:w="2900" w:type="dxa"/>
            <w:tcBorders>
              <w:bottom w:val="single" w:sz="8" w:space="0" w:color="000000"/>
            </w:tcBorders>
            <w:shd w:fill="auto" w:val="clear"/>
            <w:vAlign w:val="center"/>
          </w:tcPr>
          <w:p>
            <w:pPr>
              <w:pStyle w:val="TableContents"/>
              <w:spacing w:before="0" w:after="283"/>
              <w:jc w:val="left"/>
              <w:rPr>
                <w:rFonts w:ascii="Arial" w:hAnsi="Arial"/>
                <w:b/>
                <w:sz w:val="15"/>
              </w:rPr>
            </w:pPr>
            <w:r>
              <w:rPr>
                <w:rFonts w:ascii="Arial" w:hAnsi="Arial"/>
                <w:b/>
                <w:sz w:val="15"/>
              </w:rPr>
              <w:t>Adjusted EBITDA* (in billions)</w:t>
            </w:r>
          </w:p>
        </w:tc>
        <w:tc>
          <w:tcPr>
            <w:tcW w:w="18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36.5</w:t>
            </w:r>
          </w:p>
        </w:tc>
        <w:tc>
          <w:tcPr>
            <w:tcW w:w="65"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8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34.7</w:t>
            </w:r>
          </w:p>
        </w:tc>
        <w:tc>
          <w:tcPr>
            <w:tcW w:w="18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30.8</w:t>
            </w:r>
          </w:p>
        </w:tc>
        <w:tc>
          <w:tcPr>
            <w:tcW w:w="18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935"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5</w:t>
            </w:r>
          </w:p>
        </w:tc>
        <w:tc>
          <w:tcPr>
            <w:tcW w:w="380" w:type="dxa"/>
            <w:tcBorders>
              <w:bottom w:val="single" w:sz="8" w:space="0" w:color="000000"/>
            </w:tcBorders>
            <w:shd w:fill="auto" w:val="clear"/>
            <w:vAlign w:val="center"/>
          </w:tcPr>
          <w:p>
            <w:pPr>
              <w:pStyle w:val="TableContents"/>
              <w:spacing w:before="0" w:after="283"/>
              <w:jc w:val="left"/>
              <w:rPr>
                <w:rFonts w:ascii="Arial" w:hAnsi="Arial"/>
                <w:sz w:val="15"/>
              </w:rPr>
            </w:pPr>
            <w:r>
              <w:rPr>
                <w:rFonts w:ascii="Arial" w:hAnsi="Arial"/>
                <w:sz w:val="15"/>
              </w:rPr>
              <w:t>%</w:t>
            </w:r>
          </w:p>
        </w:tc>
        <w:tc>
          <w:tcPr>
            <w:tcW w:w="18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965"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13</w:t>
            </w:r>
          </w:p>
        </w:tc>
        <w:tc>
          <w:tcPr>
            <w:tcW w:w="380" w:type="dxa"/>
            <w:tcBorders>
              <w:bottom w:val="single" w:sz="8" w:space="0" w:color="000000"/>
            </w:tcBorders>
            <w:shd w:fill="auto" w:val="clear"/>
            <w:vAlign w:val="center"/>
          </w:tcPr>
          <w:p>
            <w:pPr>
              <w:pStyle w:val="TableContents"/>
              <w:spacing w:before="0" w:after="283"/>
              <w:jc w:val="left"/>
              <w:rPr>
                <w:rFonts w:ascii="Arial" w:hAnsi="Arial"/>
                <w:sz w:val="15"/>
              </w:rPr>
            </w:pPr>
            <w:r>
              <w:rPr>
                <w:rFonts w:ascii="Arial" w:hAnsi="Arial"/>
                <w:sz w:val="15"/>
              </w:rPr>
              <w:t>%</w:t>
            </w:r>
          </w:p>
        </w:tc>
      </w:tr>
      <w:tr>
        <w:trPr/>
        <w:tc>
          <w:tcPr>
            <w:tcW w:w="2900" w:type="dxa"/>
            <w:tcBorders>
              <w:bottom w:val="single" w:sz="8" w:space="0" w:color="000000"/>
            </w:tcBorders>
            <w:shd w:fill="auto" w:val="clear"/>
            <w:vAlign w:val="center"/>
          </w:tcPr>
          <w:p>
            <w:pPr>
              <w:pStyle w:val="TableContents"/>
              <w:spacing w:before="0" w:after="283"/>
              <w:jc w:val="left"/>
              <w:rPr>
                <w:rFonts w:ascii="Arial" w:hAnsi="Arial"/>
                <w:b/>
                <w:sz w:val="15"/>
              </w:rPr>
            </w:pPr>
            <w:r>
              <w:rPr>
                <w:rFonts w:ascii="Arial" w:hAnsi="Arial"/>
                <w:b/>
                <w:sz w:val="15"/>
              </w:rPr>
              <w:t>Net Income (in billions)</w:t>
            </w:r>
          </w:p>
        </w:tc>
        <w:tc>
          <w:tcPr>
            <w:tcW w:w="18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4.9</w:t>
            </w:r>
          </w:p>
        </w:tc>
        <w:tc>
          <w:tcPr>
            <w:tcW w:w="65"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8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13.8</w:t>
            </w:r>
          </w:p>
        </w:tc>
        <w:tc>
          <w:tcPr>
            <w:tcW w:w="18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10.7</w:t>
            </w:r>
          </w:p>
        </w:tc>
        <w:tc>
          <w:tcPr>
            <w:tcW w:w="18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935"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(64</w:t>
            </w:r>
          </w:p>
        </w:tc>
        <w:tc>
          <w:tcPr>
            <w:tcW w:w="380" w:type="dxa"/>
            <w:tcBorders>
              <w:bottom w:val="single" w:sz="8" w:space="0" w:color="000000"/>
            </w:tcBorders>
            <w:shd w:fill="auto" w:val="clear"/>
            <w:vAlign w:val="center"/>
          </w:tcPr>
          <w:p>
            <w:pPr>
              <w:pStyle w:val="TableContents"/>
              <w:spacing w:before="0" w:after="283"/>
              <w:jc w:val="left"/>
              <w:rPr>
                <w:rFonts w:ascii="Arial" w:hAnsi="Arial"/>
                <w:sz w:val="15"/>
              </w:rPr>
            </w:pPr>
            <w:r>
              <w:rPr>
                <w:rFonts w:ascii="Arial" w:hAnsi="Arial"/>
                <w:sz w:val="15"/>
              </w:rPr>
              <w:t>)%</w:t>
            </w:r>
          </w:p>
        </w:tc>
        <w:tc>
          <w:tcPr>
            <w:tcW w:w="18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965"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29</w:t>
            </w:r>
          </w:p>
        </w:tc>
        <w:tc>
          <w:tcPr>
            <w:tcW w:w="380" w:type="dxa"/>
            <w:tcBorders>
              <w:bottom w:val="single" w:sz="8" w:space="0" w:color="000000"/>
            </w:tcBorders>
            <w:shd w:fill="auto" w:val="clear"/>
            <w:vAlign w:val="center"/>
          </w:tcPr>
          <w:p>
            <w:pPr>
              <w:pStyle w:val="TableContents"/>
              <w:spacing w:before="0" w:after="283"/>
              <w:jc w:val="left"/>
              <w:rPr>
                <w:rFonts w:ascii="Arial" w:hAnsi="Arial"/>
                <w:sz w:val="15"/>
              </w:rPr>
            </w:pPr>
            <w:r>
              <w:rPr>
                <w:rFonts w:ascii="Arial" w:hAnsi="Arial"/>
                <w:sz w:val="15"/>
              </w:rPr>
              <w:t>%</w:t>
            </w:r>
          </w:p>
        </w:tc>
      </w:tr>
      <w:tr>
        <w:trPr/>
        <w:tc>
          <w:tcPr>
            <w:tcW w:w="2900" w:type="dxa"/>
            <w:tcBorders>
              <w:bottom w:val="single" w:sz="8" w:space="0" w:color="000000"/>
            </w:tcBorders>
            <w:shd w:fill="auto" w:val="clear"/>
            <w:vAlign w:val="center"/>
          </w:tcPr>
          <w:p>
            <w:pPr>
              <w:pStyle w:val="TableContents"/>
              <w:spacing w:before="0" w:after="283"/>
              <w:jc w:val="left"/>
              <w:rPr>
                <w:rFonts w:ascii="Arial" w:hAnsi="Arial"/>
                <w:b/>
                <w:sz w:val="15"/>
              </w:rPr>
            </w:pPr>
            <w:r>
              <w:rPr>
                <w:rFonts w:ascii="Arial" w:hAnsi="Arial"/>
                <w:b/>
                <w:sz w:val="15"/>
              </w:rPr>
              <w:t>Company’s Cumulative TSR</w:t>
            </w:r>
          </w:p>
        </w:tc>
        <w:tc>
          <w:tcPr>
            <w:tcW w:w="18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83.09</w:t>
            </w:r>
          </w:p>
        </w:tc>
        <w:tc>
          <w:tcPr>
            <w:tcW w:w="65"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8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116.51</w:t>
            </w:r>
          </w:p>
        </w:tc>
        <w:tc>
          <w:tcPr>
            <w:tcW w:w="18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119.16</w:t>
            </w:r>
          </w:p>
        </w:tc>
        <w:tc>
          <w:tcPr>
            <w:tcW w:w="18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935"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(29</w:t>
            </w:r>
          </w:p>
        </w:tc>
        <w:tc>
          <w:tcPr>
            <w:tcW w:w="380" w:type="dxa"/>
            <w:tcBorders>
              <w:bottom w:val="single" w:sz="8" w:space="0" w:color="000000"/>
            </w:tcBorders>
            <w:shd w:fill="auto" w:val="clear"/>
            <w:vAlign w:val="center"/>
          </w:tcPr>
          <w:p>
            <w:pPr>
              <w:pStyle w:val="TableContents"/>
              <w:spacing w:before="0" w:after="283"/>
              <w:jc w:val="left"/>
              <w:rPr>
                <w:rFonts w:ascii="Arial" w:hAnsi="Arial"/>
                <w:sz w:val="15"/>
              </w:rPr>
            </w:pPr>
            <w:r>
              <w:rPr>
                <w:rFonts w:ascii="Arial" w:hAnsi="Arial"/>
                <w:sz w:val="15"/>
              </w:rPr>
              <w:t>)%</w:t>
            </w:r>
          </w:p>
        </w:tc>
        <w:tc>
          <w:tcPr>
            <w:tcW w:w="18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965"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(2</w:t>
            </w:r>
          </w:p>
        </w:tc>
        <w:tc>
          <w:tcPr>
            <w:tcW w:w="380" w:type="dxa"/>
            <w:tcBorders>
              <w:bottom w:val="single" w:sz="8" w:space="0" w:color="000000"/>
            </w:tcBorders>
            <w:shd w:fill="auto" w:val="clear"/>
            <w:vAlign w:val="center"/>
          </w:tcPr>
          <w:p>
            <w:pPr>
              <w:pStyle w:val="TableContents"/>
              <w:spacing w:before="0" w:after="283"/>
              <w:jc w:val="left"/>
              <w:rPr>
                <w:rFonts w:ascii="Arial" w:hAnsi="Arial"/>
                <w:sz w:val="15"/>
              </w:rPr>
            </w:pPr>
            <w:r>
              <w:rPr>
                <w:rFonts w:ascii="Arial" w:hAnsi="Arial"/>
                <w:sz w:val="15"/>
              </w:rPr>
              <w:t>)%</w:t>
            </w:r>
          </w:p>
        </w:tc>
      </w:tr>
      <w:tr>
        <w:trPr/>
        <w:tc>
          <w:tcPr>
            <w:tcW w:w="2900" w:type="dxa"/>
            <w:tcBorders>
              <w:bottom w:val="single" w:sz="8" w:space="0" w:color="000000"/>
            </w:tcBorders>
            <w:shd w:fill="auto" w:val="clear"/>
            <w:vAlign w:val="center"/>
          </w:tcPr>
          <w:p>
            <w:pPr>
              <w:pStyle w:val="TableContents"/>
              <w:spacing w:before="0" w:after="283"/>
              <w:jc w:val="left"/>
              <w:rPr>
                <w:rFonts w:ascii="Arial" w:hAnsi="Arial"/>
                <w:b/>
                <w:sz w:val="15"/>
              </w:rPr>
            </w:pPr>
            <w:r>
              <w:rPr>
                <w:rFonts w:ascii="Arial" w:hAnsi="Arial"/>
                <w:b/>
                <w:sz w:val="15"/>
              </w:rPr>
              <w:t>Peer Group Cumulative TSR</w:t>
            </w:r>
          </w:p>
        </w:tc>
        <w:tc>
          <w:tcPr>
            <w:tcW w:w="18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81.70</w:t>
            </w:r>
          </w:p>
        </w:tc>
        <w:tc>
          <w:tcPr>
            <w:tcW w:w="65"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8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103.82</w:t>
            </w:r>
          </w:p>
        </w:tc>
        <w:tc>
          <w:tcPr>
            <w:tcW w:w="18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111.54</w:t>
            </w:r>
          </w:p>
        </w:tc>
        <w:tc>
          <w:tcPr>
            <w:tcW w:w="18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935"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(21</w:t>
            </w:r>
          </w:p>
        </w:tc>
        <w:tc>
          <w:tcPr>
            <w:tcW w:w="380" w:type="dxa"/>
            <w:tcBorders>
              <w:bottom w:val="single" w:sz="8" w:space="0" w:color="000000"/>
            </w:tcBorders>
            <w:shd w:fill="auto" w:val="clear"/>
            <w:vAlign w:val="center"/>
          </w:tcPr>
          <w:p>
            <w:pPr>
              <w:pStyle w:val="TableContents"/>
              <w:spacing w:before="0" w:after="283"/>
              <w:jc w:val="left"/>
              <w:rPr>
                <w:rFonts w:ascii="Arial" w:hAnsi="Arial"/>
                <w:sz w:val="15"/>
              </w:rPr>
            </w:pPr>
            <w:r>
              <w:rPr>
                <w:rFonts w:ascii="Arial" w:hAnsi="Arial"/>
                <w:sz w:val="15"/>
              </w:rPr>
              <w:t>)%</w:t>
            </w:r>
          </w:p>
        </w:tc>
        <w:tc>
          <w:tcPr>
            <w:tcW w:w="18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965" w:type="dxa"/>
            <w:tcBorders>
              <w:bottom w:val="single" w:sz="8" w:space="0" w:color="000000"/>
            </w:tcBorders>
            <w:shd w:fill="auto" w:val="clear"/>
            <w:vAlign w:val="center"/>
          </w:tcPr>
          <w:p>
            <w:pPr>
              <w:pStyle w:val="TableContents"/>
              <w:spacing w:before="0" w:after="283"/>
              <w:jc w:val="right"/>
              <w:rPr>
                <w:rFonts w:ascii="Arial" w:hAnsi="Arial"/>
                <w:sz w:val="15"/>
              </w:rPr>
            </w:pPr>
            <w:r>
              <w:rPr>
                <w:rFonts w:ascii="Arial" w:hAnsi="Arial"/>
                <w:sz w:val="15"/>
              </w:rPr>
              <w:t>(7</w:t>
            </w:r>
          </w:p>
        </w:tc>
        <w:tc>
          <w:tcPr>
            <w:tcW w:w="380" w:type="dxa"/>
            <w:tcBorders>
              <w:bottom w:val="single" w:sz="8" w:space="0" w:color="000000"/>
            </w:tcBorders>
            <w:shd w:fill="auto" w:val="clear"/>
            <w:vAlign w:val="center"/>
          </w:tcPr>
          <w:p>
            <w:pPr>
              <w:pStyle w:val="TableContents"/>
              <w:spacing w:before="0" w:after="283"/>
              <w:jc w:val="left"/>
              <w:rPr>
                <w:rFonts w:ascii="Arial" w:hAnsi="Arial"/>
                <w:sz w:val="15"/>
              </w:rPr>
            </w:pPr>
            <w:r>
              <w:rPr>
                <w:rFonts w:ascii="Arial" w:hAnsi="Arial"/>
                <w:sz w:val="15"/>
              </w:rPr>
              <w:t>)%</w:t>
            </w:r>
          </w:p>
        </w:tc>
      </w:tr>
    </w:tbl>
    <w:tbl>
      <w:tblPr>
        <w:tblW w:w="5860" w:type="dxa"/>
        <w:jc w:val="left"/>
        <w:tblInd w:w="0" w:type="dxa"/>
        <w:tblCellMar>
          <w:top w:w="0" w:type="dxa"/>
          <w:left w:w="0" w:type="dxa"/>
          <w:bottom w:w="0" w:type="dxa"/>
          <w:right w:w="0" w:type="dxa"/>
        </w:tblCellMar>
      </w:tblPr>
      <w:tblGrid>
        <w:gridCol w:w="80"/>
        <w:gridCol w:w="5780"/>
      </w:tblGrid>
      <w:tr>
        <w:trPr/>
        <w:tc>
          <w:tcPr>
            <w:tcW w:w="80" w:type="dxa"/>
            <w:tcBorders/>
            <w:shd w:fill="auto" w:val="clear"/>
            <w:vAlign w:val="center"/>
          </w:tcPr>
          <w:p>
            <w:pPr>
              <w:pStyle w:val="TableContents"/>
              <w:spacing w:before="0" w:after="283"/>
              <w:rPr>
                <w:rFonts w:ascii="Arial" w:hAnsi="Arial"/>
                <w:sz w:val="15"/>
              </w:rPr>
            </w:pPr>
            <w:r>
              <w:rPr>
                <w:rFonts w:ascii="Arial" w:hAnsi="Arial"/>
                <w:sz w:val="15"/>
              </w:rPr>
              <w:t>*</w:t>
            </w:r>
          </w:p>
        </w:tc>
        <w:tc>
          <w:tcPr>
            <w:tcW w:w="5780" w:type="dxa"/>
            <w:tcBorders/>
            <w:shd w:fill="auto" w:val="clear"/>
            <w:vAlign w:val="center"/>
          </w:tcPr>
          <w:p>
            <w:pPr>
              <w:pStyle w:val="TableContents"/>
              <w:spacing w:before="0" w:after="283"/>
              <w:jc w:val="left"/>
              <w:rPr/>
            </w:pPr>
            <w:r>
              <w:rPr>
                <w:rFonts w:ascii="Arial" w:hAnsi="Arial"/>
                <w:sz w:val="15"/>
              </w:rPr>
              <w:t>Reconciliations of non-GAAP financial metrics to GAAP are set forth in </w:t>
            </w:r>
            <w:r>
              <w:rPr>
                <w:rFonts w:ascii="Arial" w:hAnsi="Arial"/>
                <w:sz w:val="15"/>
                <w:u w:val="single"/>
              </w:rPr>
              <w:t>Appendix A</w:t>
            </w:r>
            <w:r>
              <w:rPr>
                <w:rFonts w:ascii="Arial" w:hAnsi="Arial"/>
                <w:sz w:val="15"/>
              </w:rPr>
              <w:t>.</w:t>
            </w:r>
          </w:p>
        </w:tc>
      </w:tr>
    </w:tbl>
    <w:tbl>
      <w:tblPr>
        <w:tblW w:w="10205" w:type="dxa"/>
        <w:jc w:val="left"/>
        <w:tblInd w:w="0" w:type="dxa"/>
        <w:tblCellMar>
          <w:top w:w="0" w:type="dxa"/>
          <w:left w:w="0" w:type="dxa"/>
          <w:bottom w:w="0" w:type="dxa"/>
          <w:right w:w="0" w:type="dxa"/>
        </w:tblCellMar>
      </w:tblPr>
      <w:tblGrid>
        <w:gridCol w:w="180"/>
        <w:gridCol w:w="10025"/>
      </w:tblGrid>
      <w:tr>
        <w:trPr/>
        <w:tc>
          <w:tcPr>
            <w:tcW w:w="180" w:type="dxa"/>
            <w:tcBorders/>
            <w:shd w:fill="auto" w:val="clear"/>
            <w:vAlign w:val="center"/>
          </w:tcPr>
          <w:p>
            <w:pPr>
              <w:pStyle w:val="TableContents"/>
              <w:spacing w:before="0" w:after="283"/>
              <w:jc w:val="left"/>
              <w:rPr/>
            </w:pPr>
            <w:r>
              <w:rPr/>
              <w:t>   </w:t>
            </w:r>
          </w:p>
        </w:tc>
        <w:tc>
          <w:tcPr>
            <w:tcW w:w="10025" w:type="dxa"/>
            <w:tcBorders/>
            <w:shd w:fill="auto" w:val="clear"/>
            <w:vAlign w:val="center"/>
          </w:tcPr>
          <w:p>
            <w:pPr>
              <w:pStyle w:val="TableContents"/>
              <w:spacing w:before="0" w:after="283"/>
              <w:jc w:val="left"/>
              <w:rPr/>
            </w:pPr>
            <w:r>
              <w:rPr>
                <w:rFonts w:ascii="Arial" w:hAnsi="Arial"/>
                <w:sz w:val="15"/>
              </w:rPr>
              <w:t xml:space="preserve">For a discussion of the impact of </w:t>
            </w:r>
            <w:bookmarkStart w:id="92" w:name="xdx_90D_eecd--CoSelectedMeasureName_c202"/>
            <w:bookmarkEnd w:id="92"/>
            <w:r>
              <w:rPr>
                <w:rFonts w:ascii="Arial" w:hAnsi="Arial"/>
                <w:sz w:val="15"/>
              </w:rPr>
              <w:t>Adjusted EBITDA on the amounts of the 2022 annual cash bonus received by our NEOs, please refer to “Compensation Decisions – Annual Cash Bonus” above on page 44 (and with respect to 2020 and 2021, please refer to pages 37-40 of our 2021 proxy statement and pages 35-39 of our 2022 proxy statement, respectively, for similar discussions).</w:t>
            </w:r>
            <w:r>
              <w:rPr/>
              <w:t xml:space="preserve"> </w:t>
            </w:r>
          </w:p>
        </w:tc>
      </w:tr>
      <w:tr>
        <w:trPr/>
        <w:tc>
          <w:tcPr>
            <w:tcW w:w="180" w:type="dxa"/>
            <w:tcBorders/>
            <w:shd w:fill="auto" w:val="clear"/>
            <w:vAlign w:val="center"/>
          </w:tcPr>
          <w:p>
            <w:pPr>
              <w:pStyle w:val="TableContents"/>
              <w:spacing w:before="0" w:after="283"/>
              <w:rPr>
                <w:sz w:val="4"/>
                <w:szCs w:val="4"/>
              </w:rPr>
            </w:pPr>
            <w:r>
              <w:rPr>
                <w:sz w:val="4"/>
                <w:szCs w:val="4"/>
              </w:rPr>
            </w:r>
          </w:p>
        </w:tc>
        <w:tc>
          <w:tcPr>
            <w:tcW w:w="10025" w:type="dxa"/>
            <w:tcBorders/>
            <w:shd w:fill="auto" w:val="clear"/>
            <w:vAlign w:val="center"/>
          </w:tcPr>
          <w:p>
            <w:pPr>
              <w:pStyle w:val="TableContents"/>
              <w:spacing w:before="0" w:after="283"/>
              <w:jc w:val="left"/>
              <w:rPr>
                <w:rFonts w:ascii="Arial" w:hAnsi="Arial"/>
                <w:sz w:val="15"/>
              </w:rPr>
            </w:pPr>
            <w:r>
              <w:rPr>
                <w:rFonts w:ascii="Arial" w:hAnsi="Arial"/>
                <w:sz w:val="15"/>
              </w:rPr>
              <w:t>Net Income is not used in the design of our executive compensation program. As a result, it does not directly impact the amount of compensation “actually paid” to our NEOs.</w:t>
            </w:r>
          </w:p>
        </w:tc>
      </w:tr>
      <w:tr>
        <w:trPr/>
        <w:tc>
          <w:tcPr>
            <w:tcW w:w="180" w:type="dxa"/>
            <w:tcBorders/>
            <w:shd w:fill="auto" w:val="clear"/>
            <w:vAlign w:val="center"/>
          </w:tcPr>
          <w:p>
            <w:pPr>
              <w:pStyle w:val="TableContents"/>
              <w:spacing w:before="0" w:after="283"/>
              <w:rPr>
                <w:sz w:val="4"/>
                <w:szCs w:val="4"/>
              </w:rPr>
            </w:pPr>
            <w:r>
              <w:rPr>
                <w:sz w:val="4"/>
                <w:szCs w:val="4"/>
              </w:rPr>
            </w:r>
          </w:p>
        </w:tc>
        <w:tc>
          <w:tcPr>
            <w:tcW w:w="10025" w:type="dxa"/>
            <w:tcBorders/>
            <w:shd w:fill="auto" w:val="clear"/>
            <w:vAlign w:val="center"/>
          </w:tcPr>
          <w:p>
            <w:pPr>
              <w:pStyle w:val="TableContents"/>
              <w:spacing w:before="0" w:after="283"/>
              <w:jc w:val="left"/>
              <w:rPr>
                <w:rFonts w:ascii="Arial" w:hAnsi="Arial"/>
                <w:sz w:val="15"/>
              </w:rPr>
            </w:pPr>
            <w:r>
              <w:rPr>
                <w:rFonts w:ascii="Arial" w:hAnsi="Arial"/>
                <w:sz w:val="15"/>
              </w:rPr>
              <w:t>TSR, which can be affected by external factors such as economic and market conditions beyond our NEOs’ control, impacts the amount of equity compensation “actually paid” to our NEOs. Because a significant portion of the compensation “actually paid” to our NEOs is in the form of PSUs that vest over three years (in the case of PSUs granted in 2021 and 2022) and five years (in the case of grants made in 2018, 2019 and 2020), and stock options that vest over five years (in the case of stock options granted in 2021 and 2022) and 9.5 years (in the case of stock options granted between 2012-2020), the ultimate value of such compensation “actually paid” to our NEOs in respect of equity awards is inherently tied to our stock price. TSR is also used as a modifier to the level of attainment of the performance goals applicable to the PSUs granted to our NEOs in 2022 and 2021, as further described in “Compensation Decisions – Equity-Based Incentive Compensation – PSUs.”</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10205" w:type="dxa"/>
        <w:jc w:val="left"/>
        <w:tblInd w:w="0" w:type="dxa"/>
        <w:tblCellMar>
          <w:top w:w="0" w:type="dxa"/>
          <w:left w:w="0" w:type="dxa"/>
          <w:bottom w:w="0" w:type="dxa"/>
          <w:right w:w="0" w:type="dxa"/>
        </w:tblCellMar>
      </w:tblPr>
      <w:tblGrid>
        <w:gridCol w:w="157"/>
        <w:gridCol w:w="10048"/>
      </w:tblGrid>
      <w:tr>
        <w:trPr/>
        <w:tc>
          <w:tcPr>
            <w:tcW w:w="157"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 xml:space="preserve">(6) </w:t>
            </w:r>
          </w:p>
        </w:tc>
        <w:tc>
          <w:tcPr>
            <w:tcW w:w="10048" w:type="dxa"/>
            <w:tcBorders/>
            <w:shd w:fill="auto" w:val="clear"/>
            <w:vAlign w:val="center"/>
          </w:tcPr>
          <w:p>
            <w:pPr>
              <w:pStyle w:val="TableContents"/>
              <w:spacing w:before="0" w:after="283"/>
              <w:jc w:val="left"/>
              <w:rPr>
                <w:rFonts w:ascii="Arial" w:hAnsi="Arial"/>
                <w:sz w:val="15"/>
              </w:rPr>
            </w:pPr>
            <w:r>
              <w:rPr>
                <w:rFonts w:ascii="Arial" w:hAnsi="Arial"/>
                <w:sz w:val="15"/>
              </w:rPr>
              <w:t>The following table sets forth an unranked list of the financial performance measures “most important” in 2022 for linking our NEOs’ compensation “actually paid” to company performance, which are the financial measures used in our annual cash bonus and long-term incentive program, as specifically listed below.</w:t>
            </w:r>
          </w:p>
        </w:tc>
      </w:tr>
      <w:tr>
        <w:trPr/>
        <w:tc>
          <w:tcPr>
            <w:tcW w:w="157" w:type="dxa"/>
            <w:tcBorders/>
            <w:shd w:fill="auto" w:val="clear"/>
            <w:vAlign w:val="center"/>
          </w:tcPr>
          <w:p>
            <w:pPr>
              <w:pStyle w:val="TableContents"/>
              <w:spacing w:before="0" w:after="283"/>
              <w:rPr/>
            </w:pPr>
            <w:r>
              <w:rPr/>
              <w:t> </w:t>
            </w:r>
          </w:p>
        </w:tc>
        <w:tc>
          <w:tcPr>
            <w:tcW w:w="10048" w:type="dxa"/>
            <w:tcBorders/>
            <w:shd w:fill="auto" w:val="clear"/>
            <w:vAlign w:val="center"/>
          </w:tcPr>
          <w:p>
            <w:pPr>
              <w:pStyle w:val="TableContents"/>
              <w:spacing w:before="240" w:after="20"/>
              <w:jc w:val="left"/>
              <w:rPr>
                <w:rFonts w:ascii="Arial" w:hAnsi="Arial"/>
                <w:b/>
                <w:sz w:val="15"/>
              </w:rPr>
            </w:pPr>
            <w:r>
              <w:rPr>
                <w:rFonts w:ascii="Arial" w:hAnsi="Arial"/>
                <w:b/>
                <w:sz w:val="15"/>
              </w:rPr>
              <w:t>Performance Measure</w:t>
            </w:r>
          </w:p>
          <w:p>
            <w:pPr>
              <w:pStyle w:val="TableContents"/>
              <w:spacing w:before="40" w:after="20"/>
              <w:jc w:val="left"/>
              <w:rPr>
                <w:rFonts w:ascii="Arial" w:hAnsi="Arial"/>
                <w:sz w:val="15"/>
              </w:rPr>
            </w:pPr>
            <w:bookmarkStart w:id="93" w:name="xdx_906_eecd--MeasureName_c20220101__202"/>
            <w:bookmarkEnd w:id="93"/>
            <w:r>
              <w:rPr>
                <w:rFonts w:ascii="Arial" w:hAnsi="Arial"/>
                <w:sz w:val="15"/>
              </w:rPr>
              <w:t>Adjusted EBITDA</w:t>
            </w:r>
          </w:p>
          <w:p>
            <w:pPr>
              <w:pStyle w:val="TableContents"/>
              <w:spacing w:before="40" w:after="20"/>
              <w:jc w:val="left"/>
              <w:rPr>
                <w:rFonts w:ascii="Arial" w:hAnsi="Arial"/>
                <w:sz w:val="15"/>
              </w:rPr>
            </w:pPr>
            <w:bookmarkStart w:id="94" w:name="xdx_90F_eecd--MeasureName_c20220101__202"/>
            <w:bookmarkEnd w:id="94"/>
            <w:r>
              <w:rPr>
                <w:rFonts w:ascii="Arial" w:hAnsi="Arial"/>
                <w:sz w:val="15"/>
              </w:rPr>
              <w:t>Free Cash Flow</w:t>
            </w:r>
          </w:p>
          <w:p>
            <w:pPr>
              <w:pStyle w:val="TableContents"/>
              <w:spacing w:before="40" w:after="20"/>
              <w:jc w:val="left"/>
              <w:rPr>
                <w:rFonts w:ascii="Arial" w:hAnsi="Arial"/>
                <w:sz w:val="15"/>
              </w:rPr>
            </w:pPr>
            <w:bookmarkStart w:id="95" w:name="xdx_905_eecd--MeasureName_c20220101__202"/>
            <w:bookmarkEnd w:id="95"/>
            <w:r>
              <w:rPr>
                <w:rFonts w:ascii="Arial" w:hAnsi="Arial"/>
                <w:sz w:val="15"/>
              </w:rPr>
              <w:t>Revenue</w:t>
            </w:r>
          </w:p>
          <w:p>
            <w:pPr>
              <w:pStyle w:val="TableContents"/>
              <w:spacing w:before="40" w:after="20"/>
              <w:jc w:val="left"/>
              <w:rPr>
                <w:rFonts w:ascii="Arial" w:hAnsi="Arial"/>
                <w:sz w:val="15"/>
              </w:rPr>
            </w:pPr>
            <w:bookmarkStart w:id="96" w:name="xdx_908_eecd--MeasureName_c20220101__202"/>
            <w:bookmarkEnd w:id="96"/>
            <w:r>
              <w:rPr>
                <w:rFonts w:ascii="Arial" w:hAnsi="Arial"/>
                <w:sz w:val="15"/>
              </w:rPr>
              <w:t>ROIC</w:t>
            </w:r>
          </w:p>
          <w:p>
            <w:pPr>
              <w:pStyle w:val="TableContents"/>
              <w:spacing w:before="20" w:after="283"/>
              <w:jc w:val="left"/>
              <w:rPr>
                <w:rFonts w:ascii="Arial" w:hAnsi="Arial"/>
                <w:sz w:val="15"/>
              </w:rPr>
            </w:pPr>
            <w:bookmarkStart w:id="97" w:name="xdx_90A_eecd--MeasureName_c20220101__202"/>
            <w:bookmarkEnd w:id="97"/>
            <w:r>
              <w:rPr>
                <w:rFonts w:ascii="Arial" w:hAnsi="Arial"/>
                <w:sz w:val="15"/>
              </w:rPr>
              <w:t>Adjusted EPS growth (relative to S&amp;P 100 EPS)</w:t>
            </w:r>
          </w:p>
        </w:tc>
      </w:tr>
    </w:tbl>
    <w:p>
      <w:pPr>
        <w:pStyle w:val="TextBody"/>
        <w:pBdr/>
        <w:spacing w:before="240" w:after="283"/>
        <w:jc w:val="left"/>
        <w:rPr>
          <w:rFonts w:ascii="Arial" w:hAnsi="Arial"/>
          <w:sz w:val="15"/>
        </w:rPr>
      </w:pPr>
      <w:r>
        <w:rPr>
          <w:rFonts w:ascii="Arial" w:hAnsi="Arial"/>
          <w:sz w:val="15"/>
        </w:rPr>
        <w:t>These financial quantitative measures generally reflect those used internally to measure our performance and externally to report to investors, and we believe that, taken together, they provide a holistic measure of Company growth, shareholder value and overall financial performance. We do not consider any one of the above performance measures to be the single most important financial measure for our company or executive compensation design. However, for purposes of compiling the above table in compliance with the SEC rules, which require us to present one of these most important measures, we are presenting Adjusted EBITDA. For more detail on these measures and why we believe that they are important in structuring our incentive compensation programs and linking pay with performance, please see the discussion under “Our Approach to Compensation” on page 42.</w:t>
      </w:r>
    </w:p>
    <w:p>
      <w:pPr>
        <w:sectPr>
          <w:type w:val="continuous"/>
          <w:pgSz w:w="11906" w:h="16838"/>
          <w:pgMar w:left="1134" w:right="567" w:header="0" w:top="567" w:footer="0" w:bottom="567" w:gutter="0"/>
          <w:formProt w:val="false"/>
          <w:textDirection w:val="lrTb"/>
          <w:docGrid w:type="default" w:linePitch="600" w:charSpace="32768"/>
        </w:sectPr>
      </w:pPr>
    </w:p>
    <w:tbl>
      <w:tblPr>
        <w:tblW w:w="2200" w:type="dxa"/>
        <w:jc w:val="left"/>
        <w:tblInd w:w="0" w:type="dxa"/>
        <w:tblCellMar>
          <w:top w:w="0" w:type="dxa"/>
          <w:left w:w="0" w:type="dxa"/>
          <w:bottom w:w="0" w:type="dxa"/>
          <w:right w:w="0" w:type="dxa"/>
        </w:tblCellMar>
      </w:tblPr>
      <w:tblGrid>
        <w:gridCol w:w="1580"/>
        <w:gridCol w:w="620"/>
      </w:tblGrid>
      <w:tr>
        <w:trPr/>
        <w:tc>
          <w:tcPr>
            <w:tcW w:w="1580" w:type="dxa"/>
            <w:tcBorders/>
            <w:shd w:fill="auto" w:val="clear"/>
            <w:vAlign w:val="center"/>
          </w:tcPr>
          <w:p>
            <w:pPr>
              <w:pStyle w:val="TableContents"/>
              <w:spacing w:before="0" w:after="283"/>
              <w:jc w:val="right"/>
              <w:rPr>
                <w:rFonts w:ascii="Arial" w:hAnsi="Arial"/>
                <w:sz w:val="15"/>
              </w:rPr>
            </w:pPr>
            <w:r>
              <w:rPr>
                <w:rFonts w:ascii="Arial" w:hAnsi="Arial"/>
                <w:sz w:val="15"/>
              </w:rPr>
              <w:t>2023 Proxy Statement</w:t>
            </w:r>
          </w:p>
        </w:tc>
        <w:tc>
          <w:tcPr>
            <w:tcW w:w="620" w:type="dxa"/>
            <w:tcBorders/>
            <w:shd w:fill="auto" w:val="clear"/>
            <w:vAlign w:val="center"/>
          </w:tcPr>
          <w:p>
            <w:pPr>
              <w:pStyle w:val="TableContents"/>
              <w:spacing w:before="0" w:after="283"/>
              <w:jc w:val="right"/>
              <w:rPr/>
            </w:pPr>
            <w:r>
              <w:rPr/>
              <w:t>       </w:t>
            </w:r>
            <w:r>
              <w:rPr>
                <w:rFonts w:ascii="Arial" w:hAnsi="Arial"/>
                <w:b/>
                <w:sz w:val="15"/>
              </w:rPr>
              <w:t>65</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10205" w:type="dxa"/>
        <w:jc w:val="left"/>
        <w:tblInd w:w="0" w:type="dxa"/>
        <w:tblCellMar>
          <w:top w:w="28" w:type="dxa"/>
          <w:left w:w="28" w:type="dxa"/>
          <w:bottom w:w="0" w:type="dxa"/>
          <w:right w:w="0" w:type="dxa"/>
        </w:tblCellMar>
      </w:tblPr>
      <w:tblGrid>
        <w:gridCol w:w="120"/>
        <w:gridCol w:w="646"/>
        <w:gridCol w:w="633"/>
        <w:gridCol w:w="334"/>
        <w:gridCol w:w="8350"/>
        <w:gridCol w:w="122"/>
      </w:tblGrid>
      <w:tr>
        <w:trPr/>
        <w:tc>
          <w:tcPr>
            <w:tcW w:w="120" w:type="dxa"/>
            <w:tcBorders>
              <w:top w:val="single" w:sz="8" w:space="0" w:color="959595"/>
              <w:left w:val="single" w:sz="8" w:space="0" w:color="959595"/>
            </w:tcBorders>
            <w:shd w:fill="auto" w:val="clear"/>
            <w:vAlign w:val="center"/>
          </w:tcPr>
          <w:p>
            <w:pPr>
              <w:pStyle w:val="TableContents"/>
              <w:spacing w:before="0" w:after="283"/>
              <w:jc w:val="left"/>
              <w:rPr/>
            </w:pPr>
            <w:r>
              <w:rPr/>
              <w:t>  </w:t>
            </w:r>
          </w:p>
        </w:tc>
        <w:tc>
          <w:tcPr>
            <w:tcW w:w="646" w:type="dxa"/>
            <w:tcBorders>
              <w:top w:val="single" w:sz="8" w:space="0" w:color="959595"/>
            </w:tcBorders>
            <w:shd w:fill="auto" w:val="clear"/>
            <w:tcMar>
              <w:left w:w="0" w:type="dxa"/>
            </w:tcMar>
            <w:vAlign w:val="center"/>
          </w:tcPr>
          <w:p>
            <w:pPr>
              <w:pStyle w:val="TableContents"/>
              <w:spacing w:before="0" w:after="283"/>
              <w:rPr>
                <w:sz w:val="4"/>
                <w:szCs w:val="4"/>
              </w:rPr>
            </w:pPr>
            <w:r>
              <w:rPr>
                <w:sz w:val="4"/>
                <w:szCs w:val="4"/>
              </w:rPr>
            </w:r>
          </w:p>
        </w:tc>
        <w:tc>
          <w:tcPr>
            <w:tcW w:w="633" w:type="dxa"/>
            <w:tcBorders>
              <w:top w:val="single" w:sz="8" w:space="0" w:color="959595"/>
            </w:tcBorders>
            <w:shd w:fill="auto" w:val="clear"/>
            <w:tcMar>
              <w:left w:w="0" w:type="dxa"/>
            </w:tcMar>
            <w:vAlign w:val="center"/>
          </w:tcPr>
          <w:p>
            <w:pPr>
              <w:pStyle w:val="TableContents"/>
              <w:spacing w:before="0" w:after="283"/>
              <w:rPr/>
            </w:pPr>
            <w:r>
              <w:rPr/>
              <w:t> </w:t>
            </w:r>
          </w:p>
        </w:tc>
        <w:tc>
          <w:tcPr>
            <w:tcW w:w="334" w:type="dxa"/>
            <w:tcBorders>
              <w:top w:val="single" w:sz="8" w:space="0" w:color="959595"/>
            </w:tcBorders>
            <w:shd w:fill="auto" w:val="clear"/>
            <w:tcMar>
              <w:left w:w="0" w:type="dxa"/>
            </w:tcMar>
            <w:vAlign w:val="center"/>
          </w:tcPr>
          <w:p>
            <w:pPr>
              <w:pStyle w:val="TableContents"/>
              <w:spacing w:before="0" w:after="283"/>
              <w:rPr/>
            </w:pPr>
            <w:r>
              <w:rPr/>
              <w:t> </w:t>
            </w:r>
          </w:p>
        </w:tc>
        <w:tc>
          <w:tcPr>
            <w:tcW w:w="8350" w:type="dxa"/>
            <w:tcBorders>
              <w:top w:val="single" w:sz="8" w:space="0" w:color="959595"/>
            </w:tcBorders>
            <w:shd w:fill="auto" w:val="clear"/>
            <w:tcMar>
              <w:left w:w="0" w:type="dxa"/>
            </w:tcMar>
            <w:vAlign w:val="center"/>
          </w:tcPr>
          <w:p>
            <w:pPr>
              <w:pStyle w:val="TableContents"/>
              <w:spacing w:before="0" w:after="283"/>
              <w:jc w:val="left"/>
              <w:rPr/>
            </w:pPr>
            <w:r>
              <w:rPr/>
              <w:t>                              </w:t>
            </w:r>
          </w:p>
        </w:tc>
        <w:tc>
          <w:tcPr>
            <w:tcW w:w="122" w:type="dxa"/>
            <w:tcBorders>
              <w:top w:val="single" w:sz="8" w:space="0" w:color="959595"/>
              <w:right w:val="single" w:sz="8" w:space="0" w:color="959595"/>
            </w:tcBorders>
            <w:shd w:fill="auto" w:val="clear"/>
            <w:tcMar>
              <w:left w:w="0" w:type="dxa"/>
              <w:right w:w="28" w:type="dxa"/>
            </w:tcMar>
            <w:vAlign w:val="center"/>
          </w:tcPr>
          <w:p>
            <w:pPr>
              <w:pStyle w:val="TableContents"/>
              <w:spacing w:before="0" w:after="283"/>
              <w:jc w:val="left"/>
              <w:rPr/>
            </w:pPr>
            <w:r>
              <w:rPr/>
              <w:t>  </w:t>
            </w:r>
          </w:p>
        </w:tc>
      </w:tr>
      <w:tr>
        <w:trPr/>
        <w:tc>
          <w:tcPr>
            <w:tcW w:w="120" w:type="dxa"/>
            <w:tcBorders>
              <w:left w:val="single" w:sz="8" w:space="0" w:color="959595"/>
            </w:tcBorders>
            <w:shd w:fill="auto" w:val="clear"/>
            <w:tcMar>
              <w:top w:w="0" w:type="dxa"/>
            </w:tcMar>
            <w:vAlign w:val="center"/>
          </w:tcPr>
          <w:p>
            <w:pPr>
              <w:pStyle w:val="TableContents"/>
              <w:spacing w:before="0" w:after="283"/>
              <w:rPr>
                <w:sz w:val="4"/>
                <w:szCs w:val="4"/>
              </w:rPr>
            </w:pPr>
            <w:r>
              <w:rPr>
                <w:sz w:val="4"/>
                <w:szCs w:val="4"/>
              </w:rPr>
            </w:r>
          </w:p>
        </w:tc>
        <w:tc>
          <w:tcPr>
            <w:tcW w:w="1279" w:type="dxa"/>
            <w:gridSpan w:val="2"/>
            <w:tcBorders/>
            <w:shd w:fill="ECF6FA" w:val="clear"/>
            <w:tcMar>
              <w:top w:w="0" w:type="dxa"/>
              <w:left w:w="0" w:type="dxa"/>
            </w:tcMar>
            <w:vAlign w:val="center"/>
          </w:tcPr>
          <w:p>
            <w:pPr>
              <w:pStyle w:val="TableContents"/>
              <w:spacing w:before="0" w:after="283"/>
              <w:jc w:val="left"/>
              <w:rPr>
                <w:rFonts w:ascii="Arial" w:hAnsi="Arial"/>
                <w:color w:val="00A1E0"/>
                <w:sz w:val="24"/>
              </w:rPr>
            </w:pPr>
            <w:bookmarkStart w:id="98" w:name="proposal6"/>
            <w:bookmarkEnd w:id="98"/>
            <w:r>
              <w:rPr>
                <w:rFonts w:ascii="Arial" w:hAnsi="Arial"/>
                <w:color w:val="00A1E0"/>
                <w:sz w:val="24"/>
              </w:rPr>
              <w:t>Proposal 6:</w:t>
            </w:r>
          </w:p>
        </w:tc>
        <w:tc>
          <w:tcPr>
            <w:tcW w:w="334" w:type="dxa"/>
            <w:tcBorders/>
            <w:shd w:fill="ECF6FA" w:val="clear"/>
            <w:tcMar>
              <w:top w:w="0" w:type="dxa"/>
              <w:left w:w="0" w:type="dxa"/>
            </w:tcMar>
            <w:vAlign w:val="center"/>
          </w:tcPr>
          <w:p>
            <w:pPr>
              <w:pStyle w:val="TableContents"/>
              <w:spacing w:before="0" w:after="283"/>
              <w:rPr/>
            </w:pPr>
            <w:r>
              <w:rPr/>
              <w:t>     </w:t>
            </w:r>
          </w:p>
        </w:tc>
        <w:tc>
          <w:tcPr>
            <w:tcW w:w="8350" w:type="dxa"/>
            <w:tcBorders/>
            <w:shd w:fill="ECF6FA" w:val="clear"/>
            <w:tcMar>
              <w:top w:w="0" w:type="dxa"/>
              <w:left w:w="0" w:type="dxa"/>
            </w:tcMar>
            <w:vAlign w:val="center"/>
          </w:tcPr>
          <w:p>
            <w:pPr>
              <w:pStyle w:val="TableContents"/>
              <w:spacing w:before="0" w:after="283"/>
              <w:jc w:val="left"/>
              <w:rPr>
                <w:rFonts w:ascii="Arial" w:hAnsi="Arial"/>
                <w:color w:val="00A1E0"/>
                <w:sz w:val="24"/>
              </w:rPr>
            </w:pPr>
            <w:r>
              <w:rPr>
                <w:rFonts w:ascii="Arial" w:hAnsi="Arial"/>
                <w:color w:val="00A1E0"/>
                <w:sz w:val="24"/>
              </w:rPr>
              <w:t>ADVISORY VOTE ON FREQUENCY OF VOTE ON EXECUTIVE COMPENSATION</w:t>
            </w:r>
          </w:p>
        </w:tc>
        <w:tc>
          <w:tcPr>
            <w:tcW w:w="122" w:type="dxa"/>
            <w:tcBorders>
              <w:right w:val="single" w:sz="8" w:space="0" w:color="959595"/>
            </w:tcBorders>
            <w:shd w:fill="auto" w:val="clear"/>
            <w:tcMar>
              <w:top w:w="0" w:type="dxa"/>
              <w:left w:w="0" w:type="dxa"/>
              <w:right w:w="28" w:type="dxa"/>
            </w:tcMar>
            <w:vAlign w:val="center"/>
          </w:tcPr>
          <w:p>
            <w:pPr>
              <w:pStyle w:val="TableContents"/>
              <w:spacing w:before="0" w:after="283"/>
              <w:rPr>
                <w:sz w:val="4"/>
                <w:szCs w:val="4"/>
              </w:rPr>
            </w:pPr>
            <w:r>
              <w:rPr>
                <w:sz w:val="4"/>
                <w:szCs w:val="4"/>
              </w:rPr>
            </w:r>
          </w:p>
        </w:tc>
      </w:tr>
      <w:tr>
        <w:trPr/>
        <w:tc>
          <w:tcPr>
            <w:tcW w:w="120" w:type="dxa"/>
            <w:tcBorders>
              <w:left w:val="single" w:sz="8" w:space="0" w:color="959595"/>
            </w:tcBorders>
            <w:shd w:fill="auto" w:val="clear"/>
            <w:tcMar>
              <w:top w:w="0" w:type="dxa"/>
            </w:tcMar>
            <w:vAlign w:val="center"/>
          </w:tcPr>
          <w:p>
            <w:pPr>
              <w:pStyle w:val="TableContents"/>
              <w:spacing w:before="0" w:after="283"/>
              <w:jc w:val="left"/>
              <w:rPr/>
            </w:pPr>
            <w:r>
              <w:rPr/>
              <w:t> </w:t>
            </w:r>
          </w:p>
        </w:tc>
        <w:tc>
          <w:tcPr>
            <w:tcW w:w="646" w:type="dxa"/>
            <w:tcBorders/>
            <w:shd w:fill="auto" w:val="clear"/>
            <w:tcMar>
              <w:top w:w="0" w:type="dxa"/>
              <w:left w:w="0" w:type="dxa"/>
            </w:tcMar>
            <w:vAlign w:val="center"/>
          </w:tcPr>
          <w:p>
            <w:pPr>
              <w:pStyle w:val="TableContents"/>
              <w:spacing w:before="0" w:after="283"/>
              <w:rPr>
                <w:sz w:val="4"/>
                <w:szCs w:val="4"/>
              </w:rPr>
            </w:pPr>
            <w:r>
              <w:rPr>
                <w:sz w:val="4"/>
                <w:szCs w:val="4"/>
              </w:rPr>
            </w:r>
          </w:p>
        </w:tc>
        <w:tc>
          <w:tcPr>
            <w:tcW w:w="633" w:type="dxa"/>
            <w:tcBorders/>
            <w:shd w:fill="auto" w:val="clear"/>
            <w:tcMar>
              <w:top w:w="0" w:type="dxa"/>
              <w:left w:w="0" w:type="dxa"/>
            </w:tcMar>
            <w:vAlign w:val="center"/>
          </w:tcPr>
          <w:p>
            <w:pPr>
              <w:pStyle w:val="TableContents"/>
              <w:spacing w:before="0" w:after="283"/>
              <w:rPr/>
            </w:pPr>
            <w:r>
              <w:rPr/>
              <w:t>         </w:t>
            </w:r>
          </w:p>
        </w:tc>
        <w:tc>
          <w:tcPr>
            <w:tcW w:w="334" w:type="dxa"/>
            <w:tcBorders/>
            <w:shd w:fill="auto" w:val="clear"/>
            <w:tcMar>
              <w:top w:w="0" w:type="dxa"/>
              <w:left w:w="0" w:type="dxa"/>
            </w:tcMar>
            <w:vAlign w:val="center"/>
          </w:tcPr>
          <w:p>
            <w:pPr>
              <w:pStyle w:val="TableContents"/>
              <w:spacing w:before="0" w:after="283"/>
              <w:rPr/>
            </w:pPr>
            <w:r>
              <w:rPr/>
              <w:t> </w:t>
            </w:r>
          </w:p>
        </w:tc>
        <w:tc>
          <w:tcPr>
            <w:tcW w:w="8350" w:type="dxa"/>
            <w:tcBorders/>
            <w:shd w:fill="auto" w:val="clear"/>
            <w:tcMar>
              <w:top w:w="0" w:type="dxa"/>
              <w:left w:w="0" w:type="dxa"/>
            </w:tcMar>
            <w:vAlign w:val="center"/>
          </w:tcPr>
          <w:p>
            <w:pPr>
              <w:pStyle w:val="TableContents"/>
              <w:spacing w:before="0" w:after="283"/>
              <w:rPr>
                <w:sz w:val="4"/>
                <w:szCs w:val="4"/>
              </w:rPr>
            </w:pPr>
            <w:r>
              <w:rPr>
                <w:sz w:val="4"/>
                <w:szCs w:val="4"/>
              </w:rPr>
            </w:r>
          </w:p>
        </w:tc>
        <w:tc>
          <w:tcPr>
            <w:tcW w:w="122" w:type="dxa"/>
            <w:tcBorders>
              <w:right w:val="single" w:sz="8" w:space="0" w:color="959595"/>
            </w:tcBorders>
            <w:shd w:fill="auto" w:val="clear"/>
            <w:tcMar>
              <w:top w:w="0" w:type="dxa"/>
              <w:left w:w="0" w:type="dxa"/>
              <w:right w:w="28" w:type="dxa"/>
            </w:tcMar>
            <w:vAlign w:val="center"/>
          </w:tcPr>
          <w:p>
            <w:pPr>
              <w:pStyle w:val="TableContents"/>
              <w:spacing w:before="0" w:after="283"/>
              <w:rPr>
                <w:sz w:val="4"/>
                <w:szCs w:val="4"/>
              </w:rPr>
            </w:pPr>
            <w:r>
              <w:rPr>
                <w:sz w:val="4"/>
                <w:szCs w:val="4"/>
              </w:rPr>
            </w:r>
          </w:p>
        </w:tc>
      </w:tr>
      <w:tr>
        <w:trPr/>
        <w:tc>
          <w:tcPr>
            <w:tcW w:w="120" w:type="dxa"/>
            <w:tcBorders>
              <w:left w:val="single" w:sz="8" w:space="0" w:color="959595"/>
            </w:tcBorders>
            <w:shd w:fill="auto" w:val="clear"/>
            <w:tcMar>
              <w:top w:w="0" w:type="dxa"/>
            </w:tcMar>
            <w:vAlign w:val="center"/>
          </w:tcPr>
          <w:p>
            <w:pPr>
              <w:pStyle w:val="TableContents"/>
              <w:spacing w:before="0" w:after="283"/>
              <w:rPr>
                <w:sz w:val="4"/>
                <w:szCs w:val="4"/>
              </w:rPr>
            </w:pPr>
            <w:r>
              <w:rPr>
                <w:sz w:val="4"/>
                <w:szCs w:val="4"/>
              </w:rPr>
            </w:r>
          </w:p>
        </w:tc>
        <w:tc>
          <w:tcPr>
            <w:tcW w:w="646" w:type="dxa"/>
            <w:tcBorders/>
            <w:shd w:fill="auto" w:val="clear"/>
            <w:tcMar>
              <w:top w:w="0" w:type="dxa"/>
              <w:left w:w="0" w:type="dxa"/>
            </w:tcMar>
            <w:vAlign w:val="center"/>
          </w:tcPr>
          <w:p>
            <w:pPr>
              <w:pStyle w:val="TableContents"/>
              <w:spacing w:before="0" w:after="283"/>
              <w:jc w:val="left"/>
              <w:rPr/>
            </w:pPr>
            <w:r>
              <w:rPr/>
              <w:drawing>
                <wp:inline distT="0" distB="0" distL="0" distR="0">
                  <wp:extent cx="390525" cy="266700"/>
                  <wp:effectExtent l="0" t="0" r="0" b="0"/>
                  <wp:docPr id="208"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32" descr=""/>
                          <pic:cNvPicPr>
                            <a:picLocks noChangeAspect="1" noChangeArrowheads="1"/>
                          </pic:cNvPicPr>
                        </pic:nvPicPr>
                        <pic:blipFill>
                          <a:blip r:embed="rId133"/>
                          <a:srcRect l="-2580" t="-3650" r="-2580" b="-3650"/>
                          <a:stretch>
                            <a:fillRect/>
                          </a:stretch>
                        </pic:blipFill>
                        <pic:spPr bwMode="auto">
                          <a:xfrm>
                            <a:off x="0" y="0"/>
                            <a:ext cx="390525" cy="266700"/>
                          </a:xfrm>
                          <a:prstGeom prst="rect">
                            <a:avLst/>
                          </a:prstGeom>
                          <a:ln w="635">
                            <a:solidFill>
                              <a:srgbClr val="000000"/>
                            </a:solidFill>
                          </a:ln>
                        </pic:spPr>
                      </pic:pic>
                    </a:graphicData>
                  </a:graphic>
                </wp:inline>
              </w:drawing>
            </w:r>
          </w:p>
        </w:tc>
        <w:tc>
          <w:tcPr>
            <w:tcW w:w="9317" w:type="dxa"/>
            <w:gridSpan w:val="3"/>
            <w:tcBorders/>
            <w:shd w:fill="auto" w:val="clear"/>
            <w:tcMar>
              <w:top w:w="0" w:type="dxa"/>
              <w:left w:w="0" w:type="dxa"/>
            </w:tcMar>
            <w:vAlign w:val="center"/>
          </w:tcPr>
          <w:p>
            <w:pPr>
              <w:pStyle w:val="TableContents"/>
              <w:spacing w:before="0" w:after="0"/>
              <w:jc w:val="left"/>
              <w:rPr>
                <w:rFonts w:ascii="Arial" w:hAnsi="Arial"/>
                <w:b/>
                <w:sz w:val="20"/>
              </w:rPr>
            </w:pPr>
            <w:r>
              <w:rPr>
                <w:rFonts w:ascii="Arial" w:hAnsi="Arial"/>
                <w:b/>
                <w:sz w:val="20"/>
              </w:rPr>
              <w:t>Our Board unanimously recommends that the advisory vote on executive compensation be conducted every “</w:t>
            </w:r>
            <w:r>
              <w:rPr>
                <w:rFonts w:ascii="Arial" w:hAnsi="Arial"/>
                <w:b/>
                <w:color w:val="00A1E0"/>
                <w:sz w:val="20"/>
              </w:rPr>
              <w:t>ONE YEAR</w:t>
            </w:r>
            <w:r>
              <w:rPr>
                <w:rFonts w:ascii="Arial" w:hAnsi="Arial"/>
                <w:b/>
                <w:sz w:val="20"/>
              </w:rPr>
              <w:t>.”</w:t>
            </w:r>
          </w:p>
        </w:tc>
        <w:tc>
          <w:tcPr>
            <w:tcW w:w="122" w:type="dxa"/>
            <w:tcBorders>
              <w:right w:val="single" w:sz="8" w:space="0" w:color="959595"/>
            </w:tcBorders>
            <w:shd w:fill="auto" w:val="clear"/>
            <w:tcMar>
              <w:top w:w="0" w:type="dxa"/>
              <w:left w:w="0" w:type="dxa"/>
              <w:right w:w="28" w:type="dxa"/>
            </w:tcMar>
            <w:vAlign w:val="center"/>
          </w:tcPr>
          <w:p>
            <w:pPr>
              <w:pStyle w:val="TableContents"/>
              <w:spacing w:before="0" w:after="283"/>
              <w:rPr>
                <w:sz w:val="4"/>
                <w:szCs w:val="4"/>
              </w:rPr>
            </w:pPr>
            <w:r>
              <w:rPr>
                <w:sz w:val="4"/>
                <w:szCs w:val="4"/>
              </w:rPr>
            </w:r>
          </w:p>
        </w:tc>
      </w:tr>
      <w:tr>
        <w:trPr/>
        <w:tc>
          <w:tcPr>
            <w:tcW w:w="120" w:type="dxa"/>
            <w:tcBorders>
              <w:left w:val="single" w:sz="8" w:space="0" w:color="959595"/>
              <w:bottom w:val="single" w:sz="8" w:space="0" w:color="959595"/>
            </w:tcBorders>
            <w:shd w:fill="auto" w:val="clear"/>
            <w:tcMar>
              <w:top w:w="0" w:type="dxa"/>
              <w:bottom w:w="28" w:type="dxa"/>
            </w:tcMar>
            <w:vAlign w:val="center"/>
          </w:tcPr>
          <w:p>
            <w:pPr>
              <w:pStyle w:val="TableContents"/>
              <w:spacing w:before="0" w:after="283"/>
              <w:jc w:val="left"/>
              <w:rPr/>
            </w:pPr>
            <w:r>
              <w:rPr/>
              <w:t> </w:t>
            </w:r>
          </w:p>
        </w:tc>
        <w:tc>
          <w:tcPr>
            <w:tcW w:w="646" w:type="dxa"/>
            <w:tcBorders>
              <w:bottom w:val="single" w:sz="8" w:space="0" w:color="959595"/>
            </w:tcBorders>
            <w:shd w:fill="auto" w:val="clear"/>
            <w:tcMar>
              <w:top w:w="0" w:type="dxa"/>
              <w:left w:w="0" w:type="dxa"/>
              <w:bottom w:w="28" w:type="dxa"/>
            </w:tcMar>
            <w:vAlign w:val="center"/>
          </w:tcPr>
          <w:p>
            <w:pPr>
              <w:pStyle w:val="TableContents"/>
              <w:spacing w:before="0" w:after="283"/>
              <w:rPr>
                <w:sz w:val="4"/>
                <w:szCs w:val="4"/>
              </w:rPr>
            </w:pPr>
            <w:r>
              <w:rPr>
                <w:sz w:val="4"/>
                <w:szCs w:val="4"/>
              </w:rPr>
            </w:r>
          </w:p>
        </w:tc>
        <w:tc>
          <w:tcPr>
            <w:tcW w:w="633" w:type="dxa"/>
            <w:tcBorders>
              <w:bottom w:val="single" w:sz="8" w:space="0" w:color="959595"/>
            </w:tcBorders>
            <w:shd w:fill="auto" w:val="clear"/>
            <w:tcMar>
              <w:top w:w="0" w:type="dxa"/>
              <w:left w:w="0" w:type="dxa"/>
              <w:bottom w:w="28" w:type="dxa"/>
            </w:tcMar>
            <w:vAlign w:val="center"/>
          </w:tcPr>
          <w:p>
            <w:pPr>
              <w:pStyle w:val="TableContents"/>
              <w:spacing w:before="0" w:after="283"/>
              <w:rPr/>
            </w:pPr>
            <w:r>
              <w:rPr/>
              <w:t> </w:t>
            </w:r>
          </w:p>
        </w:tc>
        <w:tc>
          <w:tcPr>
            <w:tcW w:w="334" w:type="dxa"/>
            <w:tcBorders>
              <w:bottom w:val="single" w:sz="8" w:space="0" w:color="959595"/>
            </w:tcBorders>
            <w:shd w:fill="auto" w:val="clear"/>
            <w:tcMar>
              <w:top w:w="0" w:type="dxa"/>
              <w:left w:w="0" w:type="dxa"/>
              <w:bottom w:w="28" w:type="dxa"/>
            </w:tcMar>
            <w:vAlign w:val="center"/>
          </w:tcPr>
          <w:p>
            <w:pPr>
              <w:pStyle w:val="TableContents"/>
              <w:spacing w:before="0" w:after="283"/>
              <w:rPr/>
            </w:pPr>
            <w:r>
              <w:rPr/>
              <w:t> </w:t>
            </w:r>
          </w:p>
        </w:tc>
        <w:tc>
          <w:tcPr>
            <w:tcW w:w="8350" w:type="dxa"/>
            <w:tcBorders>
              <w:bottom w:val="single" w:sz="8" w:space="0" w:color="959595"/>
            </w:tcBorders>
            <w:shd w:fill="auto" w:val="clear"/>
            <w:tcMar>
              <w:top w:w="0" w:type="dxa"/>
              <w:left w:w="0" w:type="dxa"/>
              <w:bottom w:w="28" w:type="dxa"/>
            </w:tcMar>
            <w:vAlign w:val="center"/>
          </w:tcPr>
          <w:p>
            <w:pPr>
              <w:pStyle w:val="TableContents"/>
              <w:spacing w:before="0" w:after="283"/>
              <w:rPr>
                <w:sz w:val="4"/>
                <w:szCs w:val="4"/>
              </w:rPr>
            </w:pPr>
            <w:r>
              <w:rPr>
                <w:sz w:val="4"/>
                <w:szCs w:val="4"/>
              </w:rPr>
            </w:r>
          </w:p>
        </w:tc>
        <w:tc>
          <w:tcPr>
            <w:tcW w:w="122" w:type="dxa"/>
            <w:tcBorders>
              <w:bottom w:val="single" w:sz="8" w:space="0" w:color="959595"/>
              <w:right w:val="single" w:sz="8" w:space="0" w:color="959595"/>
            </w:tcBorders>
            <w:shd w:fill="auto" w:val="clear"/>
            <w:tcMar>
              <w:top w:w="0" w:type="dxa"/>
              <w:left w:w="0" w:type="dxa"/>
              <w:bottom w:w="28" w:type="dxa"/>
              <w:right w:w="28" w:type="dxa"/>
            </w:tcMar>
            <w:vAlign w:val="center"/>
          </w:tcPr>
          <w:p>
            <w:pPr>
              <w:pStyle w:val="TableContents"/>
              <w:spacing w:before="0" w:after="283"/>
              <w:rPr>
                <w:sz w:val="4"/>
                <w:szCs w:val="4"/>
              </w:rPr>
            </w:pPr>
            <w:r>
              <w:rPr>
                <w:sz w:val="4"/>
                <w:szCs w:val="4"/>
              </w:rPr>
            </w:r>
          </w:p>
        </w:tc>
      </w:tr>
    </w:tbl>
    <w:p>
      <w:pPr>
        <w:pStyle w:val="TextBody"/>
        <w:spacing w:before="240" w:after="283"/>
        <w:jc w:val="left"/>
        <w:rPr>
          <w:rFonts w:ascii="Arial" w:hAnsi="Arial"/>
          <w:sz w:val="20"/>
        </w:rPr>
      </w:pPr>
      <w:r>
        <w:rPr>
          <w:rFonts w:ascii="Arial" w:hAnsi="Arial"/>
          <w:sz w:val="20"/>
        </w:rPr>
        <w:t>Pursuant to Section 14A of the Exchange Act, we are required at least once every six years to hold an advisory shareholder vote to determine the frequency of an advisory shareholder vote on executive compensation for our NEOs. The following proposal gives our shareholders the opportunity to vote, on a non-binding, advisory basis, on the frequency of such vote. By voting on this proposal, shareholders may indicate whether they prefer that we seek an advisory vote every one, two or three years.</w:t>
      </w:r>
    </w:p>
    <w:p>
      <w:pPr>
        <w:pStyle w:val="TextBody"/>
        <w:jc w:val="left"/>
        <w:rPr>
          <w:rFonts w:ascii="Arial" w:hAnsi="Arial"/>
          <w:sz w:val="20"/>
        </w:rPr>
      </w:pPr>
      <w:r>
        <w:rPr>
          <w:rFonts w:ascii="Arial" w:hAnsi="Arial"/>
          <w:sz w:val="20"/>
        </w:rPr>
        <w:t>We currently hold our advisory vote on executive compensation every one year, as our Board had last recommended, and our shareholders had approved, in 2017.</w:t>
      </w:r>
    </w:p>
    <w:p>
      <w:pPr>
        <w:pStyle w:val="TextBody"/>
        <w:jc w:val="left"/>
        <w:rPr>
          <w:rFonts w:ascii="Arial" w:hAnsi="Arial"/>
          <w:sz w:val="20"/>
        </w:rPr>
      </w:pPr>
      <w:r>
        <w:rPr>
          <w:rFonts w:ascii="Arial" w:hAnsi="Arial"/>
          <w:sz w:val="20"/>
        </w:rPr>
        <w:t>Our Board has again determined that an advisory vote on executive compensation that occurs every year is the most appropriate alternative for us, and, therefore, recommends that a vote be conducted every “ONE YEAR.” Our Board believes that holding the advisory vote on an annual basis reflects both the significant majority practice among issuers and the frequency which most of our shareholders prefer. You may cast your vote on your preferred voting frequency by selecting the option of holding an advisory vote on executive compensation every “one year” (as recommended by the Board), “two years” or “three years,” or you may “abstain.”</w:t>
      </w:r>
    </w:p>
    <w:p>
      <w:pPr>
        <w:pStyle w:val="TextBody"/>
        <w:jc w:val="left"/>
        <w:rPr>
          <w:rFonts w:ascii="Arial" w:hAnsi="Arial"/>
          <w:sz w:val="20"/>
        </w:rPr>
      </w:pPr>
      <w:r>
        <w:rPr>
          <w:rFonts w:ascii="Arial" w:hAnsi="Arial"/>
          <w:sz w:val="20"/>
        </w:rPr>
        <w:t>While we intend to carefully consider the voting results of this proposal, this vote is advisory in nature, and, therefore, is not binding on us or our Board. Our Board values the opinions of all of our shareholders and will consider the outcome of this vote when making its decision on the frequency with which we will hold an advisory vote on executive compensation.</w:t>
      </w:r>
    </w:p>
    <w:p>
      <w:pPr>
        <w:pStyle w:val="TextBody"/>
        <w:jc w:val="left"/>
        <w:rPr>
          <w:rFonts w:ascii="Arial" w:hAnsi="Arial"/>
          <w:b/>
          <w:sz w:val="36"/>
        </w:rPr>
      </w:pPr>
      <w:r>
        <w:rPr>
          <w:rFonts w:ascii="Arial" w:hAnsi="Arial"/>
          <w:b/>
          <w:sz w:val="36"/>
        </w:rPr>
        <w:t>Shareholder Proposals</w:t>
      </w:r>
    </w:p>
    <w:p>
      <w:pPr>
        <w:pStyle w:val="TextBody"/>
        <w:jc w:val="left"/>
        <w:rPr>
          <w:rFonts w:ascii="Arial" w:hAnsi="Arial"/>
          <w:sz w:val="20"/>
        </w:rPr>
      </w:pPr>
      <w:r>
        <w:rPr>
          <w:rFonts w:ascii="Arial" w:hAnsi="Arial"/>
          <w:sz w:val="20"/>
        </w:rPr>
        <w:t>We received the following shareholder proposals. To be voted upon at our 2023 annual meeting of shareholders, the proponent of each proposal, or a representative of the proponent qualified under Pennsylvania law, must be present at the meeting to present the proposal. We provide the name and address of each primary proponent below. We will promptly supply the number of shares of our Class A common stock or, if not available, the market value of our Class A common stock held by any proponent (including any co-filer(s)), upon oral or written request to the Secretary.</w:t>
      </w:r>
    </w:p>
    <w:p>
      <w:pPr>
        <w:pStyle w:val="TextBody"/>
        <w:jc w:val="left"/>
        <w:rPr>
          <w:rFonts w:ascii="Arial" w:hAnsi="Arial"/>
          <w:sz w:val="20"/>
        </w:rPr>
      </w:pPr>
      <w:r>
        <w:rPr>
          <w:rFonts w:ascii="Arial" w:hAnsi="Arial"/>
          <w:sz w:val="20"/>
        </w:rPr>
        <w:t xml:space="preserve">All statements contained in the shareholder proposals and supporting statements are the sole responsibility of the proponents. Other than adding a brief title, we have included the text of each proposal and the shareholder’s supporting statement. Following each proposal, we explain why our Board recommends a vote </w:t>
      </w:r>
      <w:r>
        <w:rPr>
          <w:rFonts w:ascii="Arial" w:hAnsi="Arial"/>
          <w:b/>
          <w:sz w:val="20"/>
        </w:rPr>
        <w:t xml:space="preserve">AGAINST </w:t>
      </w:r>
      <w:r>
        <w:rPr>
          <w:rFonts w:ascii="Arial" w:hAnsi="Arial"/>
          <w:sz w:val="20"/>
        </w:rPr>
        <w:t>it.</w:t>
      </w:r>
    </w:p>
    <w:tbl>
      <w:tblPr>
        <w:tblW w:w="223" w:type="dxa"/>
        <w:jc w:val="left"/>
        <w:tblInd w:w="0" w:type="dxa"/>
        <w:tblCellMar>
          <w:top w:w="0" w:type="dxa"/>
          <w:left w:w="0" w:type="dxa"/>
          <w:bottom w:w="0" w:type="dxa"/>
          <w:right w:w="0" w:type="dxa"/>
        </w:tblCellMar>
      </w:tblPr>
      <w:tblGrid>
        <w:gridCol w:w="200"/>
        <w:gridCol w:w="23"/>
      </w:tblGrid>
      <w:tr>
        <w:trPr/>
        <w:tc>
          <w:tcPr>
            <w:tcW w:w="200" w:type="dxa"/>
            <w:tcBorders/>
            <w:shd w:fill="auto" w:val="clear"/>
            <w:vAlign w:val="center"/>
          </w:tcPr>
          <w:p>
            <w:pPr>
              <w:pStyle w:val="TableContents"/>
              <w:spacing w:before="0" w:after="283"/>
              <w:jc w:val="left"/>
              <w:rPr>
                <w:rFonts w:ascii="Arial" w:hAnsi="Arial"/>
                <w:b/>
                <w:sz w:val="15"/>
              </w:rPr>
            </w:pPr>
            <w:r>
              <w:rPr>
                <w:rFonts w:ascii="Arial" w:hAnsi="Arial"/>
                <w:b/>
                <w:sz w:val="15"/>
              </w:rPr>
              <w:t>66</w:t>
            </w:r>
          </w:p>
        </w:tc>
        <w:tc>
          <w:tcPr>
            <w:tcW w:w="2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10205" w:type="dxa"/>
        <w:jc w:val="left"/>
        <w:tblInd w:w="0" w:type="dxa"/>
        <w:tblCellMar>
          <w:top w:w="28" w:type="dxa"/>
          <w:left w:w="28" w:type="dxa"/>
          <w:bottom w:w="0" w:type="dxa"/>
          <w:right w:w="0" w:type="dxa"/>
        </w:tblCellMar>
      </w:tblPr>
      <w:tblGrid>
        <w:gridCol w:w="120"/>
        <w:gridCol w:w="651"/>
        <w:gridCol w:w="571"/>
        <w:gridCol w:w="300"/>
        <w:gridCol w:w="8441"/>
        <w:gridCol w:w="122"/>
      </w:tblGrid>
      <w:tr>
        <w:trPr/>
        <w:tc>
          <w:tcPr>
            <w:tcW w:w="120" w:type="dxa"/>
            <w:tcBorders>
              <w:top w:val="single" w:sz="8" w:space="0" w:color="959595"/>
              <w:left w:val="single" w:sz="8" w:space="0" w:color="959595"/>
            </w:tcBorders>
            <w:shd w:fill="auto" w:val="clear"/>
            <w:vAlign w:val="center"/>
          </w:tcPr>
          <w:p>
            <w:pPr>
              <w:pStyle w:val="TableContents"/>
              <w:spacing w:before="0" w:after="283"/>
              <w:jc w:val="left"/>
              <w:rPr/>
            </w:pPr>
            <w:r>
              <w:rPr/>
              <w:t>  </w:t>
            </w:r>
          </w:p>
        </w:tc>
        <w:tc>
          <w:tcPr>
            <w:tcW w:w="651" w:type="dxa"/>
            <w:tcBorders>
              <w:top w:val="single" w:sz="8" w:space="0" w:color="959595"/>
            </w:tcBorders>
            <w:shd w:fill="auto" w:val="clear"/>
            <w:tcMar>
              <w:left w:w="0" w:type="dxa"/>
            </w:tcMar>
            <w:vAlign w:val="center"/>
          </w:tcPr>
          <w:p>
            <w:pPr>
              <w:pStyle w:val="TableContents"/>
              <w:spacing w:before="0" w:after="283"/>
              <w:rPr>
                <w:sz w:val="4"/>
                <w:szCs w:val="4"/>
              </w:rPr>
            </w:pPr>
            <w:r>
              <w:rPr>
                <w:sz w:val="4"/>
                <w:szCs w:val="4"/>
              </w:rPr>
            </w:r>
          </w:p>
        </w:tc>
        <w:tc>
          <w:tcPr>
            <w:tcW w:w="571" w:type="dxa"/>
            <w:tcBorders>
              <w:top w:val="single" w:sz="8" w:space="0" w:color="959595"/>
            </w:tcBorders>
            <w:shd w:fill="auto" w:val="clear"/>
            <w:tcMar>
              <w:left w:w="0" w:type="dxa"/>
            </w:tcMar>
            <w:vAlign w:val="center"/>
          </w:tcPr>
          <w:p>
            <w:pPr>
              <w:pStyle w:val="TableContents"/>
              <w:spacing w:before="0" w:after="283"/>
              <w:rPr/>
            </w:pPr>
            <w:r>
              <w:rPr/>
              <w:t> </w:t>
            </w:r>
          </w:p>
        </w:tc>
        <w:tc>
          <w:tcPr>
            <w:tcW w:w="300" w:type="dxa"/>
            <w:tcBorders>
              <w:top w:val="single" w:sz="8" w:space="0" w:color="959595"/>
            </w:tcBorders>
            <w:shd w:fill="auto" w:val="clear"/>
            <w:tcMar>
              <w:left w:w="0" w:type="dxa"/>
            </w:tcMar>
            <w:vAlign w:val="center"/>
          </w:tcPr>
          <w:p>
            <w:pPr>
              <w:pStyle w:val="TableContents"/>
              <w:spacing w:before="0" w:after="283"/>
              <w:rPr/>
            </w:pPr>
            <w:r>
              <w:rPr/>
              <w:t> </w:t>
            </w:r>
          </w:p>
        </w:tc>
        <w:tc>
          <w:tcPr>
            <w:tcW w:w="8441" w:type="dxa"/>
            <w:tcBorders>
              <w:top w:val="single" w:sz="8" w:space="0" w:color="959595"/>
            </w:tcBorders>
            <w:shd w:fill="auto" w:val="clear"/>
            <w:tcMar>
              <w:left w:w="0" w:type="dxa"/>
            </w:tcMar>
            <w:vAlign w:val="center"/>
          </w:tcPr>
          <w:p>
            <w:pPr>
              <w:pStyle w:val="TableContents"/>
              <w:spacing w:before="0" w:after="283"/>
              <w:jc w:val="left"/>
              <w:rPr/>
            </w:pPr>
            <w:r>
              <w:rPr/>
              <w:t>                              </w:t>
            </w:r>
          </w:p>
        </w:tc>
        <w:tc>
          <w:tcPr>
            <w:tcW w:w="122" w:type="dxa"/>
            <w:tcBorders>
              <w:top w:val="single" w:sz="8" w:space="0" w:color="959595"/>
              <w:right w:val="single" w:sz="8" w:space="0" w:color="959595"/>
            </w:tcBorders>
            <w:shd w:fill="auto" w:val="clear"/>
            <w:tcMar>
              <w:left w:w="0" w:type="dxa"/>
              <w:right w:w="28" w:type="dxa"/>
            </w:tcMar>
            <w:vAlign w:val="center"/>
          </w:tcPr>
          <w:p>
            <w:pPr>
              <w:pStyle w:val="TableContents"/>
              <w:spacing w:before="0" w:after="283"/>
              <w:jc w:val="left"/>
              <w:rPr/>
            </w:pPr>
            <w:r>
              <w:rPr/>
              <w:t>  </w:t>
            </w:r>
          </w:p>
        </w:tc>
      </w:tr>
      <w:tr>
        <w:trPr/>
        <w:tc>
          <w:tcPr>
            <w:tcW w:w="120" w:type="dxa"/>
            <w:tcBorders>
              <w:left w:val="single" w:sz="8" w:space="0" w:color="959595"/>
            </w:tcBorders>
            <w:shd w:fill="auto" w:val="clear"/>
            <w:tcMar>
              <w:top w:w="0" w:type="dxa"/>
            </w:tcMar>
            <w:vAlign w:val="center"/>
          </w:tcPr>
          <w:p>
            <w:pPr>
              <w:pStyle w:val="TableContents"/>
              <w:spacing w:before="0" w:after="283"/>
              <w:rPr>
                <w:sz w:val="4"/>
                <w:szCs w:val="4"/>
              </w:rPr>
            </w:pPr>
            <w:r>
              <w:rPr>
                <w:sz w:val="4"/>
                <w:szCs w:val="4"/>
              </w:rPr>
            </w:r>
          </w:p>
        </w:tc>
        <w:tc>
          <w:tcPr>
            <w:tcW w:w="1222" w:type="dxa"/>
            <w:gridSpan w:val="2"/>
            <w:tcBorders/>
            <w:shd w:fill="ECF6FA" w:val="clear"/>
            <w:tcMar>
              <w:top w:w="0" w:type="dxa"/>
              <w:left w:w="0" w:type="dxa"/>
            </w:tcMar>
            <w:vAlign w:val="center"/>
          </w:tcPr>
          <w:p>
            <w:pPr>
              <w:pStyle w:val="TableContents"/>
              <w:spacing w:before="0" w:after="283"/>
              <w:jc w:val="left"/>
              <w:rPr>
                <w:rFonts w:ascii="Arial" w:hAnsi="Arial"/>
                <w:color w:val="00A1E0"/>
                <w:sz w:val="24"/>
              </w:rPr>
            </w:pPr>
            <w:bookmarkStart w:id="99" w:name="proposal7"/>
            <w:bookmarkEnd w:id="99"/>
            <w:r>
              <w:rPr>
                <w:rFonts w:ascii="Arial" w:hAnsi="Arial"/>
                <w:color w:val="00A1E0"/>
                <w:sz w:val="24"/>
              </w:rPr>
              <w:t>Proposal 7:</w:t>
            </w:r>
          </w:p>
        </w:tc>
        <w:tc>
          <w:tcPr>
            <w:tcW w:w="300" w:type="dxa"/>
            <w:tcBorders/>
            <w:shd w:fill="ECF6FA" w:val="clear"/>
            <w:tcMar>
              <w:top w:w="0" w:type="dxa"/>
              <w:left w:w="0" w:type="dxa"/>
            </w:tcMar>
            <w:vAlign w:val="center"/>
          </w:tcPr>
          <w:p>
            <w:pPr>
              <w:pStyle w:val="TableContents"/>
              <w:spacing w:before="0" w:after="283"/>
              <w:rPr/>
            </w:pPr>
            <w:r>
              <w:rPr/>
              <w:t>     </w:t>
            </w:r>
          </w:p>
        </w:tc>
        <w:tc>
          <w:tcPr>
            <w:tcW w:w="8441" w:type="dxa"/>
            <w:tcBorders/>
            <w:shd w:fill="ECF6FA" w:val="clear"/>
            <w:tcMar>
              <w:top w:w="0" w:type="dxa"/>
              <w:left w:w="0" w:type="dxa"/>
            </w:tcMar>
            <w:vAlign w:val="center"/>
          </w:tcPr>
          <w:p>
            <w:pPr>
              <w:pStyle w:val="TableContents"/>
              <w:spacing w:before="0" w:after="283"/>
              <w:jc w:val="left"/>
              <w:rPr>
                <w:rFonts w:ascii="Arial" w:hAnsi="Arial"/>
                <w:color w:val="00A1E0"/>
                <w:sz w:val="24"/>
              </w:rPr>
            </w:pPr>
            <w:r>
              <w:rPr>
                <w:rFonts w:ascii="Arial" w:hAnsi="Arial"/>
                <w:color w:val="00A1E0"/>
                <w:sz w:val="24"/>
              </w:rPr>
              <w:t>SHAREHOLDER PROPOSAL TO PERFORM INDEPENDENT RACIAL EQUITY AUDIT</w:t>
            </w:r>
          </w:p>
        </w:tc>
        <w:tc>
          <w:tcPr>
            <w:tcW w:w="122" w:type="dxa"/>
            <w:tcBorders>
              <w:right w:val="single" w:sz="8" w:space="0" w:color="959595"/>
            </w:tcBorders>
            <w:shd w:fill="auto" w:val="clear"/>
            <w:tcMar>
              <w:top w:w="0" w:type="dxa"/>
              <w:left w:w="0" w:type="dxa"/>
              <w:right w:w="28" w:type="dxa"/>
            </w:tcMar>
            <w:vAlign w:val="center"/>
          </w:tcPr>
          <w:p>
            <w:pPr>
              <w:pStyle w:val="TableContents"/>
              <w:spacing w:before="0" w:after="283"/>
              <w:rPr>
                <w:sz w:val="4"/>
                <w:szCs w:val="4"/>
              </w:rPr>
            </w:pPr>
            <w:r>
              <w:rPr>
                <w:sz w:val="4"/>
                <w:szCs w:val="4"/>
              </w:rPr>
            </w:r>
          </w:p>
        </w:tc>
      </w:tr>
      <w:tr>
        <w:trPr/>
        <w:tc>
          <w:tcPr>
            <w:tcW w:w="120" w:type="dxa"/>
            <w:tcBorders>
              <w:left w:val="single" w:sz="8" w:space="0" w:color="959595"/>
            </w:tcBorders>
            <w:shd w:fill="auto" w:val="clear"/>
            <w:tcMar>
              <w:top w:w="0" w:type="dxa"/>
            </w:tcMar>
            <w:vAlign w:val="center"/>
          </w:tcPr>
          <w:p>
            <w:pPr>
              <w:pStyle w:val="TableContents"/>
              <w:spacing w:before="0" w:after="283"/>
              <w:jc w:val="left"/>
              <w:rPr/>
            </w:pPr>
            <w:r>
              <w:rPr/>
              <w:t> </w:t>
            </w:r>
          </w:p>
        </w:tc>
        <w:tc>
          <w:tcPr>
            <w:tcW w:w="651" w:type="dxa"/>
            <w:tcBorders/>
            <w:shd w:fill="auto" w:val="clear"/>
            <w:tcMar>
              <w:top w:w="0" w:type="dxa"/>
              <w:left w:w="0" w:type="dxa"/>
            </w:tcMar>
            <w:vAlign w:val="center"/>
          </w:tcPr>
          <w:p>
            <w:pPr>
              <w:pStyle w:val="TableContents"/>
              <w:spacing w:before="0" w:after="283"/>
              <w:rPr>
                <w:sz w:val="4"/>
                <w:szCs w:val="4"/>
              </w:rPr>
            </w:pPr>
            <w:r>
              <w:rPr>
                <w:sz w:val="4"/>
                <w:szCs w:val="4"/>
              </w:rPr>
            </w:r>
          </w:p>
        </w:tc>
        <w:tc>
          <w:tcPr>
            <w:tcW w:w="571" w:type="dxa"/>
            <w:tcBorders/>
            <w:shd w:fill="auto" w:val="clear"/>
            <w:tcMar>
              <w:top w:w="0" w:type="dxa"/>
              <w:left w:w="0" w:type="dxa"/>
            </w:tcMar>
            <w:vAlign w:val="center"/>
          </w:tcPr>
          <w:p>
            <w:pPr>
              <w:pStyle w:val="TableContents"/>
              <w:spacing w:before="0" w:after="283"/>
              <w:rPr/>
            </w:pPr>
            <w:r>
              <w:rPr/>
              <w:t>         </w:t>
            </w:r>
          </w:p>
        </w:tc>
        <w:tc>
          <w:tcPr>
            <w:tcW w:w="300" w:type="dxa"/>
            <w:tcBorders/>
            <w:shd w:fill="auto" w:val="clear"/>
            <w:tcMar>
              <w:top w:w="0" w:type="dxa"/>
              <w:left w:w="0" w:type="dxa"/>
            </w:tcMar>
            <w:vAlign w:val="center"/>
          </w:tcPr>
          <w:p>
            <w:pPr>
              <w:pStyle w:val="TableContents"/>
              <w:spacing w:before="0" w:after="283"/>
              <w:rPr/>
            </w:pPr>
            <w:r>
              <w:rPr/>
              <w:t> </w:t>
            </w:r>
          </w:p>
        </w:tc>
        <w:tc>
          <w:tcPr>
            <w:tcW w:w="8441" w:type="dxa"/>
            <w:tcBorders/>
            <w:shd w:fill="auto" w:val="clear"/>
            <w:tcMar>
              <w:top w:w="0" w:type="dxa"/>
              <w:left w:w="0" w:type="dxa"/>
            </w:tcMar>
            <w:vAlign w:val="center"/>
          </w:tcPr>
          <w:p>
            <w:pPr>
              <w:pStyle w:val="TableContents"/>
              <w:spacing w:before="0" w:after="283"/>
              <w:rPr>
                <w:sz w:val="4"/>
                <w:szCs w:val="4"/>
              </w:rPr>
            </w:pPr>
            <w:r>
              <w:rPr>
                <w:sz w:val="4"/>
                <w:szCs w:val="4"/>
              </w:rPr>
            </w:r>
          </w:p>
        </w:tc>
        <w:tc>
          <w:tcPr>
            <w:tcW w:w="122" w:type="dxa"/>
            <w:tcBorders>
              <w:right w:val="single" w:sz="8" w:space="0" w:color="959595"/>
            </w:tcBorders>
            <w:shd w:fill="auto" w:val="clear"/>
            <w:tcMar>
              <w:top w:w="0" w:type="dxa"/>
              <w:left w:w="0" w:type="dxa"/>
              <w:right w:w="28" w:type="dxa"/>
            </w:tcMar>
            <w:vAlign w:val="center"/>
          </w:tcPr>
          <w:p>
            <w:pPr>
              <w:pStyle w:val="TableContents"/>
              <w:spacing w:before="0" w:after="283"/>
              <w:rPr>
                <w:sz w:val="4"/>
                <w:szCs w:val="4"/>
              </w:rPr>
            </w:pPr>
            <w:r>
              <w:rPr>
                <w:sz w:val="4"/>
                <w:szCs w:val="4"/>
              </w:rPr>
            </w:r>
          </w:p>
        </w:tc>
      </w:tr>
      <w:tr>
        <w:trPr/>
        <w:tc>
          <w:tcPr>
            <w:tcW w:w="120" w:type="dxa"/>
            <w:tcBorders>
              <w:left w:val="single" w:sz="8" w:space="0" w:color="959595"/>
            </w:tcBorders>
            <w:shd w:fill="auto" w:val="clear"/>
            <w:tcMar>
              <w:top w:w="0" w:type="dxa"/>
            </w:tcMar>
            <w:vAlign w:val="center"/>
          </w:tcPr>
          <w:p>
            <w:pPr>
              <w:pStyle w:val="TableContents"/>
              <w:spacing w:before="0" w:after="283"/>
              <w:rPr>
                <w:sz w:val="4"/>
                <w:szCs w:val="4"/>
              </w:rPr>
            </w:pPr>
            <w:r>
              <w:rPr>
                <w:sz w:val="4"/>
                <w:szCs w:val="4"/>
              </w:rPr>
            </w:r>
          </w:p>
        </w:tc>
        <w:tc>
          <w:tcPr>
            <w:tcW w:w="651" w:type="dxa"/>
            <w:tcBorders/>
            <w:shd w:fill="auto" w:val="clear"/>
            <w:tcMar>
              <w:top w:w="0" w:type="dxa"/>
              <w:left w:w="0" w:type="dxa"/>
            </w:tcMar>
            <w:vAlign w:val="center"/>
          </w:tcPr>
          <w:p>
            <w:pPr>
              <w:pStyle w:val="TableContents"/>
              <w:spacing w:before="0" w:after="283"/>
              <w:jc w:val="left"/>
              <w:rPr/>
            </w:pPr>
            <w:r>
              <w:rPr/>
              <w:drawing>
                <wp:inline distT="0" distB="0" distL="0" distR="0">
                  <wp:extent cx="390525" cy="266700"/>
                  <wp:effectExtent l="0" t="0" r="0" b="0"/>
                  <wp:docPr id="209"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133" descr=""/>
                          <pic:cNvPicPr>
                            <a:picLocks noChangeAspect="1" noChangeArrowheads="1"/>
                          </pic:cNvPicPr>
                        </pic:nvPicPr>
                        <pic:blipFill>
                          <a:blip r:embed="rId134"/>
                          <a:srcRect l="-2713" t="-3921" r="-2713" b="-3921"/>
                          <a:stretch>
                            <a:fillRect/>
                          </a:stretch>
                        </pic:blipFill>
                        <pic:spPr bwMode="auto">
                          <a:xfrm>
                            <a:off x="0" y="0"/>
                            <a:ext cx="390525" cy="266700"/>
                          </a:xfrm>
                          <a:prstGeom prst="rect">
                            <a:avLst/>
                          </a:prstGeom>
                          <a:ln w="635">
                            <a:solidFill>
                              <a:srgbClr val="000000"/>
                            </a:solidFill>
                          </a:ln>
                        </pic:spPr>
                      </pic:pic>
                    </a:graphicData>
                  </a:graphic>
                </wp:inline>
              </w:drawing>
            </w:r>
          </w:p>
        </w:tc>
        <w:tc>
          <w:tcPr>
            <w:tcW w:w="9312" w:type="dxa"/>
            <w:gridSpan w:val="3"/>
            <w:tcBorders/>
            <w:shd w:fill="auto" w:val="clear"/>
            <w:tcMar>
              <w:top w:w="0" w:type="dxa"/>
              <w:left w:w="0" w:type="dxa"/>
            </w:tcMar>
            <w:vAlign w:val="center"/>
          </w:tcPr>
          <w:p>
            <w:pPr>
              <w:pStyle w:val="TableContents"/>
              <w:spacing w:before="0" w:after="0"/>
              <w:jc w:val="left"/>
              <w:rPr>
                <w:rFonts w:ascii="Arial" w:hAnsi="Arial"/>
                <w:b/>
                <w:sz w:val="20"/>
              </w:rPr>
            </w:pPr>
            <w:r>
              <w:rPr>
                <w:rFonts w:ascii="Arial" w:hAnsi="Arial"/>
                <w:b/>
                <w:sz w:val="20"/>
              </w:rPr>
              <w:t>Our Board unanimously recommends that shareholders vote “AGAINST” this shareholder proposal.</w:t>
            </w:r>
          </w:p>
        </w:tc>
        <w:tc>
          <w:tcPr>
            <w:tcW w:w="122" w:type="dxa"/>
            <w:tcBorders>
              <w:right w:val="single" w:sz="8" w:space="0" w:color="959595"/>
            </w:tcBorders>
            <w:shd w:fill="auto" w:val="clear"/>
            <w:tcMar>
              <w:top w:w="0" w:type="dxa"/>
              <w:left w:w="0" w:type="dxa"/>
              <w:right w:w="28" w:type="dxa"/>
            </w:tcMar>
            <w:vAlign w:val="center"/>
          </w:tcPr>
          <w:p>
            <w:pPr>
              <w:pStyle w:val="TableContents"/>
              <w:spacing w:before="0" w:after="283"/>
              <w:rPr>
                <w:sz w:val="4"/>
                <w:szCs w:val="4"/>
              </w:rPr>
            </w:pPr>
            <w:r>
              <w:rPr>
                <w:sz w:val="4"/>
                <w:szCs w:val="4"/>
              </w:rPr>
            </w:r>
          </w:p>
        </w:tc>
      </w:tr>
      <w:tr>
        <w:trPr/>
        <w:tc>
          <w:tcPr>
            <w:tcW w:w="120" w:type="dxa"/>
            <w:tcBorders>
              <w:left w:val="single" w:sz="8" w:space="0" w:color="959595"/>
              <w:bottom w:val="single" w:sz="8" w:space="0" w:color="959595"/>
            </w:tcBorders>
            <w:shd w:fill="auto" w:val="clear"/>
            <w:tcMar>
              <w:top w:w="0" w:type="dxa"/>
              <w:bottom w:w="28" w:type="dxa"/>
            </w:tcMar>
            <w:vAlign w:val="center"/>
          </w:tcPr>
          <w:p>
            <w:pPr>
              <w:pStyle w:val="TableContents"/>
              <w:spacing w:before="0" w:after="283"/>
              <w:jc w:val="left"/>
              <w:rPr/>
            </w:pPr>
            <w:r>
              <w:rPr/>
              <w:t> </w:t>
            </w:r>
          </w:p>
        </w:tc>
        <w:tc>
          <w:tcPr>
            <w:tcW w:w="651" w:type="dxa"/>
            <w:tcBorders>
              <w:bottom w:val="single" w:sz="8" w:space="0" w:color="959595"/>
            </w:tcBorders>
            <w:shd w:fill="auto" w:val="clear"/>
            <w:tcMar>
              <w:top w:w="0" w:type="dxa"/>
              <w:left w:w="0" w:type="dxa"/>
              <w:bottom w:w="28" w:type="dxa"/>
            </w:tcMar>
            <w:vAlign w:val="center"/>
          </w:tcPr>
          <w:p>
            <w:pPr>
              <w:pStyle w:val="TableContents"/>
              <w:spacing w:before="0" w:after="283"/>
              <w:rPr>
                <w:sz w:val="4"/>
                <w:szCs w:val="4"/>
              </w:rPr>
            </w:pPr>
            <w:r>
              <w:rPr>
                <w:sz w:val="4"/>
                <w:szCs w:val="4"/>
              </w:rPr>
            </w:r>
          </w:p>
        </w:tc>
        <w:tc>
          <w:tcPr>
            <w:tcW w:w="571" w:type="dxa"/>
            <w:tcBorders>
              <w:bottom w:val="single" w:sz="8" w:space="0" w:color="959595"/>
            </w:tcBorders>
            <w:shd w:fill="auto" w:val="clear"/>
            <w:tcMar>
              <w:top w:w="0" w:type="dxa"/>
              <w:left w:w="0" w:type="dxa"/>
              <w:bottom w:w="28" w:type="dxa"/>
            </w:tcMar>
            <w:vAlign w:val="center"/>
          </w:tcPr>
          <w:p>
            <w:pPr>
              <w:pStyle w:val="TableContents"/>
              <w:spacing w:before="0" w:after="283"/>
              <w:rPr/>
            </w:pPr>
            <w:r>
              <w:rPr/>
              <w:t> </w:t>
            </w:r>
          </w:p>
        </w:tc>
        <w:tc>
          <w:tcPr>
            <w:tcW w:w="300" w:type="dxa"/>
            <w:tcBorders>
              <w:bottom w:val="single" w:sz="8" w:space="0" w:color="959595"/>
            </w:tcBorders>
            <w:shd w:fill="auto" w:val="clear"/>
            <w:tcMar>
              <w:top w:w="0" w:type="dxa"/>
              <w:left w:w="0" w:type="dxa"/>
              <w:bottom w:w="28" w:type="dxa"/>
            </w:tcMar>
            <w:vAlign w:val="center"/>
          </w:tcPr>
          <w:p>
            <w:pPr>
              <w:pStyle w:val="TableContents"/>
              <w:spacing w:before="0" w:after="283"/>
              <w:rPr/>
            </w:pPr>
            <w:r>
              <w:rPr/>
              <w:t> </w:t>
            </w:r>
          </w:p>
        </w:tc>
        <w:tc>
          <w:tcPr>
            <w:tcW w:w="8441" w:type="dxa"/>
            <w:tcBorders>
              <w:bottom w:val="single" w:sz="8" w:space="0" w:color="959595"/>
            </w:tcBorders>
            <w:shd w:fill="auto" w:val="clear"/>
            <w:tcMar>
              <w:top w:w="0" w:type="dxa"/>
              <w:left w:w="0" w:type="dxa"/>
              <w:bottom w:w="28" w:type="dxa"/>
            </w:tcMar>
            <w:vAlign w:val="center"/>
          </w:tcPr>
          <w:p>
            <w:pPr>
              <w:pStyle w:val="TableContents"/>
              <w:spacing w:before="0" w:after="283"/>
              <w:rPr>
                <w:sz w:val="4"/>
                <w:szCs w:val="4"/>
              </w:rPr>
            </w:pPr>
            <w:r>
              <w:rPr>
                <w:sz w:val="4"/>
                <w:szCs w:val="4"/>
              </w:rPr>
            </w:r>
          </w:p>
        </w:tc>
        <w:tc>
          <w:tcPr>
            <w:tcW w:w="122" w:type="dxa"/>
            <w:tcBorders>
              <w:bottom w:val="single" w:sz="8" w:space="0" w:color="959595"/>
              <w:right w:val="single" w:sz="8" w:space="0" w:color="959595"/>
            </w:tcBorders>
            <w:shd w:fill="auto" w:val="clear"/>
            <w:tcMar>
              <w:top w:w="0" w:type="dxa"/>
              <w:left w:w="0" w:type="dxa"/>
              <w:bottom w:w="28" w:type="dxa"/>
              <w:right w:w="28" w:type="dxa"/>
            </w:tcMar>
            <w:vAlign w:val="center"/>
          </w:tcPr>
          <w:p>
            <w:pPr>
              <w:pStyle w:val="TableContents"/>
              <w:spacing w:before="0" w:after="283"/>
              <w:rPr>
                <w:sz w:val="4"/>
                <w:szCs w:val="4"/>
              </w:rPr>
            </w:pPr>
            <w:r>
              <w:rPr>
                <w:sz w:val="4"/>
                <w:szCs w:val="4"/>
              </w:rPr>
            </w:r>
          </w:p>
        </w:tc>
      </w:tr>
    </w:tbl>
    <w:p>
      <w:pPr>
        <w:pStyle w:val="TextBody"/>
        <w:spacing w:before="240" w:after="283"/>
        <w:jc w:val="left"/>
        <w:rPr>
          <w:rFonts w:ascii="Arial" w:hAnsi="Arial"/>
          <w:sz w:val="20"/>
        </w:rPr>
      </w:pPr>
      <w:r>
        <w:rPr>
          <w:rFonts w:ascii="Arial" w:hAnsi="Arial"/>
          <w:sz w:val="20"/>
        </w:rPr>
        <w:t>The following proposal and supporting statement were submitted by the SEIU Master Trust, 1800 Massachusetts Ave NW, Suite 301, Washington, D.C. 20036 and various co-filers.</w:t>
      </w:r>
    </w:p>
    <w:p>
      <w:pPr>
        <w:pStyle w:val="TextBody"/>
        <w:jc w:val="left"/>
        <w:rPr>
          <w:rFonts w:ascii="Arial" w:hAnsi="Arial"/>
          <w:color w:val="00A1E0"/>
          <w:sz w:val="28"/>
        </w:rPr>
      </w:pPr>
      <w:r>
        <w:rPr>
          <w:rFonts w:ascii="Arial" w:hAnsi="Arial"/>
          <w:color w:val="00A1E0"/>
          <w:sz w:val="28"/>
        </w:rPr>
        <w:t>Supporting Statement</w:t>
      </w:r>
    </w:p>
    <w:p>
      <w:pPr>
        <w:pStyle w:val="TextBody"/>
        <w:jc w:val="left"/>
        <w:rPr>
          <w:rFonts w:ascii="Arial" w:hAnsi="Arial"/>
          <w:sz w:val="20"/>
        </w:rPr>
      </w:pPr>
      <w:r>
        <w:rPr>
          <w:rFonts w:ascii="Arial" w:hAnsi="Arial"/>
          <w:sz w:val="20"/>
        </w:rPr>
        <w:t>RESOLVED that shareholders of Comcast Corporation (“Comcast”) urge the Board of Directors to oversee an independent racial equity audit analyzing Comcast’s adverse impacts on nonwhite stakeholders and communities of color and describing the steps, if any, Comcast plans to take to mitigate those impacts. Input from civil rights organizations, employees, and customers should be considered in determining the specific matters to be analyzed. A report on the audit, prepared at reasonable cost and omitting confidential and proprietary information, should be publicly disclosed on Comcast’s website.</w:t>
      </w:r>
    </w:p>
    <w:p>
      <w:pPr>
        <w:pStyle w:val="TextBody"/>
        <w:jc w:val="center"/>
        <w:rPr>
          <w:rFonts w:ascii="Arial" w:hAnsi="Arial"/>
          <w:sz w:val="20"/>
        </w:rPr>
      </w:pPr>
      <w:r>
        <w:rPr>
          <w:rFonts w:ascii="Arial" w:hAnsi="Arial"/>
          <w:sz w:val="20"/>
        </w:rPr>
        <w:t>SUPPORTING STATEMENT</w:t>
      </w:r>
    </w:p>
    <w:p>
      <w:pPr>
        <w:pStyle w:val="TextBody"/>
        <w:jc w:val="left"/>
        <w:rPr>
          <w:rFonts w:ascii="Arial" w:hAnsi="Arial"/>
          <w:sz w:val="20"/>
        </w:rPr>
      </w:pPr>
      <w:r>
        <w:rPr>
          <w:rFonts w:ascii="Arial" w:hAnsi="Arial"/>
          <w:sz w:val="20"/>
        </w:rPr>
        <w:t>High-profile police killings of Black people have galvanized the movement for racial justice. That movement, together with the disproportionate impacts of the COVID-19 pandemic, have focused the attention of the media, the public and policy makers on systemic racism, racialized violence and other inequities.</w:t>
      </w:r>
    </w:p>
    <w:p>
      <w:pPr>
        <w:pStyle w:val="TextBody"/>
        <w:jc w:val="left"/>
        <w:rPr>
          <w:rFonts w:ascii="Arial" w:hAnsi="Arial"/>
          <w:sz w:val="20"/>
        </w:rPr>
      </w:pPr>
      <w:r>
        <w:rPr>
          <w:rFonts w:ascii="Arial" w:hAnsi="Arial"/>
          <w:sz w:val="20"/>
        </w:rPr>
        <w:t>Several aspects of Comcast’s business and operations suggest that a racial equity audit would be useful. Although Comcast touts the fact that its diversity programs have resulted in the “most inclusive employee representation” since Comcast began reporting diversity data,</w:t>
      </w:r>
      <w:r>
        <w:rPr>
          <w:rFonts w:ascii="Arial" w:hAnsi="Arial"/>
          <w:position w:val="7"/>
          <w:sz w:val="16"/>
          <w:sz w:val="20"/>
        </w:rPr>
        <w:t xml:space="preserve">1 </w:t>
      </w:r>
      <w:r>
        <w:rPr>
          <w:rFonts w:ascii="Arial" w:hAnsi="Arial"/>
          <w:sz w:val="20"/>
        </w:rPr>
        <w:t>representation in senior management continues to lag. According to EEO-1 data for 2021, only 6.6% of Comcast’s executives/senior officers are Black, compared to 18.1% of the workforce generally.</w:t>
      </w:r>
      <w:r>
        <w:rPr>
          <w:rFonts w:ascii="Arial" w:hAnsi="Arial"/>
          <w:position w:val="7"/>
          <w:sz w:val="16"/>
          <w:sz w:val="20"/>
        </w:rPr>
        <w:t xml:space="preserve">2 </w:t>
      </w:r>
    </w:p>
    <w:p>
      <w:pPr>
        <w:pStyle w:val="TextBody"/>
        <w:jc w:val="left"/>
        <w:rPr>
          <w:rFonts w:ascii="Arial" w:hAnsi="Arial"/>
          <w:sz w:val="20"/>
        </w:rPr>
      </w:pPr>
      <w:r>
        <w:rPr>
          <w:rFonts w:ascii="Arial" w:hAnsi="Arial"/>
          <w:sz w:val="20"/>
        </w:rPr>
        <w:t>In October 2020, Comcast entered into a conciliation agreement with the U.S. Labor Department to resolve allegations of pay discrimination against Black and Latino employees. Comcast denied the allegations, but agreed to back pay and interest plus salary adjustments.</w:t>
      </w:r>
      <w:r>
        <w:rPr>
          <w:rFonts w:ascii="Arial" w:hAnsi="Arial"/>
          <w:position w:val="7"/>
          <w:sz w:val="16"/>
          <w:sz w:val="20"/>
        </w:rPr>
        <w:t>3</w:t>
      </w:r>
    </w:p>
    <w:p>
      <w:pPr>
        <w:pStyle w:val="TextBody"/>
        <w:jc w:val="left"/>
        <w:rPr>
          <w:rFonts w:ascii="Arial" w:hAnsi="Arial"/>
          <w:sz w:val="20"/>
        </w:rPr>
      </w:pPr>
      <w:r>
        <w:rPr>
          <w:rFonts w:ascii="Arial" w:hAnsi="Arial"/>
          <w:sz w:val="20"/>
        </w:rPr>
        <w:t>Comcast has sponsored the Philadelphia Police Foundation’s annual gala,</w:t>
      </w:r>
      <w:r>
        <w:rPr>
          <w:rFonts w:ascii="Arial" w:hAnsi="Arial"/>
          <w:position w:val="7"/>
          <w:sz w:val="16"/>
          <w:sz w:val="20"/>
        </w:rPr>
        <w:t xml:space="preserve">4 </w:t>
      </w:r>
      <w:r>
        <w:rPr>
          <w:rFonts w:ascii="Arial" w:hAnsi="Arial"/>
          <w:sz w:val="20"/>
        </w:rPr>
        <w:t>though donor information is no longer provided on the organization’s web site. Police foundations bypass normal procurement processes to buy equipment for police departments, including surveillance technology used to target communities of color and nonviolent protestors.</w:t>
      </w:r>
      <w:r>
        <w:rPr>
          <w:rFonts w:ascii="Arial" w:hAnsi="Arial"/>
          <w:position w:val="7"/>
          <w:sz w:val="16"/>
          <w:sz w:val="20"/>
        </w:rPr>
        <w:t>5</w:t>
      </w:r>
    </w:p>
    <w:p>
      <w:pPr>
        <w:pStyle w:val="TextBody"/>
        <w:jc w:val="left"/>
        <w:rPr>
          <w:rFonts w:ascii="Arial" w:hAnsi="Arial"/>
          <w:sz w:val="20"/>
        </w:rPr>
      </w:pPr>
      <w:r>
        <w:rPr>
          <w:rFonts w:ascii="Arial" w:hAnsi="Arial"/>
          <w:sz w:val="20"/>
        </w:rPr>
        <w:t>Despite claiming that “[e]fforts to limit or impede access to this vital constitutional [voting] right for any citizen are not consistent with our values,” Comcast donated to several state lawmakers who sponsored legislation restricting access to voting. Among those recipients was Florida state senator Dennis Baxley, the only sponsor of a bill, later signed into law, that criminalized providing water to voters in line and limited availability of drop boxes, among other measures.</w:t>
      </w:r>
      <w:r>
        <w:rPr>
          <w:rFonts w:ascii="Arial" w:hAnsi="Arial"/>
          <w:position w:val="7"/>
          <w:sz w:val="16"/>
          <w:sz w:val="20"/>
        </w:rPr>
        <w:t xml:space="preserve">6 </w:t>
      </w:r>
      <w:r>
        <w:rPr>
          <w:rFonts w:ascii="Arial" w:hAnsi="Arial"/>
          <w:sz w:val="20"/>
        </w:rPr>
        <w:t>Voting restrictions have already exacerbated racial turnout gaps, and two states that adopted them are being sued for intentionally discriminating against nonwhite voters.</w:t>
      </w:r>
      <w:r>
        <w:rPr>
          <w:rFonts w:ascii="Arial" w:hAnsi="Arial"/>
          <w:position w:val="7"/>
          <w:sz w:val="16"/>
          <w:sz w:val="20"/>
        </w:rPr>
        <w:t>7</w:t>
      </w:r>
    </w:p>
    <w:p>
      <w:pPr>
        <w:pStyle w:val="TextBody"/>
        <w:jc w:val="left"/>
        <w:rPr>
          <w:rFonts w:ascii="Arial" w:hAnsi="Arial"/>
          <w:sz w:val="20"/>
        </w:rPr>
      </w:pPr>
      <w:r>
        <w:rPr>
          <w:rFonts w:ascii="Arial" w:hAnsi="Arial"/>
          <w:sz w:val="20"/>
        </w:rPr>
        <w:t>During the 2022 election cycle, Comcast’s political action committee gave $365,000 to members of Congress who voted to overturn the results of the presidential election,</w:t>
      </w:r>
      <w:r>
        <w:rPr>
          <w:rFonts w:ascii="Arial" w:hAnsi="Arial"/>
          <w:position w:val="7"/>
          <w:sz w:val="16"/>
          <w:sz w:val="20"/>
        </w:rPr>
        <w:t xml:space="preserve">8 </w:t>
      </w:r>
      <w:r>
        <w:rPr>
          <w:rFonts w:ascii="Arial" w:hAnsi="Arial"/>
          <w:sz w:val="20"/>
        </w:rPr>
        <w:t>an action some viewed as an “attack on the voting rights of people of color.”</w:t>
      </w:r>
      <w:r>
        <w:rPr>
          <w:rFonts w:ascii="Arial" w:hAnsi="Arial"/>
          <w:position w:val="7"/>
          <w:sz w:val="16"/>
          <w:sz w:val="20"/>
        </w:rPr>
        <w:t xml:space="preserve">9 </w:t>
      </w:r>
      <w:r>
        <w:rPr>
          <w:rFonts w:ascii="Arial" w:hAnsi="Arial"/>
          <w:sz w:val="20"/>
        </w:rPr>
        <w:t>Trade associations of which Comcast is a member have also donated to election objectors.</w:t>
      </w:r>
      <w:r>
        <w:rPr>
          <w:rFonts w:ascii="Arial" w:hAnsi="Arial"/>
          <w:position w:val="7"/>
          <w:sz w:val="16"/>
          <w:sz w:val="20"/>
        </w:rPr>
        <w:t xml:space="preserve">10 </w:t>
      </w:r>
    </w:p>
    <w:p>
      <w:pPr>
        <w:pStyle w:val="TextBody"/>
        <w:jc w:val="left"/>
        <w:rPr>
          <w:rFonts w:ascii="Arial" w:hAnsi="Arial"/>
          <w:sz w:val="20"/>
        </w:rPr>
      </w:pPr>
      <w:r>
        <w:rPr>
          <w:rFonts w:ascii="Arial" w:hAnsi="Arial"/>
          <w:sz w:val="20"/>
        </w:rPr>
        <w:t>We urge Comcast to assess its behavior through a racial equity lens in order to obtain a complete picture of how it contributes to, and could help dismantle, systemic racism.</w:t>
      </w:r>
    </w:p>
    <w:p>
      <w:pPr>
        <w:pStyle w:val="TextBody"/>
        <w:spacing w:before="0" w:after="240"/>
        <w:rPr/>
      </w:pPr>
      <w:r>
        <w:rPr/>
        <w:t>____________________</w:t>
      </w:r>
    </w:p>
    <w:tbl>
      <w:tblPr>
        <w:tblW w:w="10205" w:type="dxa"/>
        <w:jc w:val="left"/>
        <w:tblInd w:w="0" w:type="dxa"/>
        <w:tblCellMar>
          <w:top w:w="0" w:type="dxa"/>
          <w:left w:w="0" w:type="dxa"/>
          <w:bottom w:w="0" w:type="dxa"/>
          <w:right w:w="0" w:type="dxa"/>
        </w:tblCellMar>
      </w:tblPr>
      <w:tblGrid>
        <w:gridCol w:w="140"/>
        <w:gridCol w:w="10065"/>
      </w:tblGrid>
      <w:tr>
        <w:trPr/>
        <w:tc>
          <w:tcPr>
            <w:tcW w:w="140"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1</w:t>
            </w:r>
          </w:p>
        </w:tc>
        <w:tc>
          <w:tcPr>
            <w:tcW w:w="10065" w:type="dxa"/>
            <w:tcBorders/>
            <w:shd w:fill="auto" w:val="clear"/>
            <w:vAlign w:val="center"/>
          </w:tcPr>
          <w:p>
            <w:pPr>
              <w:pStyle w:val="TableContents"/>
              <w:spacing w:before="0" w:after="283"/>
              <w:jc w:val="left"/>
              <w:rPr>
                <w:rFonts w:ascii="Arial" w:hAnsi="Arial"/>
                <w:i/>
                <w:sz w:val="15"/>
              </w:rPr>
            </w:pPr>
            <w:r>
              <w:rPr>
                <w:rFonts w:ascii="Arial" w:hAnsi="Arial"/>
                <w:i/>
                <w:sz w:val="15"/>
              </w:rPr>
              <w:t>corporate.comcast.com/stories/reflecting-successes-looking-ahead-unwavering-commitment</w:t>
            </w:r>
          </w:p>
        </w:tc>
      </w:tr>
      <w:tr>
        <w:trPr/>
        <w:tc>
          <w:tcPr>
            <w:tcW w:w="140"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2</w:t>
            </w:r>
          </w:p>
        </w:tc>
        <w:tc>
          <w:tcPr>
            <w:tcW w:w="10065" w:type="dxa"/>
            <w:tcBorders/>
            <w:shd w:fill="auto" w:val="clear"/>
            <w:vAlign w:val="center"/>
          </w:tcPr>
          <w:p>
            <w:pPr>
              <w:pStyle w:val="TableContents"/>
              <w:spacing w:before="0" w:after="283"/>
              <w:jc w:val="left"/>
              <w:rPr>
                <w:rFonts w:ascii="Arial" w:hAnsi="Arial"/>
                <w:i/>
                <w:sz w:val="15"/>
              </w:rPr>
            </w:pPr>
            <w:r>
              <w:rPr>
                <w:rFonts w:ascii="Arial" w:hAnsi="Arial"/>
                <w:i/>
                <w:sz w:val="15"/>
              </w:rPr>
              <w:t xml:space="preserve">cmcsa.gcs-web.com/static-files/1d6d3ef6-d2d4-4c13-b452-7917b90e0032 </w:t>
            </w:r>
          </w:p>
        </w:tc>
      </w:tr>
      <w:tr>
        <w:trPr/>
        <w:tc>
          <w:tcPr>
            <w:tcW w:w="140"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3</w:t>
            </w:r>
          </w:p>
        </w:tc>
        <w:tc>
          <w:tcPr>
            <w:tcW w:w="10065" w:type="dxa"/>
            <w:tcBorders/>
            <w:shd w:fill="auto" w:val="clear"/>
            <w:vAlign w:val="center"/>
          </w:tcPr>
          <w:p>
            <w:pPr>
              <w:pStyle w:val="TableContents"/>
              <w:spacing w:before="0" w:after="283"/>
              <w:jc w:val="left"/>
              <w:rPr>
                <w:rFonts w:ascii="Arial" w:hAnsi="Arial"/>
                <w:i/>
                <w:sz w:val="15"/>
              </w:rPr>
            </w:pPr>
            <w:r>
              <w:rPr>
                <w:rFonts w:ascii="Arial" w:hAnsi="Arial"/>
                <w:i/>
                <w:sz w:val="15"/>
              </w:rPr>
              <w:t>www.dol.gov/newsroom/releases/ofccp/ofccp20201014</w:t>
            </w:r>
          </w:p>
        </w:tc>
      </w:tr>
      <w:tr>
        <w:trPr/>
        <w:tc>
          <w:tcPr>
            <w:tcW w:w="140"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4</w:t>
            </w:r>
          </w:p>
        </w:tc>
        <w:tc>
          <w:tcPr>
            <w:tcW w:w="10065" w:type="dxa"/>
            <w:tcBorders/>
            <w:shd w:fill="auto" w:val="clear"/>
            <w:vAlign w:val="center"/>
          </w:tcPr>
          <w:p>
            <w:pPr>
              <w:pStyle w:val="TableContents"/>
              <w:spacing w:before="0" w:after="283"/>
              <w:jc w:val="left"/>
              <w:rPr>
                <w:rFonts w:ascii="Arial" w:hAnsi="Arial"/>
                <w:i/>
                <w:sz w:val="15"/>
              </w:rPr>
            </w:pPr>
            <w:r>
              <w:rPr>
                <w:rFonts w:ascii="Arial" w:hAnsi="Arial"/>
                <w:i/>
                <w:sz w:val="15"/>
              </w:rPr>
              <w:t>littlesis.org/oligrapher/5781-philly-police-foundation-corporate-backers-updated</w:t>
            </w:r>
          </w:p>
        </w:tc>
      </w:tr>
      <w:tr>
        <w:trPr/>
        <w:tc>
          <w:tcPr>
            <w:tcW w:w="140"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5</w:t>
            </w:r>
          </w:p>
        </w:tc>
        <w:tc>
          <w:tcPr>
            <w:tcW w:w="10065" w:type="dxa"/>
            <w:tcBorders/>
            <w:shd w:fill="auto" w:val="clear"/>
            <w:vAlign w:val="center"/>
          </w:tcPr>
          <w:p>
            <w:pPr>
              <w:pStyle w:val="TableContents"/>
              <w:spacing w:before="0" w:after="283"/>
              <w:jc w:val="left"/>
              <w:rPr>
                <w:rFonts w:ascii="Arial" w:hAnsi="Arial"/>
                <w:i/>
                <w:sz w:val="15"/>
              </w:rPr>
            </w:pPr>
            <w:r>
              <w:rPr>
                <w:rFonts w:ascii="Arial" w:hAnsi="Arial"/>
                <w:i/>
                <w:sz w:val="15"/>
              </w:rPr>
              <w:t>policefoundations.org/wp-content/uploads/2021/10/Color-Of-Change-Report-Police-Foundations-A-Corporate-Sponsored-Threat-to-Democracy-Black-Lives.pdf</w:t>
            </w:r>
          </w:p>
        </w:tc>
      </w:tr>
      <w:tr>
        <w:trPr/>
        <w:tc>
          <w:tcPr>
            <w:tcW w:w="140"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6</w:t>
            </w:r>
          </w:p>
        </w:tc>
        <w:tc>
          <w:tcPr>
            <w:tcW w:w="10065" w:type="dxa"/>
            <w:tcBorders/>
            <w:shd w:fill="auto" w:val="clear"/>
            <w:vAlign w:val="center"/>
          </w:tcPr>
          <w:p>
            <w:pPr>
              <w:pStyle w:val="TableContents"/>
              <w:spacing w:before="0" w:after="283"/>
              <w:jc w:val="left"/>
              <w:rPr>
                <w:rFonts w:ascii="Arial" w:hAnsi="Arial"/>
                <w:i/>
                <w:sz w:val="15"/>
              </w:rPr>
            </w:pPr>
            <w:r>
              <w:rPr>
                <w:rFonts w:ascii="Arial" w:hAnsi="Arial"/>
                <w:i/>
                <w:sz w:val="15"/>
              </w:rPr>
              <w:t>prospect.org/power/major-us-companies-slam-voter-suppression-laws-then-donate-to-their-sponsors/</w:t>
            </w:r>
          </w:p>
        </w:tc>
      </w:tr>
      <w:tr>
        <w:trPr/>
        <w:tc>
          <w:tcPr>
            <w:tcW w:w="140"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7</w:t>
            </w:r>
          </w:p>
        </w:tc>
        <w:tc>
          <w:tcPr>
            <w:tcW w:w="10065" w:type="dxa"/>
            <w:tcBorders/>
            <w:shd w:fill="auto" w:val="clear"/>
            <w:vAlign w:val="center"/>
          </w:tcPr>
          <w:p>
            <w:pPr>
              <w:pStyle w:val="TableContents"/>
              <w:spacing w:before="0" w:after="283"/>
              <w:jc w:val="left"/>
              <w:rPr>
                <w:rFonts w:ascii="Arial" w:hAnsi="Arial"/>
                <w:i/>
                <w:sz w:val="15"/>
              </w:rPr>
            </w:pPr>
            <w:r>
              <w:rPr>
                <w:rFonts w:ascii="Arial" w:hAnsi="Arial"/>
                <w:i/>
                <w:sz w:val="15"/>
              </w:rPr>
              <w:t>www.brennancenter.org/our-work/analysis-opinion/how-voter-suppression-legislation-tied-race</w:t>
            </w:r>
          </w:p>
        </w:tc>
      </w:tr>
      <w:tr>
        <w:trPr/>
        <w:tc>
          <w:tcPr>
            <w:tcW w:w="140"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8</w:t>
            </w:r>
          </w:p>
        </w:tc>
        <w:tc>
          <w:tcPr>
            <w:tcW w:w="10065" w:type="dxa"/>
            <w:tcBorders/>
            <w:shd w:fill="auto" w:val="clear"/>
            <w:vAlign w:val="center"/>
          </w:tcPr>
          <w:p>
            <w:pPr>
              <w:pStyle w:val="TableContents"/>
              <w:spacing w:before="0" w:after="283"/>
              <w:jc w:val="left"/>
              <w:rPr>
                <w:rFonts w:ascii="Arial" w:hAnsi="Arial"/>
                <w:i/>
                <w:sz w:val="15"/>
              </w:rPr>
            </w:pPr>
            <w:r>
              <w:rPr>
                <w:rFonts w:ascii="Arial" w:hAnsi="Arial"/>
                <w:i/>
                <w:sz w:val="15"/>
              </w:rPr>
              <w:t>edition.cnn.com/interactive/2021/01/business/corporate-pac-suspensions/</w:t>
            </w:r>
          </w:p>
        </w:tc>
      </w:tr>
      <w:tr>
        <w:trPr/>
        <w:tc>
          <w:tcPr>
            <w:tcW w:w="140"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9</w:t>
            </w:r>
          </w:p>
        </w:tc>
        <w:tc>
          <w:tcPr>
            <w:tcW w:w="10065" w:type="dxa"/>
            <w:tcBorders/>
            <w:shd w:fill="auto" w:val="clear"/>
            <w:vAlign w:val="center"/>
          </w:tcPr>
          <w:p>
            <w:pPr>
              <w:pStyle w:val="TableContents"/>
              <w:spacing w:before="0" w:after="283"/>
              <w:jc w:val="left"/>
              <w:rPr>
                <w:rFonts w:ascii="Arial" w:hAnsi="Arial"/>
                <w:i/>
                <w:sz w:val="15"/>
              </w:rPr>
            </w:pPr>
            <w:r>
              <w:rPr>
                <w:rFonts w:ascii="Arial" w:hAnsi="Arial"/>
                <w:i/>
                <w:sz w:val="15"/>
              </w:rPr>
              <w:t>www.nytimes.com/2021/01/15/us/politics/lankford-apology-election-biden.html</w:t>
            </w:r>
          </w:p>
        </w:tc>
      </w:tr>
      <w:tr>
        <w:trPr/>
        <w:tc>
          <w:tcPr>
            <w:tcW w:w="140"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10</w:t>
            </w:r>
          </w:p>
        </w:tc>
        <w:tc>
          <w:tcPr>
            <w:tcW w:w="10065" w:type="dxa"/>
            <w:tcBorders/>
            <w:shd w:fill="auto" w:val="clear"/>
            <w:vAlign w:val="center"/>
          </w:tcPr>
          <w:p>
            <w:pPr>
              <w:pStyle w:val="TableContents"/>
              <w:spacing w:before="0" w:after="283"/>
              <w:jc w:val="left"/>
              <w:rPr>
                <w:rFonts w:ascii="Arial" w:hAnsi="Arial"/>
                <w:i/>
                <w:sz w:val="15"/>
              </w:rPr>
            </w:pPr>
            <w:r>
              <w:rPr>
                <w:rFonts w:ascii="Arial" w:hAnsi="Arial"/>
                <w:i/>
                <w:sz w:val="15"/>
              </w:rPr>
              <w:t>update.comcast.com/wp-content/uploads/sites/33/dlm_uploads/2021/06/Trade-Associations-and-Other-501c6-and-501c4-Organization-Disclosure.pdf; see also www.fec.gov/data/committee/C00082040/?tab=spending</w:t>
            </w:r>
          </w:p>
        </w:tc>
      </w:tr>
    </w:tbl>
    <w:p>
      <w:pPr>
        <w:pStyle w:val="TextBody"/>
        <w:spacing w:before="0" w:after="0"/>
        <w:rPr/>
      </w:pPr>
      <w:r>
        <w:rPr/>
      </w:r>
    </w:p>
    <w:tbl>
      <w:tblPr>
        <w:tblW w:w="2200" w:type="dxa"/>
        <w:jc w:val="left"/>
        <w:tblInd w:w="0" w:type="dxa"/>
        <w:tblCellMar>
          <w:top w:w="0" w:type="dxa"/>
          <w:left w:w="0" w:type="dxa"/>
          <w:bottom w:w="0" w:type="dxa"/>
          <w:right w:w="0" w:type="dxa"/>
        </w:tblCellMar>
      </w:tblPr>
      <w:tblGrid>
        <w:gridCol w:w="1580"/>
        <w:gridCol w:w="620"/>
      </w:tblGrid>
      <w:tr>
        <w:trPr/>
        <w:tc>
          <w:tcPr>
            <w:tcW w:w="1580" w:type="dxa"/>
            <w:tcBorders/>
            <w:shd w:fill="auto" w:val="clear"/>
            <w:vAlign w:val="center"/>
          </w:tcPr>
          <w:p>
            <w:pPr>
              <w:pStyle w:val="TableContents"/>
              <w:spacing w:before="0" w:after="283"/>
              <w:jc w:val="right"/>
              <w:rPr>
                <w:rFonts w:ascii="Arial" w:hAnsi="Arial"/>
                <w:sz w:val="15"/>
              </w:rPr>
            </w:pPr>
            <w:r>
              <w:rPr>
                <w:rFonts w:ascii="Arial" w:hAnsi="Arial"/>
                <w:sz w:val="15"/>
              </w:rPr>
              <w:t>2023 Proxy Statement</w:t>
            </w:r>
          </w:p>
        </w:tc>
        <w:tc>
          <w:tcPr>
            <w:tcW w:w="620" w:type="dxa"/>
            <w:tcBorders/>
            <w:shd w:fill="auto" w:val="clear"/>
            <w:vAlign w:val="center"/>
          </w:tcPr>
          <w:p>
            <w:pPr>
              <w:pStyle w:val="TableContents"/>
              <w:spacing w:before="0" w:after="283"/>
              <w:jc w:val="right"/>
              <w:rPr/>
            </w:pPr>
            <w:r>
              <w:rPr/>
              <w:t>       </w:t>
            </w:r>
            <w:r>
              <w:rPr>
                <w:rFonts w:ascii="Arial" w:hAnsi="Arial"/>
                <w:b/>
                <w:sz w:val="15"/>
              </w:rPr>
              <w:t>67</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p>
      <w:pPr>
        <w:pStyle w:val="TextBody"/>
        <w:jc w:val="left"/>
        <w:rPr>
          <w:rFonts w:ascii="Arial" w:hAnsi="Arial"/>
          <w:color w:val="00A1E0"/>
          <w:sz w:val="28"/>
        </w:rPr>
      </w:pPr>
      <w:r>
        <w:rPr>
          <w:rFonts w:ascii="Arial" w:hAnsi="Arial"/>
          <w:color w:val="00A1E0"/>
          <w:sz w:val="28"/>
        </w:rPr>
        <w:t>Company Response to Shareholder Proposal</w:t>
      </w:r>
    </w:p>
    <w:p>
      <w:pPr>
        <w:pStyle w:val="TextBody"/>
        <w:jc w:val="left"/>
        <w:rPr/>
      </w:pPr>
      <w:r>
        <w:rPr>
          <w:rFonts w:ascii="Arial" w:hAnsi="Arial"/>
          <w:sz w:val="20"/>
        </w:rPr>
        <w:t xml:space="preserve">This proposal, in nearly identical form, appeared in our 2022 proxy statement and was not approved, with 82% of shares voting against it. Our Board has considered the results of last year’s shareholder vote and positive feedback from our largest shareholders on our diversity, equity and inclusion (“DE&amp;I”) efforts and disclosure, including with respect to racial equity in both our workforce and the communities we serve, during investor engagements. Although we share the proponent’s intent to advance racial equity, our Board again recommends </w:t>
      </w:r>
      <w:r>
        <w:rPr>
          <w:rStyle w:val="StrongEmphasis"/>
          <w:rFonts w:ascii="Arial" w:hAnsi="Arial"/>
          <w:sz w:val="20"/>
        </w:rPr>
        <w:t>AGAINST</w:t>
      </w:r>
      <w:r>
        <w:rPr>
          <w:rFonts w:ascii="Arial" w:hAnsi="Arial"/>
          <w:sz w:val="20"/>
        </w:rPr>
        <w:t xml:space="preserve"> this proposal.</w:t>
      </w:r>
    </w:p>
    <w:p>
      <w:pPr>
        <w:pStyle w:val="TextBody"/>
        <w:jc w:val="left"/>
        <w:rPr/>
      </w:pPr>
      <w:r>
        <w:rPr>
          <w:rStyle w:val="Emphasis"/>
          <w:rFonts w:ascii="Arial" w:hAnsi="Arial"/>
          <w:sz w:val="20"/>
          <w:u w:val="single"/>
        </w:rPr>
        <w:t>Executive Summary</w:t>
      </w:r>
      <w:r>
        <w:rPr>
          <w:rStyle w:val="StrongEmphasis"/>
          <w:rFonts w:ascii="Arial" w:hAnsi="Arial"/>
          <w:sz w:val="20"/>
        </w:rPr>
        <w:t>:</w:t>
      </w:r>
    </w:p>
    <w:p>
      <w:pPr>
        <w:pStyle w:val="TextBody"/>
        <w:jc w:val="left"/>
        <w:rPr>
          <w:rFonts w:ascii="Arial" w:hAnsi="Arial"/>
          <w:sz w:val="20"/>
        </w:rPr>
      </w:pPr>
      <w:r>
        <w:rPr>
          <w:rFonts w:ascii="Arial" w:hAnsi="Arial"/>
          <w:sz w:val="20"/>
        </w:rPr>
        <w:t>We have a long-standing commitment to DE&amp;I. Since our founding in 1963, our core values have been rooted in improving the communities where our employees, customers and audiences live and work. Today, those values, including upholding our commitment to DE&amp;I within both our workforce and the communities we serve, are embedded in our culture and governance.</w:t>
      </w:r>
    </w:p>
    <w:p>
      <w:pPr>
        <w:pStyle w:val="TextBody"/>
        <w:jc w:val="left"/>
        <w:rPr>
          <w:rFonts w:ascii="Arial" w:hAnsi="Arial"/>
          <w:sz w:val="20"/>
        </w:rPr>
      </w:pPr>
      <w:r>
        <w:rPr>
          <w:rFonts w:ascii="Arial" w:hAnsi="Arial"/>
          <w:sz w:val="20"/>
        </w:rPr>
        <w:t>We are proud of the progress we have made and the transparency we provide, and we believe that our existing processes and actions fully respond to the spirit of the proposal. We strongly believe that the independent audit called for in this proposal is overly prescriptive in its scope and would not be meaningfully additive to our existing processes or disclosure. At the same time, we believe that there continues to be a lack of detail and standardization as to what specifically the ‘audit’ would seek to review, evaluate or accomplish for this purpose, and that an audit would significantly divert management’s attention and significant resources away from executing toward our core DE&amp;I efforts. As a result, we believe shareholders would be better served with our resources being used to further deepen our extensive DE&amp;I and racial equity efforts, which, similar to our response in last year’s proxy statement, are outlined in more detail below.</w:t>
      </w:r>
    </w:p>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rStyle w:val="StrongEmphasis"/>
                <w:rFonts w:ascii="arial" w:hAnsi="arial"/>
                <w:color w:val="000000"/>
              </w:rPr>
              <w:t>Our ongoing commitments to DE&amp;I already reflect – and will continue to reflect – recommendations from our external DE&amp;I Advisory Council, as well as other third-party advisors, partners and our employees, on ways to further improve and prioritize our efforts.</w:t>
            </w:r>
            <w:r>
              <w:rPr>
                <w:rFonts w:ascii="arial" w:hAnsi="arial"/>
                <w:color w:val="000000"/>
              </w:rPr>
              <w:t xml:space="preserve"> Because we take this work so seriously, our management team is supported by a 14-member external DE&amp;I Advisory Council of national civil rights, academic, political and business leaders representing women and the Black and African American, Asian and Pacific Islander, Indigenous, Hispanic/Latino/ a/e, People with Disabilities and LGBTQ communities. Among its members are leaders of the National Urban League, UnidosUS, National Action Network, Asian Americans Advancing Justice and GLAAD, to name a few. The DE&amp;I Advisory Council helps us prioritize and identify opportunities in critical DE&amp;I focus areas – both in connection with our workforce and our external impacts – and facilitates open communication on our development, monitoring and evaluation of these focus areas, most of which are reported in our annual Impact reports.</w:t>
            </w:r>
            <w:r>
              <w:rPr>
                <w:rFonts w:ascii="arial" w:hAnsi="arial"/>
                <w:color w:val="000000"/>
                <w:position w:val="8"/>
                <w:sz w:val="19"/>
              </w:rPr>
              <w:t>1</w:t>
            </w:r>
            <w:r>
              <w:rPr>
                <w:rFonts w:ascii="arial" w:hAnsi="arial"/>
                <w:color w:val="000000"/>
              </w:rPr>
              <w:t xml:space="preserve"> </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rStyle w:val="StrongEmphasis"/>
                <w:rFonts w:ascii="arial" w:hAnsi="arial"/>
                <w:color w:val="000000"/>
              </w:rPr>
              <w:t>We are actively using our resources – our people, programming and platforms – to shed light on systemic racial equity issues and work toward solutions in areas where we can have a meaningful and measurable impact.</w:t>
            </w:r>
            <w:r>
              <w:rPr>
                <w:rFonts w:ascii="arial" w:hAnsi="arial"/>
                <w:color w:val="000000"/>
              </w:rPr>
              <w:t xml:space="preserve"> Our DE&amp;I efforts span a wide range of racial equity-related initiatives and impacts, including the diversity of our workforce, our efforts to address the digital divide, our focus on creating and distributing content to amplify diverse voices, and the support of diverse suppliers and the communities where we do business. </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rStyle w:val="StrongEmphasis"/>
                <w:rFonts w:ascii="arial" w:hAnsi="arial"/>
                <w:color w:val="000000"/>
              </w:rPr>
              <w:t>Our Board is dedicated to overseeing and supporting management’s efforts to advance our DE&amp;I priorities, including racial equity.</w:t>
            </w:r>
            <w:r>
              <w:rPr>
                <w:rFonts w:ascii="arial" w:hAnsi="arial"/>
                <w:color w:val="000000"/>
              </w:rPr>
              <w:t xml:space="preserve"> Our full Board, with specific support primarily from our GCR Committee, has oversight of our DE&amp;I strategy and programs. Our governance structure is further strengthened by the leadership of our Chief Diversity Officer, who reports directly to our Chairman and CEO and sits outside of our human resources department so as to focus her efforts on our critical DE&amp;I priorities relating to both our workforce and our external impacts. Our Chief Diversity Officer is further supported and informed by the external DE&amp;I Advisory Council, third-party consultants and input from our employees obtained from a variety of sources, including our nine employee resource groups (“ERGs”), internal DE&amp;I councils throughout our company and employee engagement surveys. </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rStyle w:val="StrongEmphasis"/>
                <w:rFonts w:ascii="arial" w:hAnsi="arial"/>
                <w:color w:val="000000"/>
              </w:rPr>
              <w:t>We are committed to transparency, and our increasingly granular public reporting provides stakeholders with disclosure necessary to monitor and track our progress.</w:t>
            </w:r>
            <w:r>
              <w:rPr>
                <w:rFonts w:ascii="arial" w:hAnsi="arial"/>
                <w:color w:val="000000"/>
              </w:rPr>
              <w:t xml:space="preserve"> We have provided public reporting on our DE&amp;I efforts and progress for over ten years. We are committed to the continued evolution of this reporting, including through additional disclosure aligned with the SASB standards and public disclosure of our EEO-1 reports. </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rStyle w:val="StrongEmphasis"/>
                <w:rFonts w:ascii="arial" w:hAnsi="arial"/>
                <w:color w:val="000000"/>
              </w:rPr>
              <w:t>We continue to make progress on our DE&amp;I initiatives, including over the past year as follows:</w:t>
            </w:r>
            <w:r>
              <w:rPr>
                <w:rFonts w:ascii="arial" w:hAnsi="arial"/>
                <w:color w:val="000000"/>
              </w:rPr>
              <w:t xml:space="preserve"> </w:t>
            </w:r>
          </w:p>
        </w:tc>
      </w:tr>
    </w:tbl>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rFonts w:ascii="arial" w:hAnsi="arial"/>
                <w:color w:val="000000"/>
              </w:rPr>
            </w:pPr>
            <w:r>
              <w:rPr>
                <w:rFonts w:ascii="arial" w:hAnsi="arial"/>
                <w:color w:val="000000"/>
              </w:rPr>
              <w:t>Continuing our robust strategic engagement with our external DE&amp;I Advisory Council, including through meetings with senior management and some members of our Board. For example, we launched a self-identification campaign for our employees in response to feedback from the DE&amp;I Advisory Council to collect more granular data about underrepresented communities to better develop and enhance our policies.</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rFonts w:ascii="arial" w:hAnsi="arial"/>
                <w:color w:val="000000"/>
              </w:rPr>
            </w:pPr>
            <w:r>
              <w:rPr>
                <w:rFonts w:ascii="arial" w:hAnsi="arial"/>
                <w:color w:val="000000"/>
              </w:rPr>
              <w:t>Fulfilling the $100 million commitment we made in 2020 to advance social justice and equality.</w:t>
            </w:r>
          </w:p>
        </w:tc>
      </w:tr>
    </w:tbl>
    <w:p>
      <w:pPr>
        <w:pStyle w:val="TextBody"/>
        <w:spacing w:before="240" w:after="240"/>
        <w:rPr/>
      </w:pPr>
      <w:r>
        <w:rPr/>
        <w:t>____________________</w:t>
      </w:r>
    </w:p>
    <w:tbl>
      <w:tblPr>
        <w:tblW w:w="4570" w:type="dxa"/>
        <w:jc w:val="left"/>
        <w:tblInd w:w="0" w:type="dxa"/>
        <w:tblCellMar>
          <w:top w:w="0" w:type="dxa"/>
          <w:left w:w="0" w:type="dxa"/>
          <w:bottom w:w="0" w:type="dxa"/>
          <w:right w:w="0" w:type="dxa"/>
        </w:tblCellMar>
      </w:tblPr>
      <w:tblGrid>
        <w:gridCol w:w="80"/>
        <w:gridCol w:w="4490"/>
      </w:tblGrid>
      <w:tr>
        <w:trPr/>
        <w:tc>
          <w:tcPr>
            <w:tcW w:w="80"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1</w:t>
            </w:r>
          </w:p>
        </w:tc>
        <w:tc>
          <w:tcPr>
            <w:tcW w:w="4490" w:type="dxa"/>
            <w:tcBorders/>
            <w:shd w:fill="auto" w:val="clear"/>
            <w:vAlign w:val="center"/>
          </w:tcPr>
          <w:p>
            <w:pPr>
              <w:pStyle w:val="TableContents"/>
              <w:spacing w:before="0" w:after="283"/>
              <w:jc w:val="left"/>
              <w:rPr>
                <w:rFonts w:ascii="Arial" w:hAnsi="Arial"/>
                <w:sz w:val="15"/>
              </w:rPr>
            </w:pPr>
            <w:r>
              <w:rPr>
                <w:rFonts w:ascii="Arial" w:hAnsi="Arial"/>
                <w:sz w:val="15"/>
              </w:rPr>
              <w:t xml:space="preserve">Available at </w:t>
            </w:r>
            <w:r>
              <w:rPr>
                <w:rFonts w:ascii="Arial" w:hAnsi="Arial"/>
                <w:i/>
                <w:sz w:val="15"/>
              </w:rPr>
              <w:t>https://corporate.comcast.com/impact/report/archive.</w:t>
            </w:r>
          </w:p>
        </w:tc>
      </w:tr>
    </w:tbl>
    <w:p>
      <w:pPr>
        <w:pStyle w:val="TextBody"/>
        <w:spacing w:before="0" w:after="0"/>
        <w:rPr/>
      </w:pPr>
      <w:r>
        <w:rPr/>
      </w:r>
    </w:p>
    <w:tbl>
      <w:tblPr>
        <w:tblW w:w="223" w:type="dxa"/>
        <w:jc w:val="left"/>
        <w:tblInd w:w="0" w:type="dxa"/>
        <w:tblCellMar>
          <w:top w:w="0" w:type="dxa"/>
          <w:left w:w="0" w:type="dxa"/>
          <w:bottom w:w="0" w:type="dxa"/>
          <w:right w:w="0" w:type="dxa"/>
        </w:tblCellMar>
      </w:tblPr>
      <w:tblGrid>
        <w:gridCol w:w="200"/>
        <w:gridCol w:w="23"/>
      </w:tblGrid>
      <w:tr>
        <w:trPr/>
        <w:tc>
          <w:tcPr>
            <w:tcW w:w="200" w:type="dxa"/>
            <w:tcBorders/>
            <w:shd w:fill="auto" w:val="clear"/>
            <w:vAlign w:val="center"/>
          </w:tcPr>
          <w:p>
            <w:pPr>
              <w:pStyle w:val="TableContents"/>
              <w:spacing w:before="0" w:after="283"/>
              <w:jc w:val="left"/>
              <w:rPr>
                <w:rFonts w:ascii="Arial" w:hAnsi="Arial"/>
                <w:b/>
                <w:sz w:val="15"/>
              </w:rPr>
            </w:pPr>
            <w:r>
              <w:rPr>
                <w:rFonts w:ascii="Arial" w:hAnsi="Arial"/>
                <w:b/>
                <w:sz w:val="15"/>
              </w:rPr>
              <w:t>68</w:t>
            </w:r>
          </w:p>
        </w:tc>
        <w:tc>
          <w:tcPr>
            <w:tcW w:w="2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rFonts w:ascii="arial" w:hAnsi="arial"/>
                <w:color w:val="000000"/>
              </w:rPr>
            </w:pPr>
            <w:r>
              <w:rPr>
                <w:rFonts w:ascii="arial" w:hAnsi="arial"/>
                <w:color w:val="000000"/>
              </w:rPr>
              <w:t>Partnering with a respected national nonprofit to perform an assessment of existing DE&amp;I initiatives, benchmark our efforts and identify opportunities to advance racial equity even further in our workplaces.</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rFonts w:ascii="arial" w:hAnsi="arial"/>
                <w:color w:val="000000"/>
              </w:rPr>
            </w:pPr>
            <w:r>
              <w:rPr>
                <w:rFonts w:ascii="arial" w:hAnsi="arial"/>
                <w:color w:val="000000"/>
              </w:rPr>
              <w:t>Continuing our work to bridge the digital divide, including by working with federal, state and local governments on deploying broadband to unserved and underserved areas, offering affordable connectivity programs that provide broadband financial subsidies to certain qualifying households, and investing directly in community-based initiatives, partners and programs to launch, support and scale digital navigator programs across the country and enhance digital skills training and education.</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rFonts w:ascii="arial" w:hAnsi="arial"/>
                <w:color w:val="000000"/>
              </w:rPr>
            </w:pPr>
            <w:r>
              <w:rPr>
                <w:rFonts w:ascii="arial" w:hAnsi="arial"/>
                <w:color w:val="000000"/>
              </w:rPr>
              <w:t>Attaining the most inclusive employee representation in our workforce since we began tracking diversity data over a decade ago. At the end of 2022, people of color represented 30.9% of our director-level employees and 25.3% of our vice president-level and above employees.</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rFonts w:ascii="arial" w:hAnsi="arial"/>
                <w:color w:val="000000"/>
              </w:rPr>
            </w:pPr>
            <w:r>
              <w:rPr>
                <w:rFonts w:ascii="arial" w:hAnsi="arial"/>
                <w:color w:val="000000"/>
              </w:rPr>
              <w:t>Increasing financial support to our nine ERGs with a $500,000 annual fund for projects, programs and events beyond existing ERG budgets.</w:t>
            </w:r>
          </w:p>
        </w:tc>
      </w:tr>
    </w:tbl>
    <w:p>
      <w:pPr>
        <w:pStyle w:val="TextBody"/>
        <w:spacing w:before="240" w:after="283"/>
        <w:jc w:val="left"/>
        <w:rPr/>
      </w:pPr>
      <w:r>
        <w:rPr>
          <w:rStyle w:val="Emphasis"/>
          <w:rFonts w:ascii="Arial" w:hAnsi="Arial"/>
          <w:sz w:val="20"/>
          <w:u w:val="single"/>
        </w:rPr>
        <w:t>Additional Information</w:t>
      </w:r>
      <w:r>
        <w:rPr>
          <w:rStyle w:val="StrongEmphasis"/>
          <w:rFonts w:ascii="Arial" w:hAnsi="Arial"/>
          <w:sz w:val="20"/>
        </w:rPr>
        <w:t>:</w:t>
      </w:r>
    </w:p>
    <w:p>
      <w:pPr>
        <w:pStyle w:val="TextBody"/>
        <w:jc w:val="left"/>
        <w:rPr/>
      </w:pPr>
      <w:r>
        <w:rPr>
          <w:rStyle w:val="StrongEmphasis"/>
          <w:rFonts w:ascii="Arial" w:hAnsi="Arial"/>
          <w:sz w:val="20"/>
        </w:rPr>
        <w:t>Our ongoing commitments to DE&amp;I already reflect – and will continue to reflect – recommendations from our external DE&amp;I Advisory Council, as well as other external third-party advisors, partners and our employees, on ways to further improve and prioritize our efforts.</w:t>
      </w:r>
    </w:p>
    <w:p>
      <w:pPr>
        <w:pStyle w:val="TextBody"/>
        <w:jc w:val="left"/>
        <w:rPr>
          <w:rFonts w:ascii="Arial" w:hAnsi="Arial"/>
          <w:sz w:val="20"/>
        </w:rPr>
      </w:pPr>
      <w:r>
        <w:rPr>
          <w:rFonts w:ascii="Arial" w:hAnsi="Arial"/>
          <w:sz w:val="20"/>
        </w:rPr>
        <w:t>Realizing that outside perspectives are needed to further strengthen and deepen our DE&amp;I programs, we have a unique governance structure in that we are guided by an external DE&amp;I Advisory Council that provides advice regarding our core DE&amp;I initiatives to help ensure accountability and drive progress across matters relating to both our workforce and our external impacts.</w:t>
      </w:r>
    </w:p>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rFonts w:ascii="arial" w:hAnsi="arial"/>
                <w:color w:val="000000"/>
              </w:rPr>
            </w:pPr>
            <w:r>
              <w:rPr>
                <w:rFonts w:ascii="arial" w:hAnsi="arial"/>
                <w:color w:val="000000"/>
              </w:rPr>
              <w:t>The external DE&amp;I Advisory Council includes 14 external national civil rights, academic, political and business leaders representing the interests of women and the Black and African American, Asian and Pacific Islander, Indigenous, Hispanic/ Latino/a/e, People with Disabilities and LGBTQ communities. Among its members are leaders of the National Urban League, UnidosUS, National Action Network, Asian Americans Advancing Justice and GLAAD, to name a few.</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rFonts w:ascii="arial" w:hAnsi="arial"/>
                <w:color w:val="000000"/>
              </w:rPr>
            </w:pPr>
            <w:r>
              <w:rPr>
                <w:rFonts w:ascii="arial" w:hAnsi="arial"/>
                <w:color w:val="000000"/>
              </w:rPr>
              <w:t>Our inaugural external DE&amp;I Advisory Council helped us identify the following five critical DE&amp;I focus areas: workforce, programming/content, supplier diversity, governance and community impact giving. Progress within each of these focus areas is publicly reported in our annual Impact reports.</w:t>
            </w:r>
            <w:r>
              <w:rPr>
                <w:rFonts w:ascii="arial" w:hAnsi="arial"/>
                <w:color w:val="000000"/>
                <w:position w:val="8"/>
                <w:sz w:val="19"/>
              </w:rPr>
              <w:t>2</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rFonts w:ascii="arial" w:hAnsi="arial"/>
                <w:color w:val="000000"/>
              </w:rPr>
            </w:pPr>
            <w:r>
              <w:rPr>
                <w:rFonts w:ascii="arial" w:hAnsi="arial"/>
                <w:color w:val="000000"/>
              </w:rPr>
              <w:t>The DE&amp;I Advisory Council receives confidential reports and briefings on our progress toward our DE&amp;I focus areas so it can better facilitate open communication on their development, monitoring and evaluation.</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rFonts w:ascii="arial" w:hAnsi="arial"/>
                <w:color w:val="000000"/>
              </w:rPr>
            </w:pPr>
            <w:r>
              <w:rPr>
                <w:rFonts w:ascii="arial" w:hAnsi="arial"/>
                <w:color w:val="000000"/>
              </w:rPr>
              <w:t>The DE&amp;I Advisory Council operates as a formal body with a set of governing policies and procedures. The Council interacts throughout the year with a broad group of employees, including management, and members of our Board. Our Chief Diversity Officer and management present to Council members on a quarterly basis on various topics across our businesses. Council members serve a two-year term, and no member may serve for more than three successive terms. In identifying Council members, we seek to maintain an intersectional council with a diversity of strengths, backgrounds, perspectives and communities represented.</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rFonts w:ascii="arial" w:hAnsi="arial"/>
                <w:color w:val="000000"/>
              </w:rPr>
            </w:pPr>
            <w:r>
              <w:rPr>
                <w:rFonts w:ascii="arial" w:hAnsi="arial"/>
                <w:color w:val="000000"/>
              </w:rPr>
              <w:t>For more information on the DE&amp;I Advisory Council, see our Statement Regarding our Diversity, Equity and Inclusion Initiatives.</w:t>
            </w:r>
            <w:r>
              <w:rPr>
                <w:rFonts w:ascii="arial" w:hAnsi="arial"/>
                <w:color w:val="000000"/>
                <w:position w:val="8"/>
                <w:sz w:val="19"/>
              </w:rPr>
              <w:t>3</w:t>
            </w:r>
          </w:p>
        </w:tc>
      </w:tr>
    </w:tbl>
    <w:p>
      <w:pPr>
        <w:pStyle w:val="TextBody"/>
        <w:spacing w:before="240" w:after="283"/>
        <w:jc w:val="left"/>
        <w:rPr>
          <w:rFonts w:ascii="Arial" w:hAnsi="Arial"/>
          <w:sz w:val="20"/>
        </w:rPr>
      </w:pPr>
      <w:r>
        <w:rPr>
          <w:rFonts w:ascii="Arial" w:hAnsi="Arial"/>
          <w:sz w:val="20"/>
        </w:rPr>
        <w:t>In addition:</w:t>
      </w:r>
    </w:p>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rFonts w:ascii="arial" w:hAnsi="arial"/>
                <w:color w:val="000000"/>
              </w:rPr>
            </w:pPr>
            <w:r>
              <w:rPr>
                <w:rFonts w:ascii="arial" w:hAnsi="arial"/>
                <w:color w:val="000000"/>
              </w:rPr>
              <w:t>We routinely partner with third parties, such as leading DE&amp;I consultants as well as schools and community-based organizations, and leverage external surveys and benchmarking tools to help identify best practices and opportunities for improvement.</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rFonts w:ascii="arial" w:hAnsi="arial"/>
                <w:color w:val="000000"/>
              </w:rPr>
            </w:pPr>
            <w:r>
              <w:rPr>
                <w:rFonts w:ascii="arial" w:hAnsi="arial"/>
                <w:color w:val="000000"/>
              </w:rPr>
              <w:t>Our extensive network of ERGs, as well as input from third-party advisors and results of employee engagement surveys, helps us identify and prioritize certain workplace and culture-related initiatives and impacts.</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rFonts w:ascii="arial" w:hAnsi="arial"/>
                <w:color w:val="000000"/>
              </w:rPr>
            </w:pPr>
            <w:r>
              <w:rPr>
                <w:rFonts w:ascii="arial" w:hAnsi="arial"/>
                <w:color w:val="000000"/>
              </w:rPr>
              <w:t>We are partnering with a respected national nonprofit to perform an assessment of existing DE&amp;I initiatives, benchmark our efforts and identify opportunities to advance racial equity even further in our workplaces.</w:t>
            </w:r>
          </w:p>
        </w:tc>
      </w:tr>
    </w:tbl>
    <w:p>
      <w:pPr>
        <w:pStyle w:val="TextBody"/>
        <w:spacing w:before="240" w:after="240"/>
        <w:rPr/>
      </w:pPr>
      <w:r>
        <w:rPr/>
        <w:t>____________________</w:t>
      </w:r>
    </w:p>
    <w:tbl>
      <w:tblPr>
        <w:tblW w:w="6385" w:type="dxa"/>
        <w:jc w:val="left"/>
        <w:tblInd w:w="0" w:type="dxa"/>
        <w:tblCellMar>
          <w:top w:w="0" w:type="dxa"/>
          <w:left w:w="0" w:type="dxa"/>
          <w:bottom w:w="0" w:type="dxa"/>
          <w:right w:w="0" w:type="dxa"/>
        </w:tblCellMar>
      </w:tblPr>
      <w:tblGrid>
        <w:gridCol w:w="80"/>
        <w:gridCol w:w="6305"/>
      </w:tblGrid>
      <w:tr>
        <w:trPr/>
        <w:tc>
          <w:tcPr>
            <w:tcW w:w="80"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2</w:t>
            </w:r>
          </w:p>
        </w:tc>
        <w:tc>
          <w:tcPr>
            <w:tcW w:w="6305" w:type="dxa"/>
            <w:tcBorders/>
            <w:shd w:fill="auto" w:val="clear"/>
            <w:vAlign w:val="center"/>
          </w:tcPr>
          <w:p>
            <w:pPr>
              <w:pStyle w:val="TableContents"/>
              <w:spacing w:before="0" w:after="283"/>
              <w:jc w:val="left"/>
              <w:rPr>
                <w:rFonts w:ascii="Arial" w:hAnsi="Arial"/>
                <w:sz w:val="15"/>
              </w:rPr>
            </w:pPr>
            <w:r>
              <w:rPr>
                <w:rFonts w:ascii="Arial" w:hAnsi="Arial"/>
                <w:sz w:val="15"/>
              </w:rPr>
              <w:t xml:space="preserve">Available at </w:t>
            </w:r>
            <w:r>
              <w:rPr>
                <w:rFonts w:ascii="Arial" w:hAnsi="Arial"/>
                <w:i/>
                <w:sz w:val="15"/>
              </w:rPr>
              <w:t>https://corporate.comcast.com/impact/report/archive.</w:t>
            </w:r>
          </w:p>
        </w:tc>
      </w:tr>
      <w:tr>
        <w:trPr/>
        <w:tc>
          <w:tcPr>
            <w:tcW w:w="80"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3</w:t>
            </w:r>
          </w:p>
        </w:tc>
        <w:tc>
          <w:tcPr>
            <w:tcW w:w="6305" w:type="dxa"/>
            <w:tcBorders/>
            <w:shd w:fill="auto" w:val="clear"/>
            <w:vAlign w:val="center"/>
          </w:tcPr>
          <w:p>
            <w:pPr>
              <w:pStyle w:val="TableContents"/>
              <w:spacing w:before="0" w:after="283"/>
              <w:jc w:val="left"/>
              <w:rPr>
                <w:rFonts w:ascii="Arial" w:hAnsi="Arial"/>
                <w:sz w:val="15"/>
              </w:rPr>
            </w:pPr>
            <w:r>
              <w:rPr>
                <w:rFonts w:ascii="Arial" w:hAnsi="Arial"/>
                <w:sz w:val="15"/>
              </w:rPr>
              <w:t xml:space="preserve">Available at </w:t>
            </w:r>
            <w:r>
              <w:rPr>
                <w:rFonts w:ascii="Arial" w:hAnsi="Arial"/>
                <w:i/>
                <w:sz w:val="15"/>
              </w:rPr>
              <w:t>https://www.cmcsa.com/static-files/c49ca903-422b-49a9-8d42-91241478c06e.</w:t>
            </w:r>
          </w:p>
        </w:tc>
      </w:tr>
    </w:tbl>
    <w:p>
      <w:pPr>
        <w:pStyle w:val="TextBody"/>
        <w:spacing w:before="0" w:after="0"/>
        <w:rPr/>
      </w:pPr>
      <w:r>
        <w:rPr/>
      </w:r>
    </w:p>
    <w:tbl>
      <w:tblPr>
        <w:tblW w:w="2200" w:type="dxa"/>
        <w:jc w:val="left"/>
        <w:tblInd w:w="0" w:type="dxa"/>
        <w:tblCellMar>
          <w:top w:w="0" w:type="dxa"/>
          <w:left w:w="0" w:type="dxa"/>
          <w:bottom w:w="0" w:type="dxa"/>
          <w:right w:w="0" w:type="dxa"/>
        </w:tblCellMar>
      </w:tblPr>
      <w:tblGrid>
        <w:gridCol w:w="1580"/>
        <w:gridCol w:w="620"/>
      </w:tblGrid>
      <w:tr>
        <w:trPr/>
        <w:tc>
          <w:tcPr>
            <w:tcW w:w="1580" w:type="dxa"/>
            <w:tcBorders/>
            <w:shd w:fill="auto" w:val="clear"/>
            <w:vAlign w:val="center"/>
          </w:tcPr>
          <w:p>
            <w:pPr>
              <w:pStyle w:val="TableContents"/>
              <w:spacing w:before="0" w:after="283"/>
              <w:jc w:val="right"/>
              <w:rPr>
                <w:rFonts w:ascii="Arial" w:hAnsi="Arial"/>
                <w:sz w:val="15"/>
              </w:rPr>
            </w:pPr>
            <w:r>
              <w:rPr>
                <w:rFonts w:ascii="Arial" w:hAnsi="Arial"/>
                <w:sz w:val="15"/>
              </w:rPr>
              <w:t>2023 Proxy Statement</w:t>
            </w:r>
          </w:p>
        </w:tc>
        <w:tc>
          <w:tcPr>
            <w:tcW w:w="620" w:type="dxa"/>
            <w:tcBorders/>
            <w:shd w:fill="auto" w:val="clear"/>
            <w:vAlign w:val="center"/>
          </w:tcPr>
          <w:p>
            <w:pPr>
              <w:pStyle w:val="TableContents"/>
              <w:spacing w:before="0" w:after="283"/>
              <w:jc w:val="right"/>
              <w:rPr/>
            </w:pPr>
            <w:r>
              <w:rPr/>
              <w:t>       </w:t>
            </w:r>
            <w:r>
              <w:rPr>
                <w:rFonts w:ascii="Arial" w:hAnsi="Arial"/>
                <w:b/>
                <w:sz w:val="15"/>
              </w:rPr>
              <w:t>69</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p>
      <w:pPr>
        <w:pStyle w:val="TextBody"/>
        <w:jc w:val="left"/>
        <w:rPr/>
      </w:pPr>
      <w:r>
        <w:rPr>
          <w:rStyle w:val="Emphasis"/>
          <w:rFonts w:ascii="Arial" w:hAnsi="Arial"/>
          <w:sz w:val="20"/>
        </w:rPr>
        <w:t>We are actively using our resources – our people, programming and platforms – to shed light on systemic racial equity issues and work toward solutions in areas where we can have a meaningful and measurable impact.</w:t>
      </w:r>
    </w:p>
    <w:p>
      <w:pPr>
        <w:pStyle w:val="TextBody"/>
        <w:jc w:val="left"/>
        <w:rPr>
          <w:rFonts w:ascii="Arial" w:hAnsi="Arial"/>
          <w:sz w:val="20"/>
        </w:rPr>
      </w:pPr>
      <w:r>
        <w:rPr>
          <w:rFonts w:ascii="Arial" w:hAnsi="Arial"/>
          <w:sz w:val="20"/>
        </w:rPr>
        <w:t>Our DE&amp;I efforts focus on areas where we believe we can make the most impact given the nature of our business. Our most recent 2022 Impact Report highlights some of the ways that we are working to build, and rebuild, stronger and more inclusive communities to make a positive difference and how we try to do what’s right for our employees, customers, viewers and the world. These focus areas include:</w:t>
      </w:r>
    </w:p>
    <w:p>
      <w:pPr>
        <w:pStyle w:val="TextBody"/>
        <w:jc w:val="left"/>
        <w:rPr/>
      </w:pPr>
      <w:r>
        <w:rPr>
          <w:rStyle w:val="Emphasis"/>
          <w:rFonts w:ascii="Arial" w:hAnsi="Arial"/>
          <w:sz w:val="20"/>
        </w:rPr>
        <w:t>Workforce</w:t>
      </w:r>
    </w:p>
    <w:p>
      <w:pPr>
        <w:pStyle w:val="TextBody"/>
        <w:jc w:val="left"/>
        <w:rPr>
          <w:rFonts w:ascii="Arial" w:hAnsi="Arial"/>
          <w:sz w:val="20"/>
        </w:rPr>
      </w:pPr>
      <w:r>
        <w:rPr>
          <w:rFonts w:ascii="Arial" w:hAnsi="Arial"/>
          <w:sz w:val="20"/>
        </w:rPr>
        <w:t>We believe that a diverse, equitable and inclusive company helps to foster creativity, innovation and success. We embrace diversity of background, perspective, culture and experience throughout our business. For example:</w:t>
      </w:r>
    </w:p>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rFonts w:ascii="arial" w:hAnsi="arial"/>
                <w:color w:val="000000"/>
              </w:rPr>
            </w:pPr>
            <w:r>
              <w:rPr>
                <w:rFonts w:ascii="arial" w:hAnsi="arial"/>
                <w:color w:val="000000"/>
              </w:rPr>
              <w:t>We continue to make progress in representation of people of color in management and our workforce. People of color represented 30.9% of our director-level employees and 25.3% of our vice president-level and above employees at the end of 2022, compared to 29.4% and 23.8%, respectively, at the end of 2021, and 27.6% and 22.2%, respectively, at the end of 2020.</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rFonts w:ascii="arial" w:hAnsi="arial"/>
                <w:color w:val="000000"/>
              </w:rPr>
            </w:pPr>
            <w:r>
              <w:rPr>
                <w:rFonts w:ascii="arial" w:hAnsi="arial"/>
                <w:color w:val="000000"/>
              </w:rPr>
              <w:t>We offer a variety of training programs and initiatives focused on creating a more inclusive workplace culture, including an annual mandatory DE&amp;I training for employees, senior management training programs and company-wide forums like our DE&amp;I speaker series, which is designed to educate and foster employee engagement through a curated experience anchored by external scholars, authors and thought leaders focusing on a variety of DE&amp;I topics.</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rFonts w:ascii="arial" w:hAnsi="arial"/>
                <w:color w:val="000000"/>
              </w:rPr>
            </w:pPr>
            <w:r>
              <w:rPr>
                <w:rFonts w:ascii="arial" w:hAnsi="arial"/>
                <w:color w:val="000000"/>
              </w:rPr>
              <w:t>We support nine ERGs for Asian and Pacific Islander, Black and African American, People with Disabilities, LGBTQ, Hispanic/Latino/a/e, Veteran, Young Professional, Women and Indigenous employees, with 35,000 members in over 240 chapters.</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rFonts w:ascii="arial" w:hAnsi="arial"/>
                <w:color w:val="000000"/>
              </w:rPr>
            </w:pPr>
            <w:r>
              <w:rPr>
                <w:rFonts w:ascii="arial" w:hAnsi="arial"/>
                <w:color w:val="000000"/>
              </w:rPr>
              <w:t>We routinely engage third-party consultants and leverage third-party survey instruments to review and evaluate workforce-related programs and recommend opportunities for improvement.</w:t>
            </w:r>
          </w:p>
        </w:tc>
      </w:tr>
    </w:tbl>
    <w:p>
      <w:pPr>
        <w:pStyle w:val="TextBody"/>
        <w:spacing w:before="240" w:after="283"/>
        <w:jc w:val="left"/>
        <w:rPr/>
      </w:pPr>
      <w:r>
        <w:rPr>
          <w:rStyle w:val="Emphasis"/>
          <w:rFonts w:ascii="Arial" w:hAnsi="Arial"/>
          <w:sz w:val="20"/>
        </w:rPr>
        <w:t>Digital Equity</w:t>
      </w:r>
    </w:p>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rFonts w:ascii="arial" w:hAnsi="arial"/>
                <w:color w:val="000000"/>
              </w:rPr>
            </w:pPr>
            <w:r>
              <w:rPr>
                <w:rFonts w:ascii="arial" w:hAnsi="arial"/>
                <w:color w:val="000000"/>
              </w:rPr>
              <w:t>Comcast has long been at the forefront of addressing digital inequities. Since the launch over a decade ago of Internet Essentials, which we believe is the nation’s largest and most comprehensive internet adoption program for low-income families, we have connected a cumulative total of over 10 million low-income Americans to the internet. At the same time, we have expanded eligibility requirements from only including families of school-aged children eligible to participate in the National School Lunch Program to including today households that receive public housing assistance, Medicaid, Supplemental Nutrition Assistance benefits (SNAP), Social Security Income (SSI), Federal Pell Grants and various other benefit programs. While the cost of Internet Essentials has remained flat at $9.95 a month since 2011, we have consistently increased its speeds. We support and participate in federal government affordability programs that enable qualifying low-income customers to apply a financial subsidy to our broadband services, allowing them to receive our Internet Essentials service or our new enhanced Internet Essentials Plus service with twice the download speed – up to 100 Mbps – effectively for free.</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rFonts w:ascii="arial" w:hAnsi="arial"/>
                <w:color w:val="000000"/>
              </w:rPr>
            </w:pPr>
            <w:r>
              <w:rPr>
                <w:rFonts w:ascii="arial" w:hAnsi="arial"/>
                <w:color w:val="000000"/>
              </w:rPr>
              <w:t>We participate in federal, state and local programs designed to fund the expansion of broadband to unserved and underserved Americans and extend our world class network to new areas where reliable, high-speed internet services had previously been unavailable.</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rFonts w:ascii="arial" w:hAnsi="arial"/>
                <w:color w:val="000000"/>
              </w:rPr>
            </w:pPr>
            <w:r>
              <w:rPr>
                <w:rFonts w:ascii="arial" w:hAnsi="arial"/>
                <w:color w:val="000000"/>
              </w:rPr>
              <w:t>We continue to work with the cable industry, schools, governments, nonprofits, businesses and communities to remedy the many issues that act as barriers to broadband access in the home in seeking to further close the digital divide. We worked with a leading consultancy to help evaluate the barriers to broadband adoption and recognize the need to address barriers to adoption that go beyond affordability, including a lack of awareness that low-income broadband programs exist and a lack of digital skills. We are investing directly in community-based initiatives and programs to launch, support and scale digital navigator programs across the country. Digital navigators are trusted individuals affiliated with local nonprofits, educational institutions or governmental organizations who are trained to help more people sign up for Internet service, get devices and connect to skills training and other digital literacy resources, which we believe are critical to closing the digital divide and reducing socioeconomic inequalities. We are also contributing to partners such as CodePath, Hispanic Federation, NPower and Per Scholas that are helping to create equitable access to skills and training, so more people can secure jobs and climb the economic ladder.</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rFonts w:ascii="arial" w:hAnsi="arial"/>
                <w:color w:val="000000"/>
              </w:rPr>
            </w:pPr>
            <w:r>
              <w:rPr>
                <w:rFonts w:ascii="arial" w:hAnsi="arial"/>
                <w:color w:val="000000"/>
              </w:rPr>
              <w:t>As part of our commitment to help connect low-income families to the internet, we exceeded our goal of launching 1,250 Lift Zones by the end of 2022. Lift Zones were initially created in partnership with city leaders and nonprofit partners to help keep students connected to schools during the early stages of the pandemic. Even as students returned to their classrooms, Lift Zones continue to serve underrepresented populations by offering an array of digital literacy programs, access to online health services, workforce development training and digital navigator support.</w:t>
            </w:r>
          </w:p>
        </w:tc>
      </w:tr>
    </w:tbl>
    <w:p>
      <w:pPr>
        <w:pStyle w:val="TextBody"/>
        <w:spacing w:before="0" w:after="0"/>
        <w:rPr/>
      </w:pPr>
      <w:r>
        <w:rPr/>
      </w:r>
    </w:p>
    <w:tbl>
      <w:tblPr>
        <w:tblW w:w="223" w:type="dxa"/>
        <w:jc w:val="left"/>
        <w:tblInd w:w="0" w:type="dxa"/>
        <w:tblCellMar>
          <w:top w:w="0" w:type="dxa"/>
          <w:left w:w="0" w:type="dxa"/>
          <w:bottom w:w="0" w:type="dxa"/>
          <w:right w:w="0" w:type="dxa"/>
        </w:tblCellMar>
      </w:tblPr>
      <w:tblGrid>
        <w:gridCol w:w="200"/>
        <w:gridCol w:w="23"/>
      </w:tblGrid>
      <w:tr>
        <w:trPr/>
        <w:tc>
          <w:tcPr>
            <w:tcW w:w="200" w:type="dxa"/>
            <w:tcBorders/>
            <w:shd w:fill="auto" w:val="clear"/>
            <w:vAlign w:val="center"/>
          </w:tcPr>
          <w:p>
            <w:pPr>
              <w:pStyle w:val="TableContents"/>
              <w:spacing w:before="0" w:after="283"/>
              <w:jc w:val="left"/>
              <w:rPr>
                <w:rFonts w:ascii="Arial" w:hAnsi="Arial"/>
                <w:b/>
                <w:sz w:val="15"/>
              </w:rPr>
            </w:pPr>
            <w:r>
              <w:rPr>
                <w:rFonts w:ascii="Arial" w:hAnsi="Arial"/>
                <w:b/>
                <w:sz w:val="15"/>
              </w:rPr>
              <w:t>70</w:t>
            </w:r>
          </w:p>
        </w:tc>
        <w:tc>
          <w:tcPr>
            <w:tcW w:w="2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p>
      <w:pPr>
        <w:pStyle w:val="TextBody"/>
        <w:jc w:val="left"/>
        <w:rPr/>
      </w:pPr>
      <w:r>
        <w:rPr>
          <w:rStyle w:val="Emphasis"/>
          <w:rFonts w:ascii="Arial" w:hAnsi="Arial"/>
          <w:sz w:val="20"/>
        </w:rPr>
        <w:t>Programming</w:t>
      </w:r>
    </w:p>
    <w:p>
      <w:pPr>
        <w:pStyle w:val="TextBody"/>
        <w:jc w:val="left"/>
        <w:rPr>
          <w:rFonts w:ascii="Arial" w:hAnsi="Arial"/>
          <w:sz w:val="20"/>
        </w:rPr>
      </w:pPr>
      <w:r>
        <w:rPr>
          <w:rFonts w:ascii="Arial" w:hAnsi="Arial"/>
          <w:sz w:val="20"/>
        </w:rPr>
        <w:t>We strive to have diverse perspectives that resonate with a wide range of audiences in our programming at NBCUniversal and in the content we distribute on our Xfinity platforms.</w:t>
      </w:r>
    </w:p>
    <w:p>
      <w:pPr>
        <w:pStyle w:val="TextBody"/>
        <w:jc w:val="left"/>
        <w:rPr>
          <w:rFonts w:ascii="Arial" w:hAnsi="Arial"/>
          <w:sz w:val="20"/>
        </w:rPr>
      </w:pPr>
      <w:r>
        <w:rPr>
          <w:rFonts w:ascii="Arial" w:hAnsi="Arial"/>
          <w:sz w:val="20"/>
        </w:rPr>
        <w:t>We have created opportunities in front of and behind the camera, including by offering a wide range of programs designed to build a diverse pipeline of talent, including directors, writers, actors, music composers and journalists. We regularly report on the percentage of people of color represented on air and behind the camera. For example, people of color represented 31.9% of film talent on screen, 12.3% of film talent behind the camera, 50.5% of on-air talent at our news assets, and 36.8% of talent behind the camera at our news assets in 2022.</w:t>
      </w:r>
    </w:p>
    <w:p>
      <w:pPr>
        <w:pStyle w:val="TextBody"/>
        <w:jc w:val="left"/>
        <w:rPr>
          <w:rFonts w:ascii="Arial" w:hAnsi="Arial"/>
          <w:sz w:val="20"/>
        </w:rPr>
      </w:pPr>
      <w:r>
        <w:rPr>
          <w:rFonts w:ascii="Arial" w:hAnsi="Arial"/>
          <w:sz w:val="20"/>
        </w:rPr>
        <w:t>We have developed programs that seek to build additional opportunities for diverse talent.</w:t>
      </w:r>
    </w:p>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rFonts w:ascii="arial" w:hAnsi="arial"/>
                <w:color w:val="000000"/>
              </w:rPr>
            </w:pPr>
            <w:r>
              <w:rPr>
                <w:rFonts w:ascii="arial" w:hAnsi="arial"/>
                <w:color w:val="000000"/>
              </w:rPr>
              <w:t>In 2022, NBCUniversal created the Creative Impact Lab, which focuses on non-profit storytelling and provides opportunities for apprentices from diverse backgrounds to hone their production skills.</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rFonts w:ascii="arial" w:hAnsi="arial"/>
                <w:color w:val="000000"/>
              </w:rPr>
            </w:pPr>
            <w:r>
              <w:rPr>
                <w:rFonts w:ascii="arial" w:hAnsi="arial"/>
                <w:color w:val="000000"/>
              </w:rPr>
              <w:t>Through the NBCU Academy, we are investing $8.5 million into a training program for aspiring diverse journalists by partnering with 45 academic institutions, including Historically Black Colleges and Universities, Hispanic-Serving Institutions, and colleges with significant underrepresented populations.</w:t>
            </w:r>
          </w:p>
        </w:tc>
      </w:tr>
    </w:tbl>
    <w:p>
      <w:pPr>
        <w:pStyle w:val="TextBody"/>
        <w:spacing w:before="240" w:after="283"/>
        <w:jc w:val="left"/>
        <w:rPr>
          <w:rFonts w:ascii="Arial" w:hAnsi="Arial"/>
          <w:sz w:val="20"/>
        </w:rPr>
      </w:pPr>
      <w:r>
        <w:rPr>
          <w:rFonts w:ascii="Arial" w:hAnsi="Arial"/>
          <w:sz w:val="20"/>
        </w:rPr>
        <w:t>We have worked to amplify diverse voices and cultures through our media platforms.</w:t>
      </w:r>
    </w:p>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rFonts w:ascii="arial" w:hAnsi="arial"/>
                <w:color w:val="000000"/>
              </w:rPr>
            </w:pPr>
            <w:r>
              <w:rPr>
                <w:rFonts w:ascii="arial" w:hAnsi="arial"/>
                <w:color w:val="000000"/>
              </w:rPr>
              <w:t>Our Cable Communications division has a vast ecosystem of diverse content on Xfinity, including curated On Demand destinations. Among the content included is the “Black Experience,” which celebrated its one-year anniversary in 2022 and has funded more than 25 Black creators and organizations on and off screen, providing viewers access to Black entertainment programming with collections of stories that showcase the breadth of Black culture, endorsed by the African American Film Critics Association. Also included are curated destinations such as “Sí se pudo” (Yes, we did) featuring bilingual and bicultural content to celebrate Hispanic Heritage month, the LGBTQ+ Film &amp; TV Collection celebrating pride all year long, and the Asian American Film &amp; TV collection highlighting content curated by Gold House.</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rFonts w:ascii="arial" w:hAnsi="arial"/>
                <w:color w:val="000000"/>
              </w:rPr>
            </w:pPr>
            <w:r>
              <w:rPr>
                <w:rFonts w:ascii="arial" w:hAnsi="arial"/>
                <w:color w:val="000000"/>
              </w:rPr>
              <w:t>NBCUniversal’s ‘The More You Know’ series of public service announcements have kept audiences informed and educated on issues that include a campaign to speak out against systemic racism, speaking up for social justice, equality and equity, and getting out the vote.</w:t>
            </w:r>
          </w:p>
        </w:tc>
      </w:tr>
    </w:tbl>
    <w:p>
      <w:pPr>
        <w:pStyle w:val="TextBody"/>
        <w:spacing w:before="240" w:after="283"/>
        <w:jc w:val="left"/>
        <w:rPr/>
      </w:pPr>
      <w:r>
        <w:rPr>
          <w:rStyle w:val="Emphasis"/>
          <w:rFonts w:ascii="Arial" w:hAnsi="Arial"/>
          <w:sz w:val="20"/>
        </w:rPr>
        <w:t>Supplier Diversity and Small Business Support</w:t>
      </w:r>
    </w:p>
    <w:p>
      <w:pPr>
        <w:pStyle w:val="TextBody"/>
        <w:jc w:val="left"/>
        <w:rPr>
          <w:rFonts w:ascii="Arial" w:hAnsi="Arial"/>
          <w:sz w:val="20"/>
        </w:rPr>
      </w:pPr>
      <w:r>
        <w:rPr>
          <w:rFonts w:ascii="Arial" w:hAnsi="Arial"/>
          <w:sz w:val="20"/>
        </w:rPr>
        <w:t>We have long maintained a supplier diversity program designed to promote, increase and improve the participation of diverse businesses within our corporate supply chain. We have been a member of the Billion Dollar Roundtable, a top-level corporate advocacy organization that promotes supply chain diversity, since 2015. We were the first media and technology company to be inducted for attaining $1 billion or more in annual Tier I (direct supplier) supply chain diversity spend and have spent at least $3 billion each year with diverse suppliers during the past 5 years. In 2022, we spent nearly $5 billion with diverse Tier 1 vendors (with direct purchases from approximately 4,250 diverse suppliers) and $484 million with diverse Tier 2 subcontractors. Since 2011, we have spent over $35 billion with diverse suppliers.</w:t>
      </w:r>
    </w:p>
    <w:p>
      <w:pPr>
        <w:pStyle w:val="TextBody"/>
        <w:jc w:val="left"/>
        <w:rPr>
          <w:rFonts w:ascii="Arial" w:hAnsi="Arial"/>
          <w:sz w:val="20"/>
        </w:rPr>
      </w:pPr>
      <w:r>
        <w:rPr>
          <w:rFonts w:ascii="Arial" w:hAnsi="Arial"/>
          <w:sz w:val="20"/>
        </w:rPr>
        <w:t>Our supplier efforts also support small business diversity.</w:t>
      </w:r>
    </w:p>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rFonts w:ascii="arial" w:hAnsi="arial"/>
                <w:color w:val="000000"/>
              </w:rPr>
            </w:pPr>
            <w:r>
              <w:rPr>
                <w:rFonts w:ascii="arial" w:hAnsi="arial"/>
                <w:color w:val="000000"/>
              </w:rPr>
              <w:t>Our Comcast RISE program, which was launched in 2020 in connection with our $100 million social justice initiative, met the goals of its initial two year term, supporting 13,000 small businesses owned by people of color and women through monetary grants and in-kind marketing and technology resources valued at over $110 million.</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rFonts w:ascii="arial" w:hAnsi="arial"/>
                <w:color w:val="000000"/>
              </w:rPr>
            </w:pPr>
            <w:r>
              <w:rPr>
                <w:rFonts w:ascii="arial" w:hAnsi="arial"/>
                <w:color w:val="000000"/>
              </w:rPr>
              <w:t>We have committed $25 million to the Seibert Williams Shank Clear Vision Impact Fund, a diverse-led and diverse-serving financial institution that provides direct support to local community businesses.</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rFonts w:ascii="arial" w:hAnsi="arial"/>
                <w:color w:val="000000"/>
              </w:rPr>
            </w:pPr>
            <w:r>
              <w:rPr>
                <w:rFonts w:ascii="arial" w:hAnsi="arial"/>
                <w:color w:val="000000"/>
              </w:rPr>
              <w:t>We have committed $10 million to the Inclusiv Racial Equity and Resilience Investment Fund, which is aimed at building equity in credit unions led by and/or serving people of color in an effort to help increase lending to people of color-owned businesses, homeowners and consumers by providing financial opportunities to traditionally underserved and underbanked communities.</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rFonts w:ascii="arial" w:hAnsi="arial"/>
                <w:color w:val="000000"/>
              </w:rPr>
            </w:pPr>
            <w:r>
              <w:rPr>
                <w:rFonts w:ascii="arial" w:hAnsi="arial"/>
                <w:color w:val="000000"/>
              </w:rPr>
              <w:t>The underwriting syndicate for our first $1 billion green bond offering in 2023 was led by four nationally recognized minority-, women- and service-disabled veteran-owned firms.</w:t>
            </w:r>
          </w:p>
        </w:tc>
      </w:tr>
    </w:tbl>
    <w:p>
      <w:pPr>
        <w:pStyle w:val="TextBody"/>
        <w:spacing w:before="0" w:after="0"/>
        <w:rPr/>
      </w:pPr>
      <w:r>
        <w:rPr/>
      </w:r>
    </w:p>
    <w:tbl>
      <w:tblPr>
        <w:tblW w:w="2200" w:type="dxa"/>
        <w:jc w:val="left"/>
        <w:tblInd w:w="0" w:type="dxa"/>
        <w:tblCellMar>
          <w:top w:w="0" w:type="dxa"/>
          <w:left w:w="0" w:type="dxa"/>
          <w:bottom w:w="0" w:type="dxa"/>
          <w:right w:w="0" w:type="dxa"/>
        </w:tblCellMar>
      </w:tblPr>
      <w:tblGrid>
        <w:gridCol w:w="1580"/>
        <w:gridCol w:w="620"/>
      </w:tblGrid>
      <w:tr>
        <w:trPr/>
        <w:tc>
          <w:tcPr>
            <w:tcW w:w="1580" w:type="dxa"/>
            <w:tcBorders/>
            <w:shd w:fill="auto" w:val="clear"/>
            <w:vAlign w:val="center"/>
          </w:tcPr>
          <w:p>
            <w:pPr>
              <w:pStyle w:val="TableContents"/>
              <w:spacing w:before="0" w:after="283"/>
              <w:jc w:val="right"/>
              <w:rPr>
                <w:rFonts w:ascii="Arial" w:hAnsi="Arial"/>
                <w:sz w:val="15"/>
              </w:rPr>
            </w:pPr>
            <w:r>
              <w:rPr>
                <w:rFonts w:ascii="Arial" w:hAnsi="Arial"/>
                <w:sz w:val="15"/>
              </w:rPr>
              <w:t>2023 Proxy Statement</w:t>
            </w:r>
          </w:p>
        </w:tc>
        <w:tc>
          <w:tcPr>
            <w:tcW w:w="620" w:type="dxa"/>
            <w:tcBorders/>
            <w:shd w:fill="auto" w:val="clear"/>
            <w:vAlign w:val="center"/>
          </w:tcPr>
          <w:p>
            <w:pPr>
              <w:pStyle w:val="TableContents"/>
              <w:spacing w:before="0" w:after="283"/>
              <w:jc w:val="right"/>
              <w:rPr/>
            </w:pPr>
            <w:r>
              <w:rPr/>
              <w:t>       </w:t>
            </w:r>
            <w:r>
              <w:rPr>
                <w:rFonts w:ascii="Arial" w:hAnsi="Arial"/>
                <w:b/>
                <w:sz w:val="15"/>
              </w:rPr>
              <w:t>71</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p>
      <w:pPr>
        <w:pStyle w:val="TextBody"/>
        <w:jc w:val="left"/>
        <w:rPr/>
      </w:pPr>
      <w:r>
        <w:rPr>
          <w:rStyle w:val="StrongEmphasis"/>
          <w:rFonts w:ascii="Arial" w:hAnsi="Arial"/>
          <w:i/>
          <w:sz w:val="20"/>
        </w:rPr>
        <w:t>Our Board is dedicated to overseeing and supporting management’s efforts to advance our DE&amp;I priorities, including racial equity.</w:t>
      </w:r>
    </w:p>
    <w:p>
      <w:pPr>
        <w:pStyle w:val="TextBody"/>
        <w:jc w:val="left"/>
        <w:rPr>
          <w:rFonts w:ascii="Arial" w:hAnsi="Arial"/>
          <w:sz w:val="20"/>
        </w:rPr>
      </w:pPr>
      <w:r>
        <w:rPr>
          <w:rFonts w:ascii="Arial" w:hAnsi="Arial"/>
          <w:sz w:val="20"/>
        </w:rPr>
        <w:t>Our commitment to DE&amp;I starts at the top, with our Board. As a whole and through its committees, our Board oversees and assesses our priority areas, efforts and progress on DE&amp;I matters. Our GCR Committee, pursuant to its charter, reviews and assesses significant social issues, risks and trends, including with respect to DE&amp;I matters affecting our workforce and our external impacts, including through meetings with our Chief Diversity Officer at least twice a year. Over the past two years, for example, our Board and the GCR Committee reviewed:</w:t>
      </w:r>
    </w:p>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t>Our workforce-related DE&amp;I efforts, including hiring, promotion and retention statistics broken down by detailed demographic categories.</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t>Opportunities identified by an outside consultant, which had reviewed extensive workforce data and conducted employee interviews and focus groups, to further progress our DE&amp;I efforts relating to Comcast Cable’s workforce.</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t>Information about the diverse programming we create and distribute, and our annual spend with diverse suppliers.</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t>Our progress toward, and fulfillment of, our incremental $100 million pledge to advance social justice and equality, with a focus on communities of color.</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t>Our continued efforts to advance digital equity, including our constructive efforts to work with federal, state and local governments and digital navigators.</w:t>
            </w:r>
          </w:p>
        </w:tc>
      </w:tr>
    </w:tbl>
    <w:p>
      <w:pPr>
        <w:pStyle w:val="TextBody"/>
        <w:spacing w:before="240" w:after="283"/>
        <w:jc w:val="left"/>
        <w:rPr>
          <w:rFonts w:ascii="Arial" w:hAnsi="Arial"/>
          <w:sz w:val="20"/>
        </w:rPr>
      </w:pPr>
      <w:r>
        <w:rPr>
          <w:rFonts w:ascii="Arial" w:hAnsi="Arial"/>
          <w:sz w:val="20"/>
        </w:rPr>
        <w:t>Our CHC Committee, pursuant to its charter, reviews our programs and strategies related to human capital management, including with respect to employee engagement. In 2022, for example, it reviewed employee engagement survey results at Comcast Cable, which showed that employees viewed our DE&amp;I-related workforce efforts very favorably, with upward trends compared to prior years in nearly all instances.</w:t>
      </w:r>
    </w:p>
    <w:p>
      <w:pPr>
        <w:pStyle w:val="TextBody"/>
        <w:jc w:val="left"/>
        <w:rPr>
          <w:rFonts w:ascii="Arial" w:hAnsi="Arial"/>
          <w:sz w:val="20"/>
        </w:rPr>
      </w:pPr>
      <w:r>
        <w:rPr>
          <w:rFonts w:ascii="Arial" w:hAnsi="Arial"/>
          <w:sz w:val="20"/>
        </w:rPr>
        <w:t>In addition, our Board and senior management team are committed to, and management is incentivized through our executive compensation program to create a strong workplace culture with values of integrity and respect and to foster our company’s DE&amp;I and digital equity efforts.</w:t>
      </w:r>
    </w:p>
    <w:p>
      <w:pPr>
        <w:pStyle w:val="TextBody"/>
        <w:jc w:val="left"/>
        <w:rPr/>
      </w:pPr>
      <w:r>
        <w:rPr>
          <w:rStyle w:val="StrongEmphasis"/>
          <w:rFonts w:ascii="Arial" w:hAnsi="Arial"/>
          <w:i/>
          <w:sz w:val="20"/>
        </w:rPr>
        <w:t>We are committed to transparency, and our increasingly granular public reporting provides stakeholders with disclosure necessary to monitor and track our progress.</w:t>
      </w:r>
    </w:p>
    <w:p>
      <w:pPr>
        <w:pStyle w:val="TextBody"/>
        <w:jc w:val="left"/>
        <w:rPr>
          <w:rFonts w:ascii="Arial" w:hAnsi="Arial"/>
          <w:sz w:val="20"/>
        </w:rPr>
      </w:pPr>
      <w:r>
        <w:rPr>
          <w:rFonts w:ascii="Arial" w:hAnsi="Arial"/>
          <w:sz w:val="20"/>
        </w:rPr>
        <w:t xml:space="preserve">We have published annual reports tracking our DE&amp;I initiatives and progress for over a decade. We also disclose information on these matters on our ESG Reporting website at </w:t>
      </w:r>
      <w:r>
        <w:rPr>
          <w:rFonts w:ascii="Arial" w:hAnsi="Arial"/>
          <w:i/>
          <w:sz w:val="20"/>
        </w:rPr>
        <w:t>https://www.cmcsa.com/esg-reporting</w:t>
      </w:r>
      <w:r>
        <w:rPr>
          <w:rFonts w:ascii="Arial" w:hAnsi="Arial"/>
          <w:sz w:val="20"/>
        </w:rPr>
        <w:t xml:space="preserve">, as well as in the “Impact” section of our website at </w:t>
      </w:r>
      <w:r>
        <w:rPr>
          <w:rFonts w:ascii="Arial" w:hAnsi="Arial"/>
          <w:i/>
          <w:sz w:val="20"/>
        </w:rPr>
        <w:t>www.comcastcorporation.com</w:t>
      </w:r>
      <w:r>
        <w:rPr>
          <w:rFonts w:ascii="Arial" w:hAnsi="Arial"/>
          <w:sz w:val="20"/>
        </w:rPr>
        <w:t>.</w:t>
      </w:r>
    </w:p>
    <w:p>
      <w:pPr>
        <w:pStyle w:val="TextBody"/>
        <w:jc w:val="left"/>
        <w:rPr>
          <w:rFonts w:ascii="Arial" w:hAnsi="Arial"/>
          <w:sz w:val="20"/>
        </w:rPr>
      </w:pPr>
      <w:r>
        <w:rPr>
          <w:rFonts w:ascii="Arial" w:hAnsi="Arial"/>
          <w:sz w:val="20"/>
        </w:rPr>
        <w:t>This disclosure includes:</w:t>
      </w:r>
    </w:p>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t>Our 2022 Impact Report, which provides information on our critical DE&amp;I focus areas, including progress on our long-standing digital equity efforts. It includes statistics on total workforce and new hire data, in each case broken down by gender and specific people of color categories (Asian and Pacific Islander, Black and African American, Indigenous, Hispanic/Latino/a/e and two or more races) and by specific leadership levels (executive leadership team, vice presidents and above, directors and managers), as well as data on our programming content, supplier diversity and community impact activities.</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t>Updates towards the fulfillment of our $100 million commitment to advance social justice and equality and our continued digital equity efforts.</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t>Our consolidated EEO-1 reports, which present another view of our workforce diversity data in a standardized framework.</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t>Our Statement Regarding our Diversity, Equity and Inclusion Initiatives, which further describes how our DE&amp;I efforts are discussed and assessed by our Board and its committees and the external DE&amp;I Advisory Council.</w:t>
            </w:r>
          </w:p>
        </w:tc>
      </w:tr>
    </w:tbl>
    <w:p>
      <w:pPr>
        <w:pStyle w:val="TextBody"/>
        <w:spacing w:before="240" w:after="283"/>
        <w:jc w:val="left"/>
        <w:rPr/>
      </w:pPr>
      <w:r>
        <w:rPr>
          <w:rStyle w:val="StrongEmphasis"/>
          <w:rFonts w:ascii="Arial" w:hAnsi="Arial"/>
          <w:sz w:val="20"/>
        </w:rPr>
        <w:t>For the reasons set forth above, our Board unanimously recommends AGAINST this proposal.</w:t>
      </w:r>
    </w:p>
    <w:tbl>
      <w:tblPr>
        <w:tblW w:w="223" w:type="dxa"/>
        <w:jc w:val="left"/>
        <w:tblInd w:w="0" w:type="dxa"/>
        <w:tblCellMar>
          <w:top w:w="0" w:type="dxa"/>
          <w:left w:w="0" w:type="dxa"/>
          <w:bottom w:w="0" w:type="dxa"/>
          <w:right w:w="0" w:type="dxa"/>
        </w:tblCellMar>
      </w:tblPr>
      <w:tblGrid>
        <w:gridCol w:w="200"/>
        <w:gridCol w:w="23"/>
      </w:tblGrid>
      <w:tr>
        <w:trPr/>
        <w:tc>
          <w:tcPr>
            <w:tcW w:w="200" w:type="dxa"/>
            <w:tcBorders/>
            <w:shd w:fill="auto" w:val="clear"/>
            <w:vAlign w:val="center"/>
          </w:tcPr>
          <w:p>
            <w:pPr>
              <w:pStyle w:val="TableContents"/>
              <w:spacing w:before="0" w:after="283"/>
              <w:jc w:val="left"/>
              <w:rPr>
                <w:rFonts w:ascii="Arial" w:hAnsi="Arial"/>
                <w:b/>
                <w:sz w:val="15"/>
              </w:rPr>
            </w:pPr>
            <w:r>
              <w:rPr>
                <w:rFonts w:ascii="Arial" w:hAnsi="Arial"/>
                <w:b/>
                <w:sz w:val="15"/>
              </w:rPr>
              <w:t>72</w:t>
            </w:r>
          </w:p>
        </w:tc>
        <w:tc>
          <w:tcPr>
            <w:tcW w:w="2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10205" w:type="dxa"/>
        <w:jc w:val="left"/>
        <w:tblInd w:w="0" w:type="dxa"/>
        <w:tblCellMar>
          <w:top w:w="28" w:type="dxa"/>
          <w:left w:w="28" w:type="dxa"/>
          <w:bottom w:w="0" w:type="dxa"/>
          <w:right w:w="0" w:type="dxa"/>
        </w:tblCellMar>
      </w:tblPr>
      <w:tblGrid>
        <w:gridCol w:w="120"/>
        <w:gridCol w:w="642"/>
        <w:gridCol w:w="564"/>
        <w:gridCol w:w="300"/>
        <w:gridCol w:w="8458"/>
        <w:gridCol w:w="121"/>
      </w:tblGrid>
      <w:tr>
        <w:trPr/>
        <w:tc>
          <w:tcPr>
            <w:tcW w:w="120" w:type="dxa"/>
            <w:tcBorders>
              <w:top w:val="single" w:sz="8" w:space="0" w:color="959595"/>
              <w:left w:val="single" w:sz="8" w:space="0" w:color="959595"/>
            </w:tcBorders>
            <w:shd w:fill="auto" w:val="clear"/>
            <w:vAlign w:val="center"/>
          </w:tcPr>
          <w:p>
            <w:pPr>
              <w:pStyle w:val="TableContents"/>
              <w:spacing w:before="0" w:after="283"/>
              <w:jc w:val="left"/>
              <w:rPr/>
            </w:pPr>
            <w:r>
              <w:rPr/>
              <w:t>  </w:t>
            </w:r>
          </w:p>
        </w:tc>
        <w:tc>
          <w:tcPr>
            <w:tcW w:w="642" w:type="dxa"/>
            <w:tcBorders>
              <w:top w:val="single" w:sz="8" w:space="0" w:color="959595"/>
            </w:tcBorders>
            <w:shd w:fill="auto" w:val="clear"/>
            <w:tcMar>
              <w:left w:w="0" w:type="dxa"/>
            </w:tcMar>
            <w:vAlign w:val="center"/>
          </w:tcPr>
          <w:p>
            <w:pPr>
              <w:pStyle w:val="TableContents"/>
              <w:spacing w:before="0" w:after="283"/>
              <w:rPr>
                <w:sz w:val="4"/>
                <w:szCs w:val="4"/>
              </w:rPr>
            </w:pPr>
            <w:r>
              <w:rPr>
                <w:sz w:val="4"/>
                <w:szCs w:val="4"/>
              </w:rPr>
            </w:r>
          </w:p>
        </w:tc>
        <w:tc>
          <w:tcPr>
            <w:tcW w:w="564" w:type="dxa"/>
            <w:tcBorders>
              <w:top w:val="single" w:sz="8" w:space="0" w:color="959595"/>
            </w:tcBorders>
            <w:shd w:fill="auto" w:val="clear"/>
            <w:tcMar>
              <w:left w:w="0" w:type="dxa"/>
            </w:tcMar>
            <w:vAlign w:val="center"/>
          </w:tcPr>
          <w:p>
            <w:pPr>
              <w:pStyle w:val="TableContents"/>
              <w:spacing w:before="0" w:after="283"/>
              <w:rPr/>
            </w:pPr>
            <w:r>
              <w:rPr/>
              <w:t> </w:t>
            </w:r>
          </w:p>
        </w:tc>
        <w:tc>
          <w:tcPr>
            <w:tcW w:w="300" w:type="dxa"/>
            <w:tcBorders>
              <w:top w:val="single" w:sz="8" w:space="0" w:color="959595"/>
            </w:tcBorders>
            <w:shd w:fill="auto" w:val="clear"/>
            <w:tcMar>
              <w:left w:w="0" w:type="dxa"/>
            </w:tcMar>
            <w:vAlign w:val="center"/>
          </w:tcPr>
          <w:p>
            <w:pPr>
              <w:pStyle w:val="TableContents"/>
              <w:spacing w:before="0" w:after="283"/>
              <w:rPr/>
            </w:pPr>
            <w:r>
              <w:rPr/>
              <w:t> </w:t>
            </w:r>
          </w:p>
        </w:tc>
        <w:tc>
          <w:tcPr>
            <w:tcW w:w="8458" w:type="dxa"/>
            <w:tcBorders>
              <w:top w:val="single" w:sz="8" w:space="0" w:color="959595"/>
            </w:tcBorders>
            <w:shd w:fill="auto" w:val="clear"/>
            <w:tcMar>
              <w:left w:w="0" w:type="dxa"/>
            </w:tcMar>
            <w:vAlign w:val="center"/>
          </w:tcPr>
          <w:p>
            <w:pPr>
              <w:pStyle w:val="TableContents"/>
              <w:spacing w:before="0" w:after="283"/>
              <w:jc w:val="left"/>
              <w:rPr/>
            </w:pPr>
            <w:r>
              <w:rPr/>
              <w:t>                              </w:t>
            </w:r>
          </w:p>
        </w:tc>
        <w:tc>
          <w:tcPr>
            <w:tcW w:w="121" w:type="dxa"/>
            <w:tcBorders>
              <w:top w:val="single" w:sz="8" w:space="0" w:color="959595"/>
              <w:right w:val="single" w:sz="8" w:space="0" w:color="959595"/>
            </w:tcBorders>
            <w:shd w:fill="auto" w:val="clear"/>
            <w:tcMar>
              <w:left w:w="0" w:type="dxa"/>
              <w:right w:w="28" w:type="dxa"/>
            </w:tcMar>
            <w:vAlign w:val="center"/>
          </w:tcPr>
          <w:p>
            <w:pPr>
              <w:pStyle w:val="TableContents"/>
              <w:spacing w:before="0" w:after="283"/>
              <w:jc w:val="left"/>
              <w:rPr/>
            </w:pPr>
            <w:r>
              <w:rPr/>
              <w:t>  </w:t>
            </w:r>
          </w:p>
        </w:tc>
      </w:tr>
      <w:tr>
        <w:trPr/>
        <w:tc>
          <w:tcPr>
            <w:tcW w:w="120" w:type="dxa"/>
            <w:tcBorders>
              <w:left w:val="single" w:sz="8" w:space="0" w:color="959595"/>
            </w:tcBorders>
            <w:shd w:fill="auto" w:val="clear"/>
            <w:tcMar>
              <w:top w:w="0" w:type="dxa"/>
            </w:tcMar>
            <w:vAlign w:val="center"/>
          </w:tcPr>
          <w:p>
            <w:pPr>
              <w:pStyle w:val="TableContents"/>
              <w:spacing w:before="0" w:after="283"/>
              <w:rPr>
                <w:sz w:val="4"/>
                <w:szCs w:val="4"/>
              </w:rPr>
            </w:pPr>
            <w:r>
              <w:rPr>
                <w:sz w:val="4"/>
                <w:szCs w:val="4"/>
              </w:rPr>
            </w:r>
          </w:p>
        </w:tc>
        <w:tc>
          <w:tcPr>
            <w:tcW w:w="1206" w:type="dxa"/>
            <w:gridSpan w:val="2"/>
            <w:tcBorders/>
            <w:shd w:fill="ECF6FA" w:val="clear"/>
            <w:tcMar>
              <w:top w:w="0" w:type="dxa"/>
              <w:left w:w="0" w:type="dxa"/>
            </w:tcMar>
            <w:vAlign w:val="center"/>
          </w:tcPr>
          <w:p>
            <w:pPr>
              <w:pStyle w:val="TableContents"/>
              <w:spacing w:before="0" w:after="283"/>
              <w:jc w:val="left"/>
              <w:rPr>
                <w:rFonts w:ascii="Arial" w:hAnsi="Arial"/>
                <w:color w:val="00A1E0"/>
                <w:sz w:val="24"/>
              </w:rPr>
            </w:pPr>
            <w:r>
              <w:rPr>
                <w:rFonts w:ascii="Arial" w:hAnsi="Arial"/>
                <w:color w:val="00A1E0"/>
                <w:sz w:val="24"/>
              </w:rPr>
              <w:t>Proposal 8:</w:t>
            </w:r>
          </w:p>
        </w:tc>
        <w:tc>
          <w:tcPr>
            <w:tcW w:w="300" w:type="dxa"/>
            <w:tcBorders/>
            <w:shd w:fill="ECF6FA" w:val="clear"/>
            <w:tcMar>
              <w:top w:w="0" w:type="dxa"/>
              <w:left w:w="0" w:type="dxa"/>
            </w:tcMar>
            <w:vAlign w:val="center"/>
          </w:tcPr>
          <w:p>
            <w:pPr>
              <w:pStyle w:val="TableContents"/>
              <w:spacing w:before="0" w:after="283"/>
              <w:rPr/>
            </w:pPr>
            <w:r>
              <w:rPr/>
              <w:t>     </w:t>
            </w:r>
          </w:p>
        </w:tc>
        <w:tc>
          <w:tcPr>
            <w:tcW w:w="8458" w:type="dxa"/>
            <w:tcBorders/>
            <w:shd w:fill="ECF6FA" w:val="clear"/>
            <w:tcMar>
              <w:top w:w="0" w:type="dxa"/>
              <w:left w:w="0" w:type="dxa"/>
            </w:tcMar>
            <w:vAlign w:val="center"/>
          </w:tcPr>
          <w:p>
            <w:pPr>
              <w:pStyle w:val="TableContents"/>
              <w:spacing w:before="0" w:after="283"/>
              <w:jc w:val="left"/>
              <w:rPr>
                <w:rFonts w:ascii="Arial" w:hAnsi="Arial"/>
                <w:color w:val="00A1E0"/>
                <w:sz w:val="24"/>
              </w:rPr>
            </w:pPr>
            <w:r>
              <w:rPr>
                <w:rFonts w:ascii="Arial" w:hAnsi="Arial"/>
                <w:color w:val="00A1E0"/>
                <w:sz w:val="24"/>
              </w:rPr>
              <w:t>SHAREHOLDER PROPOSAL TO REPORT ON CLIMATE RISK IN DEFAULT RETIREMENT PLAN OPTIONS</w:t>
            </w:r>
          </w:p>
        </w:tc>
        <w:tc>
          <w:tcPr>
            <w:tcW w:w="121" w:type="dxa"/>
            <w:tcBorders>
              <w:right w:val="single" w:sz="8" w:space="0" w:color="959595"/>
            </w:tcBorders>
            <w:shd w:fill="auto" w:val="clear"/>
            <w:tcMar>
              <w:top w:w="0" w:type="dxa"/>
              <w:left w:w="0" w:type="dxa"/>
              <w:right w:w="28" w:type="dxa"/>
            </w:tcMar>
            <w:vAlign w:val="center"/>
          </w:tcPr>
          <w:p>
            <w:pPr>
              <w:pStyle w:val="TableContents"/>
              <w:spacing w:before="0" w:after="283"/>
              <w:jc w:val="left"/>
              <w:rPr/>
            </w:pPr>
            <w:r>
              <w:rPr/>
              <w:t> </w:t>
            </w:r>
          </w:p>
        </w:tc>
      </w:tr>
      <w:tr>
        <w:trPr/>
        <w:tc>
          <w:tcPr>
            <w:tcW w:w="120" w:type="dxa"/>
            <w:tcBorders>
              <w:left w:val="single" w:sz="8" w:space="0" w:color="959595"/>
            </w:tcBorders>
            <w:shd w:fill="auto" w:val="clear"/>
            <w:tcMar>
              <w:top w:w="0" w:type="dxa"/>
            </w:tcMar>
            <w:vAlign w:val="center"/>
          </w:tcPr>
          <w:p>
            <w:pPr>
              <w:pStyle w:val="TableContents"/>
              <w:spacing w:before="0" w:after="283"/>
              <w:jc w:val="left"/>
              <w:rPr/>
            </w:pPr>
            <w:r>
              <w:rPr/>
              <w:t> </w:t>
            </w:r>
          </w:p>
        </w:tc>
        <w:tc>
          <w:tcPr>
            <w:tcW w:w="642" w:type="dxa"/>
            <w:tcBorders/>
            <w:shd w:fill="auto" w:val="clear"/>
            <w:tcMar>
              <w:top w:w="0" w:type="dxa"/>
              <w:left w:w="0" w:type="dxa"/>
            </w:tcMar>
            <w:vAlign w:val="center"/>
          </w:tcPr>
          <w:p>
            <w:pPr>
              <w:pStyle w:val="TableContents"/>
              <w:spacing w:before="0" w:after="283"/>
              <w:rPr>
                <w:sz w:val="4"/>
                <w:szCs w:val="4"/>
              </w:rPr>
            </w:pPr>
            <w:r>
              <w:rPr>
                <w:sz w:val="4"/>
                <w:szCs w:val="4"/>
              </w:rPr>
            </w:r>
          </w:p>
        </w:tc>
        <w:tc>
          <w:tcPr>
            <w:tcW w:w="564" w:type="dxa"/>
            <w:tcBorders/>
            <w:shd w:fill="auto" w:val="clear"/>
            <w:tcMar>
              <w:top w:w="0" w:type="dxa"/>
              <w:left w:w="0" w:type="dxa"/>
            </w:tcMar>
            <w:vAlign w:val="center"/>
          </w:tcPr>
          <w:p>
            <w:pPr>
              <w:pStyle w:val="TableContents"/>
              <w:spacing w:before="0" w:after="283"/>
              <w:rPr/>
            </w:pPr>
            <w:r>
              <w:rPr/>
              <w:t>         </w:t>
            </w:r>
          </w:p>
        </w:tc>
        <w:tc>
          <w:tcPr>
            <w:tcW w:w="300" w:type="dxa"/>
            <w:tcBorders/>
            <w:shd w:fill="auto" w:val="clear"/>
            <w:tcMar>
              <w:top w:w="0" w:type="dxa"/>
              <w:left w:w="0" w:type="dxa"/>
            </w:tcMar>
            <w:vAlign w:val="center"/>
          </w:tcPr>
          <w:p>
            <w:pPr>
              <w:pStyle w:val="TableContents"/>
              <w:spacing w:before="0" w:after="283"/>
              <w:rPr/>
            </w:pPr>
            <w:r>
              <w:rPr/>
              <w:t> </w:t>
            </w:r>
          </w:p>
        </w:tc>
        <w:tc>
          <w:tcPr>
            <w:tcW w:w="8458" w:type="dxa"/>
            <w:tcBorders/>
            <w:shd w:fill="auto" w:val="clear"/>
            <w:tcMar>
              <w:top w:w="0" w:type="dxa"/>
              <w:left w:w="0" w:type="dxa"/>
            </w:tcMar>
            <w:vAlign w:val="center"/>
          </w:tcPr>
          <w:p>
            <w:pPr>
              <w:pStyle w:val="TableContents"/>
              <w:spacing w:before="0" w:after="283"/>
              <w:rPr>
                <w:sz w:val="4"/>
                <w:szCs w:val="4"/>
              </w:rPr>
            </w:pPr>
            <w:r>
              <w:rPr>
                <w:sz w:val="4"/>
                <w:szCs w:val="4"/>
              </w:rPr>
            </w:r>
          </w:p>
        </w:tc>
        <w:tc>
          <w:tcPr>
            <w:tcW w:w="121" w:type="dxa"/>
            <w:tcBorders>
              <w:right w:val="single" w:sz="8" w:space="0" w:color="959595"/>
            </w:tcBorders>
            <w:shd w:fill="auto" w:val="clear"/>
            <w:tcMar>
              <w:top w:w="0" w:type="dxa"/>
              <w:left w:w="0" w:type="dxa"/>
              <w:right w:w="28" w:type="dxa"/>
            </w:tcMar>
            <w:vAlign w:val="center"/>
          </w:tcPr>
          <w:p>
            <w:pPr>
              <w:pStyle w:val="TableContents"/>
              <w:spacing w:before="0" w:after="283"/>
              <w:rPr>
                <w:sz w:val="4"/>
                <w:szCs w:val="4"/>
              </w:rPr>
            </w:pPr>
            <w:r>
              <w:rPr>
                <w:sz w:val="4"/>
                <w:szCs w:val="4"/>
              </w:rPr>
            </w:r>
          </w:p>
        </w:tc>
      </w:tr>
      <w:tr>
        <w:trPr/>
        <w:tc>
          <w:tcPr>
            <w:tcW w:w="120" w:type="dxa"/>
            <w:tcBorders>
              <w:left w:val="single" w:sz="8" w:space="0" w:color="959595"/>
            </w:tcBorders>
            <w:shd w:fill="auto" w:val="clear"/>
            <w:tcMar>
              <w:top w:w="0" w:type="dxa"/>
            </w:tcMar>
            <w:vAlign w:val="center"/>
          </w:tcPr>
          <w:p>
            <w:pPr>
              <w:pStyle w:val="TableContents"/>
              <w:spacing w:before="0" w:after="283"/>
              <w:rPr>
                <w:sz w:val="4"/>
                <w:szCs w:val="4"/>
              </w:rPr>
            </w:pPr>
            <w:r>
              <w:rPr>
                <w:sz w:val="4"/>
                <w:szCs w:val="4"/>
              </w:rPr>
            </w:r>
          </w:p>
        </w:tc>
        <w:tc>
          <w:tcPr>
            <w:tcW w:w="642" w:type="dxa"/>
            <w:tcBorders/>
            <w:shd w:fill="auto" w:val="clear"/>
            <w:tcMar>
              <w:top w:w="0" w:type="dxa"/>
              <w:left w:w="0" w:type="dxa"/>
            </w:tcMar>
            <w:vAlign w:val="center"/>
          </w:tcPr>
          <w:p>
            <w:pPr>
              <w:pStyle w:val="TableContents"/>
              <w:spacing w:before="0" w:after="283"/>
              <w:jc w:val="left"/>
              <w:rPr/>
            </w:pPr>
            <w:r>
              <w:rPr/>
              <w:drawing>
                <wp:inline distT="0" distB="0" distL="0" distR="0">
                  <wp:extent cx="390525" cy="266700"/>
                  <wp:effectExtent l="0" t="0" r="0" b="0"/>
                  <wp:docPr id="210"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34" descr=""/>
                          <pic:cNvPicPr>
                            <a:picLocks noChangeAspect="1" noChangeArrowheads="1"/>
                          </pic:cNvPicPr>
                        </pic:nvPicPr>
                        <pic:blipFill>
                          <a:blip r:embed="rId135"/>
                          <a:srcRect l="-1679" t="-2460" r="-1679" b="-2460"/>
                          <a:stretch>
                            <a:fillRect/>
                          </a:stretch>
                        </pic:blipFill>
                        <pic:spPr bwMode="auto">
                          <a:xfrm>
                            <a:off x="0" y="0"/>
                            <a:ext cx="390525" cy="266700"/>
                          </a:xfrm>
                          <a:prstGeom prst="rect">
                            <a:avLst/>
                          </a:prstGeom>
                          <a:ln w="635">
                            <a:solidFill>
                              <a:srgbClr val="000000"/>
                            </a:solidFill>
                          </a:ln>
                        </pic:spPr>
                      </pic:pic>
                    </a:graphicData>
                  </a:graphic>
                </wp:inline>
              </w:drawing>
            </w:r>
          </w:p>
        </w:tc>
        <w:tc>
          <w:tcPr>
            <w:tcW w:w="9322" w:type="dxa"/>
            <w:gridSpan w:val="3"/>
            <w:tcBorders/>
            <w:shd w:fill="auto" w:val="clear"/>
            <w:tcMar>
              <w:top w:w="0" w:type="dxa"/>
              <w:left w:w="0" w:type="dxa"/>
            </w:tcMar>
            <w:vAlign w:val="center"/>
          </w:tcPr>
          <w:p>
            <w:pPr>
              <w:pStyle w:val="TableContents"/>
              <w:spacing w:before="0" w:after="0"/>
              <w:jc w:val="left"/>
              <w:rPr>
                <w:rFonts w:ascii="Arial" w:hAnsi="Arial"/>
                <w:b/>
                <w:sz w:val="20"/>
              </w:rPr>
            </w:pPr>
            <w:r>
              <w:rPr>
                <w:rFonts w:ascii="Arial" w:hAnsi="Arial"/>
                <w:b/>
                <w:sz w:val="20"/>
              </w:rPr>
              <w:t>Our Board unanimously recommends that shareholders vote “AGAINST” this shareholder proposal.</w:t>
            </w:r>
          </w:p>
        </w:tc>
        <w:tc>
          <w:tcPr>
            <w:tcW w:w="121" w:type="dxa"/>
            <w:tcBorders>
              <w:right w:val="single" w:sz="8" w:space="0" w:color="959595"/>
            </w:tcBorders>
            <w:shd w:fill="auto" w:val="clear"/>
            <w:tcMar>
              <w:top w:w="0" w:type="dxa"/>
              <w:left w:w="0" w:type="dxa"/>
              <w:right w:w="28" w:type="dxa"/>
            </w:tcMar>
            <w:vAlign w:val="center"/>
          </w:tcPr>
          <w:p>
            <w:pPr>
              <w:pStyle w:val="TableContents"/>
              <w:spacing w:before="0" w:after="283"/>
              <w:rPr>
                <w:sz w:val="4"/>
                <w:szCs w:val="4"/>
              </w:rPr>
            </w:pPr>
            <w:r>
              <w:rPr>
                <w:sz w:val="4"/>
                <w:szCs w:val="4"/>
              </w:rPr>
            </w:r>
          </w:p>
        </w:tc>
      </w:tr>
      <w:tr>
        <w:trPr/>
        <w:tc>
          <w:tcPr>
            <w:tcW w:w="120" w:type="dxa"/>
            <w:tcBorders>
              <w:left w:val="single" w:sz="8" w:space="0" w:color="959595"/>
              <w:bottom w:val="single" w:sz="8" w:space="0" w:color="959595"/>
            </w:tcBorders>
            <w:shd w:fill="auto" w:val="clear"/>
            <w:tcMar>
              <w:top w:w="0" w:type="dxa"/>
              <w:bottom w:w="28" w:type="dxa"/>
            </w:tcMar>
            <w:vAlign w:val="center"/>
          </w:tcPr>
          <w:p>
            <w:pPr>
              <w:pStyle w:val="TableContents"/>
              <w:spacing w:before="0" w:after="283"/>
              <w:jc w:val="left"/>
              <w:rPr/>
            </w:pPr>
            <w:r>
              <w:rPr/>
              <w:t> </w:t>
            </w:r>
          </w:p>
        </w:tc>
        <w:tc>
          <w:tcPr>
            <w:tcW w:w="642" w:type="dxa"/>
            <w:tcBorders>
              <w:bottom w:val="single" w:sz="8" w:space="0" w:color="959595"/>
            </w:tcBorders>
            <w:shd w:fill="auto" w:val="clear"/>
            <w:tcMar>
              <w:top w:w="0" w:type="dxa"/>
              <w:left w:w="0" w:type="dxa"/>
              <w:bottom w:w="28" w:type="dxa"/>
            </w:tcMar>
            <w:vAlign w:val="center"/>
          </w:tcPr>
          <w:p>
            <w:pPr>
              <w:pStyle w:val="TableContents"/>
              <w:spacing w:before="0" w:after="283"/>
              <w:rPr>
                <w:sz w:val="4"/>
                <w:szCs w:val="4"/>
              </w:rPr>
            </w:pPr>
            <w:r>
              <w:rPr>
                <w:sz w:val="4"/>
                <w:szCs w:val="4"/>
              </w:rPr>
            </w:r>
          </w:p>
        </w:tc>
        <w:tc>
          <w:tcPr>
            <w:tcW w:w="564" w:type="dxa"/>
            <w:tcBorders>
              <w:bottom w:val="single" w:sz="8" w:space="0" w:color="959595"/>
            </w:tcBorders>
            <w:shd w:fill="auto" w:val="clear"/>
            <w:tcMar>
              <w:top w:w="0" w:type="dxa"/>
              <w:left w:w="0" w:type="dxa"/>
              <w:bottom w:w="28" w:type="dxa"/>
            </w:tcMar>
            <w:vAlign w:val="center"/>
          </w:tcPr>
          <w:p>
            <w:pPr>
              <w:pStyle w:val="TableContents"/>
              <w:spacing w:before="0" w:after="283"/>
              <w:rPr/>
            </w:pPr>
            <w:r>
              <w:rPr/>
              <w:t> </w:t>
            </w:r>
          </w:p>
        </w:tc>
        <w:tc>
          <w:tcPr>
            <w:tcW w:w="300" w:type="dxa"/>
            <w:tcBorders>
              <w:bottom w:val="single" w:sz="8" w:space="0" w:color="959595"/>
            </w:tcBorders>
            <w:shd w:fill="auto" w:val="clear"/>
            <w:tcMar>
              <w:top w:w="0" w:type="dxa"/>
              <w:left w:w="0" w:type="dxa"/>
              <w:bottom w:w="28" w:type="dxa"/>
            </w:tcMar>
            <w:vAlign w:val="center"/>
          </w:tcPr>
          <w:p>
            <w:pPr>
              <w:pStyle w:val="TableContents"/>
              <w:spacing w:before="0" w:after="283"/>
              <w:rPr/>
            </w:pPr>
            <w:r>
              <w:rPr/>
              <w:t> </w:t>
            </w:r>
          </w:p>
        </w:tc>
        <w:tc>
          <w:tcPr>
            <w:tcW w:w="8458" w:type="dxa"/>
            <w:tcBorders>
              <w:bottom w:val="single" w:sz="8" w:space="0" w:color="959595"/>
            </w:tcBorders>
            <w:shd w:fill="auto" w:val="clear"/>
            <w:tcMar>
              <w:top w:w="0" w:type="dxa"/>
              <w:left w:w="0" w:type="dxa"/>
              <w:bottom w:w="28" w:type="dxa"/>
            </w:tcMar>
            <w:vAlign w:val="center"/>
          </w:tcPr>
          <w:p>
            <w:pPr>
              <w:pStyle w:val="TableContents"/>
              <w:spacing w:before="0" w:after="283"/>
              <w:rPr>
                <w:sz w:val="4"/>
                <w:szCs w:val="4"/>
              </w:rPr>
            </w:pPr>
            <w:r>
              <w:rPr>
                <w:sz w:val="4"/>
                <w:szCs w:val="4"/>
              </w:rPr>
            </w:r>
          </w:p>
        </w:tc>
        <w:tc>
          <w:tcPr>
            <w:tcW w:w="121" w:type="dxa"/>
            <w:tcBorders>
              <w:bottom w:val="single" w:sz="8" w:space="0" w:color="959595"/>
              <w:right w:val="single" w:sz="8" w:space="0" w:color="959595"/>
            </w:tcBorders>
            <w:shd w:fill="auto" w:val="clear"/>
            <w:tcMar>
              <w:top w:w="0" w:type="dxa"/>
              <w:left w:w="0" w:type="dxa"/>
              <w:bottom w:w="28" w:type="dxa"/>
              <w:right w:w="28" w:type="dxa"/>
            </w:tcMar>
            <w:vAlign w:val="center"/>
          </w:tcPr>
          <w:p>
            <w:pPr>
              <w:pStyle w:val="TableContents"/>
              <w:spacing w:before="0" w:after="283"/>
              <w:rPr>
                <w:sz w:val="4"/>
                <w:szCs w:val="4"/>
              </w:rPr>
            </w:pPr>
            <w:r>
              <w:rPr>
                <w:sz w:val="4"/>
                <w:szCs w:val="4"/>
              </w:rPr>
            </w:r>
          </w:p>
        </w:tc>
      </w:tr>
    </w:tbl>
    <w:p>
      <w:pPr>
        <w:pStyle w:val="TextBody"/>
        <w:spacing w:before="240" w:after="283"/>
        <w:jc w:val="left"/>
        <w:rPr>
          <w:rFonts w:ascii="Arial" w:hAnsi="Arial"/>
          <w:sz w:val="20"/>
        </w:rPr>
      </w:pPr>
      <w:r>
        <w:rPr>
          <w:rFonts w:ascii="Arial" w:hAnsi="Arial"/>
          <w:sz w:val="20"/>
        </w:rPr>
        <w:t>The following proposal and supporting statement were submitted by the Remmer Family Foundation and various co-filers, c/o As You Sow, 2020 Milvia Street, Suite 500, Berkeley, CA 94704.</w:t>
      </w:r>
    </w:p>
    <w:p>
      <w:pPr>
        <w:pStyle w:val="TextBody"/>
        <w:jc w:val="left"/>
        <w:rPr>
          <w:rFonts w:ascii="Arial" w:hAnsi="Arial"/>
          <w:color w:val="00A1E0"/>
          <w:sz w:val="28"/>
        </w:rPr>
      </w:pPr>
      <w:r>
        <w:rPr>
          <w:rFonts w:ascii="Arial" w:hAnsi="Arial"/>
          <w:color w:val="00A1E0"/>
          <w:sz w:val="28"/>
        </w:rPr>
        <w:t>Supporting Statement</w:t>
      </w:r>
    </w:p>
    <w:p>
      <w:pPr>
        <w:pStyle w:val="TextBody"/>
        <w:jc w:val="left"/>
        <w:rPr/>
      </w:pPr>
      <w:r>
        <w:rPr>
          <w:rStyle w:val="StrongEmphasis"/>
          <w:rFonts w:ascii="Arial" w:hAnsi="Arial"/>
          <w:sz w:val="20"/>
        </w:rPr>
        <w:t>WHEREAS:</w:t>
      </w:r>
      <w:r>
        <w:rPr>
          <w:rFonts w:ascii="Arial" w:hAnsi="Arial"/>
          <w:sz w:val="20"/>
        </w:rPr>
        <w:t xml:space="preserve"> Climate change poses growing, systemic risk to the economy. If global climate goals are not met, workers face the likelihood of significant negative impacts to their retirement portfolios. Swiss Re estimates a 4% decline in global GDP by 2050 if global temperature increases are kept below 2 degrees Celsius, but up to an 18% decline without effective mitigation.</w:t>
      </w:r>
      <w:r>
        <w:rPr>
          <w:rFonts w:ascii="Arial" w:hAnsi="Arial"/>
          <w:position w:val="7"/>
          <w:sz w:val="16"/>
          <w:sz w:val="20"/>
        </w:rPr>
        <w:t xml:space="preserve">1 </w:t>
      </w:r>
    </w:p>
    <w:p>
      <w:pPr>
        <w:pStyle w:val="TextBody"/>
        <w:jc w:val="left"/>
        <w:rPr>
          <w:rFonts w:ascii="Arial" w:hAnsi="Arial"/>
          <w:sz w:val="20"/>
        </w:rPr>
      </w:pPr>
      <w:r>
        <w:rPr>
          <w:rFonts w:ascii="Arial" w:hAnsi="Arial"/>
          <w:sz w:val="20"/>
        </w:rPr>
        <w:t>Comcast has taken certain actions to address climate change, for example, by committing to reach carbon neutrality for Scope 1 and 2 emissions, across its global operations, by 2035.</w:t>
      </w:r>
      <w:r>
        <w:rPr>
          <w:rFonts w:ascii="Arial" w:hAnsi="Arial"/>
          <w:position w:val="7"/>
          <w:sz w:val="16"/>
          <w:sz w:val="20"/>
        </w:rPr>
        <w:t xml:space="preserve">2 </w:t>
      </w:r>
      <w:r>
        <w:rPr>
          <w:rFonts w:ascii="Arial" w:hAnsi="Arial"/>
          <w:sz w:val="20"/>
        </w:rPr>
        <w:t>Yet, while decarbonizing part of its business, Comcast’s 401(k) retirement plan (“Plan”) continues to invest significantly in companies that contribute to climate change, jeopardizing workers’ life savings.</w:t>
      </w:r>
    </w:p>
    <w:p>
      <w:pPr>
        <w:pStyle w:val="TextBody"/>
        <w:jc w:val="left"/>
        <w:rPr>
          <w:rFonts w:ascii="Arial" w:hAnsi="Arial"/>
          <w:sz w:val="20"/>
        </w:rPr>
      </w:pPr>
      <w:r>
        <w:rPr>
          <w:rFonts w:ascii="Arial" w:hAnsi="Arial"/>
          <w:sz w:val="20"/>
        </w:rPr>
        <w:t>Our Company’s employee retirement funds are automatically invested in the Plan’s default investment option unless employees proactively choose different investments. Thus, the majority of the Comcast Plan’s $17.6 billion in assets are invested in its default option.</w:t>
      </w:r>
      <w:r>
        <w:rPr>
          <w:rFonts w:ascii="Arial" w:hAnsi="Arial"/>
          <w:position w:val="7"/>
          <w:sz w:val="16"/>
          <w:sz w:val="20"/>
        </w:rPr>
        <w:t>3</w:t>
      </w:r>
    </w:p>
    <w:p>
      <w:pPr>
        <w:pStyle w:val="TextBody"/>
        <w:jc w:val="left"/>
        <w:rPr>
          <w:rFonts w:ascii="Arial" w:hAnsi="Arial"/>
          <w:sz w:val="20"/>
        </w:rPr>
      </w:pPr>
      <w:r>
        <w:rPr>
          <w:rFonts w:ascii="Arial" w:hAnsi="Arial"/>
          <w:sz w:val="20"/>
        </w:rPr>
        <w:t>Comcast has selected Vanguard Target Retirement funds as the Plan’s default offering. These funds invest significantly in fossil fuel companies and companies contributing to deforestation.</w:t>
      </w:r>
      <w:r>
        <w:rPr>
          <w:rFonts w:ascii="Arial" w:hAnsi="Arial"/>
          <w:position w:val="7"/>
          <w:sz w:val="16"/>
          <w:sz w:val="20"/>
        </w:rPr>
        <w:t xml:space="preserve">4 </w:t>
      </w:r>
      <w:r>
        <w:rPr>
          <w:rFonts w:ascii="Arial" w:hAnsi="Arial"/>
          <w:sz w:val="20"/>
        </w:rPr>
        <w:t>By investing employees’ retirement savings in companies with outsize contributions to climate change, Comcast is generating climate risk, including transition risk and long-term systemic risk, to workers’ portfolios.</w:t>
      </w:r>
    </w:p>
    <w:p>
      <w:pPr>
        <w:pStyle w:val="TextBody"/>
        <w:jc w:val="left"/>
        <w:rPr>
          <w:rFonts w:ascii="Arial" w:hAnsi="Arial"/>
          <w:sz w:val="20"/>
        </w:rPr>
      </w:pPr>
      <w:r>
        <w:rPr>
          <w:rFonts w:ascii="Arial" w:hAnsi="Arial"/>
          <w:sz w:val="20"/>
        </w:rPr>
        <w:t>Comcast’s default 401(k) choice risks compromising its obligation to select retirement plan investment options in the best interests of its plan participants, including those with retirement dates more than a decade out.</w:t>
      </w:r>
    </w:p>
    <w:p>
      <w:pPr>
        <w:pStyle w:val="TextBody"/>
        <w:jc w:val="left"/>
        <w:rPr>
          <w:rFonts w:ascii="Arial" w:hAnsi="Arial"/>
          <w:sz w:val="20"/>
        </w:rPr>
      </w:pPr>
      <w:r>
        <w:rPr>
          <w:rFonts w:ascii="Arial" w:hAnsi="Arial"/>
          <w:sz w:val="20"/>
        </w:rPr>
        <w:t>In the increasingly competitive employee recruitment and retention landscape, failing to minimize material climate risk in its 401(k) Plan default option may make it more difficult for Comcast to attract and retain top talent. Employee polling indicates that firms’ environmental records are an important consideration in choosing a job.</w:t>
      </w:r>
      <w:r>
        <w:rPr>
          <w:rFonts w:ascii="Arial" w:hAnsi="Arial"/>
          <w:position w:val="7"/>
          <w:sz w:val="16"/>
          <w:sz w:val="20"/>
        </w:rPr>
        <w:t xml:space="preserve">5 </w:t>
      </w:r>
      <w:r>
        <w:rPr>
          <w:rFonts w:ascii="Arial" w:hAnsi="Arial"/>
          <w:sz w:val="20"/>
        </w:rPr>
        <w:t>Employee polling also reveals increasing demand for climate-safe retirement plan options.</w:t>
      </w:r>
      <w:r>
        <w:rPr>
          <w:rFonts w:ascii="Arial" w:hAnsi="Arial"/>
          <w:position w:val="7"/>
          <w:sz w:val="16"/>
          <w:sz w:val="20"/>
        </w:rPr>
        <w:t>6</w:t>
      </w:r>
    </w:p>
    <w:p>
      <w:pPr>
        <w:pStyle w:val="TextBody"/>
        <w:jc w:val="left"/>
        <w:rPr>
          <w:rFonts w:ascii="Arial" w:hAnsi="Arial"/>
          <w:sz w:val="20"/>
        </w:rPr>
      </w:pPr>
      <w:r>
        <w:rPr>
          <w:rFonts w:ascii="Arial" w:hAnsi="Arial"/>
          <w:sz w:val="20"/>
        </w:rPr>
        <w:t>Given the threat that climate change poses to employee’s life savings, our Company can help ensure employee loyalty and satisfaction, and demonstrate that it is actively safeguarding all employee retirement savings, no matter when they are set to retire, by minimizing climate risk in its Plan offerings, especially in its default option. The federal government recently clarified that fiduciaries may appropriately consider climate risk in the selection of plan offerings, including in the default option.</w:t>
      </w:r>
      <w:r>
        <w:rPr>
          <w:rFonts w:ascii="Arial" w:hAnsi="Arial"/>
          <w:position w:val="7"/>
          <w:sz w:val="16"/>
          <w:sz w:val="20"/>
        </w:rPr>
        <w:t>7</w:t>
      </w:r>
    </w:p>
    <w:p>
      <w:pPr>
        <w:pStyle w:val="TextBody"/>
        <w:jc w:val="left"/>
        <w:rPr/>
      </w:pPr>
      <w:r>
        <w:rPr>
          <w:rFonts w:ascii="Arial" w:hAnsi="Arial"/>
          <w:b/>
          <w:sz w:val="20"/>
        </w:rPr>
        <w:t>RESOLVED:</w:t>
      </w:r>
      <w:r>
        <w:rPr>
          <w:rFonts w:ascii="Arial" w:hAnsi="Arial"/>
          <w:sz w:val="20"/>
        </w:rPr>
        <w:t xml:space="preserve"> Shareholders request that the Board publish a report, at reasonable expense and omitting confidential information, disclosing how the Company is protecting Plan beneficiaries with a longer investment time horizon from climate risk in the Company’s default retirement options.</w:t>
      </w:r>
    </w:p>
    <w:p>
      <w:pPr>
        <w:pStyle w:val="TextBody"/>
        <w:spacing w:before="0" w:after="283"/>
        <w:jc w:val="left"/>
        <w:rPr/>
      </w:pPr>
      <w:r>
        <w:rPr/>
        <w:t>____________________</w:t>
      </w:r>
    </w:p>
    <w:tbl>
      <w:tblPr>
        <w:tblW w:w="10205" w:type="dxa"/>
        <w:jc w:val="left"/>
        <w:tblInd w:w="0" w:type="dxa"/>
        <w:tblCellMar>
          <w:top w:w="0" w:type="dxa"/>
          <w:left w:w="0" w:type="dxa"/>
          <w:bottom w:w="0" w:type="dxa"/>
          <w:right w:w="0" w:type="dxa"/>
        </w:tblCellMar>
      </w:tblPr>
      <w:tblGrid>
        <w:gridCol w:w="80"/>
        <w:gridCol w:w="10125"/>
      </w:tblGrid>
      <w:tr>
        <w:trPr/>
        <w:tc>
          <w:tcPr>
            <w:tcW w:w="80"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1</w:t>
            </w:r>
          </w:p>
        </w:tc>
        <w:tc>
          <w:tcPr>
            <w:tcW w:w="10125" w:type="dxa"/>
            <w:tcBorders/>
            <w:shd w:fill="auto" w:val="clear"/>
            <w:vAlign w:val="center"/>
          </w:tcPr>
          <w:p>
            <w:pPr>
              <w:pStyle w:val="TableContents"/>
              <w:spacing w:before="0" w:after="283"/>
              <w:jc w:val="left"/>
              <w:rPr>
                <w:rFonts w:ascii="Arial" w:hAnsi="Arial"/>
                <w:i/>
                <w:sz w:val="15"/>
              </w:rPr>
            </w:pPr>
            <w:r>
              <w:rPr>
                <w:rFonts w:ascii="Arial" w:hAnsi="Arial"/>
                <w:i/>
                <w:sz w:val="15"/>
              </w:rPr>
              <w:t>https://www.swissre.com/media/press-release/nr-20210422-economics-of-climate-change-risks.html</w:t>
            </w:r>
          </w:p>
        </w:tc>
      </w:tr>
      <w:tr>
        <w:trPr/>
        <w:tc>
          <w:tcPr>
            <w:tcW w:w="80"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2</w:t>
            </w:r>
          </w:p>
        </w:tc>
        <w:tc>
          <w:tcPr>
            <w:tcW w:w="10125" w:type="dxa"/>
            <w:tcBorders/>
            <w:shd w:fill="auto" w:val="clear"/>
            <w:vAlign w:val="center"/>
          </w:tcPr>
          <w:p>
            <w:pPr>
              <w:pStyle w:val="TableContents"/>
              <w:spacing w:before="0" w:after="283"/>
              <w:jc w:val="left"/>
              <w:rPr>
                <w:rFonts w:ascii="Arial" w:hAnsi="Arial"/>
                <w:i/>
                <w:sz w:val="15"/>
              </w:rPr>
            </w:pPr>
            <w:r>
              <w:rPr>
                <w:rFonts w:ascii="Arial" w:hAnsi="Arial"/>
                <w:i/>
                <w:sz w:val="15"/>
              </w:rPr>
              <w:t>https://update.comcast.com/wp-content/uploads/sites/33/dlm_uploads/2021/06/Comcast-lmpact-Report-FIN3.pdf</w:t>
            </w:r>
          </w:p>
        </w:tc>
      </w:tr>
      <w:tr>
        <w:trPr/>
        <w:tc>
          <w:tcPr>
            <w:tcW w:w="80"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3</w:t>
            </w:r>
          </w:p>
        </w:tc>
        <w:tc>
          <w:tcPr>
            <w:tcW w:w="10125" w:type="dxa"/>
            <w:tcBorders/>
            <w:shd w:fill="auto" w:val="clear"/>
            <w:vAlign w:val="center"/>
          </w:tcPr>
          <w:p>
            <w:pPr>
              <w:pStyle w:val="TableContents"/>
              <w:spacing w:before="0" w:after="283"/>
              <w:jc w:val="left"/>
              <w:rPr>
                <w:rFonts w:ascii="Arial" w:hAnsi="Arial"/>
                <w:i/>
                <w:sz w:val="15"/>
              </w:rPr>
            </w:pPr>
            <w:r>
              <w:rPr>
                <w:rFonts w:ascii="Arial" w:hAnsi="Arial"/>
                <w:i/>
                <w:sz w:val="15"/>
              </w:rPr>
              <w:t>https://ivv-charts.s3.us-west-2.amazonaws.com/retirement-plans/comcast/comcast-corporation-employee-savings-plans-master-trust-form-5500-filing-and-attachment-2021.pdf</w:t>
            </w:r>
          </w:p>
        </w:tc>
      </w:tr>
      <w:tr>
        <w:trPr/>
        <w:tc>
          <w:tcPr>
            <w:tcW w:w="80"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4</w:t>
            </w:r>
          </w:p>
        </w:tc>
        <w:tc>
          <w:tcPr>
            <w:tcW w:w="10125" w:type="dxa"/>
            <w:tcBorders/>
            <w:shd w:fill="auto" w:val="clear"/>
            <w:vAlign w:val="center"/>
          </w:tcPr>
          <w:p>
            <w:pPr>
              <w:pStyle w:val="TableContents"/>
              <w:spacing w:before="0" w:after="283"/>
              <w:jc w:val="left"/>
              <w:rPr>
                <w:rFonts w:ascii="Arial" w:hAnsi="Arial"/>
                <w:i/>
                <w:sz w:val="15"/>
              </w:rPr>
            </w:pPr>
            <w:r>
              <w:rPr>
                <w:rFonts w:ascii="Arial" w:hAnsi="Arial"/>
                <w:i/>
                <w:sz w:val="15"/>
              </w:rPr>
              <w:t>https://investyourvalues.org/retirement-plans/comcast</w:t>
            </w:r>
          </w:p>
        </w:tc>
      </w:tr>
      <w:tr>
        <w:trPr/>
        <w:tc>
          <w:tcPr>
            <w:tcW w:w="80"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5</w:t>
            </w:r>
          </w:p>
        </w:tc>
        <w:tc>
          <w:tcPr>
            <w:tcW w:w="10125" w:type="dxa"/>
            <w:tcBorders/>
            <w:shd w:fill="auto" w:val="clear"/>
            <w:vAlign w:val="center"/>
          </w:tcPr>
          <w:p>
            <w:pPr>
              <w:pStyle w:val="TableContents"/>
              <w:spacing w:before="0" w:after="283"/>
              <w:jc w:val="left"/>
              <w:rPr>
                <w:rFonts w:ascii="Arial" w:hAnsi="Arial"/>
                <w:i/>
                <w:sz w:val="15"/>
              </w:rPr>
            </w:pPr>
            <w:r>
              <w:rPr>
                <w:rFonts w:ascii="Arial" w:hAnsi="Arial"/>
                <w:i/>
                <w:sz w:val="15"/>
              </w:rPr>
              <w:t>https://www.shrm.org/resourcesandtools/hr-topics/talent-acquisition/pages/climate-change-branding-can-lift-recruitment-and-retention.aspx</w:t>
            </w:r>
          </w:p>
        </w:tc>
      </w:tr>
      <w:tr>
        <w:trPr/>
        <w:tc>
          <w:tcPr>
            <w:tcW w:w="80"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6</w:t>
            </w:r>
          </w:p>
        </w:tc>
        <w:tc>
          <w:tcPr>
            <w:tcW w:w="10125" w:type="dxa"/>
            <w:tcBorders/>
            <w:shd w:fill="auto" w:val="clear"/>
            <w:vAlign w:val="center"/>
          </w:tcPr>
          <w:p>
            <w:pPr>
              <w:pStyle w:val="TableContents"/>
              <w:spacing w:before="0" w:after="283"/>
              <w:jc w:val="left"/>
              <w:rPr>
                <w:rFonts w:ascii="Arial" w:hAnsi="Arial"/>
                <w:i/>
                <w:sz w:val="15"/>
              </w:rPr>
            </w:pPr>
            <w:r>
              <w:rPr>
                <w:rFonts w:ascii="Arial" w:hAnsi="Arial"/>
                <w:i/>
                <w:sz w:val="15"/>
              </w:rPr>
              <w:t>https://www.cnbc.com/2019/04/09/workers-want-elusive-socially-responsible-investments-in-401k-survey.html</w:t>
            </w:r>
          </w:p>
        </w:tc>
      </w:tr>
      <w:tr>
        <w:trPr/>
        <w:tc>
          <w:tcPr>
            <w:tcW w:w="80"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7</w:t>
            </w:r>
          </w:p>
        </w:tc>
        <w:tc>
          <w:tcPr>
            <w:tcW w:w="10125" w:type="dxa"/>
            <w:tcBorders/>
            <w:shd w:fill="auto" w:val="clear"/>
            <w:vAlign w:val="center"/>
          </w:tcPr>
          <w:p>
            <w:pPr>
              <w:pStyle w:val="TableContents"/>
              <w:spacing w:before="0" w:after="283"/>
              <w:jc w:val="left"/>
              <w:rPr>
                <w:rFonts w:ascii="Arial" w:hAnsi="Arial"/>
                <w:i/>
                <w:sz w:val="15"/>
              </w:rPr>
            </w:pPr>
            <w:r>
              <w:rPr>
                <w:rFonts w:ascii="Arial" w:hAnsi="Arial"/>
                <w:i/>
                <w:sz w:val="15"/>
              </w:rPr>
              <w:t>https://www.federalregister.gov/documents/2022/12/01/2022-25783/prudence -and-loyalty-in-selecting-plan-investments-and-exercising-shareholder-rights</w:t>
            </w:r>
          </w:p>
        </w:tc>
      </w:tr>
    </w:tbl>
    <w:p>
      <w:pPr>
        <w:pStyle w:val="TextBody"/>
        <w:spacing w:before="0" w:after="0"/>
        <w:rPr/>
      </w:pPr>
      <w:r>
        <w:rPr/>
      </w:r>
    </w:p>
    <w:tbl>
      <w:tblPr>
        <w:tblW w:w="2200" w:type="dxa"/>
        <w:jc w:val="left"/>
        <w:tblInd w:w="0" w:type="dxa"/>
        <w:tblCellMar>
          <w:top w:w="0" w:type="dxa"/>
          <w:left w:w="0" w:type="dxa"/>
          <w:bottom w:w="0" w:type="dxa"/>
          <w:right w:w="0" w:type="dxa"/>
        </w:tblCellMar>
      </w:tblPr>
      <w:tblGrid>
        <w:gridCol w:w="1580"/>
        <w:gridCol w:w="620"/>
      </w:tblGrid>
      <w:tr>
        <w:trPr/>
        <w:tc>
          <w:tcPr>
            <w:tcW w:w="1580" w:type="dxa"/>
            <w:tcBorders/>
            <w:shd w:fill="auto" w:val="clear"/>
            <w:vAlign w:val="center"/>
          </w:tcPr>
          <w:p>
            <w:pPr>
              <w:pStyle w:val="TableContents"/>
              <w:spacing w:before="0" w:after="283"/>
              <w:jc w:val="right"/>
              <w:rPr>
                <w:rFonts w:ascii="Arial" w:hAnsi="Arial"/>
                <w:sz w:val="15"/>
              </w:rPr>
            </w:pPr>
            <w:r>
              <w:rPr>
                <w:rFonts w:ascii="Arial" w:hAnsi="Arial"/>
                <w:sz w:val="15"/>
              </w:rPr>
              <w:t>2023 Proxy Statement</w:t>
            </w:r>
          </w:p>
        </w:tc>
        <w:tc>
          <w:tcPr>
            <w:tcW w:w="620" w:type="dxa"/>
            <w:tcBorders/>
            <w:shd w:fill="auto" w:val="clear"/>
            <w:vAlign w:val="center"/>
          </w:tcPr>
          <w:p>
            <w:pPr>
              <w:pStyle w:val="TableContents"/>
              <w:spacing w:before="0" w:after="283"/>
              <w:jc w:val="right"/>
              <w:rPr/>
            </w:pPr>
            <w:r>
              <w:rPr/>
              <w:t>       </w:t>
            </w:r>
            <w:r>
              <w:rPr>
                <w:rStyle w:val="StrongEmphasis"/>
                <w:rFonts w:ascii="Arial" w:hAnsi="Arial"/>
                <w:sz w:val="15"/>
              </w:rPr>
              <w:t>73</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p>
      <w:pPr>
        <w:pStyle w:val="TextBody"/>
        <w:jc w:val="left"/>
        <w:rPr/>
      </w:pPr>
      <w:r>
        <w:rPr>
          <w:rFonts w:ascii="Arial" w:hAnsi="Arial"/>
          <w:b/>
          <w:sz w:val="20"/>
        </w:rPr>
        <w:t>SUPPORTING STATEMENT:</w:t>
      </w:r>
      <w:r>
        <w:rPr>
          <w:rFonts w:ascii="Arial" w:hAnsi="Arial"/>
          <w:sz w:val="20"/>
        </w:rPr>
        <w:t xml:space="preserve"> The report should include, at Board discretion, analysis of:</w:t>
      </w:r>
    </w:p>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t>The degree to which carbon-intensive investments in the default investment option contribute to greater beneficiary risk and reduced Plan performance over time;</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t>Whether carbon-intensive investments in the default investment option put younger beneficiaries’ savings at greater risk than participants closer to retirement.</w:t>
            </w:r>
          </w:p>
        </w:tc>
      </w:tr>
    </w:tbl>
    <w:p>
      <w:pPr>
        <w:pStyle w:val="TextBody"/>
        <w:spacing w:before="240" w:after="283"/>
        <w:jc w:val="left"/>
        <w:rPr>
          <w:rFonts w:ascii="Arial" w:hAnsi="Arial"/>
          <w:color w:val="00A1E0"/>
          <w:sz w:val="28"/>
        </w:rPr>
      </w:pPr>
      <w:r>
        <w:rPr>
          <w:rFonts w:ascii="Arial" w:hAnsi="Arial"/>
          <w:color w:val="00A1E0"/>
          <w:sz w:val="28"/>
        </w:rPr>
        <w:t>Company Response to Shareholder Proposal</w:t>
      </w:r>
    </w:p>
    <w:p>
      <w:pPr>
        <w:pStyle w:val="TextBody"/>
        <w:spacing w:before="0" w:after="0"/>
        <w:jc w:val="left"/>
        <w:rPr/>
      </w:pPr>
      <w:r>
        <w:rPr>
          <w:rFonts w:ascii="Arial" w:hAnsi="Arial"/>
          <w:sz w:val="20"/>
        </w:rPr>
        <w:t xml:space="preserve">A similar proposal appeared in our 2022 proxy statement and was not approved, receiving the support of only 6% of shares voted. We do not believe that having our Board provide a report on how we are protecting retirement plan beneficiaries from climate risk in default investment options is an appropriate mechanism to provide for prudent stewardship of our retirement plans in accordance with applicable law, nor would this report provide additional information or value to our shareholders. As a result, our Board recommends </w:t>
      </w:r>
      <w:r>
        <w:rPr>
          <w:rStyle w:val="StrongEmphasis"/>
          <w:rFonts w:ascii="Arial" w:hAnsi="Arial"/>
          <w:sz w:val="20"/>
        </w:rPr>
        <w:t>AGAINST</w:t>
      </w:r>
      <w:r>
        <w:rPr>
          <w:rFonts w:ascii="Arial" w:hAnsi="Arial"/>
          <w:sz w:val="20"/>
        </w:rPr>
        <w:t xml:space="preserve"> this proposal for the reasons more specifically described below.</w:t>
      </w:r>
    </w:p>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t>We believe the proponent is misguided in asserting that our retirement plans generate climate risk to employees’ portfolios or that we are compromising our obligation to select retirement plan investment options in the best interests of plan participants. The proposal’s request appears to be based on a flawed understanding of the basic fiduciary requirements that underpin investment options in U.S. retirement plans. As is customary for large retirement plans, we have an internal management investment committee that serves as our retirement plans’ fiduciary which, with the assistance of professional third-party advisors, is responsible for the administrative duties of selecting and monitoring our retirement plans’ investment options, including default investment options. Our investment committee has worked diligently to offer participants a broad range of investment strategies across different asset classes and investment styles to allow participants to diversify their investments and pursue their individual retirement objectives based on their own risk tolerance. To this end, we plan to introduce a new mutual fund investment window later this year that will include fund options that expressly take into consideration climate and other ESG matters as part of their investment mandate, among other options.</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t>U.S. law mandates that a responsible plan fiduciary select retirement plan investment options, including default investment options, based on economic factors the fiduciary “reasonably determines are relevant to a risk and return analysis” for the particular investment or investment course of action. According to the U.S. Department of Labor (“DOL”), the federal agency that interprets and enforces federal pension law, a retirement plan fiduciary that selects plan investments may not (i) subordinate the interests of participants and beneficiaries in their retirement income or financial benefits under retirement plans to other objectives or (ii) sacrifice investment return or take on additional investment risk to promote benefits or goals unrelated to the interests of the participants and beneficiaries in their retirement income or financial benefits under the plan.</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t>As permitted under applicable DOL rules, our plans’ fiduciary already considers a variety of potential economic risks, reward opportunities and goals – including those related to climate change – in selecting the plans’ investment options, including default investment options. Further, nearly all of the investment managers for funds offered in our retirement plans’ core lineup incorporate and consider ESG factors in their investment policies, processes and practices to varying extents, consistent with their legal fiduciary obligations. Our fiduciary committee reviews the manager’s consideration of such factors as part of its routine due diligence efforts.</w:t>
            </w:r>
          </w:p>
        </w:tc>
      </w:tr>
    </w:tbl>
    <w:p>
      <w:pPr>
        <w:pStyle w:val="TextBody"/>
        <w:spacing w:before="240" w:after="283"/>
        <w:jc w:val="left"/>
        <w:rPr>
          <w:rFonts w:ascii="Arial" w:hAnsi="Arial"/>
          <w:b/>
          <w:sz w:val="20"/>
        </w:rPr>
      </w:pPr>
      <w:r>
        <w:rPr>
          <w:rFonts w:ascii="Arial" w:hAnsi="Arial"/>
          <w:b/>
          <w:sz w:val="20"/>
        </w:rPr>
        <w:t>For the reasons set forth above, our Board unanimously recommends AGAINST this proposal.</w:t>
      </w:r>
    </w:p>
    <w:tbl>
      <w:tblPr>
        <w:tblW w:w="200" w:type="dxa"/>
        <w:jc w:val="left"/>
        <w:tblInd w:w="0" w:type="dxa"/>
        <w:tblCellMar>
          <w:top w:w="0" w:type="dxa"/>
          <w:left w:w="0" w:type="dxa"/>
          <w:bottom w:w="0" w:type="dxa"/>
          <w:right w:w="0" w:type="dxa"/>
        </w:tblCellMar>
      </w:tblPr>
      <w:tblGrid>
        <w:gridCol w:w="200"/>
      </w:tblGrid>
      <w:tr>
        <w:trPr/>
        <w:tc>
          <w:tcPr>
            <w:tcW w:w="200" w:type="dxa"/>
            <w:tcBorders/>
            <w:shd w:fill="auto" w:val="clear"/>
            <w:vAlign w:val="center"/>
          </w:tcPr>
          <w:p>
            <w:pPr>
              <w:pStyle w:val="TableContents"/>
              <w:spacing w:before="0" w:after="283"/>
              <w:jc w:val="left"/>
              <w:rPr>
                <w:rFonts w:ascii="Arial" w:hAnsi="Arial"/>
                <w:sz w:val="15"/>
              </w:rPr>
            </w:pPr>
            <w:r>
              <w:rPr>
                <w:rFonts w:ascii="Arial" w:hAnsi="Arial"/>
                <w:sz w:val="15"/>
              </w:rPr>
              <w:t>74</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10205" w:type="dxa"/>
        <w:jc w:val="left"/>
        <w:tblInd w:w="0" w:type="dxa"/>
        <w:tblCellMar>
          <w:top w:w="28" w:type="dxa"/>
          <w:left w:w="28" w:type="dxa"/>
          <w:bottom w:w="0" w:type="dxa"/>
          <w:right w:w="0" w:type="dxa"/>
        </w:tblCellMar>
      </w:tblPr>
      <w:tblGrid>
        <w:gridCol w:w="120"/>
        <w:gridCol w:w="641"/>
        <w:gridCol w:w="563"/>
        <w:gridCol w:w="300"/>
        <w:gridCol w:w="8459"/>
        <w:gridCol w:w="122"/>
      </w:tblGrid>
      <w:tr>
        <w:trPr/>
        <w:tc>
          <w:tcPr>
            <w:tcW w:w="120" w:type="dxa"/>
            <w:tcBorders>
              <w:top w:val="single" w:sz="8" w:space="0" w:color="959595"/>
              <w:left w:val="single" w:sz="8" w:space="0" w:color="959595"/>
            </w:tcBorders>
            <w:shd w:fill="auto" w:val="clear"/>
            <w:vAlign w:val="center"/>
          </w:tcPr>
          <w:p>
            <w:pPr>
              <w:pStyle w:val="TableContents"/>
              <w:spacing w:before="0" w:after="283"/>
              <w:jc w:val="left"/>
              <w:rPr/>
            </w:pPr>
            <w:r>
              <w:rPr/>
              <w:t>  </w:t>
            </w:r>
          </w:p>
        </w:tc>
        <w:tc>
          <w:tcPr>
            <w:tcW w:w="641" w:type="dxa"/>
            <w:tcBorders>
              <w:top w:val="single" w:sz="8" w:space="0" w:color="959595"/>
            </w:tcBorders>
            <w:shd w:fill="auto" w:val="clear"/>
            <w:tcMar>
              <w:left w:w="0" w:type="dxa"/>
            </w:tcMar>
            <w:vAlign w:val="center"/>
          </w:tcPr>
          <w:p>
            <w:pPr>
              <w:pStyle w:val="TableContents"/>
              <w:spacing w:before="0" w:after="283"/>
              <w:rPr>
                <w:sz w:val="4"/>
                <w:szCs w:val="4"/>
              </w:rPr>
            </w:pPr>
            <w:r>
              <w:rPr>
                <w:sz w:val="4"/>
                <w:szCs w:val="4"/>
              </w:rPr>
            </w:r>
          </w:p>
        </w:tc>
        <w:tc>
          <w:tcPr>
            <w:tcW w:w="563" w:type="dxa"/>
            <w:tcBorders>
              <w:top w:val="single" w:sz="8" w:space="0" w:color="959595"/>
            </w:tcBorders>
            <w:shd w:fill="auto" w:val="clear"/>
            <w:tcMar>
              <w:left w:w="0" w:type="dxa"/>
            </w:tcMar>
            <w:vAlign w:val="center"/>
          </w:tcPr>
          <w:p>
            <w:pPr>
              <w:pStyle w:val="TableContents"/>
              <w:spacing w:before="0" w:after="283"/>
              <w:rPr/>
            </w:pPr>
            <w:r>
              <w:rPr/>
              <w:t> </w:t>
            </w:r>
          </w:p>
        </w:tc>
        <w:tc>
          <w:tcPr>
            <w:tcW w:w="300" w:type="dxa"/>
            <w:tcBorders>
              <w:top w:val="single" w:sz="8" w:space="0" w:color="959595"/>
            </w:tcBorders>
            <w:shd w:fill="auto" w:val="clear"/>
            <w:tcMar>
              <w:left w:w="0" w:type="dxa"/>
            </w:tcMar>
            <w:vAlign w:val="center"/>
          </w:tcPr>
          <w:p>
            <w:pPr>
              <w:pStyle w:val="TableContents"/>
              <w:spacing w:before="0" w:after="283"/>
              <w:rPr/>
            </w:pPr>
            <w:r>
              <w:rPr/>
              <w:t> </w:t>
            </w:r>
          </w:p>
        </w:tc>
        <w:tc>
          <w:tcPr>
            <w:tcW w:w="8459" w:type="dxa"/>
            <w:tcBorders>
              <w:top w:val="single" w:sz="8" w:space="0" w:color="959595"/>
            </w:tcBorders>
            <w:shd w:fill="auto" w:val="clear"/>
            <w:tcMar>
              <w:left w:w="0" w:type="dxa"/>
            </w:tcMar>
            <w:vAlign w:val="center"/>
          </w:tcPr>
          <w:p>
            <w:pPr>
              <w:pStyle w:val="TableContents"/>
              <w:spacing w:before="0" w:after="283"/>
              <w:jc w:val="left"/>
              <w:rPr/>
            </w:pPr>
            <w:r>
              <w:rPr/>
              <w:t>                              </w:t>
            </w:r>
          </w:p>
        </w:tc>
        <w:tc>
          <w:tcPr>
            <w:tcW w:w="122" w:type="dxa"/>
            <w:tcBorders>
              <w:top w:val="single" w:sz="8" w:space="0" w:color="959595"/>
              <w:right w:val="single" w:sz="8" w:space="0" w:color="959595"/>
            </w:tcBorders>
            <w:shd w:fill="auto" w:val="clear"/>
            <w:tcMar>
              <w:left w:w="0" w:type="dxa"/>
              <w:right w:w="28" w:type="dxa"/>
            </w:tcMar>
            <w:vAlign w:val="center"/>
          </w:tcPr>
          <w:p>
            <w:pPr>
              <w:pStyle w:val="TableContents"/>
              <w:spacing w:before="0" w:after="283"/>
              <w:jc w:val="left"/>
              <w:rPr/>
            </w:pPr>
            <w:r>
              <w:rPr/>
              <w:t>  </w:t>
            </w:r>
          </w:p>
        </w:tc>
      </w:tr>
      <w:tr>
        <w:trPr/>
        <w:tc>
          <w:tcPr>
            <w:tcW w:w="120" w:type="dxa"/>
            <w:tcBorders>
              <w:left w:val="single" w:sz="8" w:space="0" w:color="959595"/>
            </w:tcBorders>
            <w:shd w:fill="auto" w:val="clear"/>
            <w:tcMar>
              <w:top w:w="0" w:type="dxa"/>
            </w:tcMar>
            <w:vAlign w:val="center"/>
          </w:tcPr>
          <w:p>
            <w:pPr>
              <w:pStyle w:val="TableContents"/>
              <w:spacing w:before="0" w:after="283"/>
              <w:rPr>
                <w:sz w:val="4"/>
                <w:szCs w:val="4"/>
              </w:rPr>
            </w:pPr>
            <w:r>
              <w:rPr>
                <w:sz w:val="4"/>
                <w:szCs w:val="4"/>
              </w:rPr>
            </w:r>
          </w:p>
        </w:tc>
        <w:tc>
          <w:tcPr>
            <w:tcW w:w="1204" w:type="dxa"/>
            <w:gridSpan w:val="2"/>
            <w:tcBorders/>
            <w:shd w:fill="ECF6FA" w:val="clear"/>
            <w:tcMar>
              <w:top w:w="0" w:type="dxa"/>
              <w:left w:w="0" w:type="dxa"/>
            </w:tcMar>
            <w:vAlign w:val="center"/>
          </w:tcPr>
          <w:p>
            <w:pPr>
              <w:pStyle w:val="TableContents"/>
              <w:spacing w:before="0" w:after="283"/>
              <w:jc w:val="left"/>
              <w:rPr>
                <w:rFonts w:ascii="Arial" w:hAnsi="Arial"/>
                <w:color w:val="00A1E0"/>
                <w:sz w:val="24"/>
              </w:rPr>
            </w:pPr>
            <w:r>
              <w:rPr>
                <w:rFonts w:ascii="Arial" w:hAnsi="Arial"/>
                <w:color w:val="00A1E0"/>
                <w:sz w:val="24"/>
              </w:rPr>
              <w:t>Proposal 9:</w:t>
            </w:r>
          </w:p>
        </w:tc>
        <w:tc>
          <w:tcPr>
            <w:tcW w:w="300" w:type="dxa"/>
            <w:tcBorders/>
            <w:shd w:fill="ECF6FA" w:val="clear"/>
            <w:tcMar>
              <w:top w:w="0" w:type="dxa"/>
              <w:left w:w="0" w:type="dxa"/>
            </w:tcMar>
            <w:vAlign w:val="center"/>
          </w:tcPr>
          <w:p>
            <w:pPr>
              <w:pStyle w:val="TableContents"/>
              <w:spacing w:before="0" w:after="283"/>
              <w:rPr/>
            </w:pPr>
            <w:r>
              <w:rPr/>
              <w:t>     </w:t>
            </w:r>
          </w:p>
        </w:tc>
        <w:tc>
          <w:tcPr>
            <w:tcW w:w="8459" w:type="dxa"/>
            <w:tcBorders/>
            <w:shd w:fill="ECF6FA" w:val="clear"/>
            <w:tcMar>
              <w:top w:w="0" w:type="dxa"/>
              <w:left w:w="0" w:type="dxa"/>
            </w:tcMar>
            <w:vAlign w:val="center"/>
          </w:tcPr>
          <w:p>
            <w:pPr>
              <w:pStyle w:val="TableContents"/>
              <w:spacing w:before="0" w:after="283"/>
              <w:jc w:val="left"/>
              <w:rPr>
                <w:rFonts w:ascii="Arial" w:hAnsi="Arial"/>
                <w:color w:val="00A1E0"/>
                <w:sz w:val="24"/>
              </w:rPr>
            </w:pPr>
            <w:r>
              <w:rPr>
                <w:rFonts w:ascii="Arial" w:hAnsi="Arial"/>
                <w:color w:val="00A1E0"/>
                <w:sz w:val="24"/>
              </w:rPr>
              <w:t>SHAREHOLDER PROPOSAL TO SET DIFFERENT GREENHOUSE GAS EMISSIONS REDUCTION TARGETS</w:t>
            </w:r>
          </w:p>
        </w:tc>
        <w:tc>
          <w:tcPr>
            <w:tcW w:w="122" w:type="dxa"/>
            <w:tcBorders>
              <w:right w:val="single" w:sz="8" w:space="0" w:color="959595"/>
            </w:tcBorders>
            <w:shd w:fill="auto" w:val="clear"/>
            <w:tcMar>
              <w:top w:w="0" w:type="dxa"/>
              <w:left w:w="0" w:type="dxa"/>
              <w:right w:w="28" w:type="dxa"/>
            </w:tcMar>
            <w:vAlign w:val="center"/>
          </w:tcPr>
          <w:p>
            <w:pPr>
              <w:pStyle w:val="TableContents"/>
              <w:spacing w:before="0" w:after="283"/>
              <w:jc w:val="left"/>
              <w:rPr/>
            </w:pPr>
            <w:r>
              <w:rPr/>
              <w:t> </w:t>
            </w:r>
          </w:p>
        </w:tc>
      </w:tr>
      <w:tr>
        <w:trPr/>
        <w:tc>
          <w:tcPr>
            <w:tcW w:w="120" w:type="dxa"/>
            <w:tcBorders>
              <w:left w:val="single" w:sz="8" w:space="0" w:color="959595"/>
            </w:tcBorders>
            <w:shd w:fill="auto" w:val="clear"/>
            <w:tcMar>
              <w:top w:w="0" w:type="dxa"/>
            </w:tcMar>
            <w:vAlign w:val="center"/>
          </w:tcPr>
          <w:p>
            <w:pPr>
              <w:pStyle w:val="TableContents"/>
              <w:spacing w:before="0" w:after="283"/>
              <w:jc w:val="left"/>
              <w:rPr/>
            </w:pPr>
            <w:r>
              <w:rPr/>
              <w:t> </w:t>
            </w:r>
          </w:p>
        </w:tc>
        <w:tc>
          <w:tcPr>
            <w:tcW w:w="641" w:type="dxa"/>
            <w:tcBorders/>
            <w:shd w:fill="auto" w:val="clear"/>
            <w:tcMar>
              <w:top w:w="0" w:type="dxa"/>
              <w:left w:w="0" w:type="dxa"/>
            </w:tcMar>
            <w:vAlign w:val="center"/>
          </w:tcPr>
          <w:p>
            <w:pPr>
              <w:pStyle w:val="TableContents"/>
              <w:spacing w:before="0" w:after="283"/>
              <w:rPr>
                <w:sz w:val="4"/>
                <w:szCs w:val="4"/>
              </w:rPr>
            </w:pPr>
            <w:r>
              <w:rPr>
                <w:sz w:val="4"/>
                <w:szCs w:val="4"/>
              </w:rPr>
            </w:r>
          </w:p>
        </w:tc>
        <w:tc>
          <w:tcPr>
            <w:tcW w:w="563" w:type="dxa"/>
            <w:tcBorders/>
            <w:shd w:fill="auto" w:val="clear"/>
            <w:tcMar>
              <w:top w:w="0" w:type="dxa"/>
              <w:left w:w="0" w:type="dxa"/>
            </w:tcMar>
            <w:vAlign w:val="center"/>
          </w:tcPr>
          <w:p>
            <w:pPr>
              <w:pStyle w:val="TableContents"/>
              <w:spacing w:before="0" w:after="283"/>
              <w:rPr/>
            </w:pPr>
            <w:r>
              <w:rPr/>
              <w:t>         </w:t>
            </w:r>
          </w:p>
        </w:tc>
        <w:tc>
          <w:tcPr>
            <w:tcW w:w="300" w:type="dxa"/>
            <w:tcBorders/>
            <w:shd w:fill="auto" w:val="clear"/>
            <w:tcMar>
              <w:top w:w="0" w:type="dxa"/>
              <w:left w:w="0" w:type="dxa"/>
            </w:tcMar>
            <w:vAlign w:val="center"/>
          </w:tcPr>
          <w:p>
            <w:pPr>
              <w:pStyle w:val="TableContents"/>
              <w:spacing w:before="0" w:after="283"/>
              <w:rPr/>
            </w:pPr>
            <w:r>
              <w:rPr/>
              <w:t> </w:t>
            </w:r>
          </w:p>
        </w:tc>
        <w:tc>
          <w:tcPr>
            <w:tcW w:w="8459" w:type="dxa"/>
            <w:tcBorders/>
            <w:shd w:fill="auto" w:val="clear"/>
            <w:tcMar>
              <w:top w:w="0" w:type="dxa"/>
              <w:left w:w="0" w:type="dxa"/>
            </w:tcMar>
            <w:vAlign w:val="center"/>
          </w:tcPr>
          <w:p>
            <w:pPr>
              <w:pStyle w:val="TableContents"/>
              <w:spacing w:before="0" w:after="283"/>
              <w:rPr>
                <w:sz w:val="4"/>
                <w:szCs w:val="4"/>
              </w:rPr>
            </w:pPr>
            <w:r>
              <w:rPr>
                <w:sz w:val="4"/>
                <w:szCs w:val="4"/>
              </w:rPr>
            </w:r>
          </w:p>
        </w:tc>
        <w:tc>
          <w:tcPr>
            <w:tcW w:w="122" w:type="dxa"/>
            <w:tcBorders>
              <w:right w:val="single" w:sz="8" w:space="0" w:color="959595"/>
            </w:tcBorders>
            <w:shd w:fill="auto" w:val="clear"/>
            <w:tcMar>
              <w:top w:w="0" w:type="dxa"/>
              <w:left w:w="0" w:type="dxa"/>
              <w:right w:w="28" w:type="dxa"/>
            </w:tcMar>
            <w:vAlign w:val="center"/>
          </w:tcPr>
          <w:p>
            <w:pPr>
              <w:pStyle w:val="TableContents"/>
              <w:spacing w:before="0" w:after="283"/>
              <w:rPr>
                <w:sz w:val="4"/>
                <w:szCs w:val="4"/>
              </w:rPr>
            </w:pPr>
            <w:r>
              <w:rPr>
                <w:sz w:val="4"/>
                <w:szCs w:val="4"/>
              </w:rPr>
            </w:r>
          </w:p>
        </w:tc>
      </w:tr>
      <w:tr>
        <w:trPr/>
        <w:tc>
          <w:tcPr>
            <w:tcW w:w="120" w:type="dxa"/>
            <w:tcBorders>
              <w:left w:val="single" w:sz="8" w:space="0" w:color="959595"/>
            </w:tcBorders>
            <w:shd w:fill="auto" w:val="clear"/>
            <w:tcMar>
              <w:top w:w="0" w:type="dxa"/>
            </w:tcMar>
            <w:vAlign w:val="center"/>
          </w:tcPr>
          <w:p>
            <w:pPr>
              <w:pStyle w:val="TableContents"/>
              <w:spacing w:before="0" w:after="283"/>
              <w:rPr>
                <w:sz w:val="4"/>
                <w:szCs w:val="4"/>
              </w:rPr>
            </w:pPr>
            <w:r>
              <w:rPr>
                <w:sz w:val="4"/>
                <w:szCs w:val="4"/>
              </w:rPr>
            </w:r>
          </w:p>
        </w:tc>
        <w:tc>
          <w:tcPr>
            <w:tcW w:w="641" w:type="dxa"/>
            <w:tcBorders/>
            <w:shd w:fill="auto" w:val="clear"/>
            <w:tcMar>
              <w:top w:w="0" w:type="dxa"/>
              <w:left w:w="0" w:type="dxa"/>
            </w:tcMar>
            <w:vAlign w:val="center"/>
          </w:tcPr>
          <w:p>
            <w:pPr>
              <w:pStyle w:val="TableContents"/>
              <w:spacing w:before="0" w:after="283"/>
              <w:jc w:val="left"/>
              <w:rPr/>
            </w:pPr>
            <w:r>
              <w:rPr/>
              <w:drawing>
                <wp:inline distT="0" distB="0" distL="0" distR="0">
                  <wp:extent cx="390525" cy="266700"/>
                  <wp:effectExtent l="0" t="0" r="0" b="0"/>
                  <wp:docPr id="211"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35" descr=""/>
                          <pic:cNvPicPr>
                            <a:picLocks noChangeAspect="1" noChangeArrowheads="1"/>
                          </pic:cNvPicPr>
                        </pic:nvPicPr>
                        <pic:blipFill>
                          <a:blip r:embed="rId136"/>
                          <a:srcRect l="-1679" t="-2460" r="-1679" b="-2460"/>
                          <a:stretch>
                            <a:fillRect/>
                          </a:stretch>
                        </pic:blipFill>
                        <pic:spPr bwMode="auto">
                          <a:xfrm>
                            <a:off x="0" y="0"/>
                            <a:ext cx="390525" cy="266700"/>
                          </a:xfrm>
                          <a:prstGeom prst="rect">
                            <a:avLst/>
                          </a:prstGeom>
                          <a:ln w="635">
                            <a:solidFill>
                              <a:srgbClr val="000000"/>
                            </a:solidFill>
                          </a:ln>
                        </pic:spPr>
                      </pic:pic>
                    </a:graphicData>
                  </a:graphic>
                </wp:inline>
              </w:drawing>
            </w:r>
          </w:p>
        </w:tc>
        <w:tc>
          <w:tcPr>
            <w:tcW w:w="9322" w:type="dxa"/>
            <w:gridSpan w:val="3"/>
            <w:tcBorders/>
            <w:shd w:fill="auto" w:val="clear"/>
            <w:tcMar>
              <w:top w:w="0" w:type="dxa"/>
              <w:left w:w="0" w:type="dxa"/>
            </w:tcMar>
            <w:vAlign w:val="center"/>
          </w:tcPr>
          <w:p>
            <w:pPr>
              <w:pStyle w:val="TableContents"/>
              <w:spacing w:before="0" w:after="0"/>
              <w:jc w:val="left"/>
              <w:rPr>
                <w:rFonts w:ascii="Arial" w:hAnsi="Arial"/>
                <w:b/>
                <w:sz w:val="20"/>
              </w:rPr>
            </w:pPr>
            <w:r>
              <w:rPr>
                <w:rFonts w:ascii="Arial" w:hAnsi="Arial"/>
                <w:b/>
                <w:sz w:val="20"/>
              </w:rPr>
              <w:t>Our Board unanimously recommends that shareholders vote “AGAINST” this shareholder proposal.</w:t>
            </w:r>
          </w:p>
        </w:tc>
        <w:tc>
          <w:tcPr>
            <w:tcW w:w="122" w:type="dxa"/>
            <w:tcBorders>
              <w:right w:val="single" w:sz="8" w:space="0" w:color="959595"/>
            </w:tcBorders>
            <w:shd w:fill="auto" w:val="clear"/>
            <w:tcMar>
              <w:top w:w="0" w:type="dxa"/>
              <w:left w:w="0" w:type="dxa"/>
              <w:right w:w="28" w:type="dxa"/>
            </w:tcMar>
            <w:vAlign w:val="center"/>
          </w:tcPr>
          <w:p>
            <w:pPr>
              <w:pStyle w:val="TableContents"/>
              <w:spacing w:before="0" w:after="283"/>
              <w:rPr>
                <w:sz w:val="4"/>
                <w:szCs w:val="4"/>
              </w:rPr>
            </w:pPr>
            <w:r>
              <w:rPr>
                <w:sz w:val="4"/>
                <w:szCs w:val="4"/>
              </w:rPr>
            </w:r>
          </w:p>
        </w:tc>
      </w:tr>
      <w:tr>
        <w:trPr/>
        <w:tc>
          <w:tcPr>
            <w:tcW w:w="120" w:type="dxa"/>
            <w:tcBorders>
              <w:left w:val="single" w:sz="8" w:space="0" w:color="959595"/>
              <w:bottom w:val="single" w:sz="8" w:space="0" w:color="959595"/>
            </w:tcBorders>
            <w:shd w:fill="auto" w:val="clear"/>
            <w:tcMar>
              <w:top w:w="0" w:type="dxa"/>
              <w:bottom w:w="28" w:type="dxa"/>
            </w:tcMar>
            <w:vAlign w:val="center"/>
          </w:tcPr>
          <w:p>
            <w:pPr>
              <w:pStyle w:val="TableContents"/>
              <w:spacing w:before="0" w:after="283"/>
              <w:jc w:val="left"/>
              <w:rPr/>
            </w:pPr>
            <w:r>
              <w:rPr/>
              <w:t> </w:t>
            </w:r>
          </w:p>
        </w:tc>
        <w:tc>
          <w:tcPr>
            <w:tcW w:w="641" w:type="dxa"/>
            <w:tcBorders>
              <w:bottom w:val="single" w:sz="8" w:space="0" w:color="959595"/>
            </w:tcBorders>
            <w:shd w:fill="auto" w:val="clear"/>
            <w:tcMar>
              <w:top w:w="0" w:type="dxa"/>
              <w:left w:w="0" w:type="dxa"/>
              <w:bottom w:w="28" w:type="dxa"/>
            </w:tcMar>
            <w:vAlign w:val="center"/>
          </w:tcPr>
          <w:p>
            <w:pPr>
              <w:pStyle w:val="TableContents"/>
              <w:spacing w:before="0" w:after="283"/>
              <w:rPr>
                <w:sz w:val="4"/>
                <w:szCs w:val="4"/>
              </w:rPr>
            </w:pPr>
            <w:r>
              <w:rPr>
                <w:sz w:val="4"/>
                <w:szCs w:val="4"/>
              </w:rPr>
            </w:r>
          </w:p>
        </w:tc>
        <w:tc>
          <w:tcPr>
            <w:tcW w:w="563" w:type="dxa"/>
            <w:tcBorders>
              <w:bottom w:val="single" w:sz="8" w:space="0" w:color="959595"/>
            </w:tcBorders>
            <w:shd w:fill="auto" w:val="clear"/>
            <w:tcMar>
              <w:top w:w="0" w:type="dxa"/>
              <w:left w:w="0" w:type="dxa"/>
              <w:bottom w:w="28" w:type="dxa"/>
            </w:tcMar>
            <w:vAlign w:val="center"/>
          </w:tcPr>
          <w:p>
            <w:pPr>
              <w:pStyle w:val="TableContents"/>
              <w:spacing w:before="0" w:after="283"/>
              <w:rPr/>
            </w:pPr>
            <w:r>
              <w:rPr/>
              <w:t> </w:t>
            </w:r>
          </w:p>
        </w:tc>
        <w:tc>
          <w:tcPr>
            <w:tcW w:w="300" w:type="dxa"/>
            <w:tcBorders>
              <w:bottom w:val="single" w:sz="8" w:space="0" w:color="959595"/>
            </w:tcBorders>
            <w:shd w:fill="auto" w:val="clear"/>
            <w:tcMar>
              <w:top w:w="0" w:type="dxa"/>
              <w:left w:w="0" w:type="dxa"/>
              <w:bottom w:w="28" w:type="dxa"/>
            </w:tcMar>
            <w:vAlign w:val="center"/>
          </w:tcPr>
          <w:p>
            <w:pPr>
              <w:pStyle w:val="TableContents"/>
              <w:spacing w:before="0" w:after="283"/>
              <w:rPr/>
            </w:pPr>
            <w:r>
              <w:rPr/>
              <w:t> </w:t>
            </w:r>
          </w:p>
        </w:tc>
        <w:tc>
          <w:tcPr>
            <w:tcW w:w="8459" w:type="dxa"/>
            <w:tcBorders>
              <w:bottom w:val="single" w:sz="8" w:space="0" w:color="959595"/>
            </w:tcBorders>
            <w:shd w:fill="auto" w:val="clear"/>
            <w:tcMar>
              <w:top w:w="0" w:type="dxa"/>
              <w:left w:w="0" w:type="dxa"/>
              <w:bottom w:w="28" w:type="dxa"/>
            </w:tcMar>
            <w:vAlign w:val="center"/>
          </w:tcPr>
          <w:p>
            <w:pPr>
              <w:pStyle w:val="TableContents"/>
              <w:spacing w:before="0" w:after="283"/>
              <w:rPr>
                <w:sz w:val="4"/>
                <w:szCs w:val="4"/>
              </w:rPr>
            </w:pPr>
            <w:r>
              <w:rPr>
                <w:sz w:val="4"/>
                <w:szCs w:val="4"/>
              </w:rPr>
            </w:r>
          </w:p>
        </w:tc>
        <w:tc>
          <w:tcPr>
            <w:tcW w:w="122" w:type="dxa"/>
            <w:tcBorders>
              <w:bottom w:val="single" w:sz="8" w:space="0" w:color="959595"/>
              <w:right w:val="single" w:sz="8" w:space="0" w:color="959595"/>
            </w:tcBorders>
            <w:shd w:fill="auto" w:val="clear"/>
            <w:tcMar>
              <w:top w:w="0" w:type="dxa"/>
              <w:left w:w="0" w:type="dxa"/>
              <w:bottom w:w="28" w:type="dxa"/>
              <w:right w:w="28" w:type="dxa"/>
            </w:tcMar>
            <w:vAlign w:val="center"/>
          </w:tcPr>
          <w:p>
            <w:pPr>
              <w:pStyle w:val="TableContents"/>
              <w:spacing w:before="0" w:after="283"/>
              <w:rPr>
                <w:sz w:val="4"/>
                <w:szCs w:val="4"/>
              </w:rPr>
            </w:pPr>
            <w:r>
              <w:rPr>
                <w:sz w:val="4"/>
                <w:szCs w:val="4"/>
              </w:rPr>
            </w:r>
          </w:p>
        </w:tc>
      </w:tr>
    </w:tbl>
    <w:p>
      <w:pPr>
        <w:pStyle w:val="TextBody"/>
        <w:spacing w:before="240" w:after="283"/>
        <w:jc w:val="left"/>
        <w:rPr>
          <w:rFonts w:ascii="Arial" w:hAnsi="Arial"/>
          <w:sz w:val="20"/>
        </w:rPr>
      </w:pPr>
      <w:r>
        <w:rPr>
          <w:rFonts w:ascii="Arial" w:hAnsi="Arial"/>
          <w:sz w:val="20"/>
        </w:rPr>
        <w:t>The following proposal and supporting statement were submitted by John Chevedden, 2215 Nelson Avenue, No. 205, Redondo Beach, CA 90278.</w:t>
      </w:r>
    </w:p>
    <w:p>
      <w:pPr>
        <w:pStyle w:val="TextBody"/>
        <w:jc w:val="left"/>
        <w:rPr>
          <w:rFonts w:ascii="Arial" w:hAnsi="Arial"/>
          <w:color w:val="00A1E0"/>
          <w:sz w:val="28"/>
        </w:rPr>
      </w:pPr>
      <w:r>
        <w:rPr>
          <w:rFonts w:ascii="Arial" w:hAnsi="Arial"/>
          <w:color w:val="00A1E0"/>
          <w:sz w:val="28"/>
        </w:rPr>
        <w:t>Supporting Statement</w:t>
      </w:r>
    </w:p>
    <w:p>
      <w:pPr>
        <w:pStyle w:val="TextBody"/>
        <w:jc w:val="center"/>
        <w:rPr/>
      </w:pPr>
      <w:r>
        <w:rPr>
          <w:rStyle w:val="StrongEmphasis"/>
          <w:rFonts w:ascii="Arial" w:hAnsi="Arial"/>
          <w:sz w:val="20"/>
        </w:rPr>
        <w:t>PROPOSAL 9 - REPORT ON CORPORATE CLIMATE LOBBYING IN LINE WITH PARIS AGREEMENT</w:t>
      </w:r>
    </w:p>
    <w:p>
      <w:pPr>
        <w:pStyle w:val="TextBody"/>
        <w:spacing w:before="0" w:after="0"/>
        <w:jc w:val="center"/>
        <w:rPr/>
      </w:pPr>
      <w:r>
        <w:rPr/>
        <w:drawing>
          <wp:inline distT="0" distB="0" distL="0" distR="0">
            <wp:extent cx="2095500" cy="457200"/>
            <wp:effectExtent l="0" t="0" r="0" b="0"/>
            <wp:docPr id="212"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36" descr=""/>
                    <pic:cNvPicPr>
                      <a:picLocks noChangeAspect="1" noChangeArrowheads="1"/>
                    </pic:cNvPicPr>
                  </pic:nvPicPr>
                  <pic:blipFill>
                    <a:blip r:embed="rId137"/>
                    <a:srcRect l="-187" t="-912" r="-187" b="-912"/>
                    <a:stretch>
                      <a:fillRect/>
                    </a:stretch>
                  </pic:blipFill>
                  <pic:spPr bwMode="auto">
                    <a:xfrm>
                      <a:off x="0" y="0"/>
                      <a:ext cx="2095500" cy="457200"/>
                    </a:xfrm>
                    <a:prstGeom prst="rect">
                      <a:avLst/>
                    </a:prstGeom>
                    <a:ln w="635">
                      <a:solidFill>
                        <a:srgbClr val="000000"/>
                      </a:solidFill>
                    </a:ln>
                  </pic:spPr>
                </pic:pic>
              </a:graphicData>
            </a:graphic>
          </wp:inline>
        </w:drawing>
      </w:r>
      <w:r>
        <w:rPr/>
        <w:t xml:space="preserve"> </w:t>
      </w:r>
    </w:p>
    <w:p>
      <w:pPr>
        <w:pStyle w:val="TextBody"/>
        <w:ind w:left="0" w:right="0" w:hanging="0"/>
        <w:jc w:val="left"/>
        <w:rPr>
          <w:rFonts w:ascii="Arial" w:hAnsi="Arial"/>
          <w:color w:val="FFFFFF"/>
          <w:sz w:val="2"/>
        </w:rPr>
      </w:pPr>
      <w:r>
        <w:rPr>
          <w:rFonts w:ascii="Arial" w:hAnsi="Arial"/>
          <w:color w:val="FFFFFF"/>
          <w:sz w:val="2"/>
        </w:rPr>
        <w:t>FOR Shareholder Rights</w:t>
      </w:r>
    </w:p>
    <w:p>
      <w:pPr>
        <w:pStyle w:val="TextBody"/>
        <w:spacing w:before="220" w:after="283"/>
        <w:jc w:val="left"/>
        <w:rPr/>
      </w:pPr>
      <w:r>
        <w:rPr>
          <w:rStyle w:val="StrongEmphasis"/>
          <w:rFonts w:ascii="Arial" w:hAnsi="Arial"/>
          <w:sz w:val="20"/>
        </w:rPr>
        <w:t>Whereas:</w:t>
      </w:r>
      <w:r>
        <w:rPr>
          <w:rFonts w:ascii="Arial" w:hAnsi="Arial"/>
          <w:sz w:val="20"/>
        </w:rPr>
        <w:t xml:space="preserve"> The Intergovernmental Panel on Climate Change has advised that greenhouse gas (GHG) emissions must be halved by 2030 and reach net zero by 2050 in order to limit global warming to 1.5°C and avoid the worst impacts of climate change. Every incremental increase in temperature above 1.5°C will entail increasingly severe physical, transition, and systemic risks for companies and investors alike.</w:t>
      </w:r>
    </w:p>
    <w:p>
      <w:pPr>
        <w:pStyle w:val="TextBody"/>
        <w:jc w:val="left"/>
        <w:rPr>
          <w:rFonts w:ascii="Arial" w:hAnsi="Arial"/>
          <w:sz w:val="20"/>
        </w:rPr>
      </w:pPr>
      <w:r>
        <w:rPr>
          <w:rFonts w:ascii="Arial" w:hAnsi="Arial"/>
          <w:sz w:val="20"/>
        </w:rPr>
        <w:t>In its 10-K, Comcast Corporation (“Comcast” or “the Company”) acknowledges that “natural disasters, severe weather and other uncontrollable events could adversely affect our business, reputation and results of operations.” Such events are expected to become more frequent and more severe as climate change worsens.</w:t>
      </w:r>
    </w:p>
    <w:p>
      <w:pPr>
        <w:pStyle w:val="TextBody"/>
        <w:jc w:val="left"/>
        <w:rPr>
          <w:rFonts w:ascii="Arial" w:hAnsi="Arial"/>
          <w:sz w:val="20"/>
        </w:rPr>
      </w:pPr>
      <w:r>
        <w:rPr>
          <w:rFonts w:ascii="Arial" w:hAnsi="Arial"/>
          <w:sz w:val="20"/>
        </w:rPr>
        <w:t>The Company’s current climate strategy fails to address its full carbon footprint, notably its full Scope 3 footprint, which is its largest emissions source. Comcast’s targets have also not been third-party verified for 1.5°C alignment. While its subsidiary Sky has set a near-term 1.5°C-aligned target and committed to net zero through the Science Based Targets initiative (SBTi), Sky produces a minority of Comcast’s total Scope 1 and 2 emissions</w:t>
      </w:r>
      <w:r>
        <w:rPr>
          <w:rFonts w:ascii="Arial" w:hAnsi="Arial"/>
          <w:position w:val="7"/>
          <w:sz w:val="16"/>
          <w:sz w:val="20"/>
        </w:rPr>
        <w:t xml:space="preserve">1 </w:t>
      </w:r>
      <w:r>
        <w:rPr>
          <w:rFonts w:ascii="Arial" w:hAnsi="Arial"/>
          <w:sz w:val="20"/>
        </w:rPr>
        <w:t>and likely a minority of its Scope 3 footprint, but this information is not disclosed.</w:t>
      </w:r>
    </w:p>
    <w:p>
      <w:pPr>
        <w:pStyle w:val="TextBody"/>
        <w:jc w:val="left"/>
        <w:rPr>
          <w:rFonts w:ascii="Arial" w:hAnsi="Arial"/>
          <w:sz w:val="20"/>
        </w:rPr>
      </w:pPr>
      <w:r>
        <w:rPr>
          <w:rFonts w:ascii="Arial" w:hAnsi="Arial"/>
          <w:sz w:val="20"/>
        </w:rPr>
        <w:t>Competitors across Comcast’s business segments, including AT&amp;T, Netflix, Paramount, Sony, T-Mobile, and Verizon, have set, or committed to set, science-based GHG reduction targets through SBTi. SBTi-validated targets give investors confidence that companies are addressing their material carbon footprint in line with limiting warming to 1.5°C. Furthermore, competitors like T-Mobile, Verizon, and Walt Disney have quantitative, timebound targets for renewable energy.</w:t>
      </w:r>
    </w:p>
    <w:p>
      <w:pPr>
        <w:pStyle w:val="TextBody"/>
        <w:jc w:val="left"/>
        <w:rPr>
          <w:rFonts w:ascii="Arial" w:hAnsi="Arial"/>
          <w:sz w:val="20"/>
        </w:rPr>
      </w:pPr>
      <w:r>
        <w:rPr>
          <w:rFonts w:ascii="Arial" w:hAnsi="Arial"/>
          <w:sz w:val="20"/>
        </w:rPr>
        <w:t>Investors increasingly seek disclosure of how companies are addressing climate risk and planning to transition their business models in line with limiting warming to 1.5°C. To assist companies in developing viable transition plans, groups including We Mean Business, State Street Global Advisors, and the Task Force on Climate-Related Financial Disclosures have provided guidance.</w:t>
      </w:r>
    </w:p>
    <w:p>
      <w:pPr>
        <w:pStyle w:val="TextBody"/>
        <w:jc w:val="left"/>
        <w:rPr>
          <w:rFonts w:ascii="Arial" w:hAnsi="Arial"/>
          <w:sz w:val="20"/>
        </w:rPr>
      </w:pPr>
      <w:r>
        <w:rPr>
          <w:rFonts w:ascii="Arial" w:hAnsi="Arial"/>
          <w:sz w:val="20"/>
        </w:rPr>
        <w:t>Comcast must take additional action to comprehensively address its climate impact and mitigate both the physical risks to its operations and the transition risks associated with new regulation and a global shift to a clean energy economy. Investors believe adopting 1.5°C-aligned science-based targets for its full material carbon footprint will help the Company mitigate these risks.</w:t>
      </w:r>
    </w:p>
    <w:p>
      <w:pPr>
        <w:pStyle w:val="TextBody"/>
        <w:jc w:val="left"/>
        <w:rPr/>
      </w:pPr>
      <w:r>
        <w:rPr>
          <w:rFonts w:ascii="Arial" w:hAnsi="Arial"/>
          <w:b/>
          <w:sz w:val="20"/>
        </w:rPr>
        <w:t>Resolved:</w:t>
      </w:r>
      <w:r>
        <w:rPr>
          <w:rFonts w:ascii="Arial" w:hAnsi="Arial"/>
          <w:sz w:val="20"/>
        </w:rPr>
        <w:t xml:space="preserve"> Shareholders request Comcast issue near and long-term science-based GHG reduction targets aligned with the Paris Agreement’s ambition of maintaining global temperature rise to 1.5°C and summarize plans to achieve them. The targets should cover the Company’s full range of operational and supply chain emissions.</w:t>
      </w:r>
    </w:p>
    <w:p>
      <w:pPr>
        <w:pStyle w:val="TextBody"/>
        <w:jc w:val="left"/>
        <w:rPr/>
      </w:pPr>
      <w:r>
        <w:rPr>
          <w:rFonts w:ascii="Arial" w:hAnsi="Arial"/>
          <w:b/>
          <w:sz w:val="20"/>
        </w:rPr>
        <w:t>Supporting Statement:</w:t>
      </w:r>
      <w:r>
        <w:rPr>
          <w:rFonts w:ascii="Arial" w:hAnsi="Arial"/>
          <w:sz w:val="20"/>
        </w:rPr>
        <w:t xml:space="preserve"> In assessing targets, we recommend:</w:t>
      </w:r>
    </w:p>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t>Taking into consideration approaches used by advisory groups like SBTi;</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t>Developing a transition plan that shows how the Company plans to meet its goals, taking into consideration criteria used by advisory groups; and</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t>Consideration of supporting targets for renewable energy, zero-emission vehicles, and other measures deemed appropriate by management.</w:t>
            </w:r>
          </w:p>
        </w:tc>
      </w:tr>
    </w:tbl>
    <w:p>
      <w:pPr>
        <w:pStyle w:val="TextBody"/>
        <w:spacing w:before="0" w:after="283"/>
        <w:jc w:val="left"/>
        <w:rPr/>
      </w:pPr>
      <w:r>
        <w:rPr/>
        <w:t>____________________</w:t>
      </w:r>
    </w:p>
    <w:tbl>
      <w:tblPr>
        <w:tblW w:w="5425" w:type="dxa"/>
        <w:jc w:val="left"/>
        <w:tblInd w:w="0" w:type="dxa"/>
        <w:tblCellMar>
          <w:top w:w="0" w:type="dxa"/>
          <w:left w:w="0" w:type="dxa"/>
          <w:bottom w:w="0" w:type="dxa"/>
          <w:right w:w="0" w:type="dxa"/>
        </w:tblCellMar>
      </w:tblPr>
      <w:tblGrid>
        <w:gridCol w:w="110"/>
        <w:gridCol w:w="5315"/>
      </w:tblGrid>
      <w:tr>
        <w:trPr/>
        <w:tc>
          <w:tcPr>
            <w:tcW w:w="110"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 xml:space="preserve">1 </w:t>
            </w:r>
          </w:p>
        </w:tc>
        <w:tc>
          <w:tcPr>
            <w:tcW w:w="5315" w:type="dxa"/>
            <w:tcBorders/>
            <w:shd w:fill="auto" w:val="clear"/>
            <w:vAlign w:val="center"/>
          </w:tcPr>
          <w:p>
            <w:pPr>
              <w:pStyle w:val="TableContents"/>
              <w:spacing w:before="0" w:after="283"/>
              <w:jc w:val="left"/>
              <w:rPr>
                <w:rFonts w:ascii="Arial" w:hAnsi="Arial"/>
                <w:i/>
                <w:sz w:val="15"/>
              </w:rPr>
            </w:pPr>
            <w:r>
              <w:rPr>
                <w:rFonts w:ascii="Arial" w:hAnsi="Arial"/>
                <w:i/>
                <w:sz w:val="15"/>
              </w:rPr>
              <w:t>https://www.cmcsa.com/static-tiles/70d9bc07-c7aa-492b-938f-84ca42f90890</w:t>
            </w:r>
          </w:p>
        </w:tc>
      </w:tr>
    </w:tbl>
    <w:p>
      <w:pPr>
        <w:pStyle w:val="TextBody"/>
        <w:spacing w:before="0" w:after="0"/>
        <w:rPr/>
      </w:pPr>
      <w:r>
        <w:rPr/>
      </w:r>
    </w:p>
    <w:tbl>
      <w:tblPr>
        <w:tblW w:w="2200" w:type="dxa"/>
        <w:jc w:val="left"/>
        <w:tblInd w:w="0" w:type="dxa"/>
        <w:tblCellMar>
          <w:top w:w="0" w:type="dxa"/>
          <w:left w:w="0" w:type="dxa"/>
          <w:bottom w:w="0" w:type="dxa"/>
          <w:right w:w="0" w:type="dxa"/>
        </w:tblCellMar>
      </w:tblPr>
      <w:tblGrid>
        <w:gridCol w:w="1580"/>
        <w:gridCol w:w="620"/>
      </w:tblGrid>
      <w:tr>
        <w:trPr/>
        <w:tc>
          <w:tcPr>
            <w:tcW w:w="1580" w:type="dxa"/>
            <w:tcBorders/>
            <w:shd w:fill="auto" w:val="clear"/>
            <w:vAlign w:val="center"/>
          </w:tcPr>
          <w:p>
            <w:pPr>
              <w:pStyle w:val="TableContents"/>
              <w:spacing w:before="0" w:after="283"/>
              <w:jc w:val="right"/>
              <w:rPr>
                <w:rFonts w:ascii="Arial" w:hAnsi="Arial"/>
                <w:sz w:val="15"/>
              </w:rPr>
            </w:pPr>
            <w:r>
              <w:rPr>
                <w:rFonts w:ascii="Arial" w:hAnsi="Arial"/>
                <w:sz w:val="15"/>
              </w:rPr>
              <w:t>2023 Proxy Statement</w:t>
            </w:r>
          </w:p>
        </w:tc>
        <w:tc>
          <w:tcPr>
            <w:tcW w:w="620" w:type="dxa"/>
            <w:tcBorders/>
            <w:shd w:fill="auto" w:val="clear"/>
            <w:vAlign w:val="center"/>
          </w:tcPr>
          <w:p>
            <w:pPr>
              <w:pStyle w:val="TableContents"/>
              <w:spacing w:before="0" w:after="283"/>
              <w:jc w:val="right"/>
              <w:rPr/>
            </w:pPr>
            <w:r>
              <w:rPr/>
              <w:t>       </w:t>
            </w:r>
            <w:r>
              <w:rPr>
                <w:rStyle w:val="StrongEmphasis"/>
                <w:rFonts w:ascii="Arial" w:hAnsi="Arial"/>
                <w:sz w:val="15"/>
              </w:rPr>
              <w:t>75</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p>
      <w:pPr>
        <w:pStyle w:val="TextBody"/>
        <w:spacing w:before="240" w:after="283"/>
        <w:jc w:val="left"/>
        <w:rPr>
          <w:rFonts w:ascii="Arial" w:hAnsi="Arial"/>
          <w:color w:val="00A1E0"/>
          <w:sz w:val="28"/>
        </w:rPr>
      </w:pPr>
      <w:r>
        <w:rPr>
          <w:rFonts w:ascii="Arial" w:hAnsi="Arial"/>
          <w:color w:val="00A1E0"/>
          <w:sz w:val="28"/>
        </w:rPr>
        <w:t>Company Response to Shareholder Proposal</w:t>
      </w:r>
    </w:p>
    <w:p>
      <w:pPr>
        <w:pStyle w:val="TextBody"/>
        <w:jc w:val="left"/>
        <w:rPr/>
      </w:pPr>
      <w:r>
        <w:rPr>
          <w:rFonts w:ascii="Arial" w:hAnsi="Arial"/>
          <w:sz w:val="20"/>
        </w:rPr>
        <w:t xml:space="preserve">We recognize the importance of reducing our greenhouse gas (“GHG”) emissions and take the issue of climate change seriously. However, after careful consideration, our Board recommends a vote </w:t>
      </w:r>
      <w:r>
        <w:rPr>
          <w:rFonts w:ascii="Arial" w:hAnsi="Arial"/>
          <w:b/>
          <w:sz w:val="20"/>
        </w:rPr>
        <w:t>AGAINST</w:t>
      </w:r>
      <w:r>
        <w:rPr>
          <w:rFonts w:ascii="Arial" w:hAnsi="Arial"/>
          <w:sz w:val="20"/>
        </w:rPr>
        <w:t xml:space="preserve"> this proposal, as we believe that its overly broad and prescriptive approach is not in the best interest of our company and shareholders, particularly in light of the actions we are already taking to address climate change.</w:t>
      </w:r>
    </w:p>
    <w:p>
      <w:pPr>
        <w:pStyle w:val="TextBody"/>
        <w:jc w:val="left"/>
        <w:rPr>
          <w:rFonts w:ascii="Arial" w:hAnsi="Arial"/>
          <w:sz w:val="20"/>
        </w:rPr>
      </w:pPr>
      <w:r>
        <w:rPr>
          <w:rFonts w:ascii="Arial" w:hAnsi="Arial"/>
          <w:sz w:val="20"/>
        </w:rPr>
        <w:t>In particular:</w:t>
      </w:r>
    </w:p>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t>We already have set 2035 carbon neutrality goals for our Scope 1 and 2 GHG emissions and have committed to set near-term science-based Scope 1, 2 and 3 GHG reduction targets with the Science Based Targets initiative (“SBTi”).</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t>We continue to make significant progress toward reducing our carbon footprint and reaching our goals in a responsible and realistic manner, reducing our Scope 1 and 2 emissions by 28% between our 2019 base year and 2021.</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t>We disagree with the proposal’s insistence on prematurely setting a long-term, net zero target for Scope 3 emissions. Setting long-term Scope 3 goals at this time is subject to significant uncertainties and would distract from our tangible progress without adding meaningful direction or accountability.</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t>Instead, our Board believes that our senior management team, with oversight from our Board, is best positioned to set, manage and – as appropriate – adjust our decarbonization efforts in light of dynamic political, economic, regulatory, scientific and geopolitical conditions.</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t>We are dedicated to transparent reporting on our sustainability efforts and our continued progress toward reaching our decarbonization goals.</w:t>
            </w:r>
          </w:p>
        </w:tc>
      </w:tr>
    </w:tbl>
    <w:p>
      <w:pPr>
        <w:pStyle w:val="TextBody"/>
        <w:spacing w:before="240" w:after="283"/>
        <w:jc w:val="left"/>
        <w:rPr>
          <w:rFonts w:ascii="Arial" w:hAnsi="Arial"/>
          <w:sz w:val="20"/>
        </w:rPr>
      </w:pPr>
      <w:r>
        <w:rPr>
          <w:rFonts w:ascii="Arial" w:hAnsi="Arial"/>
          <w:sz w:val="20"/>
        </w:rPr>
        <w:t>We are proud of the progress we have made and our commitment to transparency, and we believe that our existing efforts fully respond to the spirit of the proposal, as described in further detail below.</w:t>
      </w:r>
    </w:p>
    <w:p>
      <w:pPr>
        <w:pStyle w:val="TextBody"/>
        <w:spacing w:before="0" w:after="0"/>
        <w:jc w:val="center"/>
        <w:rPr>
          <w:rFonts w:ascii="Arial" w:hAnsi="Arial"/>
          <w:b/>
          <w:sz w:val="15"/>
        </w:rPr>
      </w:pPr>
      <w:r>
        <w:rPr>
          <w:rFonts w:ascii="Arial" w:hAnsi="Arial"/>
          <w:b/>
          <w:sz w:val="15"/>
        </w:rPr>
        <w:t>*********</w:t>
      </w:r>
    </w:p>
    <w:p>
      <w:pPr>
        <w:pStyle w:val="TextBody"/>
        <w:spacing w:before="240" w:after="283"/>
        <w:jc w:val="left"/>
        <w:rPr>
          <w:rFonts w:ascii="Arial" w:hAnsi="Arial"/>
          <w:b/>
          <w:i/>
          <w:sz w:val="20"/>
        </w:rPr>
      </w:pPr>
      <w:r>
        <w:rPr>
          <w:rFonts w:ascii="Arial" w:hAnsi="Arial"/>
          <w:b/>
          <w:i/>
          <w:sz w:val="20"/>
        </w:rPr>
        <w:t>We already have set 2035 carbon neutrality goals for our Scope 1 and 2 GHG emissions and have committed to set near-term science-based Scope 1, 2 and 3 GHG reduction targets with the SBTi.</w:t>
      </w:r>
    </w:p>
    <w:p>
      <w:pPr>
        <w:pStyle w:val="TextBody"/>
        <w:jc w:val="left"/>
        <w:rPr>
          <w:rFonts w:ascii="Arial" w:hAnsi="Arial"/>
          <w:sz w:val="20"/>
        </w:rPr>
      </w:pPr>
      <w:r>
        <w:rPr>
          <w:rFonts w:ascii="Arial" w:hAnsi="Arial"/>
          <w:sz w:val="20"/>
        </w:rPr>
        <w:t>In 2021, we set a goal to be carbon neutral by 2035 for Scope 1 and 2 GHG emissions across our global operations, using 2019 as our base year. We have since been publicly reporting on progress toward that goal on an annual basis.</w:t>
      </w:r>
    </w:p>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rFonts w:ascii="Arial" w:hAnsi="Arial"/>
                <w:sz w:val="20"/>
              </w:rPr>
            </w:pPr>
            <w:r>
              <w:rPr>
                <w:rFonts w:ascii="Arial" w:hAnsi="Arial"/>
                <w:sz w:val="20"/>
              </w:rPr>
              <w:t>The primary components of our Scope 1 and 2 GHG emissions are purchased electricity powering our facilities, data centers, theme parks and network (which represented 73% of our 2019 base year emissions), followed by emissions from our fleet (which represented 16% of our 2019 base year emissions). Beyond seeking more electricity generated from clean and renewable sources, we have fuel reduction initiatives underway to reduce GHG emissions associated with our vehicle fleets and continue to evaluate what proportion and how quickly we can transition our fleet to electric in light of operational challenges, such as charging infrastructure and the lack of specific vehicles needed for our operations. We also issued our inaugural $1 billion green bond in 2023, offering investors the opportunity to support environmental efforts such as those currently underway or under consideration as part of our 2035 carbon neutral goal.</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rFonts w:ascii="Arial" w:hAnsi="Arial"/>
                <w:sz w:val="20"/>
              </w:rPr>
            </w:pPr>
            <w:r>
              <w:rPr>
                <w:rFonts w:ascii="Arial" w:hAnsi="Arial"/>
                <w:sz w:val="20"/>
              </w:rPr>
              <w:t>Building on our efforts with respect to Scopes 1 and 2, we expanded our GHG emissions inventory in 2022 to include estimated Scope 3 GHG emissions for the first time. This enabled us to better appreciate near-term opportunities and challenges to reducing emissions throughout our value chain and commit to set near-term science-based GHG reduction targets with the SBTi encompassing Scopes 1, 2 and 3.</w:t>
            </w:r>
          </w:p>
        </w:tc>
      </w:tr>
    </w:tbl>
    <w:p>
      <w:pPr>
        <w:pStyle w:val="TextBody"/>
        <w:spacing w:before="240" w:after="283"/>
        <w:jc w:val="left"/>
        <w:rPr>
          <w:rFonts w:ascii="Arial" w:hAnsi="Arial"/>
          <w:b/>
          <w:i/>
          <w:sz w:val="20"/>
        </w:rPr>
      </w:pPr>
      <w:r>
        <w:rPr>
          <w:rFonts w:ascii="Arial" w:hAnsi="Arial"/>
          <w:b/>
          <w:i/>
          <w:sz w:val="20"/>
        </w:rPr>
        <w:t>We continue to make significant progress toward reducing our carbon footprint and reaching our goals in a responsible and realistic manner.</w:t>
      </w:r>
    </w:p>
    <w:p>
      <w:pPr>
        <w:pStyle w:val="TextBody"/>
        <w:jc w:val="left"/>
        <w:rPr>
          <w:rFonts w:ascii="Arial" w:hAnsi="Arial"/>
          <w:sz w:val="20"/>
        </w:rPr>
      </w:pPr>
      <w:r>
        <w:rPr>
          <w:rFonts w:ascii="Arial" w:hAnsi="Arial"/>
          <w:sz w:val="20"/>
        </w:rPr>
        <w:t>We have reduced our Scope 1 and 2 GHG emissions by 28% between our 2019 base year and 2021, and we believe we are on a trajectory for our Scope 1 and 2 GHG emissions to be aligned with the Paris Agreement’s ambition of maintaining global temperature rise to 1.5°C. Our efforts to achieve our carbon neutral goal are focused on the following items.</w:t>
      </w:r>
    </w:p>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rFonts w:ascii="Arial" w:hAnsi="Arial"/>
                <w:sz w:val="20"/>
              </w:rPr>
            </w:pPr>
            <w:r>
              <w:rPr>
                <w:rFonts w:ascii="Arial" w:hAnsi="Arial"/>
                <w:sz w:val="20"/>
              </w:rPr>
              <w:t>We are investing in clean and renewable energy given that emissions from electricity represent such a large proportion of our carbon footprint. From 2020 to 2021, we more than doubled our use of renewable electricity across our global operations. In 2022 alone, we signed contracts for more than 183,000 megawatt-hours (“MWh”) per year of renewable energy from new projects under development, bringing our contracted total to over 1 million MWh per year, or roughly 25% of our projected electricity needs in 2026 when these projects are scheduled to be operational.</w:t>
            </w:r>
          </w:p>
        </w:tc>
      </w:tr>
    </w:tbl>
    <w:p>
      <w:pPr>
        <w:pStyle w:val="TextBody"/>
        <w:spacing w:before="0" w:after="0"/>
        <w:rPr/>
      </w:pPr>
      <w:r>
        <w:rPr/>
      </w:r>
    </w:p>
    <w:tbl>
      <w:tblPr>
        <w:tblW w:w="223" w:type="dxa"/>
        <w:jc w:val="left"/>
        <w:tblInd w:w="0" w:type="dxa"/>
        <w:tblCellMar>
          <w:top w:w="0" w:type="dxa"/>
          <w:left w:w="0" w:type="dxa"/>
          <w:bottom w:w="0" w:type="dxa"/>
          <w:right w:w="0" w:type="dxa"/>
        </w:tblCellMar>
      </w:tblPr>
      <w:tblGrid>
        <w:gridCol w:w="200"/>
        <w:gridCol w:w="23"/>
      </w:tblGrid>
      <w:tr>
        <w:trPr/>
        <w:tc>
          <w:tcPr>
            <w:tcW w:w="200" w:type="dxa"/>
            <w:tcBorders/>
            <w:shd w:fill="auto" w:val="clear"/>
            <w:vAlign w:val="center"/>
          </w:tcPr>
          <w:p>
            <w:pPr>
              <w:pStyle w:val="TableContents"/>
              <w:spacing w:before="0" w:after="283"/>
              <w:jc w:val="left"/>
              <w:rPr>
                <w:rFonts w:ascii="Arial" w:hAnsi="Arial"/>
                <w:b/>
                <w:sz w:val="15"/>
              </w:rPr>
            </w:pPr>
            <w:r>
              <w:rPr>
                <w:rFonts w:ascii="Arial" w:hAnsi="Arial"/>
                <w:b/>
                <w:sz w:val="15"/>
              </w:rPr>
              <w:t>76</w:t>
            </w:r>
          </w:p>
        </w:tc>
        <w:tc>
          <w:tcPr>
            <w:tcW w:w="2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10205" w:type="dxa"/>
        <w:jc w:val="left"/>
        <w:tblInd w:w="0" w:type="dxa"/>
        <w:tblCellMar>
          <w:top w:w="0" w:type="dxa"/>
          <w:left w:w="0" w:type="dxa"/>
          <w:bottom w:w="0" w:type="dxa"/>
          <w:right w:w="0" w:type="dxa"/>
        </w:tblCellMar>
      </w:tblPr>
      <w:tblGrid>
        <w:gridCol w:w="170"/>
        <w:gridCol w:w="170"/>
        <w:gridCol w:w="9865"/>
      </w:tblGrid>
      <w:tr>
        <w:trPr/>
        <w:tc>
          <w:tcPr>
            <w:tcW w:w="170" w:type="dxa"/>
            <w:tcBorders/>
            <w:shd w:fill="auto" w:val="clear"/>
            <w:vAlign w:val="center"/>
          </w:tcPr>
          <w:p>
            <w:pPr>
              <w:pStyle w:val="TableContents"/>
              <w:spacing w:before="0" w:after="283"/>
              <w:rPr>
                <w:color w:val="00A1E0"/>
              </w:rPr>
            </w:pPr>
            <w:r>
              <w:rPr>
                <w:color w:val="00A1E0"/>
              </w:rPr>
              <w:t>●</w:t>
            </w:r>
          </w:p>
        </w:tc>
        <w:tc>
          <w:tcPr>
            <w:tcW w:w="10035" w:type="dxa"/>
            <w:gridSpan w:val="2"/>
            <w:tcBorders/>
            <w:shd w:fill="auto" w:val="clear"/>
            <w:vAlign w:val="center"/>
          </w:tcPr>
          <w:p>
            <w:pPr>
              <w:pStyle w:val="TableContents"/>
              <w:spacing w:before="0" w:after="283"/>
              <w:rPr>
                <w:rFonts w:ascii="Arial" w:hAnsi="Arial"/>
                <w:sz w:val="20"/>
              </w:rPr>
            </w:pPr>
            <w:r>
              <w:rPr>
                <w:rFonts w:ascii="Arial" w:hAnsi="Arial"/>
                <w:sz w:val="20"/>
              </w:rPr>
              <w:t>For the remaining portion of our carbon footprint, we are also focused on:</w:t>
            </w:r>
          </w:p>
        </w:tc>
      </w:tr>
      <w:tr>
        <w:trPr/>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olor w:val="00A1E0"/>
              </w:rPr>
            </w:pPr>
            <w:r>
              <w:rPr>
                <w:color w:val="00A1E0"/>
              </w:rPr>
              <w:t>●</w:t>
            </w:r>
          </w:p>
        </w:tc>
        <w:tc>
          <w:tcPr>
            <w:tcW w:w="9865" w:type="dxa"/>
            <w:tcBorders/>
            <w:shd w:fill="auto" w:val="clear"/>
            <w:vAlign w:val="center"/>
          </w:tcPr>
          <w:p>
            <w:pPr>
              <w:pStyle w:val="TableContents"/>
              <w:spacing w:before="0" w:after="283"/>
              <w:rPr>
                <w:rFonts w:ascii="Arial" w:hAnsi="Arial"/>
                <w:sz w:val="20"/>
              </w:rPr>
            </w:pPr>
            <w:r>
              <w:rPr>
                <w:rFonts w:ascii="Arial" w:hAnsi="Arial"/>
                <w:sz w:val="20"/>
              </w:rPr>
              <w:t>Improving the energy efficiency of our broadband and cable network by shifting to newer, more energy-efficient technologies, facilities and systems that can deliver more data with less energy per byte, with a goal to double the energy efficiency of our U.S. network by 2030.</w:t>
            </w:r>
          </w:p>
        </w:tc>
      </w:tr>
      <w:tr>
        <w:trPr/>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olor w:val="00A1E0"/>
              </w:rPr>
            </w:pPr>
            <w:r>
              <w:rPr>
                <w:color w:val="00A1E0"/>
              </w:rPr>
              <w:t>●</w:t>
            </w:r>
          </w:p>
        </w:tc>
        <w:tc>
          <w:tcPr>
            <w:tcW w:w="9865" w:type="dxa"/>
            <w:tcBorders/>
            <w:shd w:fill="auto" w:val="clear"/>
            <w:vAlign w:val="center"/>
          </w:tcPr>
          <w:p>
            <w:pPr>
              <w:pStyle w:val="TableContents"/>
              <w:spacing w:before="0" w:after="283"/>
              <w:rPr>
                <w:rFonts w:ascii="Arial" w:hAnsi="Arial"/>
                <w:sz w:val="20"/>
              </w:rPr>
            </w:pPr>
            <w:r>
              <w:rPr>
                <w:rFonts w:ascii="Arial" w:hAnsi="Arial"/>
                <w:sz w:val="20"/>
              </w:rPr>
              <w:t>Reducing emissions from our existing vehicles by installing telematics and fuel efficiency technologies, shifting to lower emission fuels, implementing digital support tools that eliminate the need for truck visits and piloting electric and hybrid vehicles in select locations to better evaluate operational and infrastructure challenges with our fleet.</w:t>
            </w:r>
          </w:p>
        </w:tc>
      </w:tr>
      <w:tr>
        <w:trPr/>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olor w:val="00A1E0"/>
              </w:rPr>
            </w:pPr>
            <w:r>
              <w:rPr>
                <w:color w:val="00A1E0"/>
              </w:rPr>
              <w:t>●</w:t>
            </w:r>
          </w:p>
        </w:tc>
        <w:tc>
          <w:tcPr>
            <w:tcW w:w="9865" w:type="dxa"/>
            <w:tcBorders/>
            <w:shd w:fill="auto" w:val="clear"/>
            <w:vAlign w:val="center"/>
          </w:tcPr>
          <w:p>
            <w:pPr>
              <w:pStyle w:val="TableContents"/>
              <w:spacing w:before="0" w:after="283"/>
              <w:rPr>
                <w:rFonts w:ascii="Arial" w:hAnsi="Arial"/>
                <w:sz w:val="20"/>
              </w:rPr>
            </w:pPr>
            <w:r>
              <w:rPr>
                <w:rFonts w:ascii="Arial" w:hAnsi="Arial"/>
                <w:sz w:val="20"/>
              </w:rPr>
              <w:t>Developing and deploying solutions designed to make our operations more efficient, including within our facilities, theme parks, network and data centers.</w:t>
            </w:r>
          </w:p>
        </w:tc>
      </w:tr>
    </w:tbl>
    <w:p>
      <w:pPr>
        <w:pStyle w:val="TextBody"/>
        <w:spacing w:before="240" w:after="283"/>
        <w:jc w:val="left"/>
        <w:rPr/>
      </w:pPr>
      <w:r>
        <w:rPr>
          <w:rFonts w:ascii="Arial" w:hAnsi="Arial"/>
          <w:sz w:val="20"/>
        </w:rPr>
        <w:t>With respect to emissions throughout our upstream and downstream value chain that comprise our estimated Scope 3 emissions, we have started collecting information from many of our large suppliers about their emissions reduction plans, to the extent those reductions are within their control, which may help inform how we develop future supplier engagement programs. Our Code of Conduct for Suppliers and Business Partners also includes guidance on business continuity and sustainable practices. In addition, we estimate that our longstanding collaboration with industry peers to collectively improve the energy efficiency of TV set-top boxes has cut the aggregate energy use of set-top boxes by 57% in the United States, preventing nearly 64 million metric tons of CO</w:t>
      </w:r>
      <w:r>
        <w:rPr>
          <w:rFonts w:ascii="Arial" w:hAnsi="Arial"/>
          <w:position w:val="-6"/>
          <w:sz w:val="16"/>
          <w:sz w:val="20"/>
        </w:rPr>
        <w:t xml:space="preserve">2 </w:t>
      </w:r>
      <w:r>
        <w:rPr>
          <w:rFonts w:ascii="Arial" w:hAnsi="Arial"/>
          <w:sz w:val="20"/>
        </w:rPr>
        <w:t>emissions since we began collaborating nearly a decade ago.</w:t>
      </w:r>
    </w:p>
    <w:p>
      <w:pPr>
        <w:pStyle w:val="TextBody"/>
        <w:jc w:val="left"/>
        <w:rPr>
          <w:rFonts w:ascii="Arial" w:hAnsi="Arial"/>
          <w:b/>
          <w:i/>
          <w:sz w:val="20"/>
        </w:rPr>
      </w:pPr>
      <w:r>
        <w:rPr>
          <w:rFonts w:ascii="Arial" w:hAnsi="Arial"/>
          <w:b/>
          <w:i/>
          <w:sz w:val="20"/>
        </w:rPr>
        <w:t>Setting long-term Scope 3 goals at this time is subject to significant uncertainties and would distract from our tangible progress without adding meaningful direction or accountability.</w:t>
      </w:r>
    </w:p>
    <w:p>
      <w:pPr>
        <w:pStyle w:val="TextBody"/>
        <w:jc w:val="left"/>
        <w:rPr>
          <w:rFonts w:ascii="Arial" w:hAnsi="Arial"/>
          <w:sz w:val="20"/>
        </w:rPr>
      </w:pPr>
      <w:r>
        <w:rPr>
          <w:rFonts w:ascii="Arial" w:hAnsi="Arial"/>
          <w:sz w:val="20"/>
        </w:rPr>
        <w:t>We believe our existing actions already meet the proposal’s request for pursuing near-term science-based GHG reduction targets across the full range of Comcast’s Scope 1, 2 and 3 emissions. However, we disagree with the proposal’s insistence to prematurely set a longer-term Scope 3 net zero goal.</w:t>
      </w:r>
    </w:p>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rFonts w:ascii="Arial" w:hAnsi="Arial"/>
                <w:sz w:val="20"/>
              </w:rPr>
            </w:pPr>
            <w:r>
              <w:rPr>
                <w:rFonts w:ascii="Arial" w:hAnsi="Arial"/>
                <w:sz w:val="20"/>
              </w:rPr>
              <w:t>Scope 3 emissions estimates are widely acknowledged to have deficiencies and inconsistencies, and use multiple methodologies to determine an estimate of a third party’s carbon emissions that often double count (or more) emissions throughout a value chain. While we continue to assess opportunities to obtain more reliable information, including by working with our suppliers, we believe the inherent limitations with estimating Scope 3 emissions pose challenges to setting a meaningful, realistic and achievable long-term GHG reduction goal at this time.</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rFonts w:ascii="Arial" w:hAnsi="Arial"/>
                <w:sz w:val="20"/>
              </w:rPr>
            </w:pPr>
            <w:r>
              <w:rPr>
                <w:rFonts w:ascii="Arial" w:hAnsi="Arial"/>
                <w:sz w:val="20"/>
              </w:rPr>
              <w:t>There are myriad challenges that will need to be adapted to and overcome to meet our GHG goals and the decarbonization goals of society at large. These challenges include certain factors beyond our control, including political, economic, regulatory, scientific and geopolitical conditions, supply chain and labor issues, supplier emissions reductions, the evolution of carbon offset markets and limited large-scale public- and private-sector investments and innovations in technology and infrastructure. A wide-scale clean energy transition will require expanded policies and market mechanisms, enhanced grid resiliency, and greater energy innovation. Most next-generation technologies beyond renewables are still too costly for large-scale deployment or are not yet available. In light of these challenges, we are taking the prudent approach of focusing our attention on the short- and medium-term opportunities that are currently available to us in the market, and we will continue to adapt our plans as market mechanisms and technologies evolve.</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rFonts w:ascii="Arial" w:hAnsi="Arial"/>
                <w:sz w:val="20"/>
              </w:rPr>
            </w:pPr>
            <w:r>
              <w:rPr>
                <w:rFonts w:ascii="Arial" w:hAnsi="Arial"/>
                <w:sz w:val="20"/>
              </w:rPr>
              <w:t>We believe that our company is better served by focusing our efforts on the emissions we can control, namely Scopes 1 and 2, and short- and medium-term Scope 3 opportunities that will enable us to align with the SBTi pathway. We believe that our deliberate, thoughtful approach to setting targets based on tangible evidence over which we have control, and which we have a realistic plan to achieve, will prove more impactful in meeting both our business needs and our decarbonization goals over the longer term.</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rFonts w:ascii="Arial" w:hAnsi="Arial"/>
                <w:sz w:val="20"/>
              </w:rPr>
            </w:pPr>
            <w:r>
              <w:rPr>
                <w:rFonts w:ascii="Arial" w:hAnsi="Arial"/>
                <w:sz w:val="20"/>
              </w:rPr>
              <w:t>By focusing on short- and medium-term targets, our management team is incented to take action now and in the near to medium term. Consideration of long-term goals should be based on a rigorous approach, which is challenging at this time given the significant uncertainties outlined above.</w:t>
            </w:r>
          </w:p>
        </w:tc>
      </w:tr>
    </w:tbl>
    <w:p>
      <w:pPr>
        <w:pStyle w:val="TextBody"/>
        <w:spacing w:before="0" w:after="0"/>
        <w:rPr/>
      </w:pPr>
      <w:r>
        <w:rPr/>
      </w:r>
    </w:p>
    <w:tbl>
      <w:tblPr>
        <w:tblW w:w="2200" w:type="dxa"/>
        <w:jc w:val="left"/>
        <w:tblInd w:w="0" w:type="dxa"/>
        <w:tblCellMar>
          <w:top w:w="0" w:type="dxa"/>
          <w:left w:w="0" w:type="dxa"/>
          <w:bottom w:w="0" w:type="dxa"/>
          <w:right w:w="0" w:type="dxa"/>
        </w:tblCellMar>
      </w:tblPr>
      <w:tblGrid>
        <w:gridCol w:w="1580"/>
        <w:gridCol w:w="620"/>
      </w:tblGrid>
      <w:tr>
        <w:trPr/>
        <w:tc>
          <w:tcPr>
            <w:tcW w:w="1580" w:type="dxa"/>
            <w:tcBorders/>
            <w:shd w:fill="auto" w:val="clear"/>
            <w:vAlign w:val="center"/>
          </w:tcPr>
          <w:p>
            <w:pPr>
              <w:pStyle w:val="TableContents"/>
              <w:spacing w:before="0" w:after="283"/>
              <w:jc w:val="right"/>
              <w:rPr>
                <w:rFonts w:ascii="Arial" w:hAnsi="Arial"/>
                <w:sz w:val="15"/>
              </w:rPr>
            </w:pPr>
            <w:r>
              <w:rPr>
                <w:rFonts w:ascii="Arial" w:hAnsi="Arial"/>
                <w:sz w:val="15"/>
              </w:rPr>
              <w:t>2023 Proxy Statement</w:t>
            </w:r>
          </w:p>
        </w:tc>
        <w:tc>
          <w:tcPr>
            <w:tcW w:w="620" w:type="dxa"/>
            <w:tcBorders/>
            <w:shd w:fill="auto" w:val="clear"/>
            <w:vAlign w:val="center"/>
          </w:tcPr>
          <w:p>
            <w:pPr>
              <w:pStyle w:val="TableContents"/>
              <w:spacing w:before="0" w:after="283"/>
              <w:jc w:val="right"/>
              <w:rPr/>
            </w:pPr>
            <w:r>
              <w:rPr/>
              <w:t>       </w:t>
            </w:r>
            <w:r>
              <w:rPr>
                <w:rFonts w:ascii="Arial" w:hAnsi="Arial"/>
                <w:b/>
                <w:sz w:val="15"/>
              </w:rPr>
              <w:t>77</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p>
      <w:pPr>
        <w:pStyle w:val="TextBody"/>
        <w:spacing w:before="240" w:after="283"/>
        <w:jc w:val="left"/>
        <w:rPr>
          <w:rFonts w:ascii="Arial" w:hAnsi="Arial"/>
          <w:b/>
          <w:i/>
          <w:sz w:val="20"/>
        </w:rPr>
      </w:pPr>
      <w:r>
        <w:rPr>
          <w:rFonts w:ascii="Arial" w:hAnsi="Arial"/>
          <w:b/>
          <w:i/>
          <w:sz w:val="20"/>
        </w:rPr>
        <w:t>Our Board believes our senior management team, with oversight from our Board, is best positioned to set, manage and – as appropriate – adjust our decarbonization goals in light of dynamic political, economic, regulatory, scientific and geopolitical conditions.</w:t>
      </w:r>
    </w:p>
    <w:p>
      <w:pPr>
        <w:pStyle w:val="TextBody"/>
        <w:jc w:val="left"/>
        <w:rPr>
          <w:rFonts w:ascii="Arial" w:hAnsi="Arial"/>
          <w:sz w:val="20"/>
        </w:rPr>
      </w:pPr>
      <w:r>
        <w:rPr>
          <w:rFonts w:ascii="Arial" w:hAnsi="Arial"/>
          <w:sz w:val="20"/>
        </w:rPr>
        <w:t>We believe that the proposal’s solution is overly prescriptive in its demands for a long-term, Scope 3 net zero target and, as discussed above, fails to appreciate the complexity of significant long-term uncertainties and the business challenges of navigating dynamic political, economic, regulatory, scientific and geopolitical conditions. We believe that our senior management team – who remains committed to advancing our environmental sustainability efforts, including meeting our decarbonization goals – is best-positioned to manage this process based on our operational realities, financial planning processes and real-time assessment of dynamic conditions. We have two management committees that oversee governance of environmental sustainability for the enterprise – a senior executive-level committee and an operational committee. The Executive Environmental Committee, which includes our President, Chief Financial Officer and Chief Legal Officer, meets periodically with members of an Environment Operating and Governance Committee, chaired by our Senior Vice President of Corporate Strategy and Environmental Sustainability, to assess and manage climate-related risks and opportunities, to review and approve environmental sustainability strategy, targets and results and to prioritize activities from a financial planning perspective that will have the most significant impact to help us attain our 2035 carbon neutral goal. Our management team periodically reports to the Board or its committees on sustainability matters, including with respect to our 2035 carbon neutral goal, and progress toward our sustainability goals represents a portion of our management team’s annual bonus.</w:t>
      </w:r>
    </w:p>
    <w:p>
      <w:pPr>
        <w:pStyle w:val="TextBody"/>
        <w:jc w:val="left"/>
        <w:rPr>
          <w:rFonts w:ascii="Arial" w:hAnsi="Arial"/>
          <w:b/>
          <w:i/>
          <w:sz w:val="20"/>
        </w:rPr>
      </w:pPr>
      <w:r>
        <w:rPr>
          <w:rFonts w:ascii="Arial" w:hAnsi="Arial"/>
          <w:b/>
          <w:i/>
          <w:sz w:val="20"/>
        </w:rPr>
        <w:t>Comcast is dedicated to transparent reporting on its sustainability efforts.</w:t>
      </w:r>
    </w:p>
    <w:p>
      <w:pPr>
        <w:pStyle w:val="TextBody"/>
        <w:jc w:val="left"/>
        <w:rPr/>
      </w:pPr>
      <w:r>
        <w:rPr>
          <w:rFonts w:ascii="Arial" w:hAnsi="Arial"/>
          <w:sz w:val="20"/>
        </w:rPr>
        <w:t xml:space="preserve">We currently provide transparent reporting on our sustainability efforts based on the Greenhouse Gas Protocol, including through annual reports on our ESG Reporting website at </w:t>
      </w:r>
      <w:r>
        <w:rPr>
          <w:rFonts w:ascii="Arial" w:hAnsi="Arial"/>
          <w:b w:val="false"/>
          <w:i/>
          <w:caps w:val="false"/>
          <w:smallCaps w:val="false"/>
          <w:sz w:val="20"/>
        </w:rPr>
        <w:t xml:space="preserve">www.cmcsa.com/esg-reporting </w:t>
      </w:r>
      <w:r>
        <w:rPr>
          <w:rFonts w:ascii="Arial" w:hAnsi="Arial"/>
          <w:sz w:val="20"/>
        </w:rPr>
        <w:t>such as our (i) Carbon Footprint Data Report, which is a comprehensive account of our environmental metrics, (ii) TCFD reports, (iii) SASB reports, (iv) Impact Reports and (v) CDP Climate Change survey. As we set and strive toward our science-based Scope 1, 2 and 3 goals in the coming years, we are likewise committed to providing transparent reporting on these efforts.</w:t>
      </w:r>
    </w:p>
    <w:p>
      <w:pPr>
        <w:pStyle w:val="TextBody"/>
        <w:jc w:val="center"/>
        <w:rPr>
          <w:rFonts w:ascii="Arial" w:hAnsi="Arial"/>
          <w:b/>
          <w:sz w:val="15"/>
        </w:rPr>
      </w:pPr>
      <w:r>
        <w:rPr>
          <w:rFonts w:ascii="Arial" w:hAnsi="Arial"/>
          <w:b/>
          <w:sz w:val="15"/>
        </w:rPr>
        <w:t>*********</w:t>
      </w:r>
    </w:p>
    <w:p>
      <w:pPr>
        <w:pStyle w:val="TextBody"/>
        <w:jc w:val="left"/>
        <w:rPr>
          <w:rFonts w:ascii="Arial" w:hAnsi="Arial"/>
          <w:b/>
          <w:sz w:val="20"/>
        </w:rPr>
      </w:pPr>
      <w:r>
        <w:rPr>
          <w:rFonts w:ascii="Arial" w:hAnsi="Arial"/>
          <w:b/>
          <w:sz w:val="20"/>
        </w:rPr>
        <w:t>For the reasons set forth above, our Board unanimously recommends AGAINST this proposal.</w:t>
      </w:r>
    </w:p>
    <w:tbl>
      <w:tblPr>
        <w:tblW w:w="223" w:type="dxa"/>
        <w:jc w:val="left"/>
        <w:tblInd w:w="0" w:type="dxa"/>
        <w:tblCellMar>
          <w:top w:w="0" w:type="dxa"/>
          <w:left w:w="0" w:type="dxa"/>
          <w:bottom w:w="0" w:type="dxa"/>
          <w:right w:w="0" w:type="dxa"/>
        </w:tblCellMar>
      </w:tblPr>
      <w:tblGrid>
        <w:gridCol w:w="200"/>
        <w:gridCol w:w="23"/>
      </w:tblGrid>
      <w:tr>
        <w:trPr/>
        <w:tc>
          <w:tcPr>
            <w:tcW w:w="200" w:type="dxa"/>
            <w:tcBorders/>
            <w:shd w:fill="auto" w:val="clear"/>
            <w:vAlign w:val="center"/>
          </w:tcPr>
          <w:p>
            <w:pPr>
              <w:pStyle w:val="TableContents"/>
              <w:spacing w:before="0" w:after="283"/>
              <w:jc w:val="left"/>
              <w:rPr>
                <w:rFonts w:ascii="Arial" w:hAnsi="Arial"/>
                <w:b/>
                <w:sz w:val="15"/>
              </w:rPr>
            </w:pPr>
            <w:r>
              <w:rPr>
                <w:rFonts w:ascii="Arial" w:hAnsi="Arial"/>
                <w:b/>
                <w:sz w:val="15"/>
              </w:rPr>
              <w:t>78</w:t>
            </w:r>
          </w:p>
        </w:tc>
        <w:tc>
          <w:tcPr>
            <w:tcW w:w="2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10205" w:type="dxa"/>
        <w:jc w:val="left"/>
        <w:tblInd w:w="0" w:type="dxa"/>
        <w:tblCellMar>
          <w:top w:w="28" w:type="dxa"/>
          <w:left w:w="28" w:type="dxa"/>
          <w:bottom w:w="0" w:type="dxa"/>
          <w:right w:w="0" w:type="dxa"/>
        </w:tblCellMar>
      </w:tblPr>
      <w:tblGrid>
        <w:gridCol w:w="120"/>
        <w:gridCol w:w="681"/>
        <w:gridCol w:w="598"/>
        <w:gridCol w:w="300"/>
        <w:gridCol w:w="8385"/>
        <w:gridCol w:w="121"/>
      </w:tblGrid>
      <w:tr>
        <w:trPr/>
        <w:tc>
          <w:tcPr>
            <w:tcW w:w="120" w:type="dxa"/>
            <w:tcBorders>
              <w:top w:val="single" w:sz="8" w:space="0" w:color="959595"/>
              <w:left w:val="single" w:sz="8" w:space="0" w:color="959595"/>
            </w:tcBorders>
            <w:shd w:fill="auto" w:val="clear"/>
            <w:vAlign w:val="center"/>
          </w:tcPr>
          <w:p>
            <w:pPr>
              <w:pStyle w:val="TableContents"/>
              <w:spacing w:before="0" w:after="283"/>
              <w:jc w:val="left"/>
              <w:rPr/>
            </w:pPr>
            <w:r>
              <w:rPr/>
              <w:t>  </w:t>
            </w:r>
          </w:p>
        </w:tc>
        <w:tc>
          <w:tcPr>
            <w:tcW w:w="681" w:type="dxa"/>
            <w:tcBorders>
              <w:top w:val="single" w:sz="8" w:space="0" w:color="959595"/>
            </w:tcBorders>
            <w:shd w:fill="auto" w:val="clear"/>
            <w:tcMar>
              <w:left w:w="0" w:type="dxa"/>
            </w:tcMar>
            <w:vAlign w:val="center"/>
          </w:tcPr>
          <w:p>
            <w:pPr>
              <w:pStyle w:val="TableContents"/>
              <w:spacing w:before="0" w:after="283"/>
              <w:rPr>
                <w:sz w:val="4"/>
                <w:szCs w:val="4"/>
              </w:rPr>
            </w:pPr>
            <w:r>
              <w:rPr>
                <w:sz w:val="4"/>
                <w:szCs w:val="4"/>
              </w:rPr>
            </w:r>
          </w:p>
        </w:tc>
        <w:tc>
          <w:tcPr>
            <w:tcW w:w="598" w:type="dxa"/>
            <w:tcBorders>
              <w:top w:val="single" w:sz="8" w:space="0" w:color="959595"/>
            </w:tcBorders>
            <w:shd w:fill="auto" w:val="clear"/>
            <w:tcMar>
              <w:left w:w="0" w:type="dxa"/>
            </w:tcMar>
            <w:vAlign w:val="center"/>
          </w:tcPr>
          <w:p>
            <w:pPr>
              <w:pStyle w:val="TableContents"/>
              <w:spacing w:before="0" w:after="283"/>
              <w:rPr/>
            </w:pPr>
            <w:r>
              <w:rPr/>
              <w:t> </w:t>
            </w:r>
          </w:p>
        </w:tc>
        <w:tc>
          <w:tcPr>
            <w:tcW w:w="300" w:type="dxa"/>
            <w:tcBorders>
              <w:top w:val="single" w:sz="8" w:space="0" w:color="959595"/>
            </w:tcBorders>
            <w:shd w:fill="auto" w:val="clear"/>
            <w:tcMar>
              <w:left w:w="0" w:type="dxa"/>
            </w:tcMar>
            <w:vAlign w:val="center"/>
          </w:tcPr>
          <w:p>
            <w:pPr>
              <w:pStyle w:val="TableContents"/>
              <w:spacing w:before="0" w:after="283"/>
              <w:rPr/>
            </w:pPr>
            <w:r>
              <w:rPr/>
              <w:t> </w:t>
            </w:r>
          </w:p>
        </w:tc>
        <w:tc>
          <w:tcPr>
            <w:tcW w:w="8385" w:type="dxa"/>
            <w:tcBorders>
              <w:top w:val="single" w:sz="8" w:space="0" w:color="959595"/>
            </w:tcBorders>
            <w:shd w:fill="auto" w:val="clear"/>
            <w:tcMar>
              <w:left w:w="0" w:type="dxa"/>
            </w:tcMar>
            <w:vAlign w:val="center"/>
          </w:tcPr>
          <w:p>
            <w:pPr>
              <w:pStyle w:val="TableContents"/>
              <w:spacing w:before="0" w:after="283"/>
              <w:jc w:val="left"/>
              <w:rPr/>
            </w:pPr>
            <w:r>
              <w:rPr/>
              <w:t>                              </w:t>
            </w:r>
          </w:p>
        </w:tc>
        <w:tc>
          <w:tcPr>
            <w:tcW w:w="121" w:type="dxa"/>
            <w:tcBorders>
              <w:top w:val="single" w:sz="8" w:space="0" w:color="959595"/>
              <w:right w:val="single" w:sz="8" w:space="0" w:color="959595"/>
            </w:tcBorders>
            <w:shd w:fill="auto" w:val="clear"/>
            <w:tcMar>
              <w:left w:w="0" w:type="dxa"/>
              <w:right w:w="28" w:type="dxa"/>
            </w:tcMar>
            <w:vAlign w:val="center"/>
          </w:tcPr>
          <w:p>
            <w:pPr>
              <w:pStyle w:val="TableContents"/>
              <w:spacing w:before="0" w:after="283"/>
              <w:jc w:val="left"/>
              <w:rPr/>
            </w:pPr>
            <w:r>
              <w:rPr/>
              <w:t>  </w:t>
            </w:r>
          </w:p>
        </w:tc>
      </w:tr>
      <w:tr>
        <w:trPr/>
        <w:tc>
          <w:tcPr>
            <w:tcW w:w="120" w:type="dxa"/>
            <w:tcBorders>
              <w:left w:val="single" w:sz="8" w:space="0" w:color="959595"/>
            </w:tcBorders>
            <w:shd w:fill="auto" w:val="clear"/>
            <w:tcMar>
              <w:top w:w="0" w:type="dxa"/>
            </w:tcMar>
            <w:vAlign w:val="center"/>
          </w:tcPr>
          <w:p>
            <w:pPr>
              <w:pStyle w:val="TableContents"/>
              <w:spacing w:before="0" w:after="283"/>
              <w:rPr>
                <w:sz w:val="4"/>
                <w:szCs w:val="4"/>
              </w:rPr>
            </w:pPr>
            <w:r>
              <w:rPr>
                <w:sz w:val="4"/>
                <w:szCs w:val="4"/>
              </w:rPr>
            </w:r>
          </w:p>
        </w:tc>
        <w:tc>
          <w:tcPr>
            <w:tcW w:w="1279" w:type="dxa"/>
            <w:gridSpan w:val="2"/>
            <w:tcBorders/>
            <w:shd w:fill="ECF6FA" w:val="clear"/>
            <w:tcMar>
              <w:top w:w="0" w:type="dxa"/>
              <w:left w:w="0" w:type="dxa"/>
            </w:tcMar>
            <w:vAlign w:val="center"/>
          </w:tcPr>
          <w:p>
            <w:pPr>
              <w:pStyle w:val="TableContents"/>
              <w:spacing w:before="0" w:after="283"/>
              <w:jc w:val="left"/>
              <w:rPr>
                <w:rFonts w:ascii="Arial" w:hAnsi="Arial"/>
                <w:color w:val="00A1E0"/>
                <w:sz w:val="24"/>
              </w:rPr>
            </w:pPr>
            <w:r>
              <w:rPr>
                <w:rFonts w:ascii="Arial" w:hAnsi="Arial"/>
                <w:color w:val="00A1E0"/>
                <w:sz w:val="24"/>
              </w:rPr>
              <w:t>Proposal 10:</w:t>
            </w:r>
          </w:p>
        </w:tc>
        <w:tc>
          <w:tcPr>
            <w:tcW w:w="300" w:type="dxa"/>
            <w:tcBorders/>
            <w:shd w:fill="ECF6FA" w:val="clear"/>
            <w:tcMar>
              <w:top w:w="0" w:type="dxa"/>
              <w:left w:w="0" w:type="dxa"/>
            </w:tcMar>
            <w:vAlign w:val="center"/>
          </w:tcPr>
          <w:p>
            <w:pPr>
              <w:pStyle w:val="TableContents"/>
              <w:spacing w:before="0" w:after="283"/>
              <w:rPr/>
            </w:pPr>
            <w:r>
              <w:rPr/>
              <w:t>     </w:t>
            </w:r>
          </w:p>
        </w:tc>
        <w:tc>
          <w:tcPr>
            <w:tcW w:w="8385" w:type="dxa"/>
            <w:tcBorders/>
            <w:shd w:fill="ECF6FA" w:val="clear"/>
            <w:tcMar>
              <w:top w:w="0" w:type="dxa"/>
              <w:left w:w="0" w:type="dxa"/>
            </w:tcMar>
            <w:vAlign w:val="center"/>
          </w:tcPr>
          <w:p>
            <w:pPr>
              <w:pStyle w:val="TableContents"/>
              <w:spacing w:before="0" w:after="283"/>
              <w:jc w:val="left"/>
              <w:rPr>
                <w:rFonts w:ascii="Arial" w:hAnsi="Arial"/>
                <w:color w:val="00A1E0"/>
                <w:sz w:val="24"/>
              </w:rPr>
            </w:pPr>
            <w:r>
              <w:rPr>
                <w:rFonts w:ascii="Arial" w:hAnsi="Arial"/>
                <w:color w:val="00A1E0"/>
                <w:sz w:val="24"/>
              </w:rPr>
              <w:t>SHAREHOLDER PROPOSAL TO REPORT ON POLITICAL CONTRIBUTIONS AND COMPANY VALUES ALIGNMENT</w:t>
            </w:r>
          </w:p>
        </w:tc>
        <w:tc>
          <w:tcPr>
            <w:tcW w:w="121" w:type="dxa"/>
            <w:tcBorders>
              <w:right w:val="single" w:sz="8" w:space="0" w:color="959595"/>
            </w:tcBorders>
            <w:shd w:fill="auto" w:val="clear"/>
            <w:tcMar>
              <w:top w:w="0" w:type="dxa"/>
              <w:left w:w="0" w:type="dxa"/>
              <w:right w:w="28" w:type="dxa"/>
            </w:tcMar>
            <w:vAlign w:val="center"/>
          </w:tcPr>
          <w:p>
            <w:pPr>
              <w:pStyle w:val="TableContents"/>
              <w:spacing w:before="0" w:after="283"/>
              <w:jc w:val="left"/>
              <w:rPr/>
            </w:pPr>
            <w:r>
              <w:rPr/>
              <w:t> </w:t>
            </w:r>
          </w:p>
        </w:tc>
      </w:tr>
      <w:tr>
        <w:trPr/>
        <w:tc>
          <w:tcPr>
            <w:tcW w:w="120" w:type="dxa"/>
            <w:tcBorders>
              <w:left w:val="single" w:sz="8" w:space="0" w:color="959595"/>
            </w:tcBorders>
            <w:shd w:fill="auto" w:val="clear"/>
            <w:tcMar>
              <w:top w:w="0" w:type="dxa"/>
            </w:tcMar>
            <w:vAlign w:val="center"/>
          </w:tcPr>
          <w:p>
            <w:pPr>
              <w:pStyle w:val="TableContents"/>
              <w:spacing w:before="0" w:after="283"/>
              <w:jc w:val="left"/>
              <w:rPr/>
            </w:pPr>
            <w:r>
              <w:rPr/>
              <w:t> </w:t>
            </w:r>
          </w:p>
        </w:tc>
        <w:tc>
          <w:tcPr>
            <w:tcW w:w="681" w:type="dxa"/>
            <w:tcBorders/>
            <w:shd w:fill="auto" w:val="clear"/>
            <w:tcMar>
              <w:top w:w="0" w:type="dxa"/>
              <w:left w:w="0" w:type="dxa"/>
            </w:tcMar>
            <w:vAlign w:val="center"/>
          </w:tcPr>
          <w:p>
            <w:pPr>
              <w:pStyle w:val="TableContents"/>
              <w:spacing w:before="0" w:after="283"/>
              <w:rPr>
                <w:sz w:val="4"/>
                <w:szCs w:val="4"/>
              </w:rPr>
            </w:pPr>
            <w:r>
              <w:rPr>
                <w:sz w:val="4"/>
                <w:szCs w:val="4"/>
              </w:rPr>
            </w:r>
          </w:p>
        </w:tc>
        <w:tc>
          <w:tcPr>
            <w:tcW w:w="598" w:type="dxa"/>
            <w:tcBorders/>
            <w:shd w:fill="auto" w:val="clear"/>
            <w:tcMar>
              <w:top w:w="0" w:type="dxa"/>
              <w:left w:w="0" w:type="dxa"/>
            </w:tcMar>
            <w:vAlign w:val="center"/>
          </w:tcPr>
          <w:p>
            <w:pPr>
              <w:pStyle w:val="TableContents"/>
              <w:spacing w:before="0" w:after="283"/>
              <w:rPr/>
            </w:pPr>
            <w:r>
              <w:rPr/>
              <w:t>         </w:t>
            </w:r>
          </w:p>
        </w:tc>
        <w:tc>
          <w:tcPr>
            <w:tcW w:w="300" w:type="dxa"/>
            <w:tcBorders/>
            <w:shd w:fill="auto" w:val="clear"/>
            <w:tcMar>
              <w:top w:w="0" w:type="dxa"/>
              <w:left w:w="0" w:type="dxa"/>
            </w:tcMar>
            <w:vAlign w:val="center"/>
          </w:tcPr>
          <w:p>
            <w:pPr>
              <w:pStyle w:val="TableContents"/>
              <w:spacing w:before="0" w:after="283"/>
              <w:rPr/>
            </w:pPr>
            <w:r>
              <w:rPr/>
              <w:t> </w:t>
            </w:r>
          </w:p>
        </w:tc>
        <w:tc>
          <w:tcPr>
            <w:tcW w:w="8385" w:type="dxa"/>
            <w:tcBorders/>
            <w:shd w:fill="auto" w:val="clear"/>
            <w:tcMar>
              <w:top w:w="0" w:type="dxa"/>
              <w:left w:w="0" w:type="dxa"/>
            </w:tcMar>
            <w:vAlign w:val="center"/>
          </w:tcPr>
          <w:p>
            <w:pPr>
              <w:pStyle w:val="TableContents"/>
              <w:spacing w:before="0" w:after="283"/>
              <w:rPr>
                <w:sz w:val="4"/>
                <w:szCs w:val="4"/>
              </w:rPr>
            </w:pPr>
            <w:r>
              <w:rPr>
                <w:sz w:val="4"/>
                <w:szCs w:val="4"/>
              </w:rPr>
            </w:r>
          </w:p>
        </w:tc>
        <w:tc>
          <w:tcPr>
            <w:tcW w:w="121" w:type="dxa"/>
            <w:tcBorders>
              <w:right w:val="single" w:sz="8" w:space="0" w:color="959595"/>
            </w:tcBorders>
            <w:shd w:fill="auto" w:val="clear"/>
            <w:tcMar>
              <w:top w:w="0" w:type="dxa"/>
              <w:left w:w="0" w:type="dxa"/>
              <w:right w:w="28" w:type="dxa"/>
            </w:tcMar>
            <w:vAlign w:val="center"/>
          </w:tcPr>
          <w:p>
            <w:pPr>
              <w:pStyle w:val="TableContents"/>
              <w:spacing w:before="0" w:after="283"/>
              <w:rPr>
                <w:sz w:val="4"/>
                <w:szCs w:val="4"/>
              </w:rPr>
            </w:pPr>
            <w:r>
              <w:rPr>
                <w:sz w:val="4"/>
                <w:szCs w:val="4"/>
              </w:rPr>
            </w:r>
          </w:p>
        </w:tc>
      </w:tr>
      <w:tr>
        <w:trPr/>
        <w:tc>
          <w:tcPr>
            <w:tcW w:w="120" w:type="dxa"/>
            <w:tcBorders>
              <w:left w:val="single" w:sz="8" w:space="0" w:color="959595"/>
            </w:tcBorders>
            <w:shd w:fill="auto" w:val="clear"/>
            <w:tcMar>
              <w:top w:w="0" w:type="dxa"/>
            </w:tcMar>
            <w:vAlign w:val="center"/>
          </w:tcPr>
          <w:p>
            <w:pPr>
              <w:pStyle w:val="TableContents"/>
              <w:spacing w:before="0" w:after="283"/>
              <w:rPr>
                <w:sz w:val="4"/>
                <w:szCs w:val="4"/>
              </w:rPr>
            </w:pPr>
            <w:r>
              <w:rPr>
                <w:sz w:val="4"/>
                <w:szCs w:val="4"/>
              </w:rPr>
            </w:r>
          </w:p>
        </w:tc>
        <w:tc>
          <w:tcPr>
            <w:tcW w:w="681" w:type="dxa"/>
            <w:tcBorders/>
            <w:shd w:fill="auto" w:val="clear"/>
            <w:tcMar>
              <w:top w:w="0" w:type="dxa"/>
              <w:left w:w="0" w:type="dxa"/>
            </w:tcMar>
            <w:vAlign w:val="center"/>
          </w:tcPr>
          <w:p>
            <w:pPr>
              <w:pStyle w:val="TableContents"/>
              <w:spacing w:before="0" w:after="283"/>
              <w:jc w:val="left"/>
              <w:rPr/>
            </w:pPr>
            <w:r>
              <w:rPr/>
              <w:drawing>
                <wp:inline distT="0" distB="0" distL="0" distR="0">
                  <wp:extent cx="390525" cy="266700"/>
                  <wp:effectExtent l="0" t="0" r="0" b="0"/>
                  <wp:docPr id="213"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137" descr=""/>
                          <pic:cNvPicPr>
                            <a:picLocks noChangeAspect="1" noChangeArrowheads="1"/>
                          </pic:cNvPicPr>
                        </pic:nvPicPr>
                        <pic:blipFill>
                          <a:blip r:embed="rId138"/>
                          <a:srcRect l="-2713" t="-3921" r="-2713" b="-3921"/>
                          <a:stretch>
                            <a:fillRect/>
                          </a:stretch>
                        </pic:blipFill>
                        <pic:spPr bwMode="auto">
                          <a:xfrm>
                            <a:off x="0" y="0"/>
                            <a:ext cx="390525" cy="266700"/>
                          </a:xfrm>
                          <a:prstGeom prst="rect">
                            <a:avLst/>
                          </a:prstGeom>
                          <a:ln w="635">
                            <a:solidFill>
                              <a:srgbClr val="000000"/>
                            </a:solidFill>
                          </a:ln>
                        </pic:spPr>
                      </pic:pic>
                    </a:graphicData>
                  </a:graphic>
                </wp:inline>
              </w:drawing>
            </w:r>
          </w:p>
        </w:tc>
        <w:tc>
          <w:tcPr>
            <w:tcW w:w="9283" w:type="dxa"/>
            <w:gridSpan w:val="3"/>
            <w:tcBorders/>
            <w:shd w:fill="auto" w:val="clear"/>
            <w:tcMar>
              <w:top w:w="0" w:type="dxa"/>
              <w:left w:w="0" w:type="dxa"/>
            </w:tcMar>
            <w:vAlign w:val="center"/>
          </w:tcPr>
          <w:p>
            <w:pPr>
              <w:pStyle w:val="TableContents"/>
              <w:spacing w:before="0" w:after="0"/>
              <w:jc w:val="left"/>
              <w:rPr>
                <w:rFonts w:ascii="Arial" w:hAnsi="Arial"/>
                <w:b/>
                <w:sz w:val="20"/>
              </w:rPr>
            </w:pPr>
            <w:r>
              <w:rPr>
                <w:rFonts w:ascii="Arial" w:hAnsi="Arial"/>
                <w:b/>
                <w:sz w:val="20"/>
              </w:rPr>
              <w:t>Our Board unanimously recommends that shareholders vote “AGAINST” this shareholder proposal.</w:t>
            </w:r>
          </w:p>
        </w:tc>
        <w:tc>
          <w:tcPr>
            <w:tcW w:w="121" w:type="dxa"/>
            <w:tcBorders>
              <w:right w:val="single" w:sz="8" w:space="0" w:color="959595"/>
            </w:tcBorders>
            <w:shd w:fill="auto" w:val="clear"/>
            <w:tcMar>
              <w:top w:w="0" w:type="dxa"/>
              <w:left w:w="0" w:type="dxa"/>
              <w:right w:w="28" w:type="dxa"/>
            </w:tcMar>
            <w:vAlign w:val="center"/>
          </w:tcPr>
          <w:p>
            <w:pPr>
              <w:pStyle w:val="TableContents"/>
              <w:spacing w:before="0" w:after="283"/>
              <w:rPr>
                <w:sz w:val="4"/>
                <w:szCs w:val="4"/>
              </w:rPr>
            </w:pPr>
            <w:r>
              <w:rPr>
                <w:sz w:val="4"/>
                <w:szCs w:val="4"/>
              </w:rPr>
            </w:r>
          </w:p>
        </w:tc>
      </w:tr>
      <w:tr>
        <w:trPr/>
        <w:tc>
          <w:tcPr>
            <w:tcW w:w="120" w:type="dxa"/>
            <w:tcBorders>
              <w:left w:val="single" w:sz="8" w:space="0" w:color="959595"/>
              <w:bottom w:val="single" w:sz="8" w:space="0" w:color="959595"/>
            </w:tcBorders>
            <w:shd w:fill="auto" w:val="clear"/>
            <w:tcMar>
              <w:top w:w="0" w:type="dxa"/>
              <w:bottom w:w="28" w:type="dxa"/>
            </w:tcMar>
            <w:vAlign w:val="center"/>
          </w:tcPr>
          <w:p>
            <w:pPr>
              <w:pStyle w:val="TableContents"/>
              <w:spacing w:before="0" w:after="283"/>
              <w:jc w:val="left"/>
              <w:rPr/>
            </w:pPr>
            <w:r>
              <w:rPr/>
              <w:t> </w:t>
            </w:r>
          </w:p>
        </w:tc>
        <w:tc>
          <w:tcPr>
            <w:tcW w:w="681" w:type="dxa"/>
            <w:tcBorders>
              <w:bottom w:val="single" w:sz="8" w:space="0" w:color="959595"/>
            </w:tcBorders>
            <w:shd w:fill="auto" w:val="clear"/>
            <w:tcMar>
              <w:top w:w="0" w:type="dxa"/>
              <w:left w:w="0" w:type="dxa"/>
              <w:bottom w:w="28" w:type="dxa"/>
            </w:tcMar>
            <w:vAlign w:val="center"/>
          </w:tcPr>
          <w:p>
            <w:pPr>
              <w:pStyle w:val="TableContents"/>
              <w:spacing w:before="0" w:after="283"/>
              <w:rPr>
                <w:sz w:val="4"/>
                <w:szCs w:val="4"/>
              </w:rPr>
            </w:pPr>
            <w:r>
              <w:rPr>
                <w:sz w:val="4"/>
                <w:szCs w:val="4"/>
              </w:rPr>
            </w:r>
          </w:p>
        </w:tc>
        <w:tc>
          <w:tcPr>
            <w:tcW w:w="598" w:type="dxa"/>
            <w:tcBorders>
              <w:bottom w:val="single" w:sz="8" w:space="0" w:color="959595"/>
            </w:tcBorders>
            <w:shd w:fill="auto" w:val="clear"/>
            <w:tcMar>
              <w:top w:w="0" w:type="dxa"/>
              <w:left w:w="0" w:type="dxa"/>
              <w:bottom w:w="28" w:type="dxa"/>
            </w:tcMar>
            <w:vAlign w:val="center"/>
          </w:tcPr>
          <w:p>
            <w:pPr>
              <w:pStyle w:val="TableContents"/>
              <w:spacing w:before="0" w:after="283"/>
              <w:rPr/>
            </w:pPr>
            <w:r>
              <w:rPr/>
              <w:t> </w:t>
            </w:r>
          </w:p>
        </w:tc>
        <w:tc>
          <w:tcPr>
            <w:tcW w:w="300" w:type="dxa"/>
            <w:tcBorders>
              <w:bottom w:val="single" w:sz="8" w:space="0" w:color="959595"/>
            </w:tcBorders>
            <w:shd w:fill="auto" w:val="clear"/>
            <w:tcMar>
              <w:top w:w="0" w:type="dxa"/>
              <w:left w:w="0" w:type="dxa"/>
              <w:bottom w:w="28" w:type="dxa"/>
            </w:tcMar>
            <w:vAlign w:val="center"/>
          </w:tcPr>
          <w:p>
            <w:pPr>
              <w:pStyle w:val="TableContents"/>
              <w:spacing w:before="0" w:after="283"/>
              <w:rPr/>
            </w:pPr>
            <w:r>
              <w:rPr/>
              <w:t> </w:t>
            </w:r>
          </w:p>
        </w:tc>
        <w:tc>
          <w:tcPr>
            <w:tcW w:w="8385" w:type="dxa"/>
            <w:tcBorders>
              <w:bottom w:val="single" w:sz="8" w:space="0" w:color="959595"/>
            </w:tcBorders>
            <w:shd w:fill="auto" w:val="clear"/>
            <w:tcMar>
              <w:top w:w="0" w:type="dxa"/>
              <w:left w:w="0" w:type="dxa"/>
              <w:bottom w:w="28" w:type="dxa"/>
            </w:tcMar>
            <w:vAlign w:val="center"/>
          </w:tcPr>
          <w:p>
            <w:pPr>
              <w:pStyle w:val="TableContents"/>
              <w:spacing w:before="0" w:after="283"/>
              <w:rPr>
                <w:sz w:val="4"/>
                <w:szCs w:val="4"/>
              </w:rPr>
            </w:pPr>
            <w:r>
              <w:rPr>
                <w:sz w:val="4"/>
                <w:szCs w:val="4"/>
              </w:rPr>
            </w:r>
          </w:p>
        </w:tc>
        <w:tc>
          <w:tcPr>
            <w:tcW w:w="121" w:type="dxa"/>
            <w:tcBorders>
              <w:bottom w:val="single" w:sz="8" w:space="0" w:color="959595"/>
              <w:right w:val="single" w:sz="8" w:space="0" w:color="959595"/>
            </w:tcBorders>
            <w:shd w:fill="auto" w:val="clear"/>
            <w:tcMar>
              <w:top w:w="0" w:type="dxa"/>
              <w:left w:w="0" w:type="dxa"/>
              <w:bottom w:w="28" w:type="dxa"/>
              <w:right w:w="28" w:type="dxa"/>
            </w:tcMar>
            <w:vAlign w:val="center"/>
          </w:tcPr>
          <w:p>
            <w:pPr>
              <w:pStyle w:val="TableContents"/>
              <w:spacing w:before="0" w:after="283"/>
              <w:rPr>
                <w:sz w:val="4"/>
                <w:szCs w:val="4"/>
              </w:rPr>
            </w:pPr>
            <w:r>
              <w:rPr>
                <w:sz w:val="4"/>
                <w:szCs w:val="4"/>
              </w:rPr>
            </w:r>
          </w:p>
        </w:tc>
      </w:tr>
    </w:tbl>
    <w:p>
      <w:pPr>
        <w:pStyle w:val="TextBody"/>
        <w:spacing w:before="300" w:after="283"/>
        <w:jc w:val="left"/>
        <w:rPr>
          <w:rFonts w:ascii="Arial" w:hAnsi="Arial"/>
          <w:sz w:val="20"/>
        </w:rPr>
      </w:pPr>
      <w:r>
        <w:rPr>
          <w:rFonts w:ascii="Arial" w:hAnsi="Arial"/>
          <w:sz w:val="20"/>
        </w:rPr>
        <w:t>The following proposal and supporting statement were submitted by Stephen Schewel, c/o Arjuna Capital, 13 Elm Street, Manchester, MA 01944.</w:t>
      </w:r>
    </w:p>
    <w:p>
      <w:pPr>
        <w:pStyle w:val="TextBody"/>
        <w:jc w:val="left"/>
        <w:rPr>
          <w:rFonts w:ascii="Arial" w:hAnsi="Arial"/>
          <w:color w:val="00A1E0"/>
          <w:sz w:val="26"/>
        </w:rPr>
      </w:pPr>
      <w:r>
        <w:rPr>
          <w:rFonts w:ascii="Arial" w:hAnsi="Arial"/>
          <w:color w:val="00A1E0"/>
          <w:sz w:val="26"/>
        </w:rPr>
        <w:t>Supporting Statement</w:t>
      </w:r>
    </w:p>
    <w:p>
      <w:pPr>
        <w:pStyle w:val="TextBody"/>
        <w:jc w:val="left"/>
        <w:rPr>
          <w:rFonts w:ascii="Arial" w:hAnsi="Arial"/>
          <w:b/>
          <w:sz w:val="20"/>
          <w:u w:val="single"/>
        </w:rPr>
      </w:pPr>
      <w:r>
        <w:rPr>
          <w:rFonts w:ascii="Arial" w:hAnsi="Arial"/>
          <w:b/>
          <w:sz w:val="20"/>
          <w:u w:val="single"/>
        </w:rPr>
        <w:t>Political Contributions and Company Values Alignment</w:t>
      </w:r>
    </w:p>
    <w:p>
      <w:pPr>
        <w:pStyle w:val="TextBody"/>
        <w:jc w:val="left"/>
        <w:rPr>
          <w:rFonts w:ascii="Arial" w:hAnsi="Arial"/>
          <w:sz w:val="20"/>
        </w:rPr>
      </w:pPr>
      <w:r>
        <w:rPr>
          <w:rFonts w:ascii="Arial" w:hAnsi="Arial"/>
          <w:b/>
          <w:sz w:val="20"/>
        </w:rPr>
        <w:t>WHEREAS</w:t>
      </w:r>
      <w:r>
        <w:rPr>
          <w:rFonts w:ascii="Arial" w:hAnsi="Arial"/>
          <w:sz w:val="20"/>
        </w:rPr>
        <w:t>: Comcast Corporation (“Comcast”) makes political contributions to numerous individual and organizational recipients from the corporate treasury and through political action committees (“PACs”). Comcast’s politically-focused expenditures appear to be misaligned with its public statements on Company values, views, and operational practices.</w:t>
      </w:r>
    </w:p>
    <w:p>
      <w:pPr>
        <w:pStyle w:val="TextBody"/>
        <w:jc w:val="left"/>
        <w:rPr>
          <w:rFonts w:ascii="Arial" w:hAnsi="Arial"/>
          <w:sz w:val="20"/>
        </w:rPr>
      </w:pPr>
      <w:r>
        <w:rPr>
          <w:rFonts w:ascii="Arial" w:hAnsi="Arial"/>
          <w:sz w:val="20"/>
        </w:rPr>
        <w:t>For example, Comcast has stated, “Voting is fundamental to our democracy. We believe that all Americans should enjoy equitable access to secure elections and we have long supported and promoted voter education, registration and participation campaigns across the country to achieve that goal. Efforts to limit or impede access to this vital constitutional right for any citizen are not consistent with our values.”</w:t>
      </w:r>
      <w:r>
        <w:rPr>
          <w:rFonts w:ascii="Arial" w:hAnsi="Arial"/>
          <w:position w:val="7"/>
          <w:sz w:val="16"/>
          <w:sz w:val="20"/>
        </w:rPr>
        <w:t xml:space="preserve">1 </w:t>
      </w:r>
      <w:r>
        <w:rPr>
          <w:rFonts w:ascii="Arial" w:hAnsi="Arial"/>
          <w:sz w:val="20"/>
        </w:rPr>
        <w:t>Yet during the 2022 election cycle, Comcast contributed at least 447,500 dollars to members of Congress who opposed federal voting rights legislation.</w:t>
      </w:r>
      <w:r>
        <w:rPr>
          <w:rFonts w:ascii="Arial" w:hAnsi="Arial"/>
          <w:position w:val="7"/>
          <w:sz w:val="16"/>
          <w:sz w:val="20"/>
        </w:rPr>
        <w:t>2</w:t>
      </w:r>
    </w:p>
    <w:p>
      <w:pPr>
        <w:pStyle w:val="TextBody"/>
        <w:jc w:val="left"/>
        <w:rPr>
          <w:rFonts w:ascii="Arial" w:hAnsi="Arial"/>
          <w:sz w:val="20"/>
        </w:rPr>
      </w:pPr>
      <w:r>
        <w:rPr>
          <w:rFonts w:ascii="Arial" w:hAnsi="Arial"/>
          <w:sz w:val="20"/>
        </w:rPr>
        <w:t>Comcast’s Statement on Political and Trade Association Activities says it seeks candidates who “respect democracy and the rule of law.”</w:t>
      </w:r>
      <w:r>
        <w:rPr>
          <w:rFonts w:ascii="Arial" w:hAnsi="Arial"/>
          <w:position w:val="7"/>
          <w:sz w:val="16"/>
          <w:sz w:val="20"/>
        </w:rPr>
        <w:t xml:space="preserve">3 </w:t>
      </w:r>
      <w:r>
        <w:rPr>
          <w:rFonts w:ascii="Arial" w:hAnsi="Arial"/>
          <w:sz w:val="20"/>
        </w:rPr>
        <w:t>Yet in the 2022 election cycle, the Company contributed at least 107,000 dollars to members of Congress who rejected certification of the 2020 presidential election on January 6, 2021.</w:t>
      </w:r>
      <w:r>
        <w:rPr>
          <w:rFonts w:ascii="Arial" w:hAnsi="Arial"/>
          <w:position w:val="7"/>
          <w:sz w:val="16"/>
          <w:sz w:val="20"/>
        </w:rPr>
        <w:t>4</w:t>
      </w:r>
    </w:p>
    <w:p>
      <w:pPr>
        <w:pStyle w:val="TextBody"/>
        <w:jc w:val="left"/>
        <w:rPr>
          <w:rFonts w:ascii="Arial" w:hAnsi="Arial"/>
          <w:sz w:val="20"/>
        </w:rPr>
      </w:pPr>
      <w:r>
        <w:rPr>
          <w:rFonts w:ascii="Arial" w:hAnsi="Arial"/>
          <w:sz w:val="20"/>
        </w:rPr>
        <w:t>Comcast promotes a number of initiatives designed to advance gender equity within the company, with a goal to have representation within every level of the company reach 50 percent for women. However, according to public records, the Proponent estimates since the beginning of the 2020 election cycle, Comcast has contributed at least 8 million dollars to political recipients working to weaken access to reproductive health care. Limiting access to reproductive health care is shown to reduce women’s retention in the workforce, an incongruency with Comcast’s representation goals.</w:t>
      </w:r>
      <w:r>
        <w:rPr>
          <w:rFonts w:ascii="Arial" w:hAnsi="Arial"/>
          <w:position w:val="7"/>
          <w:sz w:val="16"/>
          <w:sz w:val="20"/>
        </w:rPr>
        <w:t>5</w:t>
      </w:r>
    </w:p>
    <w:p>
      <w:pPr>
        <w:pStyle w:val="TextBody"/>
        <w:jc w:val="left"/>
        <w:rPr>
          <w:rFonts w:ascii="Arial" w:hAnsi="Arial"/>
          <w:sz w:val="20"/>
        </w:rPr>
      </w:pPr>
      <w:r>
        <w:rPr>
          <w:rFonts w:ascii="Arial" w:hAnsi="Arial"/>
          <w:sz w:val="20"/>
        </w:rPr>
        <w:t>Comcast has committed to achieving carbon neutrality in its Scope 1 and 2 emissions across global operations by 2035. However, Comcast is a member of the U.S. Chamber of Commerce, which has long and consistently lobbied to constrain U.S. climate regulations.</w:t>
      </w:r>
    </w:p>
    <w:p>
      <w:pPr>
        <w:pStyle w:val="TextBody"/>
        <w:jc w:val="left"/>
        <w:rPr>
          <w:rFonts w:ascii="Arial" w:hAnsi="Arial"/>
          <w:sz w:val="20"/>
        </w:rPr>
      </w:pPr>
      <w:r>
        <w:rPr>
          <w:rFonts w:ascii="Arial" w:hAnsi="Arial"/>
          <w:b/>
          <w:sz w:val="20"/>
        </w:rPr>
        <w:t>RESOLVED:</w:t>
      </w:r>
      <w:r>
        <w:rPr>
          <w:rFonts w:ascii="Arial" w:hAnsi="Arial"/>
          <w:sz w:val="20"/>
        </w:rPr>
        <w:t xml:space="preserve"> Shareholders request that Comcast publish a report, at reasonable expense, analyzing the congruence of the Company’s political and electioneering expenditures during the preceding year against publicly stated company values and policies, listing and explaining any instances of incongruent expenditures, and stating whether the Company has made, or plans to make, changes in contributions or communications to candidates as a result of identified incongruencies.</w:t>
      </w:r>
    </w:p>
    <w:p>
      <w:pPr>
        <w:pStyle w:val="TextBody"/>
        <w:jc w:val="left"/>
        <w:rPr>
          <w:rFonts w:ascii="Arial" w:hAnsi="Arial"/>
          <w:sz w:val="20"/>
        </w:rPr>
      </w:pPr>
      <w:r>
        <w:rPr>
          <w:rFonts w:ascii="Arial" w:hAnsi="Arial"/>
          <w:b/>
          <w:sz w:val="20"/>
        </w:rPr>
        <w:t>SUPPORTING STATEMENT:</w:t>
      </w:r>
      <w:r>
        <w:rPr>
          <w:rFonts w:ascii="Arial" w:hAnsi="Arial"/>
          <w:sz w:val="20"/>
        </w:rPr>
        <w:t xml:space="preserve"> Proponents recommend, at Board and management discretion, that the report also include management’s analysis of risks to the Company brand, reputation, or shareholder value associated with expenditures in conflict with its publicly stated company values. Incongruent expenditures may include donations to political recipients working to reduce abortion access, eliminate climate regulations, or reduce voting rights, amongst others. “Electioneering expenditures” means spending, from the corporate treasury and from the PACs, directly or through a third party, at any time during the year, which are reasonably susceptible to interpretation as in support of or opposition to a specific candidate.</w:t>
      </w:r>
    </w:p>
    <w:p>
      <w:pPr>
        <w:pStyle w:val="TextBody"/>
        <w:spacing w:before="0" w:after="0"/>
        <w:rPr/>
      </w:pPr>
      <w:r>
        <w:rPr/>
        <w:t>____________________</w:t>
      </w:r>
    </w:p>
    <w:tbl>
      <w:tblPr>
        <w:tblW w:w="7240" w:type="dxa"/>
        <w:jc w:val="left"/>
        <w:tblInd w:w="0" w:type="dxa"/>
        <w:tblCellMar>
          <w:top w:w="0" w:type="dxa"/>
          <w:left w:w="0" w:type="dxa"/>
          <w:bottom w:w="0" w:type="dxa"/>
          <w:right w:w="0" w:type="dxa"/>
        </w:tblCellMar>
      </w:tblPr>
      <w:tblGrid>
        <w:gridCol w:w="80"/>
        <w:gridCol w:w="7160"/>
      </w:tblGrid>
      <w:tr>
        <w:trPr/>
        <w:tc>
          <w:tcPr>
            <w:tcW w:w="80"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1</w:t>
            </w:r>
          </w:p>
        </w:tc>
        <w:tc>
          <w:tcPr>
            <w:tcW w:w="7160" w:type="dxa"/>
            <w:tcBorders/>
            <w:shd w:fill="auto" w:val="clear"/>
            <w:vAlign w:val="center"/>
          </w:tcPr>
          <w:p>
            <w:pPr>
              <w:pStyle w:val="TableContents"/>
              <w:spacing w:before="0" w:after="283"/>
              <w:jc w:val="left"/>
              <w:rPr>
                <w:rFonts w:ascii="Arial" w:hAnsi="Arial"/>
                <w:i/>
                <w:sz w:val="15"/>
              </w:rPr>
            </w:pPr>
            <w:r>
              <w:rPr>
                <w:rFonts w:ascii="Arial" w:hAnsi="Arial"/>
                <w:i/>
                <w:sz w:val="15"/>
              </w:rPr>
              <w:t>https://bit.ly/3uXTbEg</w:t>
            </w:r>
          </w:p>
        </w:tc>
      </w:tr>
      <w:tr>
        <w:trPr/>
        <w:tc>
          <w:tcPr>
            <w:tcW w:w="80"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2</w:t>
            </w:r>
          </w:p>
        </w:tc>
        <w:tc>
          <w:tcPr>
            <w:tcW w:w="7160" w:type="dxa"/>
            <w:tcBorders/>
            <w:shd w:fill="auto" w:val="clear"/>
            <w:vAlign w:val="center"/>
          </w:tcPr>
          <w:p>
            <w:pPr>
              <w:pStyle w:val="TableContents"/>
              <w:spacing w:before="0" w:after="283"/>
              <w:jc w:val="left"/>
              <w:rPr>
                <w:rFonts w:ascii="Arial" w:hAnsi="Arial"/>
                <w:i/>
                <w:sz w:val="15"/>
              </w:rPr>
            </w:pPr>
            <w:r>
              <w:rPr>
                <w:rFonts w:ascii="Arial" w:hAnsi="Arial"/>
                <w:i/>
                <w:sz w:val="15"/>
              </w:rPr>
              <w:t>https://bit.ly/3BGR0J0</w:t>
            </w:r>
          </w:p>
        </w:tc>
      </w:tr>
      <w:tr>
        <w:trPr/>
        <w:tc>
          <w:tcPr>
            <w:tcW w:w="80"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3</w:t>
            </w:r>
          </w:p>
        </w:tc>
        <w:tc>
          <w:tcPr>
            <w:tcW w:w="7160" w:type="dxa"/>
            <w:tcBorders/>
            <w:shd w:fill="auto" w:val="clear"/>
            <w:vAlign w:val="center"/>
          </w:tcPr>
          <w:p>
            <w:pPr>
              <w:pStyle w:val="TableContents"/>
              <w:spacing w:before="0" w:after="283"/>
              <w:jc w:val="left"/>
              <w:rPr>
                <w:rFonts w:ascii="Arial" w:hAnsi="Arial"/>
                <w:i/>
                <w:sz w:val="15"/>
              </w:rPr>
            </w:pPr>
            <w:r>
              <w:rPr>
                <w:rFonts w:ascii="Arial" w:hAnsi="Arial"/>
                <w:i/>
                <w:sz w:val="15"/>
              </w:rPr>
              <w:t>bit.ly/3W11WJo</w:t>
            </w:r>
          </w:p>
        </w:tc>
      </w:tr>
      <w:tr>
        <w:trPr/>
        <w:tc>
          <w:tcPr>
            <w:tcW w:w="80"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4</w:t>
            </w:r>
          </w:p>
        </w:tc>
        <w:tc>
          <w:tcPr>
            <w:tcW w:w="7160" w:type="dxa"/>
            <w:tcBorders/>
            <w:shd w:fill="auto" w:val="clear"/>
            <w:vAlign w:val="center"/>
          </w:tcPr>
          <w:p>
            <w:pPr>
              <w:pStyle w:val="TableContents"/>
              <w:spacing w:before="0" w:after="283"/>
              <w:jc w:val="left"/>
              <w:rPr>
                <w:rFonts w:ascii="Arial" w:hAnsi="Arial"/>
                <w:i/>
                <w:sz w:val="15"/>
              </w:rPr>
            </w:pPr>
            <w:r>
              <w:rPr>
                <w:rFonts w:ascii="Arial" w:hAnsi="Arial"/>
                <w:i/>
                <w:sz w:val="15"/>
              </w:rPr>
              <w:t>https://bit.ly/3BGR0J0</w:t>
            </w:r>
          </w:p>
        </w:tc>
      </w:tr>
      <w:tr>
        <w:trPr/>
        <w:tc>
          <w:tcPr>
            <w:tcW w:w="80"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5</w:t>
            </w:r>
          </w:p>
        </w:tc>
        <w:tc>
          <w:tcPr>
            <w:tcW w:w="7160" w:type="dxa"/>
            <w:tcBorders/>
            <w:shd w:fill="auto" w:val="clear"/>
            <w:vAlign w:val="center"/>
          </w:tcPr>
          <w:p>
            <w:pPr>
              <w:pStyle w:val="TableContents"/>
              <w:spacing w:before="0" w:after="283"/>
              <w:jc w:val="left"/>
              <w:rPr>
                <w:rFonts w:ascii="Arial" w:hAnsi="Arial"/>
                <w:i/>
                <w:sz w:val="15"/>
              </w:rPr>
            </w:pPr>
            <w:r>
              <w:rPr>
                <w:rFonts w:ascii="Arial" w:hAnsi="Arial"/>
                <w:i/>
                <w:sz w:val="15"/>
              </w:rPr>
              <w:t>https://rhiaventures.org/corporate-engagement/hidden-value-the-business-case-for-reproductive-health/</w:t>
            </w:r>
          </w:p>
        </w:tc>
      </w:tr>
    </w:tbl>
    <w:p>
      <w:pPr>
        <w:pStyle w:val="TextBody"/>
        <w:spacing w:before="0" w:after="0"/>
        <w:rPr/>
      </w:pPr>
      <w:r>
        <w:rPr/>
      </w:r>
    </w:p>
    <w:tbl>
      <w:tblPr>
        <w:tblW w:w="2200" w:type="dxa"/>
        <w:jc w:val="left"/>
        <w:tblInd w:w="0" w:type="dxa"/>
        <w:tblCellMar>
          <w:top w:w="0" w:type="dxa"/>
          <w:left w:w="0" w:type="dxa"/>
          <w:bottom w:w="0" w:type="dxa"/>
          <w:right w:w="0" w:type="dxa"/>
        </w:tblCellMar>
      </w:tblPr>
      <w:tblGrid>
        <w:gridCol w:w="1580"/>
        <w:gridCol w:w="620"/>
      </w:tblGrid>
      <w:tr>
        <w:trPr/>
        <w:tc>
          <w:tcPr>
            <w:tcW w:w="1580" w:type="dxa"/>
            <w:tcBorders/>
            <w:shd w:fill="auto" w:val="clear"/>
            <w:vAlign w:val="center"/>
          </w:tcPr>
          <w:p>
            <w:pPr>
              <w:pStyle w:val="TableContents"/>
              <w:spacing w:before="0" w:after="283"/>
              <w:jc w:val="right"/>
              <w:rPr>
                <w:rFonts w:ascii="Arial" w:hAnsi="Arial"/>
                <w:sz w:val="15"/>
              </w:rPr>
            </w:pPr>
            <w:r>
              <w:rPr>
                <w:rFonts w:ascii="Arial" w:hAnsi="Arial"/>
                <w:sz w:val="15"/>
              </w:rPr>
              <w:t>2023 Proxy Statement</w:t>
            </w:r>
          </w:p>
        </w:tc>
        <w:tc>
          <w:tcPr>
            <w:tcW w:w="620" w:type="dxa"/>
            <w:tcBorders/>
            <w:shd w:fill="auto" w:val="clear"/>
            <w:vAlign w:val="center"/>
          </w:tcPr>
          <w:p>
            <w:pPr>
              <w:pStyle w:val="TableContents"/>
              <w:spacing w:before="0" w:after="283"/>
              <w:jc w:val="right"/>
              <w:rPr/>
            </w:pPr>
            <w:r>
              <w:rPr/>
              <w:t>       </w:t>
            </w:r>
            <w:r>
              <w:rPr>
                <w:rFonts w:ascii="Arial" w:hAnsi="Arial"/>
                <w:b/>
                <w:sz w:val="15"/>
              </w:rPr>
              <w:t>79</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p>
      <w:pPr>
        <w:pStyle w:val="TextBody"/>
        <w:jc w:val="left"/>
        <w:rPr>
          <w:rFonts w:ascii="Arial" w:hAnsi="Arial"/>
          <w:color w:val="00A1E0"/>
          <w:sz w:val="26"/>
        </w:rPr>
      </w:pPr>
      <w:r>
        <w:rPr>
          <w:rFonts w:ascii="Arial" w:hAnsi="Arial"/>
          <w:color w:val="00A1E0"/>
          <w:sz w:val="26"/>
        </w:rPr>
        <w:t>Company Response to Shareholder Proposal</w:t>
      </w:r>
    </w:p>
    <w:p>
      <w:pPr>
        <w:pStyle w:val="TextBody"/>
        <w:jc w:val="left"/>
        <w:rPr>
          <w:rFonts w:ascii="Arial" w:hAnsi="Arial"/>
          <w:sz w:val="20"/>
        </w:rPr>
      </w:pPr>
      <w:r>
        <w:rPr>
          <w:rFonts w:ascii="Arial" w:hAnsi="Arial"/>
          <w:sz w:val="20"/>
        </w:rPr>
        <w:t>We believe that it is both important and necessary to engage in the political process to protect our company, and ultimately our shareholders, particularly in light of the highly-regulated communications and media/entertainment industries in which we operate. Our current policies, practices and disclosures provide meaningful transparency and accountability with respect to our political activities – ranking us among companies with best-in-class transparency, as evidenced by our “trendsetter” designation in the 2022 CPA-Zicklin Index. Moreover, our Board and management team have implemented robust governance processes and oversight of these matters.</w:t>
      </w:r>
    </w:p>
    <w:p>
      <w:pPr>
        <w:pStyle w:val="TextBody"/>
        <w:jc w:val="left"/>
        <w:rPr>
          <w:rFonts w:ascii="Arial" w:hAnsi="Arial"/>
          <w:sz w:val="20"/>
        </w:rPr>
      </w:pPr>
      <w:r>
        <w:rPr>
          <w:rFonts w:ascii="Arial" w:hAnsi="Arial"/>
          <w:sz w:val="20"/>
        </w:rPr>
        <w:t>The proposal is misguided in its attempt to define our company’s ‘values’ by selectively highlighting statements and initiatives and drawing conclusions about perceived misalignment to those values. We contribute to a wide range of candidates across parties who appreciate the significance and complexity of the legislative and regulatory challenges confronting our business, and support public policy that promotes our business interests and free market principles. While business-specific issues are the primary drivers of our political contribution criteria, our political contributions are not incongruent with values that guide us as a company: having an entrepreneurial spirit, acting with integrity, having respect for others and giving back to our communities. Particularly when our own employees and customers throughout the country have a broad range of political and other beliefs, we believe that our measured, broad and bipartisan approach to political giving is consistent with both our business interests and values.</w:t>
      </w:r>
    </w:p>
    <w:p>
      <w:pPr>
        <w:pStyle w:val="TextBody"/>
        <w:jc w:val="left"/>
        <w:rPr>
          <w:rFonts w:ascii="Arial" w:hAnsi="Arial"/>
          <w:sz w:val="20"/>
        </w:rPr>
      </w:pPr>
      <w:r>
        <w:rPr>
          <w:rFonts w:ascii="Arial" w:hAnsi="Arial"/>
          <w:sz w:val="20"/>
        </w:rPr>
        <w:t xml:space="preserve">As a result, our Board recommends a vote </w:t>
      </w:r>
      <w:r>
        <w:rPr>
          <w:rFonts w:ascii="Arial" w:hAnsi="Arial"/>
          <w:b/>
          <w:sz w:val="20"/>
        </w:rPr>
        <w:t>AGAINST</w:t>
      </w:r>
      <w:r>
        <w:rPr>
          <w:rFonts w:ascii="Arial" w:hAnsi="Arial"/>
          <w:sz w:val="20"/>
        </w:rPr>
        <w:t xml:space="preserve"> this proposal, as it will divert management attention and resources to produce an annual report that yields little incremental benefit in light of our existing robust policies, practices and disclosures.</w:t>
      </w:r>
    </w:p>
    <w:p>
      <w:pPr>
        <w:pStyle w:val="TextBody"/>
        <w:jc w:val="center"/>
        <w:rPr>
          <w:rFonts w:ascii="Arial" w:hAnsi="Arial"/>
          <w:b/>
          <w:sz w:val="15"/>
        </w:rPr>
      </w:pPr>
      <w:r>
        <w:rPr>
          <w:rFonts w:ascii="Arial" w:hAnsi="Arial"/>
          <w:b/>
          <w:sz w:val="15"/>
        </w:rPr>
        <w:t>*******</w:t>
      </w:r>
    </w:p>
    <w:p>
      <w:pPr>
        <w:pStyle w:val="TextBody"/>
        <w:jc w:val="left"/>
        <w:rPr>
          <w:rFonts w:ascii="Arial" w:hAnsi="Arial"/>
          <w:b/>
          <w:i/>
          <w:sz w:val="20"/>
        </w:rPr>
      </w:pPr>
      <w:r>
        <w:rPr>
          <w:rFonts w:ascii="Arial" w:hAnsi="Arial"/>
          <w:b/>
          <w:i/>
          <w:sz w:val="20"/>
        </w:rPr>
        <w:t>We provide extensive public disclosure on our political activities, including our political contributions.</w:t>
      </w:r>
    </w:p>
    <w:p>
      <w:pPr>
        <w:pStyle w:val="TextBody"/>
        <w:jc w:val="left"/>
        <w:rPr/>
      </w:pPr>
      <w:r>
        <w:rPr>
          <w:rFonts w:ascii="Arial" w:hAnsi="Arial"/>
          <w:sz w:val="20"/>
        </w:rPr>
        <w:t xml:space="preserve">Significant and detailed information with respect to our Government Affairs and political activities programs are set forth in our Statement on Political and Trade Association Activity (the “Statement”), which is available for review at </w:t>
      </w:r>
      <w:r>
        <w:rPr>
          <w:rFonts w:ascii="Arial" w:hAnsi="Arial"/>
          <w:i/>
          <w:sz w:val="20"/>
        </w:rPr>
        <w:t>https://corporate.comcast.com/values/integrity/activity</w:t>
      </w:r>
      <w:r>
        <w:rPr>
          <w:rFonts w:ascii="Arial" w:hAnsi="Arial"/>
          <w:sz w:val="20"/>
        </w:rPr>
        <w:t>. As noted in the Statement:</w:t>
      </w:r>
    </w:p>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rFonts w:ascii="Arial" w:hAnsi="Arial"/>
                <w:sz w:val="20"/>
              </w:rPr>
            </w:pPr>
            <w:r>
              <w:rPr>
                <w:rFonts w:ascii="Arial" w:hAnsi="Arial"/>
                <w:sz w:val="20"/>
              </w:rPr>
              <w:t>We provide a semi-annual report of our contributions to federal, state and local candidates, political parties, political committees, other political organizations exempt from federal income taxes under Section 527 of the Internal Revenue Code and ballot measure committees.</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rFonts w:ascii="Arial" w:hAnsi="Arial"/>
                <w:sz w:val="20"/>
              </w:rPr>
            </w:pPr>
            <w:r>
              <w:rPr>
                <w:rFonts w:ascii="Arial" w:hAnsi="Arial"/>
                <w:sz w:val="20"/>
              </w:rPr>
              <w:t>We provide an annual report of trade organizations organized under Internal Revenue Code Sections 501(c)(6) and 501(c)(4) to which we contribute at least $50,000 per year, where a portion of the contributions is identified as used for nondeductible lobbying or political expenditures, as well as the nondeductible portion of the payments.</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rFonts w:ascii="Arial" w:hAnsi="Arial"/>
                <w:sz w:val="20"/>
              </w:rPr>
            </w:pPr>
            <w:r>
              <w:rPr>
                <w:rFonts w:ascii="Arial" w:hAnsi="Arial"/>
                <w:sz w:val="20"/>
              </w:rPr>
              <w:t xml:space="preserve">Our federal advocacy disclosure reports filed with the U.S. Congress are available at </w:t>
            </w:r>
            <w:r>
              <w:rPr>
                <w:rFonts w:ascii="Arial" w:hAnsi="Arial"/>
                <w:i/>
                <w:sz w:val="20"/>
              </w:rPr>
              <w:t>http://disclosures.house.gov/ld/ldsearch</w:t>
            </w:r>
            <w:r>
              <w:rPr>
                <w:rFonts w:ascii="Arial" w:hAnsi="Arial"/>
                <w:sz w:val="20"/>
              </w:rPr>
              <w:t>. We also file state and local lobbying reports according to state and local regulatory requirements, which are publicly available.</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rFonts w:ascii="Arial" w:hAnsi="Arial"/>
                <w:sz w:val="20"/>
              </w:rPr>
            </w:pPr>
            <w:r>
              <w:rPr>
                <w:rFonts w:ascii="Arial" w:hAnsi="Arial"/>
                <w:sz w:val="20"/>
              </w:rPr>
              <w:t>We </w:t>
            </w:r>
            <w:r>
              <w:rPr>
                <w:rFonts w:ascii="Arial" w:hAnsi="Arial"/>
                <w:b/>
                <w:sz w:val="20"/>
              </w:rPr>
              <w:t>do not</w:t>
            </w:r>
            <w:r>
              <w:rPr>
                <w:rFonts w:ascii="Arial" w:hAnsi="Arial"/>
                <w:sz w:val="20"/>
              </w:rPr>
              <w:t xml:space="preserve"> (either directly or through our corporate directors, officers or certain other senior executives) make independent expenditures or contribute to federal, state or local political committees that only make independent expenditures (so-called “SuperPACs”) or contribute to any organization for the purpose of funding independent expenditures.</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rFonts w:ascii="Arial" w:hAnsi="Arial"/>
                <w:sz w:val="20"/>
              </w:rPr>
            </w:pPr>
            <w:r>
              <w:rPr>
                <w:rFonts w:ascii="Arial" w:hAnsi="Arial"/>
                <w:sz w:val="20"/>
              </w:rPr>
              <w:t>We </w:t>
            </w:r>
            <w:r>
              <w:rPr>
                <w:rFonts w:ascii="Arial" w:hAnsi="Arial"/>
                <w:b/>
                <w:sz w:val="20"/>
                <w:u w:val="single"/>
              </w:rPr>
              <w:t>do not</w:t>
            </w:r>
            <w:r>
              <w:rPr>
                <w:rFonts w:ascii="Arial" w:hAnsi="Arial"/>
                <w:sz w:val="20"/>
                <w:u w:val="single"/>
              </w:rPr>
              <w:t xml:space="preserve"> </w:t>
            </w:r>
            <w:r>
              <w:rPr>
                <w:rFonts w:ascii="Arial" w:hAnsi="Arial"/>
                <w:sz w:val="20"/>
              </w:rPr>
              <w:t>(either directly or through our corporate directors, officers or certain other senior executives) support other non-profits, such as 501(c)(4) organizations, for the purpose of funding political activity or unregulated 527 political organizations (entities that are not registered as PACs under state or federal campaign finance laws) for the purpose of funding political advertising. Before making any contributions to these organizations, we must receive written representations that our funds will be used in a manner acceptable to us, including that they will not be used, directly or indirectly, to make contributions to candidate campaigns, political parties, other organizations registered as political committees or SuperPACs, or to make independent expenditures.</w:t>
            </w:r>
          </w:p>
        </w:tc>
      </w:tr>
    </w:tbl>
    <w:p>
      <w:pPr>
        <w:pStyle w:val="TextBody"/>
        <w:spacing w:before="240" w:after="283"/>
        <w:jc w:val="left"/>
        <w:rPr>
          <w:rFonts w:ascii="Arial" w:hAnsi="Arial"/>
          <w:sz w:val="20"/>
        </w:rPr>
      </w:pPr>
      <w:r>
        <w:rPr>
          <w:rFonts w:ascii="Arial" w:hAnsi="Arial"/>
          <w:sz w:val="20"/>
        </w:rPr>
        <w:t>As a result of our extensive disclosures, we have been recognized as a leader in providing the highest level of political transparency and accountability and were recognized in 2022 as a “trendsetter” – the highest possible ranking – by the CPA-Zicklin Index.</w:t>
      </w:r>
    </w:p>
    <w:p>
      <w:pPr>
        <w:pStyle w:val="TextBody"/>
        <w:jc w:val="left"/>
        <w:rPr>
          <w:rFonts w:ascii="Arial" w:hAnsi="Arial"/>
          <w:b/>
          <w:i/>
          <w:sz w:val="20"/>
        </w:rPr>
      </w:pPr>
      <w:r>
        <w:rPr>
          <w:rFonts w:ascii="Arial" w:hAnsi="Arial"/>
          <w:b/>
          <w:i/>
          <w:sz w:val="20"/>
        </w:rPr>
        <w:t>Our engagement in the political process aligns with our business mission.</w:t>
      </w:r>
    </w:p>
    <w:p>
      <w:pPr>
        <w:pStyle w:val="TextBody"/>
        <w:jc w:val="left"/>
        <w:rPr>
          <w:rFonts w:ascii="Arial" w:hAnsi="Arial"/>
          <w:sz w:val="20"/>
        </w:rPr>
      </w:pPr>
      <w:r>
        <w:rPr>
          <w:rFonts w:ascii="Arial" w:hAnsi="Arial"/>
          <w:sz w:val="20"/>
        </w:rPr>
        <w:t>As one of the world’s largest media and technology companies, laws at the federal, state and local levels may have a significant impact on our company and shareholders. As disclosed in the Statement:</w:t>
      </w:r>
    </w:p>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rFonts w:ascii="Arial" w:hAnsi="Arial"/>
                <w:sz w:val="20"/>
              </w:rPr>
            </w:pPr>
            <w:r>
              <w:rPr>
                <w:rFonts w:ascii="Arial" w:hAnsi="Arial"/>
                <w:sz w:val="20"/>
              </w:rPr>
              <w:t>We participate in the political process in a bipartisan manner, guided by the best interests of our company. In general, candidates we support demonstrate consistency with respect to their policy positions and legislative records related to our business interests and free market principles, which in turn helps us to deliver sustainable long-term success. The Statement provides a further detailed list of specific contribution criteria.</w:t>
            </w:r>
          </w:p>
        </w:tc>
      </w:tr>
    </w:tbl>
    <w:p>
      <w:pPr>
        <w:pStyle w:val="TextBody"/>
        <w:spacing w:before="0" w:after="0"/>
        <w:rPr/>
      </w:pPr>
      <w:r>
        <w:rPr/>
      </w:r>
    </w:p>
    <w:tbl>
      <w:tblPr>
        <w:tblW w:w="223" w:type="dxa"/>
        <w:jc w:val="left"/>
        <w:tblInd w:w="0" w:type="dxa"/>
        <w:tblCellMar>
          <w:top w:w="0" w:type="dxa"/>
          <w:left w:w="0" w:type="dxa"/>
          <w:bottom w:w="0" w:type="dxa"/>
          <w:right w:w="0" w:type="dxa"/>
        </w:tblCellMar>
      </w:tblPr>
      <w:tblGrid>
        <w:gridCol w:w="200"/>
        <w:gridCol w:w="23"/>
      </w:tblGrid>
      <w:tr>
        <w:trPr/>
        <w:tc>
          <w:tcPr>
            <w:tcW w:w="200" w:type="dxa"/>
            <w:tcBorders/>
            <w:shd w:fill="auto" w:val="clear"/>
            <w:vAlign w:val="center"/>
          </w:tcPr>
          <w:p>
            <w:pPr>
              <w:pStyle w:val="TableContents"/>
              <w:spacing w:before="0" w:after="283"/>
              <w:jc w:val="left"/>
              <w:rPr>
                <w:rFonts w:ascii="Arial" w:hAnsi="Arial"/>
                <w:b/>
                <w:sz w:val="15"/>
              </w:rPr>
            </w:pPr>
            <w:r>
              <w:rPr>
                <w:rFonts w:ascii="Arial" w:hAnsi="Arial"/>
                <w:b/>
                <w:sz w:val="15"/>
              </w:rPr>
              <w:t>80</w:t>
            </w:r>
          </w:p>
        </w:tc>
        <w:tc>
          <w:tcPr>
            <w:tcW w:w="2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rFonts w:ascii="Arial" w:hAnsi="Arial"/>
                <w:sz w:val="20"/>
              </w:rPr>
            </w:pPr>
            <w:r>
              <w:rPr>
                <w:rFonts w:ascii="Arial" w:hAnsi="Arial"/>
                <w:sz w:val="20"/>
              </w:rPr>
              <w:t>Contributions are made without regard for the personal political preferences of our officers or directors.</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rFonts w:ascii="Arial" w:hAnsi="Arial"/>
                <w:sz w:val="20"/>
              </w:rPr>
            </w:pPr>
            <w:r>
              <w:rPr>
                <w:rFonts w:ascii="Arial" w:hAnsi="Arial"/>
                <w:sz w:val="20"/>
              </w:rPr>
              <w:t>No one criterion or public policy position determines whether a candidate receives a contribution, and a contribution is not an endorsement of every position taken by an official on every issue. In addition to considering our business objectives, we are aware that there are other issues that impact our customers and employees. While we may consider some of these issues in our contribution review process, we address them more directly through our active involvement in the communities we serve and our commitment to using our programming, partnerships and charitable giving to create positive change and a more equitable society.</w:t>
            </w:r>
          </w:p>
        </w:tc>
      </w:tr>
    </w:tbl>
    <w:p>
      <w:pPr>
        <w:pStyle w:val="TextBody"/>
        <w:spacing w:before="240" w:after="283"/>
        <w:jc w:val="left"/>
        <w:rPr>
          <w:rFonts w:ascii="Arial" w:hAnsi="Arial"/>
          <w:sz w:val="20"/>
        </w:rPr>
      </w:pPr>
      <w:r>
        <w:rPr>
          <w:rFonts w:ascii="Arial" w:hAnsi="Arial"/>
          <w:sz w:val="20"/>
        </w:rPr>
        <w:t>Certain third-party advocacy organizations may put pressure on companies to make or refrain from making political contributions in line with the organization’s political goals. This may include criticism of corporate contributions to an individual candidate where such candidate does not align with the third party’s own political goals, even if the company’s contribution was driven by an important business consideration. While we may consider non-business issues as part of our contribution review process, we believe that our company and our shareholders are best served by us conducting our political activities in a bipartisan manner focused on our business priorities rather than in a partisan politicized manner, particularly when our own employees and customers throughout the country have a broad range of political and other beliefs.</w:t>
      </w:r>
    </w:p>
    <w:p>
      <w:pPr>
        <w:pStyle w:val="TextBody"/>
        <w:jc w:val="left"/>
        <w:rPr>
          <w:rFonts w:ascii="Arial" w:hAnsi="Arial"/>
          <w:sz w:val="20"/>
        </w:rPr>
      </w:pPr>
      <w:r>
        <w:rPr>
          <w:rFonts w:ascii="Arial" w:hAnsi="Arial"/>
          <w:sz w:val="20"/>
        </w:rPr>
        <w:t>We also make our voice heard through participation in trade associations and by supporting advocacy organizations. We support these organizations for a variety of reasons, ranging from our interest in the community, to taking advantage of industry expertise, or because they have common goals and interests on key strategic policy and business issues. Our participation in trade associations, particularly those representing a range of industry sectors, comes with the understanding that we might not agree with every position held by the association or its other members, and that some misalignment is an unavoidable consequence of any collective endeavor. We respect the independence and agency of trade associations and third parties to shape their own policy agendas, events and advocacy positions, and our participation does not mean that we endorse the organization’s entire agenda, its events or advocacy positions, nor the views of its leaders or members. However, we regularly monitor the positions of these associations to assess alignment with our own and, if there is a significant inconsistency on a core priority of our company, we will convey our concerns to these associations or otherwise engage with the association to address the matter.</w:t>
      </w:r>
    </w:p>
    <w:p>
      <w:pPr>
        <w:pStyle w:val="TextBody"/>
        <w:jc w:val="left"/>
        <w:rPr/>
      </w:pPr>
      <w:r>
        <w:rPr>
          <w:rStyle w:val="StrongEmphasis"/>
          <w:rFonts w:ascii="Arial" w:hAnsi="Arial"/>
          <w:i/>
          <w:sz w:val="20"/>
        </w:rPr>
        <w:t>The governance and oversight of our political activities, including the oversight process of our Board, is robust.</w:t>
      </w:r>
    </w:p>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rFonts w:ascii="Arial" w:hAnsi="Arial"/>
                <w:sz w:val="20"/>
              </w:rPr>
              <w:t>Pursuant to its charter, our GCR Committee, composed entirely of independent directors, is responsible for overseeing our political, lobbying and trade association activities, including evaluation of both the benefits of and risks posed by our political spending, including any potential incongruency with company values and our contribution criteria. The GCR Committee, and at times the full Board, receive periodic reports on our political, lobbying and trade association activities, which at times include a discussion of benefits and risks from these activities.</w:t>
            </w:r>
            <w:r>
              <w:rPr/>
              <w:t xml:space="preserve"> </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rFonts w:ascii="Arial" w:hAnsi="Arial"/>
                <w:sz w:val="20"/>
              </w:rPr>
              <w:t>We recently made several enhancements to our Statement, including as a result of engagement with our stakeholders:</w:t>
            </w:r>
            <w:r>
              <w:rPr/>
              <w:t xml:space="preserve"> </w:t>
            </w:r>
          </w:p>
        </w:tc>
      </w:tr>
    </w:tbl>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rFonts w:ascii="Arial" w:hAnsi="Arial"/>
                <w:sz w:val="20"/>
              </w:rPr>
              <w:t>With respect to contribution criteria, we added that, in addition to considering the business objectives set forth in the Statement, we may consider other issues that impact our customers and employees in our contribution review process, although we address those issues more directly through our direct involvement in the communities we serve.</w:t>
            </w:r>
            <w:r>
              <w:rPr/>
              <w:t xml:space="preserve"> </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rFonts w:ascii="Arial" w:hAnsi="Arial"/>
                <w:sz w:val="20"/>
              </w:rPr>
              <w:t>With respect to Board oversight, in alignment with the CPA-Zicklin Model Code of Conduct for Corporate Political Spending, we added that the Board’s oversight of political, lobbying and trade association activities includes consideration of both the benefits of and risks posed by these activities.</w:t>
            </w:r>
            <w:r>
              <w:rPr/>
              <w:t xml:space="preserve"> </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rFonts w:ascii="Arial" w:hAnsi="Arial"/>
                <w:sz w:val="20"/>
              </w:rPr>
              <w:t>With respect to trade association activities, we noted that, while some misalignment is an unavoidable consequence of any collective endeavor, we regularly monitor the positions of these organizations to assess alignment with our own and, if there is a significant inconsistency on a core priority of our company, we convey our concerns to the association.</w:t>
            </w:r>
            <w:r>
              <w:rPr/>
              <w:t xml:space="preserve"> </w:t>
            </w:r>
          </w:p>
        </w:tc>
      </w:tr>
    </w:tbl>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rFonts w:ascii="Arial" w:hAnsi="Arial"/>
                <w:sz w:val="20"/>
              </w:rPr>
            </w:pPr>
            <w:r>
              <w:rPr>
                <w:rFonts w:ascii="Arial" w:hAnsi="Arial"/>
                <w:sz w:val="20"/>
              </w:rPr>
              <w:t>All corporate and PAC political contribution requests are thoughtfully and rigorously reviewed and approved by a member of our PAC Board and the Vice President of Political Affairs and are reviewed by inside and/or outside legal counsel, as appropriate. Additionally, all contributions to 501(c)(4) organizations are carefully reviewed and approved by the Vice President of Political Affairs and are reviewed by inside and/or outside legal counsel, as appropriate. Further, participation in trade associations is subject to approval by our Chief Legal Officer.</w:t>
            </w:r>
          </w:p>
        </w:tc>
      </w:tr>
    </w:tbl>
    <w:p>
      <w:pPr>
        <w:pStyle w:val="TextBody"/>
        <w:spacing w:before="240" w:after="283"/>
        <w:jc w:val="center"/>
        <w:rPr>
          <w:rFonts w:ascii="Arial" w:hAnsi="Arial"/>
          <w:b/>
          <w:sz w:val="20"/>
        </w:rPr>
      </w:pPr>
      <w:r>
        <w:rPr>
          <w:rFonts w:ascii="Arial" w:hAnsi="Arial"/>
          <w:b/>
          <w:sz w:val="20"/>
        </w:rPr>
        <w:t>*******</w:t>
      </w:r>
    </w:p>
    <w:p>
      <w:pPr>
        <w:pStyle w:val="TextBody"/>
        <w:jc w:val="left"/>
        <w:rPr/>
      </w:pPr>
      <w:r>
        <w:rPr>
          <w:rStyle w:val="StrongEmphasis"/>
          <w:rFonts w:ascii="Arial" w:hAnsi="Arial"/>
          <w:sz w:val="20"/>
        </w:rPr>
        <w:t>For the reasons set forth above, our Board unanimously recommends AGAINST this proposal.</w:t>
      </w:r>
    </w:p>
    <w:p>
      <w:pPr>
        <w:pStyle w:val="TextBody"/>
        <w:spacing w:before="0" w:after="0"/>
        <w:rPr/>
      </w:pPr>
      <w:r>
        <w:rPr/>
      </w:r>
    </w:p>
    <w:tbl>
      <w:tblPr>
        <w:tblW w:w="2200" w:type="dxa"/>
        <w:jc w:val="left"/>
        <w:tblInd w:w="0" w:type="dxa"/>
        <w:tblCellMar>
          <w:top w:w="0" w:type="dxa"/>
          <w:left w:w="0" w:type="dxa"/>
          <w:bottom w:w="0" w:type="dxa"/>
          <w:right w:w="0" w:type="dxa"/>
        </w:tblCellMar>
      </w:tblPr>
      <w:tblGrid>
        <w:gridCol w:w="1580"/>
        <w:gridCol w:w="620"/>
      </w:tblGrid>
      <w:tr>
        <w:trPr/>
        <w:tc>
          <w:tcPr>
            <w:tcW w:w="1580" w:type="dxa"/>
            <w:tcBorders/>
            <w:shd w:fill="auto" w:val="clear"/>
            <w:vAlign w:val="center"/>
          </w:tcPr>
          <w:p>
            <w:pPr>
              <w:pStyle w:val="TableContents"/>
              <w:spacing w:before="0" w:after="283"/>
              <w:jc w:val="right"/>
              <w:rPr>
                <w:rFonts w:ascii="Arial" w:hAnsi="Arial"/>
                <w:sz w:val="15"/>
              </w:rPr>
            </w:pPr>
            <w:r>
              <w:rPr>
                <w:rFonts w:ascii="Arial" w:hAnsi="Arial"/>
                <w:sz w:val="15"/>
              </w:rPr>
              <w:t>2023 Proxy Statement</w:t>
            </w:r>
          </w:p>
        </w:tc>
        <w:tc>
          <w:tcPr>
            <w:tcW w:w="620" w:type="dxa"/>
            <w:tcBorders/>
            <w:shd w:fill="auto" w:val="clear"/>
            <w:vAlign w:val="center"/>
          </w:tcPr>
          <w:p>
            <w:pPr>
              <w:pStyle w:val="TableContents"/>
              <w:spacing w:before="0" w:after="283"/>
              <w:jc w:val="right"/>
              <w:rPr/>
            </w:pPr>
            <w:r>
              <w:rPr/>
              <w:t>       </w:t>
            </w:r>
            <w:r>
              <w:rPr>
                <w:rFonts w:ascii="Arial" w:hAnsi="Arial"/>
                <w:b/>
                <w:sz w:val="15"/>
              </w:rPr>
              <w:t>81</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10205" w:type="dxa"/>
        <w:jc w:val="left"/>
        <w:tblInd w:w="0" w:type="dxa"/>
        <w:tblCellMar>
          <w:top w:w="28" w:type="dxa"/>
          <w:left w:w="28" w:type="dxa"/>
          <w:bottom w:w="0" w:type="dxa"/>
          <w:right w:w="0" w:type="dxa"/>
        </w:tblCellMar>
      </w:tblPr>
      <w:tblGrid>
        <w:gridCol w:w="120"/>
        <w:gridCol w:w="727"/>
        <w:gridCol w:w="695"/>
        <w:gridCol w:w="326"/>
        <w:gridCol w:w="8215"/>
        <w:gridCol w:w="122"/>
      </w:tblGrid>
      <w:tr>
        <w:trPr/>
        <w:tc>
          <w:tcPr>
            <w:tcW w:w="120" w:type="dxa"/>
            <w:tcBorders>
              <w:top w:val="single" w:sz="8" w:space="0" w:color="959595"/>
              <w:left w:val="single" w:sz="8" w:space="0" w:color="959595"/>
            </w:tcBorders>
            <w:shd w:fill="auto" w:val="clear"/>
            <w:vAlign w:val="center"/>
          </w:tcPr>
          <w:p>
            <w:pPr>
              <w:pStyle w:val="TableContents"/>
              <w:spacing w:before="0" w:after="283"/>
              <w:jc w:val="left"/>
              <w:rPr/>
            </w:pPr>
            <w:r>
              <w:rPr/>
              <w:t>  </w:t>
            </w:r>
          </w:p>
        </w:tc>
        <w:tc>
          <w:tcPr>
            <w:tcW w:w="727" w:type="dxa"/>
            <w:tcBorders>
              <w:top w:val="single" w:sz="8" w:space="0" w:color="959595"/>
            </w:tcBorders>
            <w:shd w:fill="auto" w:val="clear"/>
            <w:tcMar>
              <w:left w:w="0" w:type="dxa"/>
            </w:tcMar>
            <w:vAlign w:val="center"/>
          </w:tcPr>
          <w:p>
            <w:pPr>
              <w:pStyle w:val="TableContents"/>
              <w:spacing w:before="0" w:after="283"/>
              <w:rPr>
                <w:sz w:val="4"/>
                <w:szCs w:val="4"/>
              </w:rPr>
            </w:pPr>
            <w:r>
              <w:rPr>
                <w:sz w:val="4"/>
                <w:szCs w:val="4"/>
              </w:rPr>
            </w:r>
          </w:p>
        </w:tc>
        <w:tc>
          <w:tcPr>
            <w:tcW w:w="695" w:type="dxa"/>
            <w:tcBorders>
              <w:top w:val="single" w:sz="8" w:space="0" w:color="959595"/>
            </w:tcBorders>
            <w:shd w:fill="auto" w:val="clear"/>
            <w:tcMar>
              <w:left w:w="0" w:type="dxa"/>
            </w:tcMar>
            <w:vAlign w:val="center"/>
          </w:tcPr>
          <w:p>
            <w:pPr>
              <w:pStyle w:val="TableContents"/>
              <w:spacing w:before="0" w:after="283"/>
              <w:rPr/>
            </w:pPr>
            <w:r>
              <w:rPr/>
              <w:t> </w:t>
            </w:r>
          </w:p>
        </w:tc>
        <w:tc>
          <w:tcPr>
            <w:tcW w:w="326" w:type="dxa"/>
            <w:tcBorders>
              <w:top w:val="single" w:sz="8" w:space="0" w:color="959595"/>
            </w:tcBorders>
            <w:shd w:fill="auto" w:val="clear"/>
            <w:tcMar>
              <w:left w:w="0" w:type="dxa"/>
            </w:tcMar>
            <w:vAlign w:val="center"/>
          </w:tcPr>
          <w:p>
            <w:pPr>
              <w:pStyle w:val="TableContents"/>
              <w:spacing w:before="0" w:after="283"/>
              <w:rPr/>
            </w:pPr>
            <w:r>
              <w:rPr/>
              <w:t> </w:t>
            </w:r>
          </w:p>
        </w:tc>
        <w:tc>
          <w:tcPr>
            <w:tcW w:w="8215" w:type="dxa"/>
            <w:tcBorders>
              <w:top w:val="single" w:sz="8" w:space="0" w:color="959595"/>
            </w:tcBorders>
            <w:shd w:fill="auto" w:val="clear"/>
            <w:tcMar>
              <w:left w:w="0" w:type="dxa"/>
            </w:tcMar>
            <w:vAlign w:val="center"/>
          </w:tcPr>
          <w:p>
            <w:pPr>
              <w:pStyle w:val="TableContents"/>
              <w:spacing w:before="0" w:after="283"/>
              <w:jc w:val="left"/>
              <w:rPr/>
            </w:pPr>
            <w:r>
              <w:rPr/>
              <w:t>                              </w:t>
            </w:r>
          </w:p>
        </w:tc>
        <w:tc>
          <w:tcPr>
            <w:tcW w:w="122" w:type="dxa"/>
            <w:tcBorders>
              <w:top w:val="single" w:sz="8" w:space="0" w:color="959595"/>
              <w:right w:val="single" w:sz="8" w:space="0" w:color="959595"/>
            </w:tcBorders>
            <w:shd w:fill="auto" w:val="clear"/>
            <w:tcMar>
              <w:left w:w="0" w:type="dxa"/>
              <w:right w:w="28" w:type="dxa"/>
            </w:tcMar>
            <w:vAlign w:val="center"/>
          </w:tcPr>
          <w:p>
            <w:pPr>
              <w:pStyle w:val="TableContents"/>
              <w:spacing w:before="0" w:after="283"/>
              <w:jc w:val="left"/>
              <w:rPr/>
            </w:pPr>
            <w:r>
              <w:rPr/>
              <w:t>  </w:t>
            </w:r>
          </w:p>
        </w:tc>
      </w:tr>
      <w:tr>
        <w:trPr/>
        <w:tc>
          <w:tcPr>
            <w:tcW w:w="120" w:type="dxa"/>
            <w:tcBorders>
              <w:left w:val="single" w:sz="8" w:space="0" w:color="959595"/>
            </w:tcBorders>
            <w:shd w:fill="auto" w:val="clear"/>
            <w:tcMar>
              <w:top w:w="0" w:type="dxa"/>
            </w:tcMar>
            <w:vAlign w:val="center"/>
          </w:tcPr>
          <w:p>
            <w:pPr>
              <w:pStyle w:val="TableContents"/>
              <w:spacing w:before="0" w:after="283"/>
              <w:rPr>
                <w:sz w:val="4"/>
                <w:szCs w:val="4"/>
              </w:rPr>
            </w:pPr>
            <w:r>
              <w:rPr>
                <w:sz w:val="4"/>
                <w:szCs w:val="4"/>
              </w:rPr>
            </w:r>
          </w:p>
        </w:tc>
        <w:tc>
          <w:tcPr>
            <w:tcW w:w="1422" w:type="dxa"/>
            <w:gridSpan w:val="2"/>
            <w:tcBorders/>
            <w:shd w:fill="ECF6FA" w:val="clear"/>
            <w:tcMar>
              <w:top w:w="0" w:type="dxa"/>
              <w:left w:w="0" w:type="dxa"/>
            </w:tcMar>
            <w:vAlign w:val="center"/>
          </w:tcPr>
          <w:p>
            <w:pPr>
              <w:pStyle w:val="TableContents"/>
              <w:spacing w:before="0" w:after="283"/>
              <w:jc w:val="left"/>
              <w:rPr>
                <w:rFonts w:ascii="Arial" w:hAnsi="Arial"/>
                <w:color w:val="00A1E0"/>
                <w:sz w:val="24"/>
              </w:rPr>
            </w:pPr>
            <w:r>
              <w:rPr>
                <w:rFonts w:ascii="Arial" w:hAnsi="Arial"/>
                <w:color w:val="00A1E0"/>
                <w:sz w:val="24"/>
              </w:rPr>
              <w:t>Proposal 11:</w:t>
            </w:r>
          </w:p>
        </w:tc>
        <w:tc>
          <w:tcPr>
            <w:tcW w:w="326" w:type="dxa"/>
            <w:tcBorders/>
            <w:shd w:fill="ECF6FA" w:val="clear"/>
            <w:tcMar>
              <w:top w:w="0" w:type="dxa"/>
              <w:left w:w="0" w:type="dxa"/>
            </w:tcMar>
            <w:vAlign w:val="center"/>
          </w:tcPr>
          <w:p>
            <w:pPr>
              <w:pStyle w:val="TableContents"/>
              <w:spacing w:before="0" w:after="283"/>
              <w:rPr/>
            </w:pPr>
            <w:r>
              <w:rPr/>
              <w:t>     </w:t>
            </w:r>
          </w:p>
        </w:tc>
        <w:tc>
          <w:tcPr>
            <w:tcW w:w="8215" w:type="dxa"/>
            <w:tcBorders/>
            <w:shd w:fill="ECF6FA" w:val="clear"/>
            <w:tcMar>
              <w:top w:w="0" w:type="dxa"/>
              <w:left w:w="0" w:type="dxa"/>
            </w:tcMar>
            <w:vAlign w:val="center"/>
          </w:tcPr>
          <w:p>
            <w:pPr>
              <w:pStyle w:val="TableContents"/>
              <w:spacing w:before="0" w:after="283"/>
              <w:jc w:val="left"/>
              <w:rPr>
                <w:rFonts w:ascii="Arial" w:hAnsi="Arial"/>
                <w:color w:val="00A1E0"/>
                <w:sz w:val="24"/>
              </w:rPr>
            </w:pPr>
            <w:r>
              <w:rPr>
                <w:rFonts w:ascii="Arial" w:hAnsi="Arial"/>
                <w:color w:val="00A1E0"/>
                <w:sz w:val="24"/>
              </w:rPr>
              <w:t>SHAREHOLDER PROPOSAL TO REPORT ON BUSINESS IN CHINA</w:t>
            </w:r>
          </w:p>
        </w:tc>
        <w:tc>
          <w:tcPr>
            <w:tcW w:w="122" w:type="dxa"/>
            <w:tcBorders>
              <w:right w:val="single" w:sz="8" w:space="0" w:color="959595"/>
            </w:tcBorders>
            <w:shd w:fill="auto" w:val="clear"/>
            <w:tcMar>
              <w:top w:w="0" w:type="dxa"/>
              <w:left w:w="0" w:type="dxa"/>
              <w:right w:w="28" w:type="dxa"/>
            </w:tcMar>
            <w:vAlign w:val="center"/>
          </w:tcPr>
          <w:p>
            <w:pPr>
              <w:pStyle w:val="TableContents"/>
              <w:spacing w:before="0" w:after="283"/>
              <w:rPr>
                <w:sz w:val="4"/>
                <w:szCs w:val="4"/>
              </w:rPr>
            </w:pPr>
            <w:r>
              <w:rPr>
                <w:sz w:val="4"/>
                <w:szCs w:val="4"/>
              </w:rPr>
            </w:r>
          </w:p>
        </w:tc>
      </w:tr>
      <w:tr>
        <w:trPr/>
        <w:tc>
          <w:tcPr>
            <w:tcW w:w="120" w:type="dxa"/>
            <w:tcBorders>
              <w:left w:val="single" w:sz="8" w:space="0" w:color="959595"/>
            </w:tcBorders>
            <w:shd w:fill="auto" w:val="clear"/>
            <w:tcMar>
              <w:top w:w="0" w:type="dxa"/>
            </w:tcMar>
            <w:vAlign w:val="center"/>
          </w:tcPr>
          <w:p>
            <w:pPr>
              <w:pStyle w:val="TableContents"/>
              <w:spacing w:before="0" w:after="283"/>
              <w:jc w:val="left"/>
              <w:rPr/>
            </w:pPr>
            <w:r>
              <w:rPr/>
              <w:t> </w:t>
            </w:r>
          </w:p>
        </w:tc>
        <w:tc>
          <w:tcPr>
            <w:tcW w:w="727" w:type="dxa"/>
            <w:tcBorders/>
            <w:shd w:fill="auto" w:val="clear"/>
            <w:tcMar>
              <w:top w:w="0" w:type="dxa"/>
              <w:left w:w="0" w:type="dxa"/>
            </w:tcMar>
            <w:vAlign w:val="center"/>
          </w:tcPr>
          <w:p>
            <w:pPr>
              <w:pStyle w:val="TableContents"/>
              <w:spacing w:before="0" w:after="283"/>
              <w:rPr>
                <w:sz w:val="4"/>
                <w:szCs w:val="4"/>
              </w:rPr>
            </w:pPr>
            <w:r>
              <w:rPr>
                <w:sz w:val="4"/>
                <w:szCs w:val="4"/>
              </w:rPr>
            </w:r>
          </w:p>
        </w:tc>
        <w:tc>
          <w:tcPr>
            <w:tcW w:w="695" w:type="dxa"/>
            <w:tcBorders/>
            <w:shd w:fill="auto" w:val="clear"/>
            <w:tcMar>
              <w:top w:w="0" w:type="dxa"/>
              <w:left w:w="0" w:type="dxa"/>
            </w:tcMar>
            <w:vAlign w:val="center"/>
          </w:tcPr>
          <w:p>
            <w:pPr>
              <w:pStyle w:val="TableContents"/>
              <w:spacing w:before="0" w:after="283"/>
              <w:rPr/>
            </w:pPr>
            <w:r>
              <w:rPr/>
              <w:t>         </w:t>
            </w:r>
          </w:p>
        </w:tc>
        <w:tc>
          <w:tcPr>
            <w:tcW w:w="326" w:type="dxa"/>
            <w:tcBorders/>
            <w:shd w:fill="auto" w:val="clear"/>
            <w:tcMar>
              <w:top w:w="0" w:type="dxa"/>
              <w:left w:w="0" w:type="dxa"/>
            </w:tcMar>
            <w:vAlign w:val="center"/>
          </w:tcPr>
          <w:p>
            <w:pPr>
              <w:pStyle w:val="TableContents"/>
              <w:spacing w:before="0" w:after="283"/>
              <w:rPr/>
            </w:pPr>
            <w:r>
              <w:rPr/>
              <w:t> </w:t>
            </w:r>
          </w:p>
        </w:tc>
        <w:tc>
          <w:tcPr>
            <w:tcW w:w="8215" w:type="dxa"/>
            <w:tcBorders/>
            <w:shd w:fill="auto" w:val="clear"/>
            <w:tcMar>
              <w:top w:w="0" w:type="dxa"/>
              <w:left w:w="0" w:type="dxa"/>
            </w:tcMar>
            <w:vAlign w:val="center"/>
          </w:tcPr>
          <w:p>
            <w:pPr>
              <w:pStyle w:val="TableContents"/>
              <w:spacing w:before="0" w:after="283"/>
              <w:rPr>
                <w:sz w:val="4"/>
                <w:szCs w:val="4"/>
              </w:rPr>
            </w:pPr>
            <w:r>
              <w:rPr>
                <w:sz w:val="4"/>
                <w:szCs w:val="4"/>
              </w:rPr>
            </w:r>
          </w:p>
        </w:tc>
        <w:tc>
          <w:tcPr>
            <w:tcW w:w="122" w:type="dxa"/>
            <w:tcBorders>
              <w:right w:val="single" w:sz="8" w:space="0" w:color="959595"/>
            </w:tcBorders>
            <w:shd w:fill="auto" w:val="clear"/>
            <w:tcMar>
              <w:top w:w="0" w:type="dxa"/>
              <w:left w:w="0" w:type="dxa"/>
              <w:right w:w="28" w:type="dxa"/>
            </w:tcMar>
            <w:vAlign w:val="center"/>
          </w:tcPr>
          <w:p>
            <w:pPr>
              <w:pStyle w:val="TableContents"/>
              <w:spacing w:before="0" w:after="283"/>
              <w:rPr>
                <w:sz w:val="4"/>
                <w:szCs w:val="4"/>
              </w:rPr>
            </w:pPr>
            <w:r>
              <w:rPr>
                <w:sz w:val="4"/>
                <w:szCs w:val="4"/>
              </w:rPr>
            </w:r>
          </w:p>
        </w:tc>
      </w:tr>
      <w:tr>
        <w:trPr/>
        <w:tc>
          <w:tcPr>
            <w:tcW w:w="120" w:type="dxa"/>
            <w:tcBorders>
              <w:left w:val="single" w:sz="8" w:space="0" w:color="959595"/>
            </w:tcBorders>
            <w:shd w:fill="auto" w:val="clear"/>
            <w:tcMar>
              <w:top w:w="0" w:type="dxa"/>
            </w:tcMar>
            <w:vAlign w:val="center"/>
          </w:tcPr>
          <w:p>
            <w:pPr>
              <w:pStyle w:val="TableContents"/>
              <w:spacing w:before="0" w:after="283"/>
              <w:rPr>
                <w:sz w:val="4"/>
                <w:szCs w:val="4"/>
              </w:rPr>
            </w:pPr>
            <w:r>
              <w:rPr>
                <w:sz w:val="4"/>
                <w:szCs w:val="4"/>
              </w:rPr>
            </w:r>
          </w:p>
        </w:tc>
        <w:tc>
          <w:tcPr>
            <w:tcW w:w="727" w:type="dxa"/>
            <w:tcBorders/>
            <w:shd w:fill="auto" w:val="clear"/>
            <w:tcMar>
              <w:top w:w="0" w:type="dxa"/>
              <w:left w:w="0" w:type="dxa"/>
            </w:tcMar>
            <w:vAlign w:val="center"/>
          </w:tcPr>
          <w:p>
            <w:pPr>
              <w:pStyle w:val="TableContents"/>
              <w:spacing w:before="0" w:after="283"/>
              <w:jc w:val="left"/>
              <w:rPr/>
            </w:pPr>
            <w:r>
              <w:rPr/>
              <w:drawing>
                <wp:inline distT="0" distB="0" distL="0" distR="0">
                  <wp:extent cx="390525" cy="266700"/>
                  <wp:effectExtent l="0" t="0" r="0" b="0"/>
                  <wp:docPr id="214"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38" descr=""/>
                          <pic:cNvPicPr>
                            <a:picLocks noChangeAspect="1" noChangeArrowheads="1"/>
                          </pic:cNvPicPr>
                        </pic:nvPicPr>
                        <pic:blipFill>
                          <a:blip r:embed="rId139"/>
                          <a:srcRect l="-2713" t="-3921" r="-2713" b="-3921"/>
                          <a:stretch>
                            <a:fillRect/>
                          </a:stretch>
                        </pic:blipFill>
                        <pic:spPr bwMode="auto">
                          <a:xfrm>
                            <a:off x="0" y="0"/>
                            <a:ext cx="390525" cy="266700"/>
                          </a:xfrm>
                          <a:prstGeom prst="rect">
                            <a:avLst/>
                          </a:prstGeom>
                          <a:ln w="635">
                            <a:solidFill>
                              <a:srgbClr val="000000"/>
                            </a:solidFill>
                          </a:ln>
                        </pic:spPr>
                      </pic:pic>
                    </a:graphicData>
                  </a:graphic>
                </wp:inline>
              </w:drawing>
            </w:r>
          </w:p>
        </w:tc>
        <w:tc>
          <w:tcPr>
            <w:tcW w:w="9236" w:type="dxa"/>
            <w:gridSpan w:val="3"/>
            <w:tcBorders/>
            <w:shd w:fill="auto" w:val="clear"/>
            <w:tcMar>
              <w:top w:w="0" w:type="dxa"/>
              <w:left w:w="0" w:type="dxa"/>
            </w:tcMar>
            <w:vAlign w:val="center"/>
          </w:tcPr>
          <w:p>
            <w:pPr>
              <w:pStyle w:val="TableContents"/>
              <w:spacing w:before="0" w:after="0"/>
              <w:jc w:val="left"/>
              <w:rPr>
                <w:rFonts w:ascii="Arial" w:hAnsi="Arial"/>
                <w:b/>
                <w:sz w:val="20"/>
              </w:rPr>
            </w:pPr>
            <w:r>
              <w:rPr>
                <w:rFonts w:ascii="Arial" w:hAnsi="Arial"/>
                <w:b/>
                <w:sz w:val="20"/>
              </w:rPr>
              <w:t>Our Board unanimously recommends that shareholders vote “AGAINST” this shareholder proposal.</w:t>
            </w:r>
          </w:p>
        </w:tc>
        <w:tc>
          <w:tcPr>
            <w:tcW w:w="122" w:type="dxa"/>
            <w:tcBorders>
              <w:right w:val="single" w:sz="8" w:space="0" w:color="959595"/>
            </w:tcBorders>
            <w:shd w:fill="auto" w:val="clear"/>
            <w:tcMar>
              <w:top w:w="0" w:type="dxa"/>
              <w:left w:w="0" w:type="dxa"/>
              <w:right w:w="28" w:type="dxa"/>
            </w:tcMar>
            <w:vAlign w:val="center"/>
          </w:tcPr>
          <w:p>
            <w:pPr>
              <w:pStyle w:val="TableContents"/>
              <w:spacing w:before="0" w:after="283"/>
              <w:rPr>
                <w:sz w:val="4"/>
                <w:szCs w:val="4"/>
              </w:rPr>
            </w:pPr>
            <w:r>
              <w:rPr>
                <w:sz w:val="4"/>
                <w:szCs w:val="4"/>
              </w:rPr>
            </w:r>
          </w:p>
        </w:tc>
      </w:tr>
      <w:tr>
        <w:trPr/>
        <w:tc>
          <w:tcPr>
            <w:tcW w:w="120" w:type="dxa"/>
            <w:tcBorders>
              <w:left w:val="single" w:sz="8" w:space="0" w:color="959595"/>
              <w:bottom w:val="single" w:sz="8" w:space="0" w:color="959595"/>
            </w:tcBorders>
            <w:shd w:fill="auto" w:val="clear"/>
            <w:tcMar>
              <w:top w:w="0" w:type="dxa"/>
              <w:bottom w:w="28" w:type="dxa"/>
            </w:tcMar>
            <w:vAlign w:val="center"/>
          </w:tcPr>
          <w:p>
            <w:pPr>
              <w:pStyle w:val="TableContents"/>
              <w:spacing w:before="0" w:after="283"/>
              <w:jc w:val="left"/>
              <w:rPr/>
            </w:pPr>
            <w:r>
              <w:rPr/>
              <w:t> </w:t>
            </w:r>
          </w:p>
        </w:tc>
        <w:tc>
          <w:tcPr>
            <w:tcW w:w="727" w:type="dxa"/>
            <w:tcBorders>
              <w:bottom w:val="single" w:sz="8" w:space="0" w:color="959595"/>
            </w:tcBorders>
            <w:shd w:fill="auto" w:val="clear"/>
            <w:tcMar>
              <w:top w:w="0" w:type="dxa"/>
              <w:left w:w="0" w:type="dxa"/>
              <w:bottom w:w="28" w:type="dxa"/>
            </w:tcMar>
            <w:vAlign w:val="center"/>
          </w:tcPr>
          <w:p>
            <w:pPr>
              <w:pStyle w:val="TableContents"/>
              <w:spacing w:before="0" w:after="283"/>
              <w:rPr>
                <w:sz w:val="4"/>
                <w:szCs w:val="4"/>
              </w:rPr>
            </w:pPr>
            <w:r>
              <w:rPr>
                <w:sz w:val="4"/>
                <w:szCs w:val="4"/>
              </w:rPr>
            </w:r>
          </w:p>
        </w:tc>
        <w:tc>
          <w:tcPr>
            <w:tcW w:w="695" w:type="dxa"/>
            <w:tcBorders>
              <w:bottom w:val="single" w:sz="8" w:space="0" w:color="959595"/>
            </w:tcBorders>
            <w:shd w:fill="auto" w:val="clear"/>
            <w:tcMar>
              <w:top w:w="0" w:type="dxa"/>
              <w:left w:w="0" w:type="dxa"/>
              <w:bottom w:w="28" w:type="dxa"/>
            </w:tcMar>
            <w:vAlign w:val="center"/>
          </w:tcPr>
          <w:p>
            <w:pPr>
              <w:pStyle w:val="TableContents"/>
              <w:spacing w:before="0" w:after="283"/>
              <w:rPr/>
            </w:pPr>
            <w:r>
              <w:rPr/>
              <w:t> </w:t>
            </w:r>
          </w:p>
        </w:tc>
        <w:tc>
          <w:tcPr>
            <w:tcW w:w="326" w:type="dxa"/>
            <w:tcBorders>
              <w:bottom w:val="single" w:sz="8" w:space="0" w:color="959595"/>
            </w:tcBorders>
            <w:shd w:fill="auto" w:val="clear"/>
            <w:tcMar>
              <w:top w:w="0" w:type="dxa"/>
              <w:left w:w="0" w:type="dxa"/>
              <w:bottom w:w="28" w:type="dxa"/>
            </w:tcMar>
            <w:vAlign w:val="center"/>
          </w:tcPr>
          <w:p>
            <w:pPr>
              <w:pStyle w:val="TableContents"/>
              <w:spacing w:before="0" w:after="283"/>
              <w:rPr/>
            </w:pPr>
            <w:r>
              <w:rPr/>
              <w:t> </w:t>
            </w:r>
          </w:p>
        </w:tc>
        <w:tc>
          <w:tcPr>
            <w:tcW w:w="8215" w:type="dxa"/>
            <w:tcBorders>
              <w:bottom w:val="single" w:sz="8" w:space="0" w:color="959595"/>
            </w:tcBorders>
            <w:shd w:fill="auto" w:val="clear"/>
            <w:tcMar>
              <w:top w:w="0" w:type="dxa"/>
              <w:left w:w="0" w:type="dxa"/>
              <w:bottom w:w="28" w:type="dxa"/>
            </w:tcMar>
            <w:vAlign w:val="center"/>
          </w:tcPr>
          <w:p>
            <w:pPr>
              <w:pStyle w:val="TableContents"/>
              <w:spacing w:before="0" w:after="283"/>
              <w:rPr>
                <w:sz w:val="4"/>
                <w:szCs w:val="4"/>
              </w:rPr>
            </w:pPr>
            <w:r>
              <w:rPr>
                <w:sz w:val="4"/>
                <w:szCs w:val="4"/>
              </w:rPr>
            </w:r>
          </w:p>
        </w:tc>
        <w:tc>
          <w:tcPr>
            <w:tcW w:w="122" w:type="dxa"/>
            <w:tcBorders>
              <w:bottom w:val="single" w:sz="8" w:space="0" w:color="959595"/>
              <w:right w:val="single" w:sz="8" w:space="0" w:color="959595"/>
            </w:tcBorders>
            <w:shd w:fill="auto" w:val="clear"/>
            <w:tcMar>
              <w:top w:w="0" w:type="dxa"/>
              <w:left w:w="0" w:type="dxa"/>
              <w:bottom w:w="28" w:type="dxa"/>
              <w:right w:w="28" w:type="dxa"/>
            </w:tcMar>
            <w:vAlign w:val="center"/>
          </w:tcPr>
          <w:p>
            <w:pPr>
              <w:pStyle w:val="TableContents"/>
              <w:spacing w:before="0" w:after="283"/>
              <w:rPr>
                <w:sz w:val="4"/>
                <w:szCs w:val="4"/>
              </w:rPr>
            </w:pPr>
            <w:r>
              <w:rPr>
                <w:sz w:val="4"/>
                <w:szCs w:val="4"/>
              </w:rPr>
            </w:r>
          </w:p>
        </w:tc>
      </w:tr>
    </w:tbl>
    <w:p>
      <w:pPr>
        <w:pStyle w:val="TextBody"/>
        <w:spacing w:before="240" w:after="283"/>
        <w:jc w:val="left"/>
        <w:rPr>
          <w:rFonts w:ascii="Arial" w:hAnsi="Arial"/>
          <w:sz w:val="20"/>
        </w:rPr>
      </w:pPr>
      <w:r>
        <w:rPr>
          <w:rFonts w:ascii="Arial" w:hAnsi="Arial"/>
          <w:sz w:val="20"/>
        </w:rPr>
        <w:t>The following proposal and supporting statement were submitted by the National Legal and Policy Center, 107 Park Washington Court, Falls Church, VA 22046.</w:t>
      </w:r>
    </w:p>
    <w:p>
      <w:pPr>
        <w:pStyle w:val="TextBody"/>
        <w:jc w:val="left"/>
        <w:rPr>
          <w:rFonts w:ascii="Arial" w:hAnsi="Arial"/>
          <w:color w:val="00A1E0"/>
          <w:sz w:val="28"/>
        </w:rPr>
      </w:pPr>
      <w:r>
        <w:rPr>
          <w:rFonts w:ascii="Arial" w:hAnsi="Arial"/>
          <w:color w:val="00A1E0"/>
          <w:sz w:val="28"/>
        </w:rPr>
        <w:t>Supporting Statement</w:t>
      </w:r>
    </w:p>
    <w:p>
      <w:pPr>
        <w:pStyle w:val="TextBody"/>
        <w:jc w:val="left"/>
        <w:rPr>
          <w:rFonts w:ascii="Arial" w:hAnsi="Arial"/>
          <w:sz w:val="20"/>
        </w:rPr>
      </w:pPr>
      <w:r>
        <w:rPr>
          <w:rFonts w:ascii="Arial" w:hAnsi="Arial"/>
          <w:sz w:val="20"/>
        </w:rPr>
        <w:t>Communist China Risk Audit</w:t>
      </w:r>
    </w:p>
    <w:p>
      <w:pPr>
        <w:pStyle w:val="TextBody"/>
        <w:jc w:val="left"/>
        <w:rPr/>
      </w:pPr>
      <w:r>
        <w:rPr>
          <w:rStyle w:val="StrongEmphasis"/>
          <w:rFonts w:ascii="Arial" w:hAnsi="Arial"/>
          <w:sz w:val="20"/>
        </w:rPr>
        <w:t>RESOLVED:</w:t>
      </w:r>
    </w:p>
    <w:p>
      <w:pPr>
        <w:pStyle w:val="TextBody"/>
        <w:jc w:val="left"/>
        <w:rPr>
          <w:rFonts w:ascii="Arial" w:hAnsi="Arial"/>
          <w:sz w:val="20"/>
        </w:rPr>
      </w:pPr>
      <w:r>
        <w:rPr>
          <w:rFonts w:ascii="Arial" w:hAnsi="Arial"/>
          <w:sz w:val="20"/>
        </w:rPr>
        <w:t>Shareholders request that, beginning in 2023, Comcast Corporation report annually to shareholders on the nature and extent to which corporate operations depend on, and are vulnerable to, Communist China, which is a serial human rights violator, a geopolitical threat, and an adversary to the United States. The report should exclude confidential business information but provide shareholders with a sense of the Company’s reliance on activities conducted within, and under control of, the Communist Chinese government.</w:t>
      </w:r>
    </w:p>
    <w:p>
      <w:pPr>
        <w:pStyle w:val="TextBody"/>
        <w:jc w:val="left"/>
        <w:rPr/>
      </w:pPr>
      <w:r>
        <w:rPr>
          <w:rStyle w:val="StrongEmphasis"/>
          <w:rFonts w:ascii="Arial" w:hAnsi="Arial"/>
          <w:sz w:val="20"/>
        </w:rPr>
        <w:t>Supporting Statement:</w:t>
      </w:r>
    </w:p>
    <w:p>
      <w:pPr>
        <w:pStyle w:val="TextBody"/>
        <w:jc w:val="left"/>
        <w:rPr>
          <w:rFonts w:ascii="Arial" w:hAnsi="Arial"/>
          <w:sz w:val="20"/>
        </w:rPr>
      </w:pPr>
      <w:r>
        <w:rPr>
          <w:rFonts w:ascii="Arial" w:hAnsi="Arial"/>
          <w:sz w:val="20"/>
        </w:rPr>
        <w:t>CNN reported</w:t>
      </w:r>
      <w:r>
        <w:rPr>
          <w:rFonts w:ascii="Arial" w:hAnsi="Arial"/>
          <w:position w:val="7"/>
          <w:sz w:val="16"/>
          <w:sz w:val="20"/>
        </w:rPr>
        <w:t>1</w:t>
      </w:r>
      <w:r>
        <w:rPr>
          <w:rFonts w:ascii="Arial" w:hAnsi="Arial"/>
          <w:sz w:val="20"/>
        </w:rPr>
        <w:t xml:space="preserve"> in 2021 that “Beijing has made it clear that multinational corporations have to follow its rules if they wish to operate in the country, and gaining favor can require ... abiding by restrictive regulations ... Many companies have traditionally been willing to play along, given how enticing the giant economy is as a market.”</w:t>
      </w:r>
    </w:p>
    <w:p>
      <w:pPr>
        <w:pStyle w:val="TextBody"/>
        <w:jc w:val="left"/>
        <w:rPr>
          <w:rFonts w:ascii="Arial" w:hAnsi="Arial"/>
          <w:sz w:val="20"/>
        </w:rPr>
      </w:pPr>
      <w:r>
        <w:rPr>
          <w:rFonts w:ascii="Arial" w:hAnsi="Arial"/>
          <w:sz w:val="20"/>
        </w:rPr>
        <w:t>As one example of Comcast’s exposure in China, subsidiary NBCUniversal opened Phase 1 of the Universal Beijing Resort in September 2021, after winning approval from the communist government more than a decade earlier. CEO Brian Roberts expected the project to generate more than $1 billion per year in revenue for the Company.</w:t>
      </w:r>
      <w:r>
        <w:rPr>
          <w:rFonts w:ascii="Arial" w:hAnsi="Arial"/>
          <w:position w:val="7"/>
          <w:sz w:val="16"/>
          <w:sz w:val="20"/>
        </w:rPr>
        <w:t>2</w:t>
      </w:r>
      <w:r>
        <w:rPr>
          <w:rFonts w:ascii="Arial" w:hAnsi="Arial"/>
          <w:sz w:val="20"/>
        </w:rPr>
        <w:t xml:space="preserve"> A Chinese state-controlled entity owns 70 percent of the venture.</w:t>
      </w:r>
      <w:r>
        <w:rPr>
          <w:rFonts w:ascii="Arial" w:hAnsi="Arial"/>
          <w:position w:val="7"/>
          <w:sz w:val="16"/>
          <w:sz w:val="20"/>
        </w:rPr>
        <w:t>3</w:t>
      </w:r>
      <w:r>
        <w:rPr>
          <w:rFonts w:ascii="Arial" w:hAnsi="Arial"/>
          <w:sz w:val="20"/>
        </w:rPr>
        <w:t xml:space="preserve"> The Company also relies on the market to release its films and media content.</w:t>
      </w:r>
    </w:p>
    <w:p>
      <w:pPr>
        <w:pStyle w:val="TextBody"/>
        <w:jc w:val="left"/>
        <w:rPr>
          <w:rFonts w:ascii="Arial" w:hAnsi="Arial"/>
          <w:sz w:val="20"/>
        </w:rPr>
      </w:pPr>
      <w:r>
        <w:rPr>
          <w:rFonts w:ascii="Arial" w:hAnsi="Arial"/>
          <w:sz w:val="20"/>
        </w:rPr>
        <w:t>China is a serial violator of human and political rights.</w:t>
      </w:r>
    </w:p>
    <w:p>
      <w:pPr>
        <w:pStyle w:val="TextBody"/>
        <w:jc w:val="left"/>
        <w:rPr>
          <w:rFonts w:ascii="Arial" w:hAnsi="Arial"/>
          <w:sz w:val="20"/>
        </w:rPr>
      </w:pPr>
      <w:r>
        <w:rPr>
          <w:rFonts w:ascii="Arial" w:hAnsi="Arial"/>
          <w:sz w:val="20"/>
        </w:rPr>
        <w:t>China is also a hostile adversary of the U.S. for many reasons, including:</w:t>
      </w:r>
    </w:p>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rFonts w:ascii="Arial" w:hAnsi="Arial"/>
                <w:sz w:val="20"/>
              </w:rPr>
              <w:t>China intends to displace the U.S. as the lone global superpower by 2049;</w:t>
            </w:r>
            <w:r>
              <w:rPr/>
              <w:t xml:space="preserve"> </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rFonts w:ascii="Arial" w:hAnsi="Arial"/>
                <w:sz w:val="20"/>
              </w:rPr>
              <w:t>The U.S. has committed to defend Taiwan, which China has militaristically asserted is part of its country and may attempt to seize by force;</w:t>
            </w:r>
            <w:r>
              <w:rPr/>
              <w:t xml:space="preserve"> </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rFonts w:ascii="Arial" w:hAnsi="Arial"/>
                <w:sz w:val="20"/>
              </w:rPr>
            </w:pPr>
            <w:r>
              <w:rPr>
                <w:rFonts w:ascii="Arial" w:hAnsi="Arial"/>
                <w:sz w:val="20"/>
              </w:rPr>
              <w:t>U.S. - China relations are tense over a number of issues including China’s military expansion; egregious human rights violations; “zero COVID” lockdown policies; elimination of freedom in Hong Kong; and environmental pollution.</w:t>
            </w:r>
          </w:p>
        </w:tc>
      </w:tr>
    </w:tbl>
    <w:p>
      <w:pPr>
        <w:pStyle w:val="TextBody"/>
        <w:spacing w:before="240" w:after="283"/>
        <w:jc w:val="left"/>
        <w:rPr/>
      </w:pPr>
      <w:r>
        <w:rPr>
          <w:rFonts w:ascii="Arial" w:hAnsi="Arial"/>
          <w:sz w:val="20"/>
        </w:rPr>
        <w:t xml:space="preserve">China - and by extension the companies it controls - is also identified in the U.S. State Department’s 2022 </w:t>
      </w:r>
      <w:r>
        <w:rPr>
          <w:rFonts w:ascii="Arial" w:hAnsi="Arial"/>
          <w:i/>
          <w:sz w:val="20"/>
        </w:rPr>
        <w:t xml:space="preserve">Trafficking in Persons Report </w:t>
      </w:r>
      <w:r>
        <w:rPr>
          <w:rFonts w:ascii="Arial" w:hAnsi="Arial"/>
          <w:sz w:val="20"/>
        </w:rPr>
        <w:t>as a state sponsor of human trafficking.</w:t>
      </w:r>
    </w:p>
    <w:p>
      <w:pPr>
        <w:pStyle w:val="TextBody"/>
        <w:jc w:val="left"/>
        <w:rPr>
          <w:rFonts w:ascii="Arial" w:hAnsi="Arial"/>
          <w:sz w:val="20"/>
        </w:rPr>
      </w:pPr>
      <w:r>
        <w:rPr>
          <w:rFonts w:ascii="Arial" w:hAnsi="Arial"/>
          <w:sz w:val="20"/>
        </w:rPr>
        <w:t>A July 2022 joint statement from the leaders of the British and American domestic intelligence agencies warned that the Communist Chinese Party is the greatest threat to the international order. “We consistently see that it’s the Chinese government that poses the biggest long-term threat to our economic and national security, and by ‘our,’ I mean both of our nations, along with our allies in Europe and elsewhere,” said FBI Director Christopher Wray.</w:t>
      </w:r>
    </w:p>
    <w:p>
      <w:pPr>
        <w:pStyle w:val="TextBody"/>
        <w:jc w:val="left"/>
        <w:rPr>
          <w:rFonts w:ascii="Arial" w:hAnsi="Arial"/>
          <w:sz w:val="20"/>
        </w:rPr>
      </w:pPr>
      <w:r>
        <w:rPr>
          <w:rFonts w:ascii="Arial" w:hAnsi="Arial"/>
          <w:sz w:val="20"/>
        </w:rPr>
        <w:t>Given the controversial, if not dangerous, nature of doing business in and with China, shareholders have the right to know the extent to which Comcast Corporation’s business operations depend on Communist China.</w:t>
      </w:r>
    </w:p>
    <w:p>
      <w:pPr>
        <w:pStyle w:val="TextBody"/>
        <w:spacing w:before="0" w:after="0"/>
        <w:rPr/>
      </w:pPr>
      <w:r>
        <w:rPr/>
        <w:t>____________________</w:t>
      </w:r>
    </w:p>
    <w:tbl>
      <w:tblPr>
        <w:tblW w:w="10205" w:type="dxa"/>
        <w:jc w:val="left"/>
        <w:tblInd w:w="0" w:type="dxa"/>
        <w:tblCellMar>
          <w:top w:w="0" w:type="dxa"/>
          <w:left w:w="0" w:type="dxa"/>
          <w:bottom w:w="0" w:type="dxa"/>
          <w:right w:w="0" w:type="dxa"/>
        </w:tblCellMar>
      </w:tblPr>
      <w:tblGrid>
        <w:gridCol w:w="80"/>
        <w:gridCol w:w="10125"/>
      </w:tblGrid>
      <w:tr>
        <w:trPr/>
        <w:tc>
          <w:tcPr>
            <w:tcW w:w="80"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1</w:t>
            </w:r>
          </w:p>
        </w:tc>
        <w:tc>
          <w:tcPr>
            <w:tcW w:w="10125" w:type="dxa"/>
            <w:tcBorders/>
            <w:shd w:fill="auto" w:val="clear"/>
            <w:vAlign w:val="center"/>
          </w:tcPr>
          <w:p>
            <w:pPr>
              <w:pStyle w:val="TableContents"/>
              <w:spacing w:before="0" w:after="283"/>
              <w:jc w:val="left"/>
              <w:rPr/>
            </w:pPr>
            <w:r>
              <w:rPr>
                <w:rFonts w:ascii="Arial" w:hAnsi="Arial"/>
                <w:sz w:val="15"/>
              </w:rPr>
              <w:t>Disis, Jill &amp; Wang, Selina. “Doing business in China is difficult. A clash over human rights is making it harder,” CNN Business, April 2, 2021. See </w:t>
            </w:r>
            <w:r>
              <w:rPr>
                <w:rStyle w:val="Emphasis"/>
                <w:rFonts w:ascii="Arial" w:hAnsi="Arial"/>
                <w:sz w:val="15"/>
              </w:rPr>
              <w:t>https://cnn.it/3et24EI</w:t>
            </w:r>
            <w:r>
              <w:rPr>
                <w:rFonts w:ascii="Arial" w:hAnsi="Arial"/>
                <w:sz w:val="15"/>
              </w:rPr>
              <w:t>.</w:t>
            </w:r>
          </w:p>
        </w:tc>
      </w:tr>
      <w:tr>
        <w:trPr/>
        <w:tc>
          <w:tcPr>
            <w:tcW w:w="80"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2</w:t>
            </w:r>
          </w:p>
        </w:tc>
        <w:tc>
          <w:tcPr>
            <w:tcW w:w="10125" w:type="dxa"/>
            <w:tcBorders/>
            <w:shd w:fill="auto" w:val="clear"/>
            <w:vAlign w:val="center"/>
          </w:tcPr>
          <w:p>
            <w:pPr>
              <w:pStyle w:val="TableContents"/>
              <w:spacing w:before="0" w:after="283"/>
              <w:jc w:val="left"/>
              <w:rPr/>
            </w:pPr>
            <w:r>
              <w:rPr>
                <w:rFonts w:ascii="Arial" w:hAnsi="Arial"/>
                <w:sz w:val="15"/>
              </w:rPr>
              <w:t>Anstey, Tom. “China worth US $1bn a year to Universal, says Comcast CEO,” Attractions Management, Oct. 27, 2017. See </w:t>
            </w:r>
            <w:r>
              <w:rPr>
                <w:rStyle w:val="Emphasis"/>
                <w:rFonts w:ascii="Arial" w:hAnsi="Arial"/>
                <w:sz w:val="15"/>
              </w:rPr>
              <w:t>https://bit.ly/3EvUxKA</w:t>
            </w:r>
            <w:r>
              <w:rPr>
                <w:rFonts w:ascii="Arial" w:hAnsi="Arial"/>
                <w:sz w:val="15"/>
              </w:rPr>
              <w:t>.</w:t>
            </w:r>
          </w:p>
        </w:tc>
      </w:tr>
      <w:tr>
        <w:trPr/>
        <w:tc>
          <w:tcPr>
            <w:tcW w:w="80"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3</w:t>
            </w:r>
          </w:p>
        </w:tc>
        <w:tc>
          <w:tcPr>
            <w:tcW w:w="10125" w:type="dxa"/>
            <w:tcBorders/>
            <w:shd w:fill="auto" w:val="clear"/>
            <w:vAlign w:val="center"/>
          </w:tcPr>
          <w:p>
            <w:pPr>
              <w:pStyle w:val="TableContents"/>
              <w:spacing w:before="0" w:after="283"/>
              <w:jc w:val="left"/>
              <w:rPr>
                <w:rFonts w:ascii="Arial" w:hAnsi="Arial"/>
                <w:sz w:val="15"/>
              </w:rPr>
            </w:pPr>
            <w:r>
              <w:rPr>
                <w:rFonts w:ascii="Arial" w:hAnsi="Arial"/>
                <w:sz w:val="15"/>
              </w:rPr>
              <w:t xml:space="preserve">Comcast.com: “First Look: The Creative Vision of Universal Studios Beijing.” See </w:t>
            </w:r>
            <w:r>
              <w:rPr>
                <w:rFonts w:ascii="Arial" w:hAnsi="Arial"/>
                <w:i/>
                <w:sz w:val="15"/>
              </w:rPr>
              <w:t>https://comca.st/3GGvB5Y.</w:t>
            </w:r>
          </w:p>
        </w:tc>
      </w:tr>
    </w:tbl>
    <w:p>
      <w:pPr>
        <w:pStyle w:val="TextBody"/>
        <w:spacing w:before="0" w:after="0"/>
        <w:rPr/>
      </w:pPr>
      <w:r>
        <w:rPr/>
      </w:r>
    </w:p>
    <w:tbl>
      <w:tblPr>
        <w:tblW w:w="223" w:type="dxa"/>
        <w:jc w:val="left"/>
        <w:tblInd w:w="0" w:type="dxa"/>
        <w:tblCellMar>
          <w:top w:w="0" w:type="dxa"/>
          <w:left w:w="0" w:type="dxa"/>
          <w:bottom w:w="0" w:type="dxa"/>
          <w:right w:w="0" w:type="dxa"/>
        </w:tblCellMar>
      </w:tblPr>
      <w:tblGrid>
        <w:gridCol w:w="200"/>
        <w:gridCol w:w="23"/>
      </w:tblGrid>
      <w:tr>
        <w:trPr/>
        <w:tc>
          <w:tcPr>
            <w:tcW w:w="200" w:type="dxa"/>
            <w:tcBorders/>
            <w:shd w:fill="auto" w:val="clear"/>
            <w:vAlign w:val="center"/>
          </w:tcPr>
          <w:p>
            <w:pPr>
              <w:pStyle w:val="TableContents"/>
              <w:spacing w:before="0" w:after="283"/>
              <w:jc w:val="left"/>
              <w:rPr>
                <w:rFonts w:ascii="Arial" w:hAnsi="Arial"/>
                <w:b/>
                <w:sz w:val="15"/>
              </w:rPr>
            </w:pPr>
            <w:r>
              <w:rPr>
                <w:rFonts w:ascii="Arial" w:hAnsi="Arial"/>
                <w:b/>
                <w:sz w:val="15"/>
              </w:rPr>
              <w:t>82</w:t>
            </w:r>
          </w:p>
        </w:tc>
        <w:tc>
          <w:tcPr>
            <w:tcW w:w="2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p>
      <w:pPr>
        <w:pStyle w:val="TextBody"/>
        <w:jc w:val="left"/>
        <w:rPr>
          <w:rFonts w:ascii="Arial" w:hAnsi="Arial"/>
          <w:color w:val="00A1E0"/>
          <w:sz w:val="28"/>
        </w:rPr>
      </w:pPr>
      <w:r>
        <w:rPr>
          <w:rFonts w:ascii="Arial" w:hAnsi="Arial"/>
          <w:color w:val="00A1E0"/>
          <w:sz w:val="28"/>
        </w:rPr>
        <w:t>Company Response to Shareholder Proposal</w:t>
      </w:r>
    </w:p>
    <w:p>
      <w:pPr>
        <w:pStyle w:val="TextBody"/>
        <w:jc w:val="left"/>
        <w:rPr/>
      </w:pPr>
      <w:r>
        <w:rPr>
          <w:rFonts w:ascii="Arial" w:hAnsi="Arial"/>
          <w:sz w:val="20"/>
        </w:rPr>
        <w:t xml:space="preserve">We believe that the proposal is driven by misplaced assumptions regarding our company’s existing commitment to human rights and fails to take into account our existing risk management programs, human rights policies and initiatives, and oversight by our Board. Further, given our existing disclosures, including our filings with the SEC and publicly available human rights policies, our Board believes that preparing the report requested by the proponent would not provide additional information of value for our shareholders and would divert management’s attention and resources away from our existing human rights efforts. As such, our Board believes that the proposal is not in the best interests of our company or shareholders and recommends </w:t>
      </w:r>
      <w:r>
        <w:rPr>
          <w:rStyle w:val="StrongEmphasis"/>
          <w:rFonts w:ascii="Arial" w:hAnsi="Arial"/>
          <w:sz w:val="20"/>
        </w:rPr>
        <w:t xml:space="preserve">AGAINST </w:t>
      </w:r>
      <w:r>
        <w:rPr>
          <w:rFonts w:ascii="Arial" w:hAnsi="Arial"/>
          <w:sz w:val="20"/>
        </w:rPr>
        <w:t>it.</w:t>
      </w:r>
    </w:p>
    <w:p>
      <w:pPr>
        <w:pStyle w:val="TextBody"/>
        <w:jc w:val="left"/>
        <w:rPr>
          <w:rFonts w:ascii="Arial" w:hAnsi="Arial"/>
          <w:sz w:val="20"/>
        </w:rPr>
      </w:pPr>
      <w:r>
        <w:rPr>
          <w:rFonts w:ascii="Arial" w:hAnsi="Arial"/>
          <w:sz w:val="20"/>
        </w:rPr>
        <w:t>In particular:</w:t>
      </w:r>
    </w:p>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rFonts w:ascii="Arial" w:hAnsi="Arial"/>
                <w:sz w:val="20"/>
              </w:rPr>
              <w:t>As a public reporting company under U.S. securities laws, we are already required to provide investors with material information about our business. For example, we must disclose a broad range of information regarding our operations, including a description of our business, material properties we own and material risks, such as those relating to doing business internationally. These requirements necessitate disclosure regarding our operations in China to the extent material.</w:t>
            </w:r>
            <w:r>
              <w:rPr/>
              <w:t xml:space="preserve"> </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rFonts w:ascii="Arial" w:hAnsi="Arial"/>
                <w:sz w:val="20"/>
              </w:rPr>
              <w:t>We conduct an annual companywide enterprise risk management (“ERM”) assessment to identify key strategic, operational and legal risk areas for our company and relevant risk mitigation strategies. Our executive management team has the overall responsibility for, and oversight of, this process, and an ERM steering committee composed of legal, financial and business executives manages the process, with one or more senior business executives then monitoring and managing each of the identified risks. We also have an enterprise compliance risk management program that, among other things, assesses risks of doing business internationally and risks of modern slavery in our businesses. Our Board, including through its committees, oversees our ERM and enterprise compliance risk management programs and key human rights-related policies.</w:t>
            </w:r>
            <w:r>
              <w:rPr/>
              <w:t xml:space="preserve"> </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rFonts w:ascii="Arial" w:hAnsi="Arial"/>
                <w:sz w:val="20"/>
              </w:rPr>
              <w:t>We are committed to promoting values that foster human rights, acting with integrity and doing the right thing. Specifically, we have robust human rights policies and due diligence processes that are embedded within our operating and decision-making practices and reported on publicly. For example, our Human Rights Statement emphasizes our commitment to supporting the broad principles that promote human rights in the United Nations’ Universal Declaration of Human Rights. Our Code of Conduct for Suppliers and Business Partners sets forth our expectation that third-party partners prevent forced labor and human trafficking in their supply chains, and our annual Statement on Modern Slavery and Supply Chain Values reports on our third-party risk management framework for human rights, including, as appropriate, due diligence, training and auditing activities. We continuously review our human rights policies and practices to ensure that they remain appropriately designed and responsive to a dynamic landscape. We also encourage employees, suppliers and business partners around the world to report suspected illegal or unethical conduct, provide several channels for doing so, investigate allegations and develop an appropriate course of action based on our findings.</w:t>
            </w:r>
            <w:r>
              <w:rPr/>
              <w:t xml:space="preserve"> </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pPr>
            <w:r>
              <w:rPr>
                <w:rFonts w:ascii="Arial" w:hAnsi="Arial"/>
                <w:sz w:val="20"/>
              </w:rPr>
              <w:t>We also partner and engage with external stakeholders, including industry and peer groups such as the Responsible Business Alliance, which is dedicated to enhancing corporate social responsibility in global supply chains, to stay aware of the shifting challenges and opportunities.</w:t>
            </w:r>
            <w:r>
              <w:rPr/>
              <w:t xml:space="preserve"> </w:t>
            </w:r>
          </w:p>
        </w:tc>
      </w:tr>
    </w:tbl>
    <w:p>
      <w:pPr>
        <w:pStyle w:val="TextBody"/>
        <w:spacing w:before="240" w:after="283"/>
        <w:jc w:val="left"/>
        <w:rPr/>
      </w:pPr>
      <w:r>
        <w:rPr>
          <w:rStyle w:val="StrongEmphasis"/>
          <w:rFonts w:ascii="Arial" w:hAnsi="Arial"/>
          <w:sz w:val="20"/>
        </w:rPr>
        <w:t>For the reasons set forth above, our Board unanimously recommends AGAINST this proposal.</w:t>
      </w:r>
    </w:p>
    <w:tbl>
      <w:tblPr>
        <w:tblW w:w="2200" w:type="dxa"/>
        <w:jc w:val="left"/>
        <w:tblInd w:w="0" w:type="dxa"/>
        <w:tblCellMar>
          <w:top w:w="0" w:type="dxa"/>
          <w:left w:w="0" w:type="dxa"/>
          <w:bottom w:w="0" w:type="dxa"/>
          <w:right w:w="0" w:type="dxa"/>
        </w:tblCellMar>
      </w:tblPr>
      <w:tblGrid>
        <w:gridCol w:w="1580"/>
        <w:gridCol w:w="620"/>
      </w:tblGrid>
      <w:tr>
        <w:trPr/>
        <w:tc>
          <w:tcPr>
            <w:tcW w:w="1580" w:type="dxa"/>
            <w:tcBorders/>
            <w:shd w:fill="auto" w:val="clear"/>
            <w:vAlign w:val="center"/>
          </w:tcPr>
          <w:p>
            <w:pPr>
              <w:pStyle w:val="TableContents"/>
              <w:spacing w:before="0" w:after="283"/>
              <w:jc w:val="right"/>
              <w:rPr>
                <w:rFonts w:ascii="Arial" w:hAnsi="Arial"/>
                <w:sz w:val="15"/>
              </w:rPr>
            </w:pPr>
            <w:r>
              <w:rPr>
                <w:rFonts w:ascii="Arial" w:hAnsi="Arial"/>
                <w:sz w:val="15"/>
              </w:rPr>
              <w:t>2023 Proxy Statement</w:t>
            </w:r>
          </w:p>
        </w:tc>
        <w:tc>
          <w:tcPr>
            <w:tcW w:w="620" w:type="dxa"/>
            <w:tcBorders/>
            <w:shd w:fill="auto" w:val="clear"/>
            <w:vAlign w:val="center"/>
          </w:tcPr>
          <w:p>
            <w:pPr>
              <w:pStyle w:val="TableContents"/>
              <w:spacing w:before="0" w:after="283"/>
              <w:jc w:val="right"/>
              <w:rPr/>
            </w:pPr>
            <w:r>
              <w:rPr/>
              <w:t>       </w:t>
            </w:r>
            <w:r>
              <w:rPr>
                <w:rFonts w:ascii="Arial" w:hAnsi="Arial"/>
                <w:b/>
                <w:sz w:val="15"/>
              </w:rPr>
              <w:t>83</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p>
      <w:pPr>
        <w:pStyle w:val="TextBody"/>
        <w:jc w:val="left"/>
        <w:rPr/>
      </w:pPr>
      <w:bookmarkStart w:id="100" w:name="informationaboutstock"/>
      <w:bookmarkEnd w:id="100"/>
      <w:r>
        <w:rPr>
          <w:rStyle w:val="StrongEmphasis"/>
          <w:rFonts w:ascii="Arial" w:hAnsi="Arial"/>
          <w:sz w:val="36"/>
        </w:rPr>
        <w:t>Information about Stock Ownership</w:t>
      </w:r>
    </w:p>
    <w:p>
      <w:pPr>
        <w:pStyle w:val="TextBody"/>
        <w:jc w:val="left"/>
        <w:rPr>
          <w:rFonts w:ascii="Arial" w:hAnsi="Arial"/>
          <w:color w:val="00A1E0"/>
          <w:sz w:val="28"/>
        </w:rPr>
      </w:pPr>
      <w:r>
        <w:rPr>
          <w:rFonts w:ascii="Arial" w:hAnsi="Arial"/>
          <w:color w:val="00A1E0"/>
          <w:sz w:val="28"/>
        </w:rPr>
        <w:t>Outstanding Shares and Voting Rights</w:t>
      </w:r>
    </w:p>
    <w:p>
      <w:pPr>
        <w:pStyle w:val="TextBody"/>
        <w:jc w:val="left"/>
        <w:rPr>
          <w:rFonts w:ascii="Arial" w:hAnsi="Arial"/>
          <w:sz w:val="20"/>
        </w:rPr>
      </w:pPr>
      <w:r>
        <w:rPr>
          <w:rFonts w:ascii="Arial" w:hAnsi="Arial"/>
          <w:sz w:val="20"/>
        </w:rPr>
        <w:t>At the close of business on April 3, 2023, the record date, we had outstanding 4,168,775,165 shares of Class A common stock and 9,444,375 shares of Class B common stock.</w:t>
      </w:r>
    </w:p>
    <w:p>
      <w:pPr>
        <w:pStyle w:val="TextBody"/>
        <w:jc w:val="left"/>
        <w:rPr>
          <w:rFonts w:ascii="Arial" w:hAnsi="Arial"/>
          <w:sz w:val="20"/>
        </w:rPr>
      </w:pPr>
      <w:r>
        <w:rPr>
          <w:rFonts w:ascii="Arial" w:hAnsi="Arial"/>
          <w:sz w:val="20"/>
        </w:rPr>
        <w:t>On each matter to be voted on, the holders of Class A common stock and Class B common stock will vote together. As of the record date, each holder of Class A common stock is entitled to 0.06797 votes per share and each holder of Class B common stock is entitled to 15 votes per share.</w:t>
      </w:r>
    </w:p>
    <w:p>
      <w:pPr>
        <w:pStyle w:val="TextBody"/>
        <w:jc w:val="left"/>
        <w:rPr>
          <w:rFonts w:ascii="Arial" w:hAnsi="Arial"/>
          <w:sz w:val="20"/>
        </w:rPr>
      </w:pPr>
      <w:r>
        <w:rPr>
          <w:rFonts w:ascii="Arial" w:hAnsi="Arial"/>
          <w:sz w:val="20"/>
        </w:rPr>
        <w:t>We must have a quorum to carry on the business of the annual meeting of shareholders. This means that, for each matter presented, shareholders entitled to cast a majority of the votes that all shareholders are entitled to cast on that matter must be represented at the meeting, either by proxy or by attending the meeting. If the meeting is adjourned for one or more periods aggregating at least five days due to the absence of a quorum, those shareholders who are entitled to vote and who attend the adjourned meeting, even though they do not constitute a quorum as described above, will constitute a quorum for the purpose of electing directors at such reconvened meeting. If the meeting is adjourned for one or more periods aggregating at least 15 days due to the absence of a quorum, shareholders who are entitled to vote and who attend the adjourned meeting, even though they do not constitute a quorum as described above, will constitute a quorum for the purpose of acting on any matter described in this proxy statement other than the election of directors.</w:t>
      </w:r>
    </w:p>
    <w:p>
      <w:pPr>
        <w:pStyle w:val="TextBody"/>
        <w:jc w:val="left"/>
        <w:rPr>
          <w:rFonts w:ascii="Arial" w:hAnsi="Arial"/>
          <w:sz w:val="20"/>
        </w:rPr>
      </w:pPr>
      <w:r>
        <w:rPr>
          <w:rFonts w:ascii="Arial" w:hAnsi="Arial"/>
          <w:sz w:val="20"/>
        </w:rPr>
        <w:t>The director candidates who receive the most votes will be elected to fill the available seats on our Board. Approval of the other proposals requires the favorable vote of a majority of the votes cast. Only votes for or against a proposal count for voting purposes. Withheld votes in regard to the election of directors, abstentions and broker nonvotes count for quorum purposes, but have no effect on the outcome of the proposals. Broker nonvotes occur on a matter when a bank, brokerage firm or other nominee is not permitted by applicable regulatory requirements to vote on that matter without instruction from the owner of the shares and no instruction is given. Absent instructions from you, your broker may vote your shares on the ratification of the appointment of our independent auditors, but may not vote your shares on the election of directors or any of the other proposals.</w:t>
      </w:r>
    </w:p>
    <w:p>
      <w:pPr>
        <w:pStyle w:val="TextBody"/>
        <w:jc w:val="left"/>
        <w:rPr>
          <w:rFonts w:ascii="Arial" w:hAnsi="Arial"/>
          <w:color w:val="00A1E0"/>
          <w:sz w:val="28"/>
        </w:rPr>
      </w:pPr>
      <w:r>
        <w:rPr>
          <w:rFonts w:ascii="Arial" w:hAnsi="Arial"/>
          <w:color w:val="00A1E0"/>
          <w:sz w:val="28"/>
        </w:rPr>
        <w:t>Principal Shareholders</w:t>
      </w:r>
    </w:p>
    <w:p>
      <w:pPr>
        <w:pStyle w:val="TextBody"/>
        <w:jc w:val="left"/>
        <w:rPr>
          <w:rFonts w:ascii="Arial" w:hAnsi="Arial"/>
          <w:sz w:val="20"/>
        </w:rPr>
      </w:pPr>
      <w:r>
        <w:rPr>
          <w:rFonts w:ascii="Arial" w:hAnsi="Arial"/>
          <w:sz w:val="20"/>
        </w:rPr>
        <w:t>This table sets forth information as of December 31, 2022 about persons we know to beneficially own more than 5% of any class of our voting common stock.</w:t>
      </w:r>
    </w:p>
    <w:tbl>
      <w:tblPr>
        <w:tblW w:w="9815" w:type="dxa"/>
        <w:jc w:val="left"/>
        <w:tblInd w:w="0" w:type="dxa"/>
        <w:tblCellMar>
          <w:top w:w="0" w:type="dxa"/>
          <w:left w:w="0" w:type="dxa"/>
          <w:bottom w:w="40" w:type="dxa"/>
          <w:right w:w="0" w:type="dxa"/>
        </w:tblCellMar>
      </w:tblPr>
      <w:tblGrid>
        <w:gridCol w:w="2165"/>
        <w:gridCol w:w="300"/>
        <w:gridCol w:w="3995"/>
        <w:gridCol w:w="300"/>
        <w:gridCol w:w="1895"/>
        <w:gridCol w:w="300"/>
        <w:gridCol w:w="860"/>
      </w:tblGrid>
      <w:tr>
        <w:trPr/>
        <w:tc>
          <w:tcPr>
            <w:tcW w:w="2165" w:type="dxa"/>
            <w:tcBorders>
              <w:bottom w:val="single" w:sz="12" w:space="0" w:color="000000"/>
            </w:tcBorders>
            <w:shd w:fill="auto" w:val="clear"/>
            <w:vAlign w:val="center"/>
          </w:tcPr>
          <w:p>
            <w:pPr>
              <w:pStyle w:val="TableContents"/>
              <w:spacing w:before="0" w:after="283"/>
              <w:jc w:val="left"/>
              <w:rPr/>
            </w:pPr>
            <w:r>
              <w:rPr>
                <w:rStyle w:val="StrongEmphasis"/>
                <w:rFonts w:ascii="Arial" w:hAnsi="Arial"/>
                <w:sz w:val="16"/>
              </w:rPr>
              <w:t>TITLE OF VOTING CLASS</w:t>
            </w:r>
          </w:p>
        </w:tc>
        <w:tc>
          <w:tcPr>
            <w:tcW w:w="300" w:type="dxa"/>
            <w:tcBorders>
              <w:bottom w:val="single" w:sz="12" w:space="0" w:color="000000"/>
            </w:tcBorders>
            <w:shd w:fill="auto" w:val="clear"/>
            <w:vAlign w:val="center"/>
          </w:tcPr>
          <w:p>
            <w:pPr>
              <w:pStyle w:val="TableContents"/>
              <w:spacing w:before="0" w:after="283"/>
              <w:jc w:val="left"/>
              <w:rPr/>
            </w:pPr>
            <w:r>
              <w:rPr>
                <w:rStyle w:val="StrongEmphasis"/>
              </w:rPr>
              <w:t>     </w:t>
            </w:r>
          </w:p>
        </w:tc>
        <w:tc>
          <w:tcPr>
            <w:tcW w:w="3995" w:type="dxa"/>
            <w:tcBorders>
              <w:bottom w:val="single" w:sz="12" w:space="0" w:color="000000"/>
            </w:tcBorders>
            <w:shd w:fill="auto" w:val="clear"/>
            <w:vAlign w:val="center"/>
          </w:tcPr>
          <w:p>
            <w:pPr>
              <w:pStyle w:val="TableContents"/>
              <w:spacing w:before="0" w:after="283"/>
              <w:jc w:val="left"/>
              <w:rPr/>
            </w:pPr>
            <w:r>
              <w:rPr>
                <w:rStyle w:val="StrongEmphasis"/>
                <w:rFonts w:ascii="Arial" w:hAnsi="Arial"/>
                <w:sz w:val="16"/>
              </w:rPr>
              <w:t>NAME AND ADDRESS OF BENEFICIAL OWNER</w:t>
            </w:r>
          </w:p>
        </w:tc>
        <w:tc>
          <w:tcPr>
            <w:tcW w:w="300" w:type="dxa"/>
            <w:tcBorders>
              <w:bottom w:val="single" w:sz="12" w:space="0" w:color="000000"/>
            </w:tcBorders>
            <w:shd w:fill="auto" w:val="clear"/>
            <w:vAlign w:val="center"/>
          </w:tcPr>
          <w:p>
            <w:pPr>
              <w:pStyle w:val="TableContents"/>
              <w:spacing w:before="0" w:after="283"/>
              <w:jc w:val="left"/>
              <w:rPr/>
            </w:pPr>
            <w:r>
              <w:rPr>
                <w:rStyle w:val="StrongEmphasis"/>
              </w:rPr>
              <w:t>     </w:t>
            </w:r>
          </w:p>
        </w:tc>
        <w:tc>
          <w:tcPr>
            <w:tcW w:w="1895" w:type="dxa"/>
            <w:tcBorders>
              <w:bottom w:val="single" w:sz="12" w:space="0" w:color="000000"/>
            </w:tcBorders>
            <w:shd w:fill="auto" w:val="clear"/>
            <w:vAlign w:val="center"/>
          </w:tcPr>
          <w:p>
            <w:pPr>
              <w:pStyle w:val="TableContents"/>
              <w:spacing w:before="0" w:after="283"/>
              <w:jc w:val="center"/>
              <w:rPr/>
            </w:pPr>
            <w:r>
              <w:rPr>
                <w:rStyle w:val="StrongEmphasis"/>
                <w:rFonts w:ascii="Arial" w:hAnsi="Arial"/>
                <w:sz w:val="16"/>
              </w:rPr>
              <w:t>AMOUNT</w:t>
              <w:br/>
              <w:t>BENEFICIALLY OWNED</w:t>
            </w:r>
          </w:p>
        </w:tc>
        <w:tc>
          <w:tcPr>
            <w:tcW w:w="300" w:type="dxa"/>
            <w:tcBorders>
              <w:bottom w:val="single" w:sz="12" w:space="0" w:color="000000"/>
            </w:tcBorders>
            <w:shd w:fill="auto" w:val="clear"/>
            <w:vAlign w:val="center"/>
          </w:tcPr>
          <w:p>
            <w:pPr>
              <w:pStyle w:val="TableContents"/>
              <w:spacing w:before="0" w:after="283"/>
              <w:jc w:val="left"/>
              <w:rPr/>
            </w:pPr>
            <w:r>
              <w:rPr>
                <w:rStyle w:val="StrongEmphasis"/>
              </w:rPr>
              <w:t>     </w:t>
            </w:r>
          </w:p>
        </w:tc>
        <w:tc>
          <w:tcPr>
            <w:tcW w:w="860" w:type="dxa"/>
            <w:tcBorders>
              <w:bottom w:val="single" w:sz="12" w:space="0" w:color="000000"/>
            </w:tcBorders>
            <w:shd w:fill="auto" w:val="clear"/>
            <w:vAlign w:val="center"/>
          </w:tcPr>
          <w:p>
            <w:pPr>
              <w:pStyle w:val="TableContents"/>
              <w:spacing w:before="0" w:after="283"/>
              <w:jc w:val="center"/>
              <w:rPr/>
            </w:pPr>
            <w:r>
              <w:rPr>
                <w:rStyle w:val="StrongEmphasis"/>
                <w:rFonts w:ascii="Arial" w:hAnsi="Arial"/>
                <w:sz w:val="16"/>
              </w:rPr>
              <w:t>PERCENT</w:t>
              <w:br/>
              <w:t>OF CLASS</w:t>
            </w:r>
          </w:p>
        </w:tc>
      </w:tr>
      <w:tr>
        <w:trPr/>
        <w:tc>
          <w:tcPr>
            <w:tcW w:w="2165" w:type="dxa"/>
            <w:tcBorders>
              <w:bottom w:val="single" w:sz="8" w:space="0" w:color="000000"/>
            </w:tcBorders>
            <w:shd w:fill="auto" w:val="clear"/>
            <w:vAlign w:val="center"/>
          </w:tcPr>
          <w:p>
            <w:pPr>
              <w:pStyle w:val="TableContents"/>
              <w:spacing w:before="0" w:after="283"/>
              <w:jc w:val="left"/>
              <w:rPr/>
            </w:pPr>
            <w:r>
              <w:rPr>
                <w:rStyle w:val="StrongEmphasis"/>
                <w:rFonts w:ascii="Arial" w:hAnsi="Arial"/>
                <w:sz w:val="20"/>
              </w:rPr>
              <w:t>Class A common stock</w:t>
            </w:r>
          </w:p>
        </w:tc>
        <w:tc>
          <w:tcPr>
            <w:tcW w:w="30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3995" w:type="dxa"/>
            <w:tcBorders>
              <w:bottom w:val="single" w:sz="8" w:space="0" w:color="000000"/>
            </w:tcBorders>
            <w:shd w:fill="auto" w:val="clear"/>
            <w:vAlign w:val="center"/>
          </w:tcPr>
          <w:p>
            <w:pPr>
              <w:pStyle w:val="TableContents"/>
              <w:spacing w:before="0" w:after="283"/>
              <w:jc w:val="left"/>
              <w:rPr>
                <w:rFonts w:ascii="Arial" w:hAnsi="Arial"/>
                <w:sz w:val="20"/>
              </w:rPr>
            </w:pPr>
            <w:r>
              <w:rPr>
                <w:rFonts w:ascii="Arial" w:hAnsi="Arial"/>
                <w:sz w:val="20"/>
              </w:rPr>
              <w:t>The Vanguard Group</w:t>
              <w:br/>
              <w:t>100 Vanguard Blvd., Malvern, PA 19355</w:t>
            </w:r>
          </w:p>
        </w:tc>
        <w:tc>
          <w:tcPr>
            <w:tcW w:w="30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895" w:type="dxa"/>
            <w:tcBorders>
              <w:bottom w:val="single" w:sz="8" w:space="0" w:color="000000"/>
            </w:tcBorders>
            <w:shd w:fill="auto" w:val="clear"/>
            <w:vAlign w:val="center"/>
          </w:tcPr>
          <w:p>
            <w:pPr>
              <w:pStyle w:val="TableContents"/>
              <w:spacing w:before="0" w:after="283"/>
              <w:jc w:val="right"/>
              <w:rPr>
                <w:rFonts w:ascii="Arial" w:hAnsi="Arial"/>
                <w:sz w:val="20"/>
              </w:rPr>
            </w:pPr>
            <w:r>
              <w:rPr>
                <w:rFonts w:ascii="Arial" w:hAnsi="Arial"/>
                <w:sz w:val="20"/>
              </w:rPr>
              <w:t>402,183,025</w:t>
            </w:r>
            <w:r>
              <w:rPr>
                <w:rFonts w:ascii="Arial" w:hAnsi="Arial"/>
                <w:position w:val="7"/>
                <w:sz w:val="16"/>
                <w:sz w:val="20"/>
              </w:rPr>
              <w:t>(1)</w:t>
            </w:r>
          </w:p>
        </w:tc>
        <w:tc>
          <w:tcPr>
            <w:tcW w:w="30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60" w:type="dxa"/>
            <w:tcBorders>
              <w:bottom w:val="single" w:sz="8" w:space="0" w:color="000000"/>
            </w:tcBorders>
            <w:shd w:fill="auto" w:val="clear"/>
            <w:vAlign w:val="center"/>
          </w:tcPr>
          <w:p>
            <w:pPr>
              <w:pStyle w:val="TableContents"/>
              <w:spacing w:before="0" w:after="283"/>
              <w:jc w:val="right"/>
              <w:rPr>
                <w:rFonts w:ascii="Arial" w:hAnsi="Arial"/>
                <w:sz w:val="20"/>
              </w:rPr>
            </w:pPr>
            <w:r>
              <w:rPr>
                <w:rFonts w:ascii="Arial" w:hAnsi="Arial"/>
                <w:sz w:val="20"/>
              </w:rPr>
              <w:t>9.3%</w:t>
            </w:r>
          </w:p>
        </w:tc>
      </w:tr>
      <w:tr>
        <w:trPr/>
        <w:tc>
          <w:tcPr>
            <w:tcW w:w="2165" w:type="dxa"/>
            <w:tcBorders>
              <w:bottom w:val="single" w:sz="8" w:space="0" w:color="000000"/>
            </w:tcBorders>
            <w:shd w:fill="auto" w:val="clear"/>
            <w:vAlign w:val="center"/>
          </w:tcPr>
          <w:p>
            <w:pPr>
              <w:pStyle w:val="TableContents"/>
              <w:spacing w:before="0" w:after="283"/>
              <w:jc w:val="left"/>
              <w:rPr/>
            </w:pPr>
            <w:r>
              <w:rPr>
                <w:rStyle w:val="StrongEmphasis"/>
                <w:rFonts w:ascii="Arial" w:hAnsi="Arial"/>
                <w:sz w:val="20"/>
              </w:rPr>
              <w:t>Class A common stock</w:t>
            </w:r>
          </w:p>
        </w:tc>
        <w:tc>
          <w:tcPr>
            <w:tcW w:w="30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3995" w:type="dxa"/>
            <w:tcBorders>
              <w:bottom w:val="single" w:sz="8" w:space="0" w:color="000000"/>
            </w:tcBorders>
            <w:shd w:fill="auto" w:val="clear"/>
            <w:vAlign w:val="center"/>
          </w:tcPr>
          <w:p>
            <w:pPr>
              <w:pStyle w:val="TableContents"/>
              <w:spacing w:before="0" w:after="283"/>
              <w:jc w:val="left"/>
              <w:rPr>
                <w:rFonts w:ascii="Arial" w:hAnsi="Arial"/>
                <w:sz w:val="20"/>
              </w:rPr>
            </w:pPr>
            <w:r>
              <w:rPr>
                <w:rFonts w:ascii="Arial" w:hAnsi="Arial"/>
                <w:sz w:val="20"/>
              </w:rPr>
              <w:t>BlackRock, Inc.</w:t>
              <w:br/>
              <w:t>55 East 52nd Street, New York, NY 10055</w:t>
            </w:r>
          </w:p>
        </w:tc>
        <w:tc>
          <w:tcPr>
            <w:tcW w:w="30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895" w:type="dxa"/>
            <w:tcBorders>
              <w:bottom w:val="single" w:sz="8" w:space="0" w:color="000000"/>
            </w:tcBorders>
            <w:shd w:fill="auto" w:val="clear"/>
            <w:vAlign w:val="center"/>
          </w:tcPr>
          <w:p>
            <w:pPr>
              <w:pStyle w:val="TableContents"/>
              <w:spacing w:before="0" w:after="283"/>
              <w:jc w:val="right"/>
              <w:rPr>
                <w:rFonts w:ascii="Arial" w:hAnsi="Arial"/>
                <w:sz w:val="20"/>
              </w:rPr>
            </w:pPr>
            <w:r>
              <w:rPr>
                <w:rFonts w:ascii="Arial" w:hAnsi="Arial"/>
                <w:sz w:val="20"/>
              </w:rPr>
              <w:t>327,366,215</w:t>
            </w:r>
            <w:r>
              <w:rPr>
                <w:rFonts w:ascii="Arial" w:hAnsi="Arial"/>
                <w:position w:val="7"/>
                <w:sz w:val="16"/>
                <w:sz w:val="20"/>
              </w:rPr>
              <w:t>(2)</w:t>
            </w:r>
          </w:p>
        </w:tc>
        <w:tc>
          <w:tcPr>
            <w:tcW w:w="30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60" w:type="dxa"/>
            <w:tcBorders>
              <w:bottom w:val="single" w:sz="8" w:space="0" w:color="000000"/>
            </w:tcBorders>
            <w:shd w:fill="auto" w:val="clear"/>
            <w:vAlign w:val="center"/>
          </w:tcPr>
          <w:p>
            <w:pPr>
              <w:pStyle w:val="TableContents"/>
              <w:spacing w:before="0" w:after="283"/>
              <w:jc w:val="right"/>
              <w:rPr>
                <w:rFonts w:ascii="Arial" w:hAnsi="Arial"/>
                <w:sz w:val="20"/>
              </w:rPr>
            </w:pPr>
            <w:r>
              <w:rPr>
                <w:rFonts w:ascii="Arial" w:hAnsi="Arial"/>
                <w:sz w:val="20"/>
              </w:rPr>
              <w:t>7.6%</w:t>
            </w:r>
          </w:p>
        </w:tc>
      </w:tr>
      <w:tr>
        <w:trPr/>
        <w:tc>
          <w:tcPr>
            <w:tcW w:w="2165" w:type="dxa"/>
            <w:tcBorders>
              <w:bottom w:val="single" w:sz="8" w:space="0" w:color="000000"/>
            </w:tcBorders>
            <w:shd w:fill="auto" w:val="clear"/>
            <w:vAlign w:val="center"/>
          </w:tcPr>
          <w:p>
            <w:pPr>
              <w:pStyle w:val="TableContents"/>
              <w:spacing w:before="0" w:after="283"/>
              <w:jc w:val="left"/>
              <w:rPr/>
            </w:pPr>
            <w:r>
              <w:rPr>
                <w:rStyle w:val="StrongEmphasis"/>
                <w:rFonts w:ascii="Arial" w:hAnsi="Arial"/>
                <w:sz w:val="20"/>
              </w:rPr>
              <w:t>Class B common stock</w:t>
            </w:r>
          </w:p>
        </w:tc>
        <w:tc>
          <w:tcPr>
            <w:tcW w:w="30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3995" w:type="dxa"/>
            <w:tcBorders>
              <w:bottom w:val="single" w:sz="8" w:space="0" w:color="000000"/>
            </w:tcBorders>
            <w:shd w:fill="auto" w:val="clear"/>
            <w:vAlign w:val="center"/>
          </w:tcPr>
          <w:p>
            <w:pPr>
              <w:pStyle w:val="TableContents"/>
              <w:spacing w:before="0" w:after="283"/>
              <w:jc w:val="left"/>
              <w:rPr>
                <w:rFonts w:ascii="Arial" w:hAnsi="Arial"/>
                <w:sz w:val="20"/>
              </w:rPr>
            </w:pPr>
            <w:r>
              <w:rPr>
                <w:rFonts w:ascii="Arial" w:hAnsi="Arial"/>
                <w:sz w:val="20"/>
              </w:rPr>
              <w:t>Brian L. Roberts</w:t>
              <w:br/>
              <w:t>One Comcast Center, Philadelphia, PA 19103</w:t>
            </w:r>
          </w:p>
        </w:tc>
        <w:tc>
          <w:tcPr>
            <w:tcW w:w="30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1895" w:type="dxa"/>
            <w:tcBorders>
              <w:bottom w:val="single" w:sz="8" w:space="0" w:color="000000"/>
            </w:tcBorders>
            <w:shd w:fill="auto" w:val="clear"/>
            <w:vAlign w:val="center"/>
          </w:tcPr>
          <w:p>
            <w:pPr>
              <w:pStyle w:val="TableContents"/>
              <w:spacing w:before="0" w:after="283"/>
              <w:jc w:val="right"/>
              <w:rPr>
                <w:rFonts w:ascii="Arial" w:hAnsi="Arial"/>
                <w:sz w:val="20"/>
              </w:rPr>
            </w:pPr>
            <w:r>
              <w:rPr>
                <w:rFonts w:ascii="Arial" w:hAnsi="Arial"/>
                <w:sz w:val="20"/>
              </w:rPr>
              <w:t>9,444,375</w:t>
            </w:r>
            <w:r>
              <w:rPr>
                <w:rFonts w:ascii="Arial" w:hAnsi="Arial"/>
                <w:position w:val="7"/>
                <w:sz w:val="16"/>
                <w:sz w:val="20"/>
              </w:rPr>
              <w:t>(3)</w:t>
            </w:r>
          </w:p>
        </w:tc>
        <w:tc>
          <w:tcPr>
            <w:tcW w:w="30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60" w:type="dxa"/>
            <w:tcBorders>
              <w:bottom w:val="single" w:sz="8" w:space="0" w:color="000000"/>
            </w:tcBorders>
            <w:shd w:fill="auto" w:val="clear"/>
            <w:vAlign w:val="center"/>
          </w:tcPr>
          <w:p>
            <w:pPr>
              <w:pStyle w:val="TableContents"/>
              <w:spacing w:before="0" w:after="283"/>
              <w:jc w:val="right"/>
              <w:rPr>
                <w:rFonts w:ascii="Arial" w:hAnsi="Arial"/>
                <w:sz w:val="20"/>
              </w:rPr>
            </w:pPr>
            <w:r>
              <w:rPr>
                <w:rFonts w:ascii="Arial" w:hAnsi="Arial"/>
                <w:sz w:val="20"/>
              </w:rPr>
              <w:t>100%</w:t>
            </w:r>
          </w:p>
        </w:tc>
      </w:tr>
    </w:tbl>
    <w:tbl>
      <w:tblPr>
        <w:tblW w:w="10205" w:type="dxa"/>
        <w:jc w:val="left"/>
        <w:tblInd w:w="0" w:type="dxa"/>
        <w:tblCellMar>
          <w:top w:w="0" w:type="dxa"/>
          <w:left w:w="0" w:type="dxa"/>
          <w:bottom w:w="0" w:type="dxa"/>
          <w:right w:w="0" w:type="dxa"/>
        </w:tblCellMar>
      </w:tblPr>
      <w:tblGrid>
        <w:gridCol w:w="136"/>
        <w:gridCol w:w="10069"/>
      </w:tblGrid>
      <w:tr>
        <w:trPr/>
        <w:tc>
          <w:tcPr>
            <w:tcW w:w="136"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 xml:space="preserve">(1) </w:t>
            </w:r>
          </w:p>
        </w:tc>
        <w:tc>
          <w:tcPr>
            <w:tcW w:w="10069" w:type="dxa"/>
            <w:tcBorders/>
            <w:shd w:fill="auto" w:val="clear"/>
            <w:vAlign w:val="center"/>
          </w:tcPr>
          <w:p>
            <w:pPr>
              <w:pStyle w:val="TableContents"/>
              <w:spacing w:before="0" w:after="283"/>
              <w:jc w:val="left"/>
              <w:rPr>
                <w:rFonts w:ascii="Arial" w:hAnsi="Arial"/>
                <w:sz w:val="15"/>
              </w:rPr>
            </w:pPr>
            <w:r>
              <w:rPr>
                <w:rFonts w:ascii="Arial" w:hAnsi="Arial"/>
                <w:sz w:val="15"/>
              </w:rPr>
              <w:t>This information is based upon a Schedule 13G/A filing with the SEC on February 9, 2023 made by The Vanguard Group setting forth information as of December 31, 2022. The Vanguard Group disclosed having sole voting power over 0 shares of our Class A common stock, shared voting power over 6,174,703 shares of our Class A common stock, sole dispositive power over 383,658,992 shares of our Class A common stock and shared dispositive power over 18,524,033 shares of our Class A common stock.</w:t>
            </w:r>
          </w:p>
        </w:tc>
      </w:tr>
      <w:tr>
        <w:trPr/>
        <w:tc>
          <w:tcPr>
            <w:tcW w:w="136"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 xml:space="preserve">(2) </w:t>
            </w:r>
          </w:p>
        </w:tc>
        <w:tc>
          <w:tcPr>
            <w:tcW w:w="10069" w:type="dxa"/>
            <w:tcBorders/>
            <w:shd w:fill="auto" w:val="clear"/>
            <w:vAlign w:val="center"/>
          </w:tcPr>
          <w:p>
            <w:pPr>
              <w:pStyle w:val="TableContents"/>
              <w:spacing w:before="0" w:after="283"/>
              <w:jc w:val="left"/>
              <w:rPr>
                <w:rFonts w:ascii="Arial" w:hAnsi="Arial"/>
                <w:sz w:val="15"/>
              </w:rPr>
            </w:pPr>
            <w:r>
              <w:rPr>
                <w:rFonts w:ascii="Arial" w:hAnsi="Arial"/>
                <w:sz w:val="15"/>
              </w:rPr>
              <w:t>This information is based upon a Schedule 13G/A filing with the SEC on February 7, 2023 made by BlackRock, Inc. setting forth information as of December 31, 2022. BlackRock, Inc. disclosed having sole voting power over 295,234,402 shares of our Class A common stock and sole dispositive power over 327,366,215 shares of our Class A common stock.</w:t>
            </w:r>
          </w:p>
        </w:tc>
      </w:tr>
      <w:tr>
        <w:trPr/>
        <w:tc>
          <w:tcPr>
            <w:tcW w:w="136"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 xml:space="preserve">(3) </w:t>
            </w:r>
          </w:p>
        </w:tc>
        <w:tc>
          <w:tcPr>
            <w:tcW w:w="10069" w:type="dxa"/>
            <w:tcBorders/>
            <w:shd w:fill="auto" w:val="clear"/>
            <w:vAlign w:val="center"/>
          </w:tcPr>
          <w:p>
            <w:pPr>
              <w:pStyle w:val="TableContents"/>
              <w:spacing w:before="0" w:after="283"/>
              <w:jc w:val="left"/>
              <w:rPr>
                <w:rFonts w:ascii="Arial" w:hAnsi="Arial"/>
                <w:sz w:val="15"/>
              </w:rPr>
            </w:pPr>
            <w:r>
              <w:rPr>
                <w:rFonts w:ascii="Arial" w:hAnsi="Arial"/>
                <w:sz w:val="15"/>
              </w:rPr>
              <w:t>Includes 9,039,663 shares of Class B common stock owned by a limited liability company of which Mr. Roberts is the managing member and 404,712 shares of Class B common stock owned by certain family trusts of which Mr. Roberts and/or his descendants are the beneficiaries. The shares of Class B common stock beneficially owned by Mr. Roberts represent 33 1/3% of the combined voting power of the two classes of our voting common stock, which percentage is generally non-dilutable under the terms of our articles of incorporation. Under our articles of incorporation, each share of Class B common stock is convertible at the shareholder’s option into a share of Class A common stock. For information regarding Mr. Roberts’ beneficial ownership of Class A common stock, see the table immediately below, “Security Ownership of Directors and Executive Officers.”</w:t>
            </w:r>
          </w:p>
        </w:tc>
      </w:tr>
    </w:tbl>
    <w:p>
      <w:pPr>
        <w:pStyle w:val="TextBody"/>
        <w:spacing w:before="0" w:after="0"/>
        <w:rPr/>
      </w:pPr>
      <w:r>
        <w:rPr/>
      </w:r>
    </w:p>
    <w:tbl>
      <w:tblPr>
        <w:tblW w:w="223" w:type="dxa"/>
        <w:jc w:val="left"/>
        <w:tblInd w:w="0" w:type="dxa"/>
        <w:tblCellMar>
          <w:top w:w="0" w:type="dxa"/>
          <w:left w:w="0" w:type="dxa"/>
          <w:bottom w:w="0" w:type="dxa"/>
          <w:right w:w="0" w:type="dxa"/>
        </w:tblCellMar>
      </w:tblPr>
      <w:tblGrid>
        <w:gridCol w:w="200"/>
        <w:gridCol w:w="23"/>
      </w:tblGrid>
      <w:tr>
        <w:trPr/>
        <w:tc>
          <w:tcPr>
            <w:tcW w:w="200" w:type="dxa"/>
            <w:tcBorders/>
            <w:shd w:fill="auto" w:val="clear"/>
            <w:vAlign w:val="center"/>
          </w:tcPr>
          <w:p>
            <w:pPr>
              <w:pStyle w:val="TableContents"/>
              <w:spacing w:before="0" w:after="283"/>
              <w:jc w:val="left"/>
              <w:rPr>
                <w:rFonts w:ascii="Arial" w:hAnsi="Arial"/>
                <w:b/>
                <w:sz w:val="15"/>
              </w:rPr>
            </w:pPr>
            <w:r>
              <w:rPr>
                <w:rFonts w:ascii="Arial" w:hAnsi="Arial"/>
                <w:b/>
                <w:sz w:val="15"/>
              </w:rPr>
              <w:t>84</w:t>
            </w:r>
          </w:p>
        </w:tc>
        <w:tc>
          <w:tcPr>
            <w:tcW w:w="2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p>
      <w:pPr>
        <w:pStyle w:val="TextBody"/>
        <w:jc w:val="left"/>
        <w:rPr>
          <w:rFonts w:ascii="Arial" w:hAnsi="Arial"/>
          <w:color w:val="00A1E0"/>
          <w:sz w:val="28"/>
        </w:rPr>
      </w:pPr>
      <w:r>
        <w:rPr>
          <w:rFonts w:ascii="Arial" w:hAnsi="Arial"/>
          <w:color w:val="00A1E0"/>
          <w:sz w:val="28"/>
        </w:rPr>
        <w:t>Security Ownership of Directors and Executive Officers</w:t>
      </w:r>
    </w:p>
    <w:p>
      <w:pPr>
        <w:pStyle w:val="TextBody"/>
        <w:jc w:val="left"/>
        <w:rPr>
          <w:rFonts w:ascii="Arial" w:hAnsi="Arial"/>
          <w:sz w:val="20"/>
        </w:rPr>
      </w:pPr>
      <w:r>
        <w:rPr>
          <w:rFonts w:ascii="Arial" w:hAnsi="Arial"/>
          <w:sz w:val="20"/>
        </w:rPr>
        <w:t>This table sets forth information about the amount of common stock beneficially owned by (i) our current directors (all of whom are also director nominees), (ii) the NEOs listed in “Executive Compensation Tables – Summary Compensation Table” and (iii) our current directors and executive officers as a group. No shares of common stock held by our directors or executive officers are held in margin accounts or have been hedged or pledged.</w:t>
      </w:r>
    </w:p>
    <w:tbl>
      <w:tblPr>
        <w:tblW w:w="10205" w:type="dxa"/>
        <w:jc w:val="left"/>
        <w:tblInd w:w="0" w:type="dxa"/>
        <w:tblCellMar>
          <w:top w:w="0" w:type="dxa"/>
          <w:left w:w="0" w:type="dxa"/>
          <w:bottom w:w="0" w:type="dxa"/>
          <w:right w:w="0" w:type="dxa"/>
        </w:tblCellMar>
      </w:tblPr>
      <w:tblGrid>
        <w:gridCol w:w="4747"/>
        <w:gridCol w:w="300"/>
        <w:gridCol w:w="980"/>
        <w:gridCol w:w="368"/>
        <w:gridCol w:w="300"/>
        <w:gridCol w:w="875"/>
        <w:gridCol w:w="368"/>
        <w:gridCol w:w="300"/>
        <w:gridCol w:w="800"/>
        <w:gridCol w:w="300"/>
        <w:gridCol w:w="497"/>
        <w:gridCol w:w="370"/>
      </w:tblGrid>
      <w:tr>
        <w:trPr/>
        <w:tc>
          <w:tcPr>
            <w:tcW w:w="4747"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jc w:val="center"/>
              <w:rPr/>
            </w:pPr>
            <w:r>
              <w:rPr/>
              <w:t>     </w:t>
            </w:r>
          </w:p>
        </w:tc>
        <w:tc>
          <w:tcPr>
            <w:tcW w:w="2891" w:type="dxa"/>
            <w:gridSpan w:val="5"/>
            <w:tcBorders>
              <w:bottom w:val="single" w:sz="8" w:space="0" w:color="000000"/>
            </w:tcBorders>
            <w:shd w:fill="auto" w:val="clear"/>
            <w:tcMar>
              <w:bottom w:w="40" w:type="dxa"/>
            </w:tcMar>
            <w:vAlign w:val="center"/>
          </w:tcPr>
          <w:p>
            <w:pPr>
              <w:pStyle w:val="TableContents"/>
              <w:spacing w:before="0" w:after="283"/>
              <w:jc w:val="center"/>
              <w:rPr/>
            </w:pPr>
            <w:r>
              <w:rPr>
                <w:rStyle w:val="StrongEmphasis"/>
                <w:rFonts w:ascii="Arial" w:hAnsi="Arial"/>
                <w:sz w:val="15"/>
              </w:rPr>
              <w:t>AMOUNT BENEFICIALLY</w:t>
              <w:br/>
              <w:t>OWNED</w:t>
            </w:r>
            <w:r>
              <w:rPr>
                <w:rStyle w:val="StrongEmphasis"/>
                <w:rFonts w:ascii="Arial" w:hAnsi="Arial"/>
                <w:position w:val="5"/>
                <w:sz w:val="12"/>
                <w:sz w:val="15"/>
              </w:rPr>
              <w:t>(1)</w:t>
            </w:r>
          </w:p>
        </w:tc>
        <w:tc>
          <w:tcPr>
            <w:tcW w:w="300" w:type="dxa"/>
            <w:tcBorders/>
            <w:shd w:fill="auto" w:val="clear"/>
            <w:vAlign w:val="center"/>
          </w:tcPr>
          <w:p>
            <w:pPr>
              <w:pStyle w:val="TableContents"/>
              <w:spacing w:before="0" w:after="283"/>
              <w:jc w:val="left"/>
              <w:rPr/>
            </w:pPr>
            <w:r>
              <w:rPr/>
              <w:t>     </w:t>
            </w:r>
          </w:p>
        </w:tc>
        <w:tc>
          <w:tcPr>
            <w:tcW w:w="1967" w:type="dxa"/>
            <w:gridSpan w:val="4"/>
            <w:tcBorders>
              <w:bottom w:val="single" w:sz="8" w:space="0" w:color="000000"/>
            </w:tcBorders>
            <w:shd w:fill="auto" w:val="clear"/>
            <w:tcMar>
              <w:bottom w:w="40" w:type="dxa"/>
            </w:tcMar>
            <w:vAlign w:val="center"/>
          </w:tcPr>
          <w:p>
            <w:pPr>
              <w:pStyle w:val="TableContents"/>
              <w:spacing w:before="0" w:after="283"/>
              <w:jc w:val="center"/>
              <w:rPr/>
            </w:pPr>
            <w:r>
              <w:rPr>
                <w:rStyle w:val="StrongEmphasis"/>
                <w:rFonts w:ascii="Arial" w:hAnsi="Arial"/>
                <w:sz w:val="15"/>
              </w:rPr>
              <w:t>PERCENT OF CLASS</w:t>
            </w:r>
          </w:p>
        </w:tc>
      </w:tr>
      <w:tr>
        <w:trPr/>
        <w:tc>
          <w:tcPr>
            <w:tcW w:w="4747" w:type="dxa"/>
            <w:tcBorders>
              <w:bottom w:val="single" w:sz="12" w:space="0" w:color="000000"/>
            </w:tcBorders>
            <w:shd w:fill="auto" w:val="clear"/>
            <w:tcMar>
              <w:bottom w:w="40" w:type="dxa"/>
            </w:tcMar>
            <w:vAlign w:val="center"/>
          </w:tcPr>
          <w:p>
            <w:pPr>
              <w:pStyle w:val="TableContents"/>
              <w:spacing w:before="0" w:after="283"/>
              <w:jc w:val="left"/>
              <w:rPr/>
            </w:pPr>
            <w:r>
              <w:rPr>
                <w:rStyle w:val="StrongEmphasis"/>
                <w:rFonts w:ascii="Arial" w:hAnsi="Arial"/>
                <w:sz w:val="15"/>
              </w:rPr>
              <w:t>NAME OF BENEFICIAL OWNER</w:t>
            </w:r>
          </w:p>
        </w:tc>
        <w:tc>
          <w:tcPr>
            <w:tcW w:w="300" w:type="dxa"/>
            <w:tcBorders>
              <w:bottom w:val="single" w:sz="12"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1348" w:type="dxa"/>
            <w:gridSpan w:val="2"/>
            <w:tcBorders>
              <w:bottom w:val="single" w:sz="12" w:space="0" w:color="000000"/>
            </w:tcBorders>
            <w:shd w:fill="auto" w:val="clear"/>
            <w:tcMar>
              <w:bottom w:w="40" w:type="dxa"/>
            </w:tcMar>
            <w:vAlign w:val="center"/>
          </w:tcPr>
          <w:p>
            <w:pPr>
              <w:pStyle w:val="TableContents"/>
              <w:spacing w:before="0" w:after="283"/>
              <w:jc w:val="center"/>
              <w:rPr/>
            </w:pPr>
            <w:r>
              <w:rPr>
                <w:rStyle w:val="StrongEmphasis"/>
                <w:rFonts w:ascii="Arial" w:hAnsi="Arial"/>
                <w:sz w:val="15"/>
              </w:rPr>
              <w:t>CLASS A</w:t>
            </w:r>
            <w:r>
              <w:rPr>
                <w:rStyle w:val="StrongEmphasis"/>
                <w:rFonts w:ascii="Arial" w:hAnsi="Arial"/>
                <w:position w:val="5"/>
                <w:sz w:val="12"/>
                <w:sz w:val="15"/>
              </w:rPr>
              <w:t>(2)</w:t>
            </w:r>
          </w:p>
        </w:tc>
        <w:tc>
          <w:tcPr>
            <w:tcW w:w="300" w:type="dxa"/>
            <w:tcBorders>
              <w:bottom w:val="single" w:sz="12" w:space="0" w:color="000000"/>
            </w:tcBorders>
            <w:shd w:fill="auto" w:val="clear"/>
            <w:tcMar>
              <w:bottom w:w="40" w:type="dxa"/>
            </w:tcMar>
            <w:vAlign w:val="center"/>
          </w:tcPr>
          <w:p>
            <w:pPr>
              <w:pStyle w:val="TableContents"/>
              <w:spacing w:before="0" w:after="283"/>
              <w:jc w:val="left"/>
              <w:rPr/>
            </w:pPr>
            <w:r>
              <w:rPr/>
              <w:t>     </w:t>
            </w:r>
          </w:p>
        </w:tc>
        <w:tc>
          <w:tcPr>
            <w:tcW w:w="1243" w:type="dxa"/>
            <w:gridSpan w:val="2"/>
            <w:tcBorders>
              <w:bottom w:val="single" w:sz="12" w:space="0" w:color="000000"/>
            </w:tcBorders>
            <w:shd w:fill="auto" w:val="clear"/>
            <w:tcMar>
              <w:bottom w:w="40" w:type="dxa"/>
            </w:tcMar>
            <w:vAlign w:val="center"/>
          </w:tcPr>
          <w:p>
            <w:pPr>
              <w:pStyle w:val="TableContents"/>
              <w:spacing w:before="0" w:after="283"/>
              <w:jc w:val="center"/>
              <w:rPr/>
            </w:pPr>
            <w:r>
              <w:rPr>
                <w:rStyle w:val="StrongEmphasis"/>
                <w:rFonts w:ascii="Arial" w:hAnsi="Arial"/>
                <w:sz w:val="15"/>
              </w:rPr>
              <w:t>CLASS B</w:t>
            </w:r>
          </w:p>
        </w:tc>
        <w:tc>
          <w:tcPr>
            <w:tcW w:w="300" w:type="dxa"/>
            <w:tcBorders>
              <w:bottom w:val="single" w:sz="12"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800" w:type="dxa"/>
            <w:tcBorders>
              <w:bottom w:val="single" w:sz="12" w:space="0" w:color="000000"/>
            </w:tcBorders>
            <w:shd w:fill="auto" w:val="clear"/>
            <w:tcMar>
              <w:bottom w:w="40" w:type="dxa"/>
            </w:tcMar>
            <w:vAlign w:val="center"/>
          </w:tcPr>
          <w:p>
            <w:pPr>
              <w:pStyle w:val="TableContents"/>
              <w:spacing w:before="0" w:after="283"/>
              <w:jc w:val="right"/>
              <w:rPr/>
            </w:pPr>
            <w:r>
              <w:rPr>
                <w:rStyle w:val="StrongEmphasis"/>
                <w:rFonts w:ascii="Arial" w:hAnsi="Arial"/>
                <w:sz w:val="15"/>
              </w:rPr>
              <w:t>CLASS A</w:t>
            </w:r>
            <w:r>
              <w:rPr>
                <w:rStyle w:val="StrongEmphasis"/>
                <w:rFonts w:ascii="Arial" w:hAnsi="Arial"/>
                <w:position w:val="5"/>
                <w:sz w:val="12"/>
                <w:sz w:val="15"/>
              </w:rPr>
              <w:t>(2)</w:t>
            </w:r>
          </w:p>
        </w:tc>
        <w:tc>
          <w:tcPr>
            <w:tcW w:w="300" w:type="dxa"/>
            <w:tcBorders>
              <w:bottom w:val="single" w:sz="12" w:space="0" w:color="000000"/>
            </w:tcBorders>
            <w:shd w:fill="auto" w:val="clear"/>
            <w:tcMar>
              <w:bottom w:w="40" w:type="dxa"/>
            </w:tcMar>
            <w:vAlign w:val="center"/>
          </w:tcPr>
          <w:p>
            <w:pPr>
              <w:pStyle w:val="TableContents"/>
              <w:spacing w:before="0" w:after="283"/>
              <w:jc w:val="right"/>
              <w:rPr/>
            </w:pPr>
            <w:r>
              <w:rPr/>
              <w:t>     </w:t>
            </w:r>
          </w:p>
        </w:tc>
        <w:tc>
          <w:tcPr>
            <w:tcW w:w="867" w:type="dxa"/>
            <w:gridSpan w:val="2"/>
            <w:tcBorders>
              <w:bottom w:val="single" w:sz="12" w:space="0" w:color="000000"/>
            </w:tcBorders>
            <w:shd w:fill="auto" w:val="clear"/>
            <w:tcMar>
              <w:bottom w:w="40" w:type="dxa"/>
            </w:tcMar>
            <w:vAlign w:val="center"/>
          </w:tcPr>
          <w:p>
            <w:pPr>
              <w:pStyle w:val="TableContents"/>
              <w:spacing w:before="0" w:after="283"/>
              <w:jc w:val="center"/>
              <w:rPr/>
            </w:pPr>
            <w:r>
              <w:rPr>
                <w:rStyle w:val="StrongEmphasis"/>
                <w:rFonts w:ascii="Arial" w:hAnsi="Arial"/>
                <w:sz w:val="15"/>
              </w:rPr>
              <w:t>CLASS B</w:t>
            </w:r>
          </w:p>
        </w:tc>
      </w:tr>
      <w:tr>
        <w:trPr/>
        <w:tc>
          <w:tcPr>
            <w:tcW w:w="4747" w:type="dxa"/>
            <w:tcBorders>
              <w:bottom w:val="single" w:sz="8" w:space="0" w:color="000000"/>
            </w:tcBorders>
            <w:shd w:fill="auto" w:val="clear"/>
            <w:tcMar>
              <w:bottom w:w="40" w:type="dxa"/>
            </w:tcMar>
            <w:vAlign w:val="center"/>
          </w:tcPr>
          <w:p>
            <w:pPr>
              <w:pStyle w:val="TableContents"/>
              <w:spacing w:before="0" w:after="283"/>
              <w:jc w:val="left"/>
              <w:rPr/>
            </w:pPr>
            <w:r>
              <w:rPr>
                <w:rStyle w:val="StrongEmphasis"/>
                <w:rFonts w:ascii="Arial" w:hAnsi="Arial"/>
                <w:sz w:val="20"/>
              </w:rPr>
              <w:t>Kenneth J. Bacon</w:t>
            </w:r>
          </w:p>
        </w:tc>
        <w:tc>
          <w:tcPr>
            <w:tcW w:w="30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980" w:type="dxa"/>
            <w:tcBorders>
              <w:bottom w:val="single" w:sz="8" w:space="0" w:color="000000"/>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36,831</w:t>
            </w:r>
          </w:p>
        </w:tc>
        <w:tc>
          <w:tcPr>
            <w:tcW w:w="368"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30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875" w:type="dxa"/>
            <w:tcBorders>
              <w:bottom w:val="single" w:sz="8" w:space="0" w:color="000000"/>
            </w:tcBorders>
            <w:shd w:fill="auto" w:val="clear"/>
            <w:tcMar>
              <w:bottom w:w="40" w:type="dxa"/>
            </w:tcMar>
            <w:vAlign w:val="center"/>
          </w:tcPr>
          <w:p>
            <w:pPr>
              <w:pStyle w:val="TableContents"/>
              <w:spacing w:before="0" w:after="283"/>
              <w:jc w:val="right"/>
              <w:rPr/>
            </w:pPr>
            <w:r>
              <w:rPr/>
              <w:t>—</w:t>
            </w:r>
          </w:p>
        </w:tc>
        <w:tc>
          <w:tcPr>
            <w:tcW w:w="368"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30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800" w:type="dxa"/>
            <w:tcBorders>
              <w:bottom w:val="single" w:sz="8" w:space="0" w:color="000000"/>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w:t>
            </w:r>
          </w:p>
        </w:tc>
        <w:tc>
          <w:tcPr>
            <w:tcW w:w="30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497" w:type="dxa"/>
            <w:tcBorders>
              <w:bottom w:val="single" w:sz="8" w:space="0" w:color="000000"/>
            </w:tcBorders>
            <w:shd w:fill="auto" w:val="clear"/>
            <w:tcMar>
              <w:bottom w:w="40" w:type="dxa"/>
            </w:tcMar>
            <w:vAlign w:val="center"/>
          </w:tcPr>
          <w:p>
            <w:pPr>
              <w:pStyle w:val="TableContents"/>
              <w:spacing w:before="0" w:after="283"/>
              <w:jc w:val="right"/>
              <w:rPr/>
            </w:pPr>
            <w:r>
              <w:rPr/>
              <w:t>—</w:t>
            </w:r>
          </w:p>
        </w:tc>
        <w:tc>
          <w:tcPr>
            <w:tcW w:w="37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r>
      <w:tr>
        <w:trPr/>
        <w:tc>
          <w:tcPr>
            <w:tcW w:w="4747" w:type="dxa"/>
            <w:tcBorders>
              <w:bottom w:val="single" w:sz="8" w:space="0" w:color="000000"/>
            </w:tcBorders>
            <w:shd w:fill="auto" w:val="clear"/>
            <w:tcMar>
              <w:bottom w:w="40" w:type="dxa"/>
            </w:tcMar>
            <w:vAlign w:val="center"/>
          </w:tcPr>
          <w:p>
            <w:pPr>
              <w:pStyle w:val="TableContents"/>
              <w:spacing w:before="0" w:after="283"/>
              <w:jc w:val="left"/>
              <w:rPr/>
            </w:pPr>
            <w:r>
              <w:rPr>
                <w:rStyle w:val="StrongEmphasis"/>
                <w:rFonts w:ascii="Arial" w:hAnsi="Arial"/>
                <w:sz w:val="20"/>
              </w:rPr>
              <w:t>Thomas J. Baltimore, Jr.</w:t>
            </w:r>
          </w:p>
        </w:tc>
        <w:tc>
          <w:tcPr>
            <w:tcW w:w="30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980" w:type="dxa"/>
            <w:tcBorders>
              <w:bottom w:val="single" w:sz="8" w:space="0" w:color="000000"/>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5,196</w:t>
            </w:r>
          </w:p>
        </w:tc>
        <w:tc>
          <w:tcPr>
            <w:tcW w:w="368" w:type="dxa"/>
            <w:tcBorders>
              <w:bottom w:val="single" w:sz="8" w:space="0" w:color="000000"/>
            </w:tcBorders>
            <w:shd w:fill="auto" w:val="clear"/>
            <w:tcMar>
              <w:bottom w:w="80" w:type="dxa"/>
            </w:tcMar>
            <w:vAlign w:val="center"/>
          </w:tcPr>
          <w:p>
            <w:pPr>
              <w:pStyle w:val="TableContents"/>
              <w:spacing w:before="0" w:after="283"/>
              <w:jc w:val="left"/>
              <w:rPr>
                <w:rFonts w:ascii="Arial" w:hAnsi="Arial"/>
                <w:sz w:val="20"/>
              </w:rPr>
            </w:pPr>
            <w:r>
              <w:rPr>
                <w:rFonts w:ascii="Arial" w:hAnsi="Arial"/>
                <w:position w:val="7"/>
                <w:sz w:val="16"/>
                <w:sz w:val="20"/>
              </w:rPr>
              <w:t>(3)</w:t>
            </w:r>
            <w:r>
              <w:rPr>
                <w:rFonts w:ascii="Arial" w:hAnsi="Arial"/>
                <w:sz w:val="20"/>
              </w:rPr>
              <w:t> </w:t>
            </w:r>
          </w:p>
        </w:tc>
        <w:tc>
          <w:tcPr>
            <w:tcW w:w="30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875" w:type="dxa"/>
            <w:tcBorders>
              <w:bottom w:val="single" w:sz="8" w:space="0" w:color="000000"/>
            </w:tcBorders>
            <w:shd w:fill="auto" w:val="clear"/>
            <w:tcMar>
              <w:bottom w:w="40" w:type="dxa"/>
            </w:tcMar>
            <w:vAlign w:val="center"/>
          </w:tcPr>
          <w:p>
            <w:pPr>
              <w:pStyle w:val="TableContents"/>
              <w:spacing w:before="0" w:after="283"/>
              <w:jc w:val="right"/>
              <w:rPr/>
            </w:pPr>
            <w:r>
              <w:rPr/>
              <w:t>—</w:t>
            </w:r>
          </w:p>
        </w:tc>
        <w:tc>
          <w:tcPr>
            <w:tcW w:w="368"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30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800" w:type="dxa"/>
            <w:tcBorders>
              <w:bottom w:val="single" w:sz="8" w:space="0" w:color="000000"/>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w:t>
            </w:r>
          </w:p>
        </w:tc>
        <w:tc>
          <w:tcPr>
            <w:tcW w:w="30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497" w:type="dxa"/>
            <w:tcBorders>
              <w:bottom w:val="single" w:sz="8" w:space="0" w:color="000000"/>
            </w:tcBorders>
            <w:shd w:fill="auto" w:val="clear"/>
            <w:tcMar>
              <w:bottom w:w="40" w:type="dxa"/>
            </w:tcMar>
            <w:vAlign w:val="center"/>
          </w:tcPr>
          <w:p>
            <w:pPr>
              <w:pStyle w:val="TableContents"/>
              <w:spacing w:before="0" w:after="283"/>
              <w:jc w:val="right"/>
              <w:rPr/>
            </w:pPr>
            <w:r>
              <w:rPr/>
              <w:t>—</w:t>
            </w:r>
          </w:p>
        </w:tc>
        <w:tc>
          <w:tcPr>
            <w:tcW w:w="37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r>
      <w:tr>
        <w:trPr/>
        <w:tc>
          <w:tcPr>
            <w:tcW w:w="4747" w:type="dxa"/>
            <w:tcBorders>
              <w:bottom w:val="single" w:sz="8" w:space="0" w:color="000000"/>
            </w:tcBorders>
            <w:shd w:fill="auto" w:val="clear"/>
            <w:tcMar>
              <w:bottom w:w="40" w:type="dxa"/>
            </w:tcMar>
            <w:vAlign w:val="center"/>
          </w:tcPr>
          <w:p>
            <w:pPr>
              <w:pStyle w:val="TableContents"/>
              <w:spacing w:before="0" w:after="283"/>
              <w:jc w:val="left"/>
              <w:rPr/>
            </w:pPr>
            <w:r>
              <w:rPr>
                <w:rStyle w:val="StrongEmphasis"/>
                <w:rFonts w:ascii="Arial" w:hAnsi="Arial"/>
                <w:sz w:val="20"/>
              </w:rPr>
              <w:t>Madeline S. Bell</w:t>
            </w:r>
          </w:p>
        </w:tc>
        <w:tc>
          <w:tcPr>
            <w:tcW w:w="30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980" w:type="dxa"/>
            <w:tcBorders>
              <w:bottom w:val="single" w:sz="8" w:space="0" w:color="000000"/>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44,539</w:t>
            </w:r>
          </w:p>
        </w:tc>
        <w:tc>
          <w:tcPr>
            <w:tcW w:w="368" w:type="dxa"/>
            <w:tcBorders>
              <w:bottom w:val="single" w:sz="8" w:space="0" w:color="000000"/>
            </w:tcBorders>
            <w:shd w:fill="auto" w:val="clear"/>
            <w:tcMar>
              <w:bottom w:w="80" w:type="dxa"/>
            </w:tcMar>
            <w:vAlign w:val="center"/>
          </w:tcPr>
          <w:p>
            <w:pPr>
              <w:pStyle w:val="TableContents"/>
              <w:spacing w:before="0" w:after="283"/>
              <w:jc w:val="left"/>
              <w:rPr>
                <w:rFonts w:ascii="Arial" w:hAnsi="Arial"/>
                <w:sz w:val="20"/>
              </w:rPr>
            </w:pPr>
            <w:r>
              <w:rPr>
                <w:rFonts w:ascii="Arial" w:hAnsi="Arial"/>
                <w:position w:val="7"/>
                <w:sz w:val="16"/>
                <w:sz w:val="20"/>
              </w:rPr>
              <w:t>(4)</w:t>
            </w:r>
            <w:r>
              <w:rPr>
                <w:rFonts w:ascii="Arial" w:hAnsi="Arial"/>
                <w:sz w:val="20"/>
              </w:rPr>
              <w:t> </w:t>
            </w:r>
          </w:p>
        </w:tc>
        <w:tc>
          <w:tcPr>
            <w:tcW w:w="30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875" w:type="dxa"/>
            <w:tcBorders>
              <w:bottom w:val="single" w:sz="8" w:space="0" w:color="000000"/>
            </w:tcBorders>
            <w:shd w:fill="auto" w:val="clear"/>
            <w:tcMar>
              <w:bottom w:w="40" w:type="dxa"/>
            </w:tcMar>
            <w:vAlign w:val="center"/>
          </w:tcPr>
          <w:p>
            <w:pPr>
              <w:pStyle w:val="TableContents"/>
              <w:spacing w:before="0" w:after="283"/>
              <w:jc w:val="right"/>
              <w:rPr/>
            </w:pPr>
            <w:r>
              <w:rPr/>
              <w:t>—</w:t>
            </w:r>
          </w:p>
        </w:tc>
        <w:tc>
          <w:tcPr>
            <w:tcW w:w="368"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30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800" w:type="dxa"/>
            <w:tcBorders>
              <w:bottom w:val="single" w:sz="8" w:space="0" w:color="000000"/>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w:t>
            </w:r>
          </w:p>
        </w:tc>
        <w:tc>
          <w:tcPr>
            <w:tcW w:w="30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497" w:type="dxa"/>
            <w:tcBorders>
              <w:bottom w:val="single" w:sz="8" w:space="0" w:color="000000"/>
            </w:tcBorders>
            <w:shd w:fill="auto" w:val="clear"/>
            <w:tcMar>
              <w:bottom w:w="40" w:type="dxa"/>
            </w:tcMar>
            <w:vAlign w:val="center"/>
          </w:tcPr>
          <w:p>
            <w:pPr>
              <w:pStyle w:val="TableContents"/>
              <w:spacing w:before="0" w:after="283"/>
              <w:jc w:val="right"/>
              <w:rPr/>
            </w:pPr>
            <w:r>
              <w:rPr/>
              <w:t>—</w:t>
            </w:r>
          </w:p>
        </w:tc>
        <w:tc>
          <w:tcPr>
            <w:tcW w:w="37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r>
      <w:tr>
        <w:trPr/>
        <w:tc>
          <w:tcPr>
            <w:tcW w:w="4747" w:type="dxa"/>
            <w:tcBorders>
              <w:bottom w:val="single" w:sz="8" w:space="0" w:color="000000"/>
            </w:tcBorders>
            <w:shd w:fill="auto" w:val="clear"/>
            <w:tcMar>
              <w:bottom w:w="40" w:type="dxa"/>
            </w:tcMar>
            <w:vAlign w:val="center"/>
          </w:tcPr>
          <w:p>
            <w:pPr>
              <w:pStyle w:val="TableContents"/>
              <w:spacing w:before="0" w:after="283"/>
              <w:jc w:val="left"/>
              <w:rPr/>
            </w:pPr>
            <w:r>
              <w:rPr>
                <w:rStyle w:val="StrongEmphasis"/>
                <w:rFonts w:ascii="Arial" w:hAnsi="Arial"/>
                <w:sz w:val="20"/>
              </w:rPr>
              <w:t>Edward D. Breen</w:t>
            </w:r>
          </w:p>
        </w:tc>
        <w:tc>
          <w:tcPr>
            <w:tcW w:w="30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980" w:type="dxa"/>
            <w:tcBorders>
              <w:bottom w:val="single" w:sz="8" w:space="0" w:color="000000"/>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113,611</w:t>
            </w:r>
          </w:p>
        </w:tc>
        <w:tc>
          <w:tcPr>
            <w:tcW w:w="368"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30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875" w:type="dxa"/>
            <w:tcBorders>
              <w:bottom w:val="single" w:sz="8" w:space="0" w:color="000000"/>
            </w:tcBorders>
            <w:shd w:fill="auto" w:val="clear"/>
            <w:tcMar>
              <w:bottom w:w="40" w:type="dxa"/>
            </w:tcMar>
            <w:vAlign w:val="center"/>
          </w:tcPr>
          <w:p>
            <w:pPr>
              <w:pStyle w:val="TableContents"/>
              <w:spacing w:before="0" w:after="283"/>
              <w:jc w:val="right"/>
              <w:rPr/>
            </w:pPr>
            <w:r>
              <w:rPr/>
              <w:t>—</w:t>
            </w:r>
          </w:p>
        </w:tc>
        <w:tc>
          <w:tcPr>
            <w:tcW w:w="368"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30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800" w:type="dxa"/>
            <w:tcBorders>
              <w:bottom w:val="single" w:sz="8" w:space="0" w:color="000000"/>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w:t>
            </w:r>
          </w:p>
        </w:tc>
        <w:tc>
          <w:tcPr>
            <w:tcW w:w="30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497" w:type="dxa"/>
            <w:tcBorders>
              <w:bottom w:val="single" w:sz="8" w:space="0" w:color="000000"/>
            </w:tcBorders>
            <w:shd w:fill="auto" w:val="clear"/>
            <w:tcMar>
              <w:bottom w:w="40" w:type="dxa"/>
            </w:tcMar>
            <w:vAlign w:val="center"/>
          </w:tcPr>
          <w:p>
            <w:pPr>
              <w:pStyle w:val="TableContents"/>
              <w:spacing w:before="0" w:after="283"/>
              <w:jc w:val="right"/>
              <w:rPr/>
            </w:pPr>
            <w:r>
              <w:rPr/>
              <w:t>—</w:t>
            </w:r>
          </w:p>
        </w:tc>
        <w:tc>
          <w:tcPr>
            <w:tcW w:w="37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r>
      <w:tr>
        <w:trPr/>
        <w:tc>
          <w:tcPr>
            <w:tcW w:w="4747" w:type="dxa"/>
            <w:tcBorders>
              <w:bottom w:val="single" w:sz="8" w:space="0" w:color="000000"/>
            </w:tcBorders>
            <w:shd w:fill="auto" w:val="clear"/>
            <w:tcMar>
              <w:bottom w:w="40" w:type="dxa"/>
            </w:tcMar>
            <w:vAlign w:val="center"/>
          </w:tcPr>
          <w:p>
            <w:pPr>
              <w:pStyle w:val="TableContents"/>
              <w:spacing w:before="0" w:after="283"/>
              <w:jc w:val="left"/>
              <w:rPr/>
            </w:pPr>
            <w:r>
              <w:rPr>
                <w:rStyle w:val="StrongEmphasis"/>
                <w:rFonts w:ascii="Arial" w:hAnsi="Arial"/>
                <w:sz w:val="20"/>
              </w:rPr>
              <w:t>Michael J. Cavanagh</w:t>
            </w:r>
          </w:p>
        </w:tc>
        <w:tc>
          <w:tcPr>
            <w:tcW w:w="30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980" w:type="dxa"/>
            <w:tcBorders>
              <w:bottom w:val="single" w:sz="8" w:space="0" w:color="000000"/>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4,932,946</w:t>
            </w:r>
          </w:p>
        </w:tc>
        <w:tc>
          <w:tcPr>
            <w:tcW w:w="368" w:type="dxa"/>
            <w:tcBorders>
              <w:bottom w:val="single" w:sz="8" w:space="0" w:color="000000"/>
            </w:tcBorders>
            <w:shd w:fill="auto" w:val="clear"/>
            <w:tcMar>
              <w:bottom w:w="80" w:type="dxa"/>
            </w:tcMar>
            <w:vAlign w:val="center"/>
          </w:tcPr>
          <w:p>
            <w:pPr>
              <w:pStyle w:val="TableContents"/>
              <w:spacing w:before="0" w:after="283"/>
              <w:jc w:val="left"/>
              <w:rPr>
                <w:rFonts w:ascii="Arial" w:hAnsi="Arial"/>
                <w:sz w:val="20"/>
              </w:rPr>
            </w:pPr>
            <w:r>
              <w:rPr>
                <w:rFonts w:ascii="Arial" w:hAnsi="Arial"/>
                <w:position w:val="7"/>
                <w:sz w:val="16"/>
                <w:sz w:val="20"/>
              </w:rPr>
              <w:t>(5)</w:t>
            </w:r>
            <w:r>
              <w:rPr>
                <w:rFonts w:ascii="Arial" w:hAnsi="Arial"/>
                <w:sz w:val="20"/>
              </w:rPr>
              <w:t> </w:t>
            </w:r>
          </w:p>
        </w:tc>
        <w:tc>
          <w:tcPr>
            <w:tcW w:w="30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875" w:type="dxa"/>
            <w:tcBorders>
              <w:bottom w:val="single" w:sz="8" w:space="0" w:color="000000"/>
            </w:tcBorders>
            <w:shd w:fill="auto" w:val="clear"/>
            <w:tcMar>
              <w:bottom w:w="40" w:type="dxa"/>
            </w:tcMar>
            <w:vAlign w:val="center"/>
          </w:tcPr>
          <w:p>
            <w:pPr>
              <w:pStyle w:val="TableContents"/>
              <w:spacing w:before="0" w:after="283"/>
              <w:jc w:val="right"/>
              <w:rPr/>
            </w:pPr>
            <w:r>
              <w:rPr/>
              <w:t>—</w:t>
            </w:r>
          </w:p>
        </w:tc>
        <w:tc>
          <w:tcPr>
            <w:tcW w:w="368"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30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800" w:type="dxa"/>
            <w:tcBorders>
              <w:bottom w:val="single" w:sz="8" w:space="0" w:color="000000"/>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w:t>
            </w:r>
          </w:p>
        </w:tc>
        <w:tc>
          <w:tcPr>
            <w:tcW w:w="30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497" w:type="dxa"/>
            <w:tcBorders>
              <w:bottom w:val="single" w:sz="8" w:space="0" w:color="000000"/>
            </w:tcBorders>
            <w:shd w:fill="auto" w:val="clear"/>
            <w:tcMar>
              <w:bottom w:w="40" w:type="dxa"/>
            </w:tcMar>
            <w:vAlign w:val="center"/>
          </w:tcPr>
          <w:p>
            <w:pPr>
              <w:pStyle w:val="TableContents"/>
              <w:spacing w:before="0" w:after="283"/>
              <w:jc w:val="right"/>
              <w:rPr/>
            </w:pPr>
            <w:r>
              <w:rPr/>
              <w:t>—</w:t>
            </w:r>
          </w:p>
        </w:tc>
        <w:tc>
          <w:tcPr>
            <w:tcW w:w="37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r>
      <w:tr>
        <w:trPr/>
        <w:tc>
          <w:tcPr>
            <w:tcW w:w="4747" w:type="dxa"/>
            <w:tcBorders>
              <w:bottom w:val="single" w:sz="8" w:space="0" w:color="000000"/>
            </w:tcBorders>
            <w:shd w:fill="auto" w:val="clear"/>
            <w:tcMar>
              <w:bottom w:w="40" w:type="dxa"/>
            </w:tcMar>
            <w:vAlign w:val="center"/>
          </w:tcPr>
          <w:p>
            <w:pPr>
              <w:pStyle w:val="TableContents"/>
              <w:spacing w:before="0" w:after="283"/>
              <w:jc w:val="left"/>
              <w:rPr/>
            </w:pPr>
            <w:r>
              <w:rPr>
                <w:rStyle w:val="StrongEmphasis"/>
                <w:rFonts w:ascii="Arial" w:hAnsi="Arial"/>
                <w:sz w:val="20"/>
              </w:rPr>
              <w:t>Gerald L. Hassell</w:t>
            </w:r>
          </w:p>
        </w:tc>
        <w:tc>
          <w:tcPr>
            <w:tcW w:w="30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980" w:type="dxa"/>
            <w:tcBorders>
              <w:bottom w:val="single" w:sz="8" w:space="0" w:color="000000"/>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184,553</w:t>
            </w:r>
          </w:p>
        </w:tc>
        <w:tc>
          <w:tcPr>
            <w:tcW w:w="368"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30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875" w:type="dxa"/>
            <w:tcBorders>
              <w:bottom w:val="single" w:sz="8" w:space="0" w:color="000000"/>
            </w:tcBorders>
            <w:shd w:fill="auto" w:val="clear"/>
            <w:tcMar>
              <w:bottom w:w="40" w:type="dxa"/>
            </w:tcMar>
            <w:vAlign w:val="center"/>
          </w:tcPr>
          <w:p>
            <w:pPr>
              <w:pStyle w:val="TableContents"/>
              <w:spacing w:before="0" w:after="283"/>
              <w:jc w:val="right"/>
              <w:rPr/>
            </w:pPr>
            <w:r>
              <w:rPr/>
              <w:t>—</w:t>
            </w:r>
          </w:p>
        </w:tc>
        <w:tc>
          <w:tcPr>
            <w:tcW w:w="368"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30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800" w:type="dxa"/>
            <w:tcBorders>
              <w:bottom w:val="single" w:sz="8" w:space="0" w:color="000000"/>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w:t>
            </w:r>
          </w:p>
        </w:tc>
        <w:tc>
          <w:tcPr>
            <w:tcW w:w="30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497" w:type="dxa"/>
            <w:tcBorders>
              <w:bottom w:val="single" w:sz="8" w:space="0" w:color="000000"/>
            </w:tcBorders>
            <w:shd w:fill="auto" w:val="clear"/>
            <w:tcMar>
              <w:bottom w:w="40" w:type="dxa"/>
            </w:tcMar>
            <w:vAlign w:val="center"/>
          </w:tcPr>
          <w:p>
            <w:pPr>
              <w:pStyle w:val="TableContents"/>
              <w:spacing w:before="0" w:after="283"/>
              <w:jc w:val="right"/>
              <w:rPr/>
            </w:pPr>
            <w:r>
              <w:rPr/>
              <w:t>—</w:t>
            </w:r>
          </w:p>
        </w:tc>
        <w:tc>
          <w:tcPr>
            <w:tcW w:w="37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r>
      <w:tr>
        <w:trPr/>
        <w:tc>
          <w:tcPr>
            <w:tcW w:w="4747" w:type="dxa"/>
            <w:tcBorders>
              <w:bottom w:val="single" w:sz="8" w:space="0" w:color="000000"/>
            </w:tcBorders>
            <w:shd w:fill="auto" w:val="clear"/>
            <w:tcMar>
              <w:bottom w:w="40" w:type="dxa"/>
            </w:tcMar>
            <w:vAlign w:val="center"/>
          </w:tcPr>
          <w:p>
            <w:pPr>
              <w:pStyle w:val="TableContents"/>
              <w:spacing w:before="0" w:after="283"/>
              <w:jc w:val="left"/>
              <w:rPr/>
            </w:pPr>
            <w:r>
              <w:rPr>
                <w:rStyle w:val="StrongEmphasis"/>
                <w:rFonts w:ascii="Arial" w:hAnsi="Arial"/>
                <w:sz w:val="20"/>
              </w:rPr>
              <w:t>Jeffrey A. Honickman</w:t>
            </w:r>
          </w:p>
        </w:tc>
        <w:tc>
          <w:tcPr>
            <w:tcW w:w="30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980" w:type="dxa"/>
            <w:tcBorders>
              <w:bottom w:val="single" w:sz="8" w:space="0" w:color="000000"/>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379,928</w:t>
            </w:r>
          </w:p>
        </w:tc>
        <w:tc>
          <w:tcPr>
            <w:tcW w:w="368" w:type="dxa"/>
            <w:tcBorders>
              <w:bottom w:val="single" w:sz="8" w:space="0" w:color="000000"/>
            </w:tcBorders>
            <w:shd w:fill="auto" w:val="clear"/>
            <w:tcMar>
              <w:bottom w:w="80" w:type="dxa"/>
            </w:tcMar>
            <w:vAlign w:val="center"/>
          </w:tcPr>
          <w:p>
            <w:pPr>
              <w:pStyle w:val="TableContents"/>
              <w:spacing w:before="0" w:after="283"/>
              <w:jc w:val="left"/>
              <w:rPr>
                <w:rFonts w:ascii="Arial" w:hAnsi="Arial"/>
                <w:sz w:val="20"/>
              </w:rPr>
            </w:pPr>
            <w:r>
              <w:rPr>
                <w:rFonts w:ascii="Arial" w:hAnsi="Arial"/>
                <w:position w:val="7"/>
                <w:sz w:val="16"/>
                <w:sz w:val="20"/>
              </w:rPr>
              <w:t>(6)</w:t>
            </w:r>
            <w:r>
              <w:rPr>
                <w:rFonts w:ascii="Arial" w:hAnsi="Arial"/>
                <w:sz w:val="20"/>
              </w:rPr>
              <w:t> </w:t>
            </w:r>
          </w:p>
        </w:tc>
        <w:tc>
          <w:tcPr>
            <w:tcW w:w="30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875" w:type="dxa"/>
            <w:tcBorders>
              <w:bottom w:val="single" w:sz="8" w:space="0" w:color="000000"/>
            </w:tcBorders>
            <w:shd w:fill="auto" w:val="clear"/>
            <w:tcMar>
              <w:bottom w:w="40" w:type="dxa"/>
            </w:tcMar>
            <w:vAlign w:val="center"/>
          </w:tcPr>
          <w:p>
            <w:pPr>
              <w:pStyle w:val="TableContents"/>
              <w:spacing w:before="0" w:after="283"/>
              <w:jc w:val="right"/>
              <w:rPr/>
            </w:pPr>
            <w:r>
              <w:rPr/>
              <w:t>—</w:t>
            </w:r>
          </w:p>
        </w:tc>
        <w:tc>
          <w:tcPr>
            <w:tcW w:w="368"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30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800" w:type="dxa"/>
            <w:tcBorders>
              <w:bottom w:val="single" w:sz="8" w:space="0" w:color="000000"/>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w:t>
            </w:r>
          </w:p>
        </w:tc>
        <w:tc>
          <w:tcPr>
            <w:tcW w:w="30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497" w:type="dxa"/>
            <w:tcBorders>
              <w:bottom w:val="single" w:sz="8" w:space="0" w:color="000000"/>
            </w:tcBorders>
            <w:shd w:fill="auto" w:val="clear"/>
            <w:tcMar>
              <w:bottom w:w="40" w:type="dxa"/>
            </w:tcMar>
            <w:vAlign w:val="center"/>
          </w:tcPr>
          <w:p>
            <w:pPr>
              <w:pStyle w:val="TableContents"/>
              <w:spacing w:before="0" w:after="283"/>
              <w:jc w:val="right"/>
              <w:rPr/>
            </w:pPr>
            <w:r>
              <w:rPr/>
              <w:t>—</w:t>
            </w:r>
          </w:p>
        </w:tc>
        <w:tc>
          <w:tcPr>
            <w:tcW w:w="37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r>
      <w:tr>
        <w:trPr/>
        <w:tc>
          <w:tcPr>
            <w:tcW w:w="4747" w:type="dxa"/>
            <w:tcBorders>
              <w:bottom w:val="single" w:sz="8" w:space="0" w:color="000000"/>
            </w:tcBorders>
            <w:shd w:fill="auto" w:val="clear"/>
            <w:tcMar>
              <w:bottom w:w="40" w:type="dxa"/>
            </w:tcMar>
            <w:vAlign w:val="center"/>
          </w:tcPr>
          <w:p>
            <w:pPr>
              <w:pStyle w:val="TableContents"/>
              <w:spacing w:before="0" w:after="283"/>
              <w:jc w:val="left"/>
              <w:rPr/>
            </w:pPr>
            <w:r>
              <w:rPr>
                <w:rStyle w:val="StrongEmphasis"/>
                <w:rFonts w:ascii="Arial" w:hAnsi="Arial"/>
                <w:sz w:val="20"/>
              </w:rPr>
              <w:t>Maritza G. Montiel</w:t>
            </w:r>
          </w:p>
        </w:tc>
        <w:tc>
          <w:tcPr>
            <w:tcW w:w="30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980" w:type="dxa"/>
            <w:tcBorders>
              <w:bottom w:val="single" w:sz="8" w:space="0" w:color="000000"/>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21,593</w:t>
            </w:r>
          </w:p>
        </w:tc>
        <w:tc>
          <w:tcPr>
            <w:tcW w:w="368" w:type="dxa"/>
            <w:tcBorders>
              <w:bottom w:val="single" w:sz="8" w:space="0" w:color="000000"/>
            </w:tcBorders>
            <w:shd w:fill="auto" w:val="clear"/>
            <w:tcMar>
              <w:bottom w:w="80" w:type="dxa"/>
            </w:tcMar>
            <w:vAlign w:val="center"/>
          </w:tcPr>
          <w:p>
            <w:pPr>
              <w:pStyle w:val="TableContents"/>
              <w:spacing w:before="0" w:after="283"/>
              <w:jc w:val="left"/>
              <w:rPr>
                <w:rFonts w:ascii="Arial" w:hAnsi="Arial"/>
                <w:sz w:val="20"/>
              </w:rPr>
            </w:pPr>
            <w:r>
              <w:rPr>
                <w:rFonts w:ascii="Arial" w:hAnsi="Arial"/>
                <w:position w:val="7"/>
                <w:sz w:val="16"/>
                <w:sz w:val="20"/>
              </w:rPr>
              <w:t>(7)</w:t>
            </w:r>
            <w:r>
              <w:rPr>
                <w:rFonts w:ascii="Arial" w:hAnsi="Arial"/>
                <w:sz w:val="20"/>
              </w:rPr>
              <w:t> </w:t>
            </w:r>
          </w:p>
        </w:tc>
        <w:tc>
          <w:tcPr>
            <w:tcW w:w="30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875" w:type="dxa"/>
            <w:tcBorders>
              <w:bottom w:val="single" w:sz="8" w:space="0" w:color="000000"/>
            </w:tcBorders>
            <w:shd w:fill="auto" w:val="clear"/>
            <w:tcMar>
              <w:bottom w:w="40" w:type="dxa"/>
            </w:tcMar>
            <w:vAlign w:val="center"/>
          </w:tcPr>
          <w:p>
            <w:pPr>
              <w:pStyle w:val="TableContents"/>
              <w:spacing w:before="0" w:after="283"/>
              <w:jc w:val="right"/>
              <w:rPr/>
            </w:pPr>
            <w:r>
              <w:rPr/>
              <w:t>—</w:t>
            </w:r>
          </w:p>
        </w:tc>
        <w:tc>
          <w:tcPr>
            <w:tcW w:w="368"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30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800" w:type="dxa"/>
            <w:tcBorders>
              <w:bottom w:val="single" w:sz="8" w:space="0" w:color="000000"/>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w:t>
            </w:r>
          </w:p>
        </w:tc>
        <w:tc>
          <w:tcPr>
            <w:tcW w:w="30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497" w:type="dxa"/>
            <w:tcBorders>
              <w:bottom w:val="single" w:sz="8" w:space="0" w:color="000000"/>
            </w:tcBorders>
            <w:shd w:fill="auto" w:val="clear"/>
            <w:tcMar>
              <w:bottom w:w="40" w:type="dxa"/>
            </w:tcMar>
            <w:vAlign w:val="center"/>
          </w:tcPr>
          <w:p>
            <w:pPr>
              <w:pStyle w:val="TableContents"/>
              <w:spacing w:before="0" w:after="283"/>
              <w:jc w:val="right"/>
              <w:rPr/>
            </w:pPr>
            <w:r>
              <w:rPr/>
              <w:t>—</w:t>
            </w:r>
          </w:p>
        </w:tc>
        <w:tc>
          <w:tcPr>
            <w:tcW w:w="37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r>
      <w:tr>
        <w:trPr/>
        <w:tc>
          <w:tcPr>
            <w:tcW w:w="4747" w:type="dxa"/>
            <w:tcBorders>
              <w:bottom w:val="single" w:sz="8" w:space="0" w:color="000000"/>
            </w:tcBorders>
            <w:shd w:fill="auto" w:val="clear"/>
            <w:tcMar>
              <w:bottom w:w="40" w:type="dxa"/>
            </w:tcMar>
            <w:vAlign w:val="center"/>
          </w:tcPr>
          <w:p>
            <w:pPr>
              <w:pStyle w:val="TableContents"/>
              <w:spacing w:before="0" w:after="283"/>
              <w:jc w:val="left"/>
              <w:rPr/>
            </w:pPr>
            <w:r>
              <w:rPr>
                <w:rStyle w:val="StrongEmphasis"/>
                <w:rFonts w:ascii="Arial" w:hAnsi="Arial"/>
                <w:sz w:val="20"/>
              </w:rPr>
              <w:t>Asuka Nakahara</w:t>
            </w:r>
          </w:p>
        </w:tc>
        <w:tc>
          <w:tcPr>
            <w:tcW w:w="30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980" w:type="dxa"/>
            <w:tcBorders>
              <w:bottom w:val="single" w:sz="8" w:space="0" w:color="000000"/>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56,437</w:t>
            </w:r>
          </w:p>
        </w:tc>
        <w:tc>
          <w:tcPr>
            <w:tcW w:w="368"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30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875" w:type="dxa"/>
            <w:tcBorders>
              <w:bottom w:val="single" w:sz="8" w:space="0" w:color="000000"/>
            </w:tcBorders>
            <w:shd w:fill="auto" w:val="clear"/>
            <w:tcMar>
              <w:bottom w:w="40" w:type="dxa"/>
            </w:tcMar>
            <w:vAlign w:val="center"/>
          </w:tcPr>
          <w:p>
            <w:pPr>
              <w:pStyle w:val="TableContents"/>
              <w:spacing w:before="0" w:after="283"/>
              <w:jc w:val="right"/>
              <w:rPr/>
            </w:pPr>
            <w:r>
              <w:rPr/>
              <w:t>—</w:t>
            </w:r>
          </w:p>
        </w:tc>
        <w:tc>
          <w:tcPr>
            <w:tcW w:w="368"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30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800" w:type="dxa"/>
            <w:tcBorders>
              <w:bottom w:val="single" w:sz="8" w:space="0" w:color="000000"/>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w:t>
            </w:r>
          </w:p>
        </w:tc>
        <w:tc>
          <w:tcPr>
            <w:tcW w:w="30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497" w:type="dxa"/>
            <w:tcBorders>
              <w:bottom w:val="single" w:sz="8" w:space="0" w:color="000000"/>
            </w:tcBorders>
            <w:shd w:fill="auto" w:val="clear"/>
            <w:tcMar>
              <w:bottom w:w="40" w:type="dxa"/>
            </w:tcMar>
            <w:vAlign w:val="center"/>
          </w:tcPr>
          <w:p>
            <w:pPr>
              <w:pStyle w:val="TableContents"/>
              <w:spacing w:before="0" w:after="283"/>
              <w:jc w:val="right"/>
              <w:rPr/>
            </w:pPr>
            <w:r>
              <w:rPr/>
              <w:t>—</w:t>
            </w:r>
          </w:p>
        </w:tc>
        <w:tc>
          <w:tcPr>
            <w:tcW w:w="37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r>
      <w:tr>
        <w:trPr/>
        <w:tc>
          <w:tcPr>
            <w:tcW w:w="4747" w:type="dxa"/>
            <w:tcBorders>
              <w:bottom w:val="single" w:sz="8" w:space="0" w:color="000000"/>
            </w:tcBorders>
            <w:shd w:fill="auto" w:val="clear"/>
            <w:tcMar>
              <w:bottom w:w="40" w:type="dxa"/>
            </w:tcMar>
            <w:vAlign w:val="center"/>
          </w:tcPr>
          <w:p>
            <w:pPr>
              <w:pStyle w:val="TableContents"/>
              <w:spacing w:before="0" w:after="283"/>
              <w:jc w:val="left"/>
              <w:rPr/>
            </w:pPr>
            <w:r>
              <w:rPr>
                <w:rStyle w:val="StrongEmphasis"/>
                <w:rFonts w:ascii="Arial" w:hAnsi="Arial"/>
                <w:sz w:val="20"/>
              </w:rPr>
              <w:t>David C. Novak</w:t>
            </w:r>
          </w:p>
        </w:tc>
        <w:tc>
          <w:tcPr>
            <w:tcW w:w="30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980" w:type="dxa"/>
            <w:tcBorders>
              <w:bottom w:val="single" w:sz="8" w:space="0" w:color="000000"/>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378,115</w:t>
            </w:r>
          </w:p>
        </w:tc>
        <w:tc>
          <w:tcPr>
            <w:tcW w:w="368" w:type="dxa"/>
            <w:tcBorders>
              <w:bottom w:val="single" w:sz="8" w:space="0" w:color="000000"/>
            </w:tcBorders>
            <w:shd w:fill="auto" w:val="clear"/>
            <w:tcMar>
              <w:bottom w:w="80" w:type="dxa"/>
            </w:tcMar>
            <w:vAlign w:val="center"/>
          </w:tcPr>
          <w:p>
            <w:pPr>
              <w:pStyle w:val="TableContents"/>
              <w:spacing w:before="0" w:after="283"/>
              <w:jc w:val="left"/>
              <w:rPr>
                <w:rFonts w:ascii="Arial" w:hAnsi="Arial"/>
                <w:sz w:val="20"/>
              </w:rPr>
            </w:pPr>
            <w:r>
              <w:rPr>
                <w:rFonts w:ascii="Arial" w:hAnsi="Arial"/>
                <w:position w:val="7"/>
                <w:sz w:val="16"/>
                <w:sz w:val="20"/>
              </w:rPr>
              <w:t>(8)</w:t>
            </w:r>
            <w:r>
              <w:rPr>
                <w:rFonts w:ascii="Arial" w:hAnsi="Arial"/>
                <w:sz w:val="20"/>
              </w:rPr>
              <w:t> </w:t>
            </w:r>
          </w:p>
        </w:tc>
        <w:tc>
          <w:tcPr>
            <w:tcW w:w="30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875" w:type="dxa"/>
            <w:tcBorders>
              <w:bottom w:val="single" w:sz="8" w:space="0" w:color="000000"/>
            </w:tcBorders>
            <w:shd w:fill="auto" w:val="clear"/>
            <w:tcMar>
              <w:bottom w:w="40" w:type="dxa"/>
            </w:tcMar>
            <w:vAlign w:val="center"/>
          </w:tcPr>
          <w:p>
            <w:pPr>
              <w:pStyle w:val="TableContents"/>
              <w:spacing w:before="0" w:after="283"/>
              <w:jc w:val="right"/>
              <w:rPr/>
            </w:pPr>
            <w:r>
              <w:rPr/>
              <w:t>—</w:t>
            </w:r>
          </w:p>
        </w:tc>
        <w:tc>
          <w:tcPr>
            <w:tcW w:w="368"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30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800" w:type="dxa"/>
            <w:tcBorders>
              <w:bottom w:val="single" w:sz="8" w:space="0" w:color="000000"/>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w:t>
            </w:r>
          </w:p>
        </w:tc>
        <w:tc>
          <w:tcPr>
            <w:tcW w:w="30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497" w:type="dxa"/>
            <w:tcBorders>
              <w:bottom w:val="single" w:sz="8" w:space="0" w:color="000000"/>
            </w:tcBorders>
            <w:shd w:fill="auto" w:val="clear"/>
            <w:tcMar>
              <w:bottom w:w="40" w:type="dxa"/>
            </w:tcMar>
            <w:vAlign w:val="center"/>
          </w:tcPr>
          <w:p>
            <w:pPr>
              <w:pStyle w:val="TableContents"/>
              <w:spacing w:before="0" w:after="283"/>
              <w:jc w:val="right"/>
              <w:rPr/>
            </w:pPr>
            <w:r>
              <w:rPr/>
              <w:t>—</w:t>
            </w:r>
          </w:p>
        </w:tc>
        <w:tc>
          <w:tcPr>
            <w:tcW w:w="37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r>
      <w:tr>
        <w:trPr/>
        <w:tc>
          <w:tcPr>
            <w:tcW w:w="4747" w:type="dxa"/>
            <w:tcBorders>
              <w:bottom w:val="single" w:sz="8" w:space="0" w:color="000000"/>
            </w:tcBorders>
            <w:shd w:fill="auto" w:val="clear"/>
            <w:tcMar>
              <w:bottom w:w="40" w:type="dxa"/>
            </w:tcMar>
            <w:vAlign w:val="center"/>
          </w:tcPr>
          <w:p>
            <w:pPr>
              <w:pStyle w:val="TableContents"/>
              <w:spacing w:before="0" w:after="283"/>
              <w:jc w:val="left"/>
              <w:rPr/>
            </w:pPr>
            <w:r>
              <w:rPr>
                <w:rStyle w:val="StrongEmphasis"/>
                <w:rFonts w:ascii="Arial" w:hAnsi="Arial"/>
                <w:sz w:val="20"/>
              </w:rPr>
              <w:t>Brian L. Roberts</w:t>
            </w:r>
          </w:p>
        </w:tc>
        <w:tc>
          <w:tcPr>
            <w:tcW w:w="30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980" w:type="dxa"/>
            <w:tcBorders>
              <w:bottom w:val="single" w:sz="8" w:space="0" w:color="000000"/>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32,233,621</w:t>
            </w:r>
          </w:p>
        </w:tc>
        <w:tc>
          <w:tcPr>
            <w:tcW w:w="368" w:type="dxa"/>
            <w:tcBorders>
              <w:bottom w:val="single" w:sz="8" w:space="0" w:color="000000"/>
            </w:tcBorders>
            <w:shd w:fill="auto" w:val="clear"/>
            <w:tcMar>
              <w:bottom w:w="80" w:type="dxa"/>
            </w:tcMar>
            <w:vAlign w:val="center"/>
          </w:tcPr>
          <w:p>
            <w:pPr>
              <w:pStyle w:val="TableContents"/>
              <w:spacing w:before="0" w:after="283"/>
              <w:jc w:val="left"/>
              <w:rPr>
                <w:rFonts w:ascii="Arial" w:hAnsi="Arial"/>
                <w:sz w:val="20"/>
              </w:rPr>
            </w:pPr>
            <w:r>
              <w:rPr>
                <w:rFonts w:ascii="Arial" w:hAnsi="Arial"/>
                <w:position w:val="7"/>
                <w:sz w:val="16"/>
                <w:sz w:val="20"/>
              </w:rPr>
              <w:t>(9)</w:t>
            </w:r>
            <w:r>
              <w:rPr>
                <w:rFonts w:ascii="Arial" w:hAnsi="Arial"/>
                <w:sz w:val="20"/>
              </w:rPr>
              <w:t> </w:t>
            </w:r>
          </w:p>
        </w:tc>
        <w:tc>
          <w:tcPr>
            <w:tcW w:w="30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875" w:type="dxa"/>
            <w:tcBorders>
              <w:bottom w:val="single" w:sz="8" w:space="0" w:color="000000"/>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9,444,375</w:t>
            </w:r>
          </w:p>
        </w:tc>
        <w:tc>
          <w:tcPr>
            <w:tcW w:w="368" w:type="dxa"/>
            <w:tcBorders>
              <w:bottom w:val="single" w:sz="8" w:space="0" w:color="000000"/>
            </w:tcBorders>
            <w:shd w:fill="auto" w:val="clear"/>
            <w:tcMar>
              <w:bottom w:w="40" w:type="dxa"/>
            </w:tcMar>
            <w:vAlign w:val="center"/>
          </w:tcPr>
          <w:p>
            <w:pPr>
              <w:pStyle w:val="TableContents"/>
              <w:spacing w:before="0" w:after="283"/>
              <w:jc w:val="left"/>
              <w:rPr>
                <w:rFonts w:ascii="Arial" w:hAnsi="Arial"/>
                <w:sz w:val="20"/>
              </w:rPr>
            </w:pPr>
            <w:r>
              <w:rPr>
                <w:rFonts w:ascii="Arial" w:hAnsi="Arial"/>
                <w:position w:val="7"/>
                <w:sz w:val="16"/>
                <w:sz w:val="20"/>
              </w:rPr>
              <w:t>(10)</w:t>
            </w:r>
            <w:r>
              <w:rPr>
                <w:rFonts w:ascii="Arial" w:hAnsi="Arial"/>
                <w:sz w:val="20"/>
              </w:rPr>
              <w:t> </w:t>
            </w:r>
          </w:p>
        </w:tc>
        <w:tc>
          <w:tcPr>
            <w:tcW w:w="30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800" w:type="dxa"/>
            <w:tcBorders>
              <w:bottom w:val="single" w:sz="8" w:space="0" w:color="000000"/>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w:t>
            </w:r>
          </w:p>
        </w:tc>
        <w:tc>
          <w:tcPr>
            <w:tcW w:w="30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497" w:type="dxa"/>
            <w:tcBorders>
              <w:bottom w:val="single" w:sz="8" w:space="0" w:color="000000"/>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100%</w:t>
            </w:r>
          </w:p>
        </w:tc>
        <w:tc>
          <w:tcPr>
            <w:tcW w:w="370" w:type="dxa"/>
            <w:tcBorders>
              <w:bottom w:val="single" w:sz="8" w:space="0" w:color="000000"/>
            </w:tcBorders>
            <w:shd w:fill="auto" w:val="clear"/>
            <w:tcMar>
              <w:bottom w:w="40" w:type="dxa"/>
            </w:tcMar>
            <w:vAlign w:val="center"/>
          </w:tcPr>
          <w:p>
            <w:pPr>
              <w:pStyle w:val="TableContents"/>
              <w:spacing w:before="0" w:after="283"/>
              <w:jc w:val="left"/>
              <w:rPr>
                <w:rFonts w:ascii="Arial" w:hAnsi="Arial"/>
                <w:sz w:val="20"/>
              </w:rPr>
            </w:pPr>
            <w:r>
              <w:rPr>
                <w:rFonts w:ascii="Arial" w:hAnsi="Arial"/>
                <w:position w:val="7"/>
                <w:sz w:val="16"/>
                <w:sz w:val="20"/>
              </w:rPr>
              <w:t>(10)</w:t>
            </w:r>
            <w:r>
              <w:rPr>
                <w:rFonts w:ascii="Arial" w:hAnsi="Arial"/>
                <w:sz w:val="20"/>
              </w:rPr>
              <w:t> </w:t>
            </w:r>
          </w:p>
        </w:tc>
      </w:tr>
      <w:tr>
        <w:trPr/>
        <w:tc>
          <w:tcPr>
            <w:tcW w:w="4747" w:type="dxa"/>
            <w:tcBorders>
              <w:bottom w:val="single" w:sz="8" w:space="0" w:color="000000"/>
            </w:tcBorders>
            <w:shd w:fill="auto" w:val="clear"/>
            <w:tcMar>
              <w:bottom w:w="40" w:type="dxa"/>
            </w:tcMar>
            <w:vAlign w:val="center"/>
          </w:tcPr>
          <w:p>
            <w:pPr>
              <w:pStyle w:val="TableContents"/>
              <w:spacing w:before="0" w:after="283"/>
              <w:jc w:val="left"/>
              <w:rPr/>
            </w:pPr>
            <w:r>
              <w:rPr>
                <w:rStyle w:val="StrongEmphasis"/>
                <w:rFonts w:ascii="Arial" w:hAnsi="Arial"/>
                <w:sz w:val="20"/>
              </w:rPr>
              <w:t>Jeff Shell</w:t>
            </w:r>
          </w:p>
        </w:tc>
        <w:tc>
          <w:tcPr>
            <w:tcW w:w="30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980" w:type="dxa"/>
            <w:tcBorders>
              <w:bottom w:val="single" w:sz="8" w:space="0" w:color="000000"/>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1,093,911</w:t>
            </w:r>
          </w:p>
        </w:tc>
        <w:tc>
          <w:tcPr>
            <w:tcW w:w="368" w:type="dxa"/>
            <w:tcBorders>
              <w:bottom w:val="single" w:sz="8" w:space="0" w:color="000000"/>
            </w:tcBorders>
            <w:shd w:fill="auto" w:val="clear"/>
            <w:tcMar>
              <w:bottom w:w="80" w:type="dxa"/>
            </w:tcMar>
            <w:vAlign w:val="center"/>
          </w:tcPr>
          <w:p>
            <w:pPr>
              <w:pStyle w:val="TableContents"/>
              <w:spacing w:before="0" w:after="283"/>
              <w:jc w:val="left"/>
              <w:rPr>
                <w:rFonts w:ascii="Arial" w:hAnsi="Arial"/>
                <w:sz w:val="20"/>
              </w:rPr>
            </w:pPr>
            <w:r>
              <w:rPr>
                <w:rFonts w:ascii="Arial" w:hAnsi="Arial"/>
                <w:position w:val="7"/>
                <w:sz w:val="16"/>
                <w:sz w:val="20"/>
              </w:rPr>
              <w:t>(11)</w:t>
            </w:r>
            <w:r>
              <w:rPr>
                <w:rFonts w:ascii="Arial" w:hAnsi="Arial"/>
                <w:sz w:val="20"/>
              </w:rPr>
              <w:t> </w:t>
            </w:r>
          </w:p>
        </w:tc>
        <w:tc>
          <w:tcPr>
            <w:tcW w:w="30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875" w:type="dxa"/>
            <w:tcBorders>
              <w:bottom w:val="single" w:sz="8" w:space="0" w:color="000000"/>
            </w:tcBorders>
            <w:shd w:fill="auto" w:val="clear"/>
            <w:tcMar>
              <w:bottom w:w="40" w:type="dxa"/>
            </w:tcMar>
            <w:vAlign w:val="center"/>
          </w:tcPr>
          <w:p>
            <w:pPr>
              <w:pStyle w:val="TableContents"/>
              <w:spacing w:before="0" w:after="283"/>
              <w:jc w:val="right"/>
              <w:rPr/>
            </w:pPr>
            <w:r>
              <w:rPr/>
              <w:t>—</w:t>
            </w:r>
          </w:p>
        </w:tc>
        <w:tc>
          <w:tcPr>
            <w:tcW w:w="368"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30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800" w:type="dxa"/>
            <w:tcBorders>
              <w:bottom w:val="single" w:sz="8" w:space="0" w:color="000000"/>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w:t>
            </w:r>
          </w:p>
        </w:tc>
        <w:tc>
          <w:tcPr>
            <w:tcW w:w="30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497" w:type="dxa"/>
            <w:tcBorders>
              <w:bottom w:val="single" w:sz="8" w:space="0" w:color="000000"/>
            </w:tcBorders>
            <w:shd w:fill="auto" w:val="clear"/>
            <w:tcMar>
              <w:bottom w:w="40" w:type="dxa"/>
            </w:tcMar>
            <w:vAlign w:val="center"/>
          </w:tcPr>
          <w:p>
            <w:pPr>
              <w:pStyle w:val="TableContents"/>
              <w:spacing w:before="0" w:after="283"/>
              <w:jc w:val="right"/>
              <w:rPr/>
            </w:pPr>
            <w:r>
              <w:rPr/>
              <w:t>—</w:t>
            </w:r>
          </w:p>
        </w:tc>
        <w:tc>
          <w:tcPr>
            <w:tcW w:w="37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r>
      <w:tr>
        <w:trPr/>
        <w:tc>
          <w:tcPr>
            <w:tcW w:w="4747" w:type="dxa"/>
            <w:tcBorders>
              <w:bottom w:val="single" w:sz="8" w:space="0" w:color="000000"/>
            </w:tcBorders>
            <w:shd w:fill="auto" w:val="clear"/>
            <w:tcMar>
              <w:bottom w:w="40" w:type="dxa"/>
            </w:tcMar>
            <w:vAlign w:val="center"/>
          </w:tcPr>
          <w:p>
            <w:pPr>
              <w:pStyle w:val="TableContents"/>
              <w:spacing w:before="0" w:after="283"/>
              <w:jc w:val="left"/>
              <w:rPr/>
            </w:pPr>
            <w:r>
              <w:rPr>
                <w:rStyle w:val="StrongEmphasis"/>
                <w:rFonts w:ascii="Arial" w:hAnsi="Arial"/>
                <w:sz w:val="20"/>
              </w:rPr>
              <w:t>Dana Strong</w:t>
            </w:r>
          </w:p>
        </w:tc>
        <w:tc>
          <w:tcPr>
            <w:tcW w:w="30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980" w:type="dxa"/>
            <w:tcBorders>
              <w:bottom w:val="single" w:sz="8" w:space="0" w:color="000000"/>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599,754</w:t>
            </w:r>
          </w:p>
        </w:tc>
        <w:tc>
          <w:tcPr>
            <w:tcW w:w="368"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30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875" w:type="dxa"/>
            <w:tcBorders>
              <w:bottom w:val="single" w:sz="8" w:space="0" w:color="000000"/>
            </w:tcBorders>
            <w:shd w:fill="auto" w:val="clear"/>
            <w:tcMar>
              <w:bottom w:w="40" w:type="dxa"/>
            </w:tcMar>
            <w:vAlign w:val="center"/>
          </w:tcPr>
          <w:p>
            <w:pPr>
              <w:pStyle w:val="TableContents"/>
              <w:spacing w:before="0" w:after="283"/>
              <w:jc w:val="right"/>
              <w:rPr/>
            </w:pPr>
            <w:r>
              <w:rPr/>
              <w:t>—</w:t>
            </w:r>
          </w:p>
        </w:tc>
        <w:tc>
          <w:tcPr>
            <w:tcW w:w="368"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30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800" w:type="dxa"/>
            <w:tcBorders>
              <w:bottom w:val="single" w:sz="8" w:space="0" w:color="000000"/>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w:t>
            </w:r>
          </w:p>
        </w:tc>
        <w:tc>
          <w:tcPr>
            <w:tcW w:w="30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497" w:type="dxa"/>
            <w:tcBorders>
              <w:bottom w:val="single" w:sz="8" w:space="0" w:color="000000"/>
            </w:tcBorders>
            <w:shd w:fill="auto" w:val="clear"/>
            <w:tcMar>
              <w:bottom w:w="40" w:type="dxa"/>
            </w:tcMar>
            <w:vAlign w:val="center"/>
          </w:tcPr>
          <w:p>
            <w:pPr>
              <w:pStyle w:val="TableContents"/>
              <w:spacing w:before="0" w:after="283"/>
              <w:jc w:val="right"/>
              <w:rPr/>
            </w:pPr>
            <w:r>
              <w:rPr/>
              <w:t>—</w:t>
            </w:r>
          </w:p>
        </w:tc>
        <w:tc>
          <w:tcPr>
            <w:tcW w:w="37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r>
      <w:tr>
        <w:trPr/>
        <w:tc>
          <w:tcPr>
            <w:tcW w:w="4747" w:type="dxa"/>
            <w:tcBorders>
              <w:bottom w:val="single" w:sz="8" w:space="0" w:color="000000"/>
            </w:tcBorders>
            <w:shd w:fill="auto" w:val="clear"/>
            <w:tcMar>
              <w:bottom w:w="40" w:type="dxa"/>
            </w:tcMar>
            <w:vAlign w:val="center"/>
          </w:tcPr>
          <w:p>
            <w:pPr>
              <w:pStyle w:val="TableContents"/>
              <w:spacing w:before="0" w:after="283"/>
              <w:jc w:val="left"/>
              <w:rPr/>
            </w:pPr>
            <w:r>
              <w:rPr>
                <w:rStyle w:val="StrongEmphasis"/>
                <w:rFonts w:ascii="Arial" w:hAnsi="Arial"/>
                <w:sz w:val="20"/>
              </w:rPr>
              <w:t>David N. Watson</w:t>
            </w:r>
          </w:p>
        </w:tc>
        <w:tc>
          <w:tcPr>
            <w:tcW w:w="30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980" w:type="dxa"/>
            <w:tcBorders>
              <w:bottom w:val="single" w:sz="8" w:space="0" w:color="000000"/>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3,090,487</w:t>
            </w:r>
          </w:p>
        </w:tc>
        <w:tc>
          <w:tcPr>
            <w:tcW w:w="368" w:type="dxa"/>
            <w:tcBorders>
              <w:bottom w:val="single" w:sz="8" w:space="0" w:color="000000"/>
            </w:tcBorders>
            <w:shd w:fill="auto" w:val="clear"/>
            <w:tcMar>
              <w:bottom w:w="80" w:type="dxa"/>
            </w:tcMar>
            <w:vAlign w:val="center"/>
          </w:tcPr>
          <w:p>
            <w:pPr>
              <w:pStyle w:val="TableContents"/>
              <w:spacing w:before="0" w:after="283"/>
              <w:jc w:val="left"/>
              <w:rPr>
                <w:rFonts w:ascii="Arial" w:hAnsi="Arial"/>
                <w:sz w:val="20"/>
              </w:rPr>
            </w:pPr>
            <w:r>
              <w:rPr>
                <w:rFonts w:ascii="Arial" w:hAnsi="Arial"/>
                <w:position w:val="7"/>
                <w:sz w:val="16"/>
                <w:sz w:val="20"/>
              </w:rPr>
              <w:t>(12)</w:t>
            </w:r>
            <w:r>
              <w:rPr>
                <w:rFonts w:ascii="Arial" w:hAnsi="Arial"/>
                <w:sz w:val="20"/>
              </w:rPr>
              <w:t> </w:t>
            </w:r>
          </w:p>
        </w:tc>
        <w:tc>
          <w:tcPr>
            <w:tcW w:w="30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875" w:type="dxa"/>
            <w:tcBorders>
              <w:bottom w:val="single" w:sz="8" w:space="0" w:color="000000"/>
            </w:tcBorders>
            <w:shd w:fill="auto" w:val="clear"/>
            <w:tcMar>
              <w:bottom w:w="40" w:type="dxa"/>
            </w:tcMar>
            <w:vAlign w:val="center"/>
          </w:tcPr>
          <w:p>
            <w:pPr>
              <w:pStyle w:val="TableContents"/>
              <w:spacing w:before="0" w:after="283"/>
              <w:jc w:val="right"/>
              <w:rPr/>
            </w:pPr>
            <w:r>
              <w:rPr/>
              <w:t>—</w:t>
            </w:r>
          </w:p>
        </w:tc>
        <w:tc>
          <w:tcPr>
            <w:tcW w:w="368"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30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800" w:type="dxa"/>
            <w:tcBorders>
              <w:bottom w:val="single" w:sz="8" w:space="0" w:color="000000"/>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w:t>
            </w:r>
          </w:p>
        </w:tc>
        <w:tc>
          <w:tcPr>
            <w:tcW w:w="30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497" w:type="dxa"/>
            <w:tcBorders>
              <w:bottom w:val="single" w:sz="8" w:space="0" w:color="000000"/>
            </w:tcBorders>
            <w:shd w:fill="auto" w:val="clear"/>
            <w:tcMar>
              <w:bottom w:w="40" w:type="dxa"/>
            </w:tcMar>
            <w:vAlign w:val="center"/>
          </w:tcPr>
          <w:p>
            <w:pPr>
              <w:pStyle w:val="TableContents"/>
              <w:spacing w:before="0" w:after="283"/>
              <w:jc w:val="right"/>
              <w:rPr/>
            </w:pPr>
            <w:r>
              <w:rPr/>
              <w:t>—</w:t>
            </w:r>
          </w:p>
        </w:tc>
        <w:tc>
          <w:tcPr>
            <w:tcW w:w="37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r>
      <w:tr>
        <w:trPr/>
        <w:tc>
          <w:tcPr>
            <w:tcW w:w="4747" w:type="dxa"/>
            <w:tcBorders>
              <w:bottom w:val="single" w:sz="8" w:space="0" w:color="000000"/>
            </w:tcBorders>
            <w:shd w:fill="auto" w:val="clear"/>
            <w:tcMar>
              <w:bottom w:w="40" w:type="dxa"/>
            </w:tcMar>
            <w:vAlign w:val="center"/>
          </w:tcPr>
          <w:p>
            <w:pPr>
              <w:pStyle w:val="TableContents"/>
              <w:spacing w:before="0" w:after="283"/>
              <w:jc w:val="left"/>
              <w:rPr>
                <w:rFonts w:ascii="Arial" w:hAnsi="Arial"/>
                <w:sz w:val="20"/>
              </w:rPr>
            </w:pPr>
            <w:r>
              <w:rPr>
                <w:rFonts w:ascii="Arial" w:hAnsi="Arial"/>
                <w:sz w:val="20"/>
              </w:rPr>
              <w:t>All directors and executive officers as a group (15 persons)</w:t>
            </w:r>
          </w:p>
        </w:tc>
        <w:tc>
          <w:tcPr>
            <w:tcW w:w="30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980" w:type="dxa"/>
            <w:tcBorders>
              <w:bottom w:val="single" w:sz="8" w:space="0" w:color="000000"/>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39,720,599</w:t>
            </w:r>
          </w:p>
        </w:tc>
        <w:tc>
          <w:tcPr>
            <w:tcW w:w="368"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30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875" w:type="dxa"/>
            <w:tcBorders>
              <w:bottom w:val="single" w:sz="8" w:space="0" w:color="000000"/>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9,444,375</w:t>
            </w:r>
          </w:p>
        </w:tc>
        <w:tc>
          <w:tcPr>
            <w:tcW w:w="368"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30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800" w:type="dxa"/>
            <w:tcBorders>
              <w:bottom w:val="single" w:sz="8" w:space="0" w:color="000000"/>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w:t>
            </w:r>
          </w:p>
        </w:tc>
        <w:tc>
          <w:tcPr>
            <w:tcW w:w="300" w:type="dxa"/>
            <w:tcBorders>
              <w:bottom w:val="single" w:sz="8"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497" w:type="dxa"/>
            <w:tcBorders>
              <w:bottom w:val="single" w:sz="8" w:space="0" w:color="000000"/>
            </w:tcBorders>
            <w:shd w:fill="auto" w:val="clear"/>
            <w:tcMar>
              <w:bottom w:w="40" w:type="dxa"/>
            </w:tcMar>
            <w:vAlign w:val="center"/>
          </w:tcPr>
          <w:p>
            <w:pPr>
              <w:pStyle w:val="TableContents"/>
              <w:spacing w:before="0" w:after="283"/>
              <w:jc w:val="right"/>
              <w:rPr>
                <w:rFonts w:ascii="Arial" w:hAnsi="Arial"/>
                <w:sz w:val="20"/>
              </w:rPr>
            </w:pPr>
            <w:r>
              <w:rPr>
                <w:rFonts w:ascii="Arial" w:hAnsi="Arial"/>
                <w:sz w:val="20"/>
              </w:rPr>
              <w:t>100</w:t>
            </w:r>
          </w:p>
        </w:tc>
        <w:tc>
          <w:tcPr>
            <w:tcW w:w="370" w:type="dxa"/>
            <w:tcBorders>
              <w:bottom w:val="single" w:sz="8" w:space="0" w:color="000000"/>
            </w:tcBorders>
            <w:shd w:fill="auto" w:val="clear"/>
            <w:tcMar>
              <w:bottom w:w="40" w:type="dxa"/>
            </w:tcMar>
            <w:vAlign w:val="center"/>
          </w:tcPr>
          <w:p>
            <w:pPr>
              <w:pStyle w:val="TableContents"/>
              <w:spacing w:before="0" w:after="283"/>
              <w:jc w:val="left"/>
              <w:rPr>
                <w:rFonts w:ascii="Arial" w:hAnsi="Arial"/>
                <w:sz w:val="20"/>
              </w:rPr>
            </w:pPr>
            <w:r>
              <w:rPr>
                <w:rFonts w:ascii="Arial" w:hAnsi="Arial"/>
                <w:sz w:val="20"/>
              </w:rPr>
              <w:t>%</w:t>
            </w:r>
          </w:p>
        </w:tc>
      </w:tr>
    </w:tbl>
    <w:tbl>
      <w:tblPr>
        <w:tblW w:w="10205" w:type="dxa"/>
        <w:jc w:val="left"/>
        <w:tblInd w:w="0" w:type="dxa"/>
        <w:tblCellMar>
          <w:top w:w="0" w:type="dxa"/>
          <w:left w:w="0" w:type="dxa"/>
          <w:bottom w:w="0" w:type="dxa"/>
          <w:right w:w="0" w:type="dxa"/>
        </w:tblCellMar>
      </w:tblPr>
      <w:tblGrid>
        <w:gridCol w:w="195"/>
        <w:gridCol w:w="10010"/>
      </w:tblGrid>
      <w:tr>
        <w:trPr/>
        <w:tc>
          <w:tcPr>
            <w:tcW w:w="195" w:type="dxa"/>
            <w:tcBorders/>
            <w:shd w:fill="auto" w:val="clear"/>
            <w:vAlign w:val="center"/>
          </w:tcPr>
          <w:p>
            <w:pPr>
              <w:pStyle w:val="TableContents"/>
              <w:spacing w:before="0" w:after="283"/>
              <w:jc w:val="left"/>
              <w:rPr>
                <w:rFonts w:ascii="Arial" w:hAnsi="Arial"/>
                <w:sz w:val="15"/>
              </w:rPr>
            </w:pPr>
            <w:r>
              <w:rPr>
                <w:rFonts w:ascii="Arial" w:hAnsi="Arial"/>
                <w:sz w:val="15"/>
              </w:rPr>
              <w:t>*</w:t>
            </w:r>
          </w:p>
        </w:tc>
        <w:tc>
          <w:tcPr>
            <w:tcW w:w="10010" w:type="dxa"/>
            <w:tcBorders/>
            <w:shd w:fill="auto" w:val="clear"/>
            <w:vAlign w:val="center"/>
          </w:tcPr>
          <w:p>
            <w:pPr>
              <w:pStyle w:val="TableContents"/>
              <w:spacing w:before="0" w:after="283"/>
              <w:jc w:val="left"/>
              <w:rPr>
                <w:rFonts w:ascii="Arial" w:hAnsi="Arial"/>
                <w:sz w:val="15"/>
              </w:rPr>
            </w:pPr>
            <w:r>
              <w:rPr>
                <w:rFonts w:ascii="Arial" w:hAnsi="Arial"/>
                <w:sz w:val="15"/>
              </w:rPr>
              <w:t>Less than 1% of the outstanding shares of the applicable class.</w:t>
            </w:r>
          </w:p>
        </w:tc>
      </w:tr>
      <w:tr>
        <w:trPr/>
        <w:tc>
          <w:tcPr>
            <w:tcW w:w="195"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(1)</w:t>
            </w:r>
          </w:p>
        </w:tc>
        <w:tc>
          <w:tcPr>
            <w:tcW w:w="10010" w:type="dxa"/>
            <w:tcBorders/>
            <w:shd w:fill="auto" w:val="clear"/>
            <w:vAlign w:val="center"/>
          </w:tcPr>
          <w:p>
            <w:pPr>
              <w:pStyle w:val="TableContents"/>
              <w:spacing w:before="0" w:after="283"/>
              <w:jc w:val="left"/>
              <w:rPr>
                <w:rFonts w:ascii="Arial" w:hAnsi="Arial"/>
                <w:sz w:val="15"/>
              </w:rPr>
            </w:pPr>
            <w:r>
              <w:rPr>
                <w:rFonts w:ascii="Arial" w:hAnsi="Arial"/>
                <w:sz w:val="15"/>
              </w:rPr>
              <w:t>Beneficial ownership as of March 1, 2023 (except for Mr. Baltimore, which is as of March 15, 2023 when he first became a director) has been determined in accordance with Rule 13d-3 under the Exchange Act.</w:t>
            </w:r>
          </w:p>
        </w:tc>
      </w:tr>
      <w:tr>
        <w:trPr/>
        <w:tc>
          <w:tcPr>
            <w:tcW w:w="195"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(2)</w:t>
            </w:r>
          </w:p>
        </w:tc>
        <w:tc>
          <w:tcPr>
            <w:tcW w:w="10010" w:type="dxa"/>
            <w:tcBorders/>
            <w:shd w:fill="auto" w:val="clear"/>
            <w:vAlign w:val="center"/>
          </w:tcPr>
          <w:p>
            <w:pPr>
              <w:pStyle w:val="TableContents"/>
              <w:spacing w:before="0" w:after="283"/>
              <w:jc w:val="left"/>
              <w:rPr>
                <w:rFonts w:ascii="Arial" w:hAnsi="Arial"/>
                <w:sz w:val="15"/>
              </w:rPr>
            </w:pPr>
            <w:r>
              <w:rPr>
                <w:rFonts w:ascii="Arial" w:hAnsi="Arial"/>
                <w:sz w:val="15"/>
              </w:rPr>
              <w:t>Includes beneficial ownership of the following number of shares for which the following persons hold options exercisable on or within 60 days of March 1, 2023: Mr. Cavanagh, 3,333,250; Mr. Roberts, 5,385,024; Mr. Shell, 632,603; Ms. Strong, 475,620; Mr. Watson, 2,034,676; and all executive officers as a group, 9,913,826.</w:t>
            </w:r>
          </w:p>
        </w:tc>
      </w:tr>
      <w:tr>
        <w:trPr/>
        <w:tc>
          <w:tcPr>
            <w:tcW w:w="195" w:type="dxa"/>
            <w:tcBorders/>
            <w:shd w:fill="auto" w:val="clear"/>
            <w:vAlign w:val="center"/>
          </w:tcPr>
          <w:p>
            <w:pPr>
              <w:pStyle w:val="TableContents"/>
              <w:spacing w:before="0" w:after="283"/>
              <w:rPr>
                <w:sz w:val="4"/>
                <w:szCs w:val="4"/>
              </w:rPr>
            </w:pPr>
            <w:r>
              <w:rPr>
                <w:sz w:val="4"/>
                <w:szCs w:val="4"/>
              </w:rPr>
            </w:r>
          </w:p>
        </w:tc>
        <w:tc>
          <w:tcPr>
            <w:tcW w:w="10010" w:type="dxa"/>
            <w:tcBorders/>
            <w:shd w:fill="auto" w:val="clear"/>
            <w:vAlign w:val="center"/>
          </w:tcPr>
          <w:p>
            <w:pPr>
              <w:pStyle w:val="TableContents"/>
              <w:spacing w:before="0" w:after="283"/>
              <w:jc w:val="left"/>
              <w:rPr>
                <w:rFonts w:ascii="Arial" w:hAnsi="Arial"/>
                <w:sz w:val="15"/>
              </w:rPr>
            </w:pPr>
            <w:r>
              <w:rPr>
                <w:rFonts w:ascii="Arial" w:hAnsi="Arial"/>
                <w:sz w:val="15"/>
              </w:rPr>
              <w:t>Includes beneficial ownership of the following number of shares underlying stock units held by the following persons that vest on or within 60 days of March 1, 2023: Mr. Cavanagh, 118,162; Mr. Roberts, 146,180; Mr. Shell, 53,496; Ms. Strong, 29,724; Mr. Watson, 71,981; and all executive officers as a group, 326,787.</w:t>
            </w:r>
          </w:p>
        </w:tc>
      </w:tr>
      <w:tr>
        <w:trPr/>
        <w:tc>
          <w:tcPr>
            <w:tcW w:w="195" w:type="dxa"/>
            <w:tcBorders/>
            <w:shd w:fill="auto" w:val="clear"/>
            <w:vAlign w:val="center"/>
          </w:tcPr>
          <w:p>
            <w:pPr>
              <w:pStyle w:val="TableContents"/>
              <w:spacing w:before="0" w:after="283"/>
              <w:rPr>
                <w:sz w:val="4"/>
                <w:szCs w:val="4"/>
              </w:rPr>
            </w:pPr>
            <w:r>
              <w:rPr>
                <w:sz w:val="4"/>
                <w:szCs w:val="4"/>
              </w:rPr>
            </w:r>
          </w:p>
        </w:tc>
        <w:tc>
          <w:tcPr>
            <w:tcW w:w="10010" w:type="dxa"/>
            <w:tcBorders/>
            <w:shd w:fill="auto" w:val="clear"/>
            <w:vAlign w:val="center"/>
          </w:tcPr>
          <w:p>
            <w:pPr>
              <w:pStyle w:val="TableContents"/>
              <w:spacing w:before="0" w:after="283"/>
              <w:jc w:val="left"/>
              <w:rPr>
                <w:rFonts w:ascii="Arial" w:hAnsi="Arial"/>
                <w:sz w:val="15"/>
              </w:rPr>
            </w:pPr>
            <w:r>
              <w:rPr>
                <w:rFonts w:ascii="Arial" w:hAnsi="Arial"/>
                <w:sz w:val="15"/>
              </w:rPr>
              <w:t>Includes the following number of shares that will be paid at a future date in stock under our deferred compensation plans for the following persons: Ms. Bell, 36,035; Mr. Breen, 1,627; Mr. Hassell, 179,843; Mr. Honickman, 258,495; Ms. Montiel, 20,795; Mr. Nakahara, 52,245; and Mr. Novak, 48,565.</w:t>
            </w:r>
          </w:p>
        </w:tc>
      </w:tr>
      <w:tr>
        <w:trPr/>
        <w:tc>
          <w:tcPr>
            <w:tcW w:w="195"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(3)</w:t>
            </w:r>
          </w:p>
        </w:tc>
        <w:tc>
          <w:tcPr>
            <w:tcW w:w="10010" w:type="dxa"/>
            <w:tcBorders/>
            <w:shd w:fill="auto" w:val="clear"/>
            <w:vAlign w:val="center"/>
          </w:tcPr>
          <w:p>
            <w:pPr>
              <w:pStyle w:val="TableContents"/>
              <w:spacing w:before="0" w:after="283"/>
              <w:jc w:val="left"/>
              <w:rPr>
                <w:rFonts w:ascii="Arial" w:hAnsi="Arial"/>
                <w:sz w:val="15"/>
              </w:rPr>
            </w:pPr>
            <w:r>
              <w:rPr>
                <w:rFonts w:ascii="Arial" w:hAnsi="Arial"/>
                <w:sz w:val="15"/>
              </w:rPr>
              <w:t>Includes 477 shares held by his spouse.</w:t>
            </w:r>
          </w:p>
        </w:tc>
      </w:tr>
      <w:tr>
        <w:trPr/>
        <w:tc>
          <w:tcPr>
            <w:tcW w:w="195"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(4)</w:t>
            </w:r>
          </w:p>
        </w:tc>
        <w:tc>
          <w:tcPr>
            <w:tcW w:w="10010" w:type="dxa"/>
            <w:tcBorders/>
            <w:shd w:fill="auto" w:val="clear"/>
            <w:vAlign w:val="center"/>
          </w:tcPr>
          <w:p>
            <w:pPr>
              <w:pStyle w:val="TableContents"/>
              <w:spacing w:before="0" w:after="283"/>
              <w:jc w:val="left"/>
              <w:rPr>
                <w:rFonts w:ascii="Arial" w:hAnsi="Arial"/>
                <w:sz w:val="15"/>
              </w:rPr>
            </w:pPr>
            <w:r>
              <w:rPr>
                <w:rFonts w:ascii="Arial" w:hAnsi="Arial"/>
                <w:sz w:val="15"/>
              </w:rPr>
              <w:t>Includes 2,200 shares held jointly by her and her spouse and 400 shares held by her spouse.</w:t>
            </w:r>
          </w:p>
        </w:tc>
      </w:tr>
      <w:tr>
        <w:trPr/>
        <w:tc>
          <w:tcPr>
            <w:tcW w:w="195"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(5)</w:t>
            </w:r>
          </w:p>
        </w:tc>
        <w:tc>
          <w:tcPr>
            <w:tcW w:w="10010" w:type="dxa"/>
            <w:tcBorders/>
            <w:shd w:fill="auto" w:val="clear"/>
            <w:vAlign w:val="center"/>
          </w:tcPr>
          <w:p>
            <w:pPr>
              <w:pStyle w:val="TableContents"/>
              <w:spacing w:before="0" w:after="283"/>
              <w:jc w:val="left"/>
              <w:rPr>
                <w:rFonts w:ascii="Arial" w:hAnsi="Arial"/>
                <w:sz w:val="15"/>
              </w:rPr>
            </w:pPr>
            <w:r>
              <w:rPr>
                <w:rFonts w:ascii="Arial" w:hAnsi="Arial"/>
                <w:sz w:val="15"/>
              </w:rPr>
              <w:t>Includes 238,540 shares and 1,167,777 shares underlying options held by a trust of which his spouse is a trustee.</w:t>
            </w:r>
          </w:p>
        </w:tc>
      </w:tr>
      <w:tr>
        <w:trPr/>
        <w:tc>
          <w:tcPr>
            <w:tcW w:w="195"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(6)</w:t>
            </w:r>
          </w:p>
        </w:tc>
        <w:tc>
          <w:tcPr>
            <w:tcW w:w="10010" w:type="dxa"/>
            <w:tcBorders/>
            <w:shd w:fill="auto" w:val="clear"/>
            <w:vAlign w:val="center"/>
          </w:tcPr>
          <w:p>
            <w:pPr>
              <w:pStyle w:val="TableContents"/>
              <w:spacing w:before="0" w:after="283"/>
              <w:jc w:val="left"/>
              <w:rPr>
                <w:rFonts w:ascii="Arial" w:hAnsi="Arial"/>
                <w:sz w:val="15"/>
              </w:rPr>
            </w:pPr>
            <w:r>
              <w:rPr>
                <w:rFonts w:ascii="Arial" w:hAnsi="Arial"/>
                <w:sz w:val="15"/>
              </w:rPr>
              <w:t>Includes 20,150 shares held by trusts of which he is a trustee.</w:t>
            </w:r>
          </w:p>
        </w:tc>
      </w:tr>
      <w:tr>
        <w:trPr/>
        <w:tc>
          <w:tcPr>
            <w:tcW w:w="195"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(7)</w:t>
            </w:r>
          </w:p>
        </w:tc>
        <w:tc>
          <w:tcPr>
            <w:tcW w:w="10010" w:type="dxa"/>
            <w:tcBorders/>
            <w:shd w:fill="auto" w:val="clear"/>
            <w:vAlign w:val="center"/>
          </w:tcPr>
          <w:p>
            <w:pPr>
              <w:pStyle w:val="TableContents"/>
              <w:spacing w:before="0" w:after="283"/>
              <w:jc w:val="left"/>
              <w:rPr>
                <w:rFonts w:ascii="Arial" w:hAnsi="Arial"/>
                <w:sz w:val="15"/>
              </w:rPr>
            </w:pPr>
            <w:r>
              <w:rPr>
                <w:rFonts w:ascii="Arial" w:hAnsi="Arial"/>
                <w:sz w:val="15"/>
              </w:rPr>
              <w:t>Includes 425 shares held in an individual retirement account.</w:t>
            </w:r>
          </w:p>
        </w:tc>
      </w:tr>
      <w:tr>
        <w:trPr/>
        <w:tc>
          <w:tcPr>
            <w:tcW w:w="195"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(8)</w:t>
            </w:r>
          </w:p>
        </w:tc>
        <w:tc>
          <w:tcPr>
            <w:tcW w:w="10010" w:type="dxa"/>
            <w:tcBorders/>
            <w:shd w:fill="auto" w:val="clear"/>
            <w:vAlign w:val="center"/>
          </w:tcPr>
          <w:p>
            <w:pPr>
              <w:pStyle w:val="TableContents"/>
              <w:spacing w:before="0" w:after="283"/>
              <w:jc w:val="left"/>
              <w:rPr>
                <w:rFonts w:ascii="Arial" w:hAnsi="Arial"/>
                <w:sz w:val="15"/>
              </w:rPr>
            </w:pPr>
            <w:r>
              <w:rPr>
                <w:rFonts w:ascii="Arial" w:hAnsi="Arial"/>
                <w:sz w:val="15"/>
              </w:rPr>
              <w:t>Includes 500 shares held by family trusts.</w:t>
            </w:r>
          </w:p>
        </w:tc>
      </w:tr>
      <w:tr>
        <w:trPr/>
        <w:tc>
          <w:tcPr>
            <w:tcW w:w="195"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(9)</w:t>
            </w:r>
          </w:p>
        </w:tc>
        <w:tc>
          <w:tcPr>
            <w:tcW w:w="10010" w:type="dxa"/>
            <w:tcBorders/>
            <w:shd w:fill="auto" w:val="clear"/>
            <w:vAlign w:val="center"/>
          </w:tcPr>
          <w:p>
            <w:pPr>
              <w:pStyle w:val="TableContents"/>
              <w:spacing w:before="0" w:after="283"/>
              <w:jc w:val="left"/>
              <w:rPr>
                <w:rFonts w:ascii="Arial" w:hAnsi="Arial"/>
                <w:sz w:val="15"/>
              </w:rPr>
            </w:pPr>
            <w:r>
              <w:rPr>
                <w:rFonts w:ascii="Arial" w:hAnsi="Arial"/>
                <w:sz w:val="15"/>
              </w:rPr>
              <w:t>Includes 286,044 shares owned by his spouse; 1,507,510 shares owned by a family charitable foundation of which his spouse is a trustee; 13,712,646 shares owned by limited liability companies of which he is the managing member; and 6,775,600 shares owned by certain family trusts. Does not include shares of Class A common stock issuable upon conversion of Class B common stock beneficially owned by him; if he were to convert the Class B common stock into Class A common stock, he would beneficially own approximately 1% of the Class A common stock.</w:t>
            </w:r>
          </w:p>
        </w:tc>
      </w:tr>
      <w:tr>
        <w:trPr/>
        <w:tc>
          <w:tcPr>
            <w:tcW w:w="195"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(10)</w:t>
            </w:r>
          </w:p>
        </w:tc>
        <w:tc>
          <w:tcPr>
            <w:tcW w:w="10010" w:type="dxa"/>
            <w:tcBorders/>
            <w:shd w:fill="auto" w:val="clear"/>
            <w:vAlign w:val="center"/>
          </w:tcPr>
          <w:p>
            <w:pPr>
              <w:pStyle w:val="TableContents"/>
              <w:spacing w:before="0" w:after="283"/>
              <w:jc w:val="left"/>
              <w:rPr>
                <w:rFonts w:ascii="Arial" w:hAnsi="Arial"/>
                <w:sz w:val="15"/>
              </w:rPr>
            </w:pPr>
            <w:r>
              <w:rPr>
                <w:rFonts w:ascii="Arial" w:hAnsi="Arial"/>
                <w:sz w:val="15"/>
              </w:rPr>
              <w:t>See footnote (3) under “— Principal Shareholders” above.</w:t>
            </w:r>
          </w:p>
        </w:tc>
      </w:tr>
      <w:tr>
        <w:trPr/>
        <w:tc>
          <w:tcPr>
            <w:tcW w:w="195"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(11)</w:t>
            </w:r>
          </w:p>
        </w:tc>
        <w:tc>
          <w:tcPr>
            <w:tcW w:w="10010" w:type="dxa"/>
            <w:tcBorders/>
            <w:shd w:fill="auto" w:val="clear"/>
            <w:vAlign w:val="center"/>
          </w:tcPr>
          <w:p>
            <w:pPr>
              <w:pStyle w:val="TableContents"/>
              <w:spacing w:before="0" w:after="283"/>
              <w:jc w:val="left"/>
              <w:rPr>
                <w:rFonts w:ascii="Arial" w:hAnsi="Arial"/>
                <w:sz w:val="15"/>
              </w:rPr>
            </w:pPr>
            <w:r>
              <w:rPr>
                <w:rFonts w:ascii="Arial" w:hAnsi="Arial"/>
                <w:sz w:val="15"/>
              </w:rPr>
              <w:t>Includes 632,603 stock options that were forfeited and canceled upon Mr. Shell’s termination of employment in April 2023.</w:t>
            </w:r>
          </w:p>
        </w:tc>
      </w:tr>
      <w:tr>
        <w:trPr/>
        <w:tc>
          <w:tcPr>
            <w:tcW w:w="195"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(12)</w:t>
            </w:r>
          </w:p>
        </w:tc>
        <w:tc>
          <w:tcPr>
            <w:tcW w:w="10010" w:type="dxa"/>
            <w:tcBorders/>
            <w:shd w:fill="auto" w:val="clear"/>
            <w:vAlign w:val="center"/>
          </w:tcPr>
          <w:p>
            <w:pPr>
              <w:pStyle w:val="TableContents"/>
              <w:spacing w:before="0" w:after="283"/>
              <w:jc w:val="left"/>
              <w:rPr>
                <w:rFonts w:ascii="Arial" w:hAnsi="Arial"/>
                <w:sz w:val="15"/>
              </w:rPr>
            </w:pPr>
            <w:r>
              <w:rPr>
                <w:rFonts w:ascii="Arial" w:hAnsi="Arial"/>
                <w:sz w:val="15"/>
              </w:rPr>
              <w:t>Includes 140 shares owned by his spouse; 5,328 shares owned by his children; and 440,842 shares held in family trusts.</w:t>
            </w:r>
          </w:p>
        </w:tc>
      </w:tr>
    </w:tbl>
    <w:p>
      <w:pPr>
        <w:pStyle w:val="TextBody"/>
        <w:spacing w:before="0" w:after="0"/>
        <w:rPr/>
      </w:pPr>
      <w:r>
        <w:rPr/>
      </w:r>
    </w:p>
    <w:tbl>
      <w:tblPr>
        <w:tblW w:w="2200" w:type="dxa"/>
        <w:jc w:val="left"/>
        <w:tblInd w:w="0" w:type="dxa"/>
        <w:tblCellMar>
          <w:top w:w="0" w:type="dxa"/>
          <w:left w:w="0" w:type="dxa"/>
          <w:bottom w:w="0" w:type="dxa"/>
          <w:right w:w="0" w:type="dxa"/>
        </w:tblCellMar>
      </w:tblPr>
      <w:tblGrid>
        <w:gridCol w:w="1580"/>
        <w:gridCol w:w="620"/>
      </w:tblGrid>
      <w:tr>
        <w:trPr/>
        <w:tc>
          <w:tcPr>
            <w:tcW w:w="1580" w:type="dxa"/>
            <w:tcBorders/>
            <w:shd w:fill="auto" w:val="clear"/>
            <w:vAlign w:val="center"/>
          </w:tcPr>
          <w:p>
            <w:pPr>
              <w:pStyle w:val="TableContents"/>
              <w:spacing w:before="0" w:after="283"/>
              <w:jc w:val="right"/>
              <w:rPr>
                <w:rFonts w:ascii="Arial" w:hAnsi="Arial"/>
                <w:sz w:val="15"/>
              </w:rPr>
            </w:pPr>
            <w:r>
              <w:rPr>
                <w:rFonts w:ascii="Arial" w:hAnsi="Arial"/>
                <w:sz w:val="15"/>
              </w:rPr>
              <w:t>2023 Proxy Statement</w:t>
            </w:r>
          </w:p>
        </w:tc>
        <w:tc>
          <w:tcPr>
            <w:tcW w:w="620" w:type="dxa"/>
            <w:tcBorders/>
            <w:shd w:fill="auto" w:val="clear"/>
            <w:vAlign w:val="center"/>
          </w:tcPr>
          <w:p>
            <w:pPr>
              <w:pStyle w:val="TableContents"/>
              <w:spacing w:before="0" w:after="283"/>
              <w:jc w:val="right"/>
              <w:rPr/>
            </w:pPr>
            <w:r>
              <w:rPr/>
              <w:t>       </w:t>
            </w:r>
            <w:r>
              <w:rPr>
                <w:rFonts w:ascii="Arial" w:hAnsi="Arial"/>
                <w:b/>
                <w:sz w:val="15"/>
              </w:rPr>
              <w:t>85</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p>
      <w:pPr>
        <w:pStyle w:val="TextBody"/>
        <w:jc w:val="left"/>
        <w:rPr>
          <w:rFonts w:ascii="Arial" w:hAnsi="Arial"/>
          <w:color w:val="00A1E0"/>
          <w:sz w:val="28"/>
        </w:rPr>
      </w:pPr>
      <w:r>
        <w:rPr>
          <w:rFonts w:ascii="Arial" w:hAnsi="Arial"/>
          <w:color w:val="00A1E0"/>
          <w:sz w:val="28"/>
        </w:rPr>
        <w:t>Delinquent Section 16(a) Reports</w:t>
      </w:r>
    </w:p>
    <w:p>
      <w:pPr>
        <w:pStyle w:val="TextBody"/>
        <w:jc w:val="left"/>
        <w:rPr>
          <w:rFonts w:ascii="Arial" w:hAnsi="Arial"/>
          <w:sz w:val="20"/>
        </w:rPr>
      </w:pPr>
      <w:r>
        <w:rPr>
          <w:rFonts w:ascii="Arial" w:hAnsi="Arial"/>
          <w:sz w:val="20"/>
        </w:rPr>
        <w:t>Our directors and executive officers file reports with the SEC pursuant to Section 16(a) of the Exchange Act indicating the number of shares of any class of our equity securities they owned when they became a director or executive officer and, after that, any changes in their ownership of our equity securities. Based on our review of such reports and written representations from the individuals required to file the reports, we believe that all filings required to be made by our reporting persons for 2022 were made on a timely basis.</w:t>
      </w:r>
    </w:p>
    <w:p>
      <w:pPr>
        <w:pStyle w:val="TextBody"/>
        <w:jc w:val="left"/>
        <w:rPr>
          <w:rFonts w:ascii="Arial" w:hAnsi="Arial"/>
          <w:b/>
          <w:sz w:val="36"/>
        </w:rPr>
      </w:pPr>
      <w:bookmarkStart w:id="101" w:name="compensationofdirectors"/>
      <w:bookmarkEnd w:id="101"/>
      <w:r>
        <w:rPr>
          <w:rFonts w:ascii="Arial" w:hAnsi="Arial"/>
          <w:b/>
          <w:sz w:val="36"/>
        </w:rPr>
        <w:t>Compensation of Directors</w:t>
      </w:r>
    </w:p>
    <w:p>
      <w:pPr>
        <w:pStyle w:val="TextBody"/>
        <w:jc w:val="left"/>
        <w:rPr>
          <w:rFonts w:ascii="Arial" w:hAnsi="Arial"/>
          <w:color w:val="00A1E0"/>
          <w:sz w:val="28"/>
        </w:rPr>
      </w:pPr>
      <w:r>
        <w:rPr>
          <w:rFonts w:ascii="Arial" w:hAnsi="Arial"/>
          <w:color w:val="00A1E0"/>
          <w:sz w:val="28"/>
        </w:rPr>
        <w:t>Director Compensation Program</w:t>
      </w:r>
    </w:p>
    <w:p>
      <w:pPr>
        <w:pStyle w:val="TextBody"/>
        <w:jc w:val="left"/>
        <w:rPr>
          <w:rFonts w:ascii="Arial" w:hAnsi="Arial"/>
          <w:sz w:val="20"/>
        </w:rPr>
      </w:pPr>
      <w:r>
        <w:rPr>
          <w:rFonts w:ascii="Arial" w:hAnsi="Arial"/>
          <w:sz w:val="20"/>
        </w:rPr>
        <w:t>From time to time, the CHC Committee directs an independent compensation consultant to provide analyses with respect to various nonemployee director compensation data. Korn Ferry last provided this analysis in 2021. For 2022, our nonemployee directors received annual compensation as follows:</w:t>
      </w:r>
    </w:p>
    <w:tbl>
      <w:tblPr>
        <w:tblW w:w="9045" w:type="dxa"/>
        <w:jc w:val="left"/>
        <w:tblInd w:w="0" w:type="dxa"/>
        <w:tblCellMar>
          <w:top w:w="0" w:type="dxa"/>
          <w:left w:w="0" w:type="dxa"/>
          <w:bottom w:w="0" w:type="dxa"/>
          <w:right w:w="0" w:type="dxa"/>
        </w:tblCellMar>
      </w:tblPr>
      <w:tblGrid>
        <w:gridCol w:w="4395"/>
        <w:gridCol w:w="4650"/>
      </w:tblGrid>
      <w:tr>
        <w:trPr/>
        <w:tc>
          <w:tcPr>
            <w:tcW w:w="4395" w:type="dxa"/>
            <w:tcBorders/>
            <w:shd w:fill="auto" w:val="clear"/>
            <w:vAlign w:val="center"/>
          </w:tcPr>
          <w:p>
            <w:pPr>
              <w:pStyle w:val="TableContents"/>
              <w:spacing w:before="0" w:after="283"/>
              <w:jc w:val="left"/>
              <w:rPr/>
            </w:pPr>
            <w:r>
              <w:rPr>
                <w:rStyle w:val="StrongEmphasis"/>
                <w:rFonts w:ascii="Arial" w:hAnsi="Arial"/>
                <w:color w:val="00A1E0"/>
                <w:sz w:val="20"/>
              </w:rPr>
              <w:t>DIRECTOR FEES</w:t>
            </w:r>
          </w:p>
        </w:tc>
        <w:tc>
          <w:tcPr>
            <w:tcW w:w="4650" w:type="dxa"/>
            <w:tcBorders/>
            <w:shd w:fill="auto" w:val="clear"/>
            <w:vAlign w:val="center"/>
          </w:tcPr>
          <w:p>
            <w:pPr>
              <w:pStyle w:val="TableContents"/>
              <w:spacing w:before="0" w:after="283"/>
              <w:jc w:val="left"/>
              <w:rPr>
                <w:rFonts w:ascii="Arial" w:hAnsi="Arial"/>
                <w:b/>
                <w:color w:val="00A1E0"/>
                <w:sz w:val="20"/>
              </w:rPr>
            </w:pPr>
            <w:r>
              <w:rPr>
                <w:rFonts w:ascii="Arial" w:hAnsi="Arial"/>
                <w:b/>
                <w:color w:val="00A1E0"/>
                <w:sz w:val="20"/>
              </w:rPr>
              <w:t>COMMITTEE MEMBERSHIP FEES</w:t>
            </w:r>
          </w:p>
        </w:tc>
      </w:tr>
      <w:tr>
        <w:trPr/>
        <w:tc>
          <w:tcPr>
            <w:tcW w:w="4395" w:type="dxa"/>
            <w:tcBorders/>
            <w:shd w:fill="auto" w:val="clear"/>
            <w:vAlign w:val="center"/>
          </w:tcPr>
          <w:p>
            <w:pPr>
              <w:pStyle w:val="TableContents"/>
              <w:spacing w:before="0" w:after="283"/>
              <w:jc w:val="left"/>
              <w:rPr/>
            </w:pPr>
            <w:r>
              <w:rPr/>
              <w:drawing>
                <wp:inline distT="0" distB="0" distL="0" distR="0">
                  <wp:extent cx="2790825" cy="800100"/>
                  <wp:effectExtent l="0" t="0" r="0" b="0"/>
                  <wp:docPr id="215"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39" descr=""/>
                          <pic:cNvPicPr>
                            <a:picLocks noChangeAspect="1" noChangeArrowheads="1"/>
                          </pic:cNvPicPr>
                        </pic:nvPicPr>
                        <pic:blipFill>
                          <a:blip r:embed="rId140"/>
                          <a:srcRect l="-361" t="-1259" r="-361" b="-1259"/>
                          <a:stretch>
                            <a:fillRect/>
                          </a:stretch>
                        </pic:blipFill>
                        <pic:spPr bwMode="auto">
                          <a:xfrm>
                            <a:off x="0" y="0"/>
                            <a:ext cx="2790825" cy="800100"/>
                          </a:xfrm>
                          <a:prstGeom prst="rect">
                            <a:avLst/>
                          </a:prstGeom>
                          <a:ln w="635">
                            <a:solidFill>
                              <a:srgbClr val="000000"/>
                            </a:solidFill>
                          </a:ln>
                        </pic:spPr>
                      </pic:pic>
                    </a:graphicData>
                  </a:graphic>
                </wp:inline>
              </w:drawing>
            </w:r>
          </w:p>
        </w:tc>
        <w:tc>
          <w:tcPr>
            <w:tcW w:w="4650" w:type="dxa"/>
            <w:tcBorders/>
            <w:shd w:fill="auto" w:val="clear"/>
            <w:vAlign w:val="center"/>
          </w:tcPr>
          <w:p>
            <w:pPr>
              <w:pStyle w:val="TableContents"/>
              <w:spacing w:before="0" w:after="283"/>
              <w:jc w:val="left"/>
              <w:rPr/>
            </w:pPr>
            <w:r>
              <w:rPr/>
              <w:drawing>
                <wp:inline distT="0" distB="0" distL="0" distR="0">
                  <wp:extent cx="2952750" cy="1800225"/>
                  <wp:effectExtent l="0" t="0" r="0" b="0"/>
                  <wp:docPr id="216"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40" descr=""/>
                          <pic:cNvPicPr>
                            <a:picLocks noChangeAspect="1" noChangeArrowheads="1"/>
                          </pic:cNvPicPr>
                        </pic:nvPicPr>
                        <pic:blipFill>
                          <a:blip r:embed="rId141"/>
                          <a:srcRect l="-341" t="-559" r="-341" b="-559"/>
                          <a:stretch>
                            <a:fillRect/>
                          </a:stretch>
                        </pic:blipFill>
                        <pic:spPr bwMode="auto">
                          <a:xfrm>
                            <a:off x="0" y="0"/>
                            <a:ext cx="2952750" cy="1800225"/>
                          </a:xfrm>
                          <a:prstGeom prst="rect">
                            <a:avLst/>
                          </a:prstGeom>
                          <a:ln w="635">
                            <a:solidFill>
                              <a:srgbClr val="000000"/>
                            </a:solidFill>
                          </a:ln>
                        </pic:spPr>
                      </pic:pic>
                    </a:graphicData>
                  </a:graphic>
                </wp:inline>
              </w:drawing>
            </w:r>
          </w:p>
        </w:tc>
      </w:tr>
    </w:tbl>
    <w:p>
      <w:pPr>
        <w:pStyle w:val="TextBody"/>
        <w:ind w:left="0" w:right="0" w:hanging="0"/>
        <w:jc w:val="left"/>
        <w:rPr>
          <w:rFonts w:ascii="Arial" w:hAnsi="Arial"/>
          <w:color w:val="FFFFFF"/>
          <w:sz w:val="2"/>
        </w:rPr>
      </w:pPr>
      <w:r>
        <w:rPr>
          <w:rFonts w:ascii="Arial" w:hAnsi="Arial"/>
          <w:color w:val="FFFFFF"/>
          <w:sz w:val="2"/>
        </w:rPr>
        <w:t>Annual Retainer $110,000 FMV of Annual Grant of Shares of CMCSA $195,000 Audit Committee $40,000 $15,000 Compensation and Human Capital Committee $40,000 $15,000 Governance and Corporate Responsibility Committee $20,000 $12,500 Chair Member</w:t>
      </w:r>
    </w:p>
    <w:p>
      <w:pPr>
        <w:pStyle w:val="TextBody"/>
        <w:spacing w:before="220" w:after="283"/>
        <w:jc w:val="left"/>
        <w:rPr>
          <w:rFonts w:ascii="Arial" w:hAnsi="Arial"/>
          <w:sz w:val="20"/>
        </w:rPr>
      </w:pPr>
      <w:r>
        <w:rPr>
          <w:rFonts w:ascii="Arial" w:hAnsi="Arial"/>
          <w:sz w:val="20"/>
        </w:rPr>
        <w:t>The annual retainer may be received, at the election of the nonemployee director, in shares of Class A common stock, the receipt of which may be deferred in whole or in part. The receipt of the annual stock grant (which is fully vested upon grant) also may be deferred in whole or in part, as may any fees received by a director. Deferred fees must be invested notionally in a third-party mutual or exchange fund or our Class A common stock fund (with dividends being reinvested in Comcast stock).</w:t>
      </w:r>
    </w:p>
    <w:p>
      <w:pPr>
        <w:pStyle w:val="TextBody"/>
        <w:jc w:val="left"/>
        <w:rPr>
          <w:rFonts w:ascii="Arial" w:hAnsi="Arial"/>
          <w:sz w:val="20"/>
        </w:rPr>
      </w:pPr>
      <w:r>
        <w:rPr>
          <w:rFonts w:ascii="Arial" w:hAnsi="Arial"/>
          <w:sz w:val="20"/>
        </w:rPr>
        <w:t>A director emeritus receives an annual cash payment equal to the fair market value of our annual stock grant and the same annual Board retainer as provided above for nonemployee directors for the first year of service and remains eligible for participation in our deferred compensation plans as an active participant for the first two years of service.</w:t>
      </w:r>
    </w:p>
    <w:p>
      <w:pPr>
        <w:pStyle w:val="TextBody"/>
        <w:jc w:val="left"/>
        <w:rPr>
          <w:rFonts w:ascii="Arial" w:hAnsi="Arial"/>
          <w:sz w:val="20"/>
        </w:rPr>
      </w:pPr>
      <w:r>
        <w:rPr>
          <w:rFonts w:ascii="Arial" w:hAnsi="Arial"/>
          <w:sz w:val="20"/>
        </w:rPr>
        <w:t>Nonemployee directors and directors emeritus are reimbursed for travel expenses for meetings attended and are provided with our high-speed internet, video, voice and home security and automation services at two residences, if in our service areas, at no cost during the time they serve, and for five years thereafter.</w:t>
      </w:r>
    </w:p>
    <w:p>
      <w:pPr>
        <w:pStyle w:val="TextBody"/>
        <w:jc w:val="left"/>
        <w:rPr>
          <w:rFonts w:ascii="Arial" w:hAnsi="Arial"/>
          <w:color w:val="00A1E0"/>
          <w:sz w:val="28"/>
        </w:rPr>
      </w:pPr>
      <w:r>
        <w:rPr>
          <w:rFonts w:ascii="Arial" w:hAnsi="Arial"/>
          <w:color w:val="00A1E0"/>
          <w:sz w:val="28"/>
        </w:rPr>
        <w:t>Director Stock Ownership Policy</w:t>
      </w:r>
    </w:p>
    <w:p>
      <w:pPr>
        <w:pStyle w:val="TextBody"/>
        <w:jc w:val="left"/>
        <w:rPr>
          <w:rFonts w:ascii="Arial" w:hAnsi="Arial"/>
          <w:sz w:val="20"/>
        </w:rPr>
      </w:pPr>
      <w:r>
        <w:rPr>
          <w:rFonts w:ascii="Arial" w:hAnsi="Arial"/>
          <w:sz w:val="20"/>
        </w:rPr>
        <w:t>Our nonemployee director stock ownership policy requires our nonemployee directors to hold a number of shares of our common stock having a value equal to five times the director’s annual cash retainer. Each nonemployee director has a period of five years following his or her first year of service to reach this ownership requirement. For purposes of this policy, “ownership” includes 60% of any deferred shares. In determining compliance, the CHC Committee may consider any noncompliance that occurs solely or primarily as a result of a decline in the market price of our stock. All nonemployee directors satisfied the requirements of our stock ownership policy in 2022.</w:t>
      </w:r>
    </w:p>
    <w:tbl>
      <w:tblPr>
        <w:tblW w:w="223" w:type="dxa"/>
        <w:jc w:val="left"/>
        <w:tblInd w:w="0" w:type="dxa"/>
        <w:tblCellMar>
          <w:top w:w="0" w:type="dxa"/>
          <w:left w:w="0" w:type="dxa"/>
          <w:bottom w:w="0" w:type="dxa"/>
          <w:right w:w="0" w:type="dxa"/>
        </w:tblCellMar>
      </w:tblPr>
      <w:tblGrid>
        <w:gridCol w:w="200"/>
        <w:gridCol w:w="23"/>
      </w:tblGrid>
      <w:tr>
        <w:trPr/>
        <w:tc>
          <w:tcPr>
            <w:tcW w:w="200" w:type="dxa"/>
            <w:tcBorders/>
            <w:shd w:fill="auto" w:val="clear"/>
            <w:vAlign w:val="center"/>
          </w:tcPr>
          <w:p>
            <w:pPr>
              <w:pStyle w:val="TableContents"/>
              <w:spacing w:before="0" w:after="283"/>
              <w:jc w:val="left"/>
              <w:rPr>
                <w:rFonts w:ascii="Arial" w:hAnsi="Arial"/>
                <w:b/>
                <w:sz w:val="15"/>
              </w:rPr>
            </w:pPr>
            <w:r>
              <w:rPr>
                <w:rFonts w:ascii="Arial" w:hAnsi="Arial"/>
                <w:b/>
                <w:sz w:val="15"/>
              </w:rPr>
              <w:t>86</w:t>
            </w:r>
          </w:p>
        </w:tc>
        <w:tc>
          <w:tcPr>
            <w:tcW w:w="2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p>
      <w:pPr>
        <w:pStyle w:val="TextBody"/>
        <w:jc w:val="left"/>
        <w:rPr>
          <w:rFonts w:ascii="Arial" w:hAnsi="Arial"/>
          <w:color w:val="00A1E0"/>
          <w:sz w:val="28"/>
        </w:rPr>
      </w:pPr>
      <w:r>
        <w:rPr>
          <w:rFonts w:ascii="Arial" w:hAnsi="Arial"/>
          <w:color w:val="00A1E0"/>
          <w:sz w:val="28"/>
        </w:rPr>
        <w:t>Director Compensation</w:t>
      </w:r>
    </w:p>
    <w:p>
      <w:pPr>
        <w:pStyle w:val="TextBody"/>
        <w:jc w:val="left"/>
        <w:rPr>
          <w:rFonts w:ascii="Arial" w:hAnsi="Arial"/>
          <w:sz w:val="20"/>
        </w:rPr>
      </w:pPr>
      <w:r>
        <w:rPr>
          <w:rFonts w:ascii="Arial" w:hAnsi="Arial"/>
          <w:sz w:val="20"/>
        </w:rPr>
        <w:t>The following table sets forth specified information regarding the compensation of our nonemployee directors in 2022. No information is provided for Mr. Roberts, who is an employee director and does not receive compensation for his services as a director.</w:t>
      </w:r>
    </w:p>
    <w:tbl>
      <w:tblPr>
        <w:tblW w:w="5240" w:type="dxa"/>
        <w:jc w:val="left"/>
        <w:tblInd w:w="0" w:type="dxa"/>
        <w:tblCellMar>
          <w:top w:w="0" w:type="dxa"/>
          <w:left w:w="0" w:type="dxa"/>
          <w:bottom w:w="40" w:type="dxa"/>
          <w:right w:w="0" w:type="dxa"/>
        </w:tblCellMar>
      </w:tblPr>
      <w:tblGrid>
        <w:gridCol w:w="2015"/>
        <w:gridCol w:w="300"/>
        <w:gridCol w:w="785"/>
        <w:gridCol w:w="300"/>
        <w:gridCol w:w="830"/>
        <w:gridCol w:w="300"/>
        <w:gridCol w:w="710"/>
      </w:tblGrid>
      <w:tr>
        <w:trPr/>
        <w:tc>
          <w:tcPr>
            <w:tcW w:w="2015" w:type="dxa"/>
            <w:tcBorders>
              <w:bottom w:val="single" w:sz="12" w:space="0" w:color="000000"/>
            </w:tcBorders>
            <w:shd w:fill="auto" w:val="clear"/>
            <w:vAlign w:val="center"/>
          </w:tcPr>
          <w:p>
            <w:pPr>
              <w:pStyle w:val="TableContents"/>
              <w:spacing w:before="0" w:after="283"/>
              <w:jc w:val="left"/>
              <w:rPr/>
            </w:pPr>
            <w:r>
              <w:rPr>
                <w:rStyle w:val="StrongEmphasis"/>
                <w:rFonts w:ascii="Arial" w:hAnsi="Arial"/>
                <w:sz w:val="15"/>
              </w:rPr>
              <w:t>NAME</w:t>
            </w:r>
          </w:p>
        </w:tc>
        <w:tc>
          <w:tcPr>
            <w:tcW w:w="300" w:type="dxa"/>
            <w:tcBorders>
              <w:bottom w:val="single" w:sz="12" w:space="0" w:color="000000"/>
            </w:tcBorders>
            <w:shd w:fill="auto" w:val="clear"/>
            <w:vAlign w:val="center"/>
          </w:tcPr>
          <w:p>
            <w:pPr>
              <w:pStyle w:val="TableContents"/>
              <w:spacing w:before="0" w:after="283"/>
              <w:jc w:val="center"/>
              <w:rPr/>
            </w:pPr>
            <w:r>
              <w:rPr/>
              <w:t>     </w:t>
            </w:r>
          </w:p>
        </w:tc>
        <w:tc>
          <w:tcPr>
            <w:tcW w:w="785" w:type="dxa"/>
            <w:tcBorders>
              <w:bottom w:val="single" w:sz="12" w:space="0" w:color="000000"/>
            </w:tcBorders>
            <w:shd w:fill="auto" w:val="clear"/>
            <w:vAlign w:val="center"/>
          </w:tcPr>
          <w:p>
            <w:pPr>
              <w:pStyle w:val="TableContents"/>
              <w:spacing w:before="0" w:after="283"/>
              <w:jc w:val="center"/>
              <w:rPr/>
            </w:pPr>
            <w:r>
              <w:rPr>
                <w:rStyle w:val="StrongEmphasis"/>
                <w:rFonts w:ascii="Arial" w:hAnsi="Arial"/>
                <w:sz w:val="15"/>
              </w:rPr>
              <w:t>FEES</w:t>
              <w:br/>
              <w:t>EARNED</w:t>
              <w:br/>
              <w:t>OR PAID</w:t>
              <w:br/>
              <w:t>IN CASH</w:t>
            </w:r>
            <w:r>
              <w:rPr>
                <w:rStyle w:val="StrongEmphasis"/>
                <w:rFonts w:ascii="Arial" w:hAnsi="Arial"/>
                <w:position w:val="5"/>
                <w:sz w:val="12"/>
                <w:sz w:val="15"/>
              </w:rPr>
              <w:t>(1)</w:t>
            </w:r>
            <w:r>
              <w:rPr>
                <w:rStyle w:val="StrongEmphasis"/>
                <w:rFonts w:ascii="Arial" w:hAnsi="Arial"/>
                <w:sz w:val="15"/>
              </w:rPr>
              <w:br/>
              <w:t>($)</w:t>
            </w:r>
          </w:p>
        </w:tc>
        <w:tc>
          <w:tcPr>
            <w:tcW w:w="300" w:type="dxa"/>
            <w:tcBorders>
              <w:bottom w:val="single" w:sz="12" w:space="0" w:color="000000"/>
            </w:tcBorders>
            <w:shd w:fill="auto" w:val="clear"/>
            <w:vAlign w:val="center"/>
          </w:tcPr>
          <w:p>
            <w:pPr>
              <w:pStyle w:val="TableContents"/>
              <w:spacing w:before="0" w:after="283"/>
              <w:jc w:val="center"/>
              <w:rPr/>
            </w:pPr>
            <w:r>
              <w:rPr/>
              <w:t>     </w:t>
            </w:r>
          </w:p>
        </w:tc>
        <w:tc>
          <w:tcPr>
            <w:tcW w:w="830" w:type="dxa"/>
            <w:tcBorders>
              <w:bottom w:val="single" w:sz="12" w:space="0" w:color="000000"/>
            </w:tcBorders>
            <w:shd w:fill="auto" w:val="clear"/>
            <w:vAlign w:val="center"/>
          </w:tcPr>
          <w:p>
            <w:pPr>
              <w:pStyle w:val="TableContents"/>
              <w:spacing w:before="0" w:after="283"/>
              <w:jc w:val="center"/>
              <w:rPr/>
            </w:pPr>
            <w:r>
              <w:rPr>
                <w:rStyle w:val="StrongEmphasis"/>
                <w:rFonts w:ascii="Arial" w:hAnsi="Arial"/>
                <w:sz w:val="15"/>
              </w:rPr>
              <w:t>STOCK</w:t>
              <w:br/>
              <w:t>AWARDS</w:t>
            </w:r>
            <w:r>
              <w:rPr>
                <w:rStyle w:val="StrongEmphasis"/>
                <w:rFonts w:ascii="Arial" w:hAnsi="Arial"/>
                <w:position w:val="5"/>
                <w:sz w:val="12"/>
                <w:sz w:val="15"/>
              </w:rPr>
              <w:t>(2)</w:t>
            </w:r>
            <w:r>
              <w:rPr>
                <w:rStyle w:val="StrongEmphasis"/>
                <w:rFonts w:ascii="Arial" w:hAnsi="Arial"/>
                <w:sz w:val="15"/>
              </w:rPr>
              <w:br/>
              <w:t>($)</w:t>
            </w:r>
          </w:p>
        </w:tc>
        <w:tc>
          <w:tcPr>
            <w:tcW w:w="300" w:type="dxa"/>
            <w:tcBorders>
              <w:bottom w:val="single" w:sz="12" w:space="0" w:color="000000"/>
            </w:tcBorders>
            <w:shd w:fill="auto" w:val="clear"/>
            <w:vAlign w:val="center"/>
          </w:tcPr>
          <w:p>
            <w:pPr>
              <w:pStyle w:val="TableContents"/>
              <w:spacing w:before="0" w:after="283"/>
              <w:jc w:val="center"/>
              <w:rPr/>
            </w:pPr>
            <w:r>
              <w:rPr/>
              <w:t>     </w:t>
            </w:r>
          </w:p>
        </w:tc>
        <w:tc>
          <w:tcPr>
            <w:tcW w:w="710" w:type="dxa"/>
            <w:tcBorders>
              <w:bottom w:val="single" w:sz="12" w:space="0" w:color="000000"/>
            </w:tcBorders>
            <w:shd w:fill="auto" w:val="clear"/>
            <w:vAlign w:val="center"/>
          </w:tcPr>
          <w:p>
            <w:pPr>
              <w:pStyle w:val="TableContents"/>
              <w:spacing w:before="0" w:after="283"/>
              <w:jc w:val="center"/>
              <w:rPr/>
            </w:pPr>
            <w:r>
              <w:rPr>
                <w:rStyle w:val="StrongEmphasis"/>
                <w:rFonts w:ascii="Arial" w:hAnsi="Arial"/>
                <w:sz w:val="15"/>
              </w:rPr>
              <w:t>TOTAL</w:t>
              <w:br/>
              <w:t>($)</w:t>
            </w:r>
          </w:p>
        </w:tc>
      </w:tr>
      <w:tr>
        <w:trPr/>
        <w:tc>
          <w:tcPr>
            <w:tcW w:w="2015" w:type="dxa"/>
            <w:tcBorders>
              <w:bottom w:val="single" w:sz="8" w:space="0" w:color="000000"/>
            </w:tcBorders>
            <w:shd w:fill="auto" w:val="clear"/>
            <w:vAlign w:val="center"/>
          </w:tcPr>
          <w:p>
            <w:pPr>
              <w:pStyle w:val="TableContents"/>
              <w:spacing w:before="0" w:after="283"/>
              <w:jc w:val="left"/>
              <w:rPr/>
            </w:pPr>
            <w:r>
              <w:rPr>
                <w:rStyle w:val="StrongEmphasis"/>
                <w:rFonts w:ascii="Arial" w:hAnsi="Arial"/>
                <w:sz w:val="20"/>
              </w:rPr>
              <w:t>Kenneth J. Bacon</w:t>
            </w:r>
          </w:p>
        </w:tc>
        <w:tc>
          <w:tcPr>
            <w:tcW w:w="30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785" w:type="dxa"/>
            <w:tcBorders>
              <w:bottom w:val="single" w:sz="8" w:space="0" w:color="000000"/>
            </w:tcBorders>
            <w:shd w:fill="auto" w:val="clear"/>
            <w:vAlign w:val="center"/>
          </w:tcPr>
          <w:p>
            <w:pPr>
              <w:pStyle w:val="TableContents"/>
              <w:spacing w:before="0" w:after="283"/>
              <w:jc w:val="right"/>
              <w:rPr>
                <w:rFonts w:ascii="Arial" w:hAnsi="Arial"/>
                <w:sz w:val="20"/>
              </w:rPr>
            </w:pPr>
            <w:r>
              <w:rPr>
                <w:rFonts w:ascii="Arial" w:hAnsi="Arial"/>
                <w:sz w:val="20"/>
              </w:rPr>
              <w:t>130,000</w:t>
            </w:r>
          </w:p>
        </w:tc>
        <w:tc>
          <w:tcPr>
            <w:tcW w:w="30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vAlign w:val="center"/>
          </w:tcPr>
          <w:p>
            <w:pPr>
              <w:pStyle w:val="TableContents"/>
              <w:spacing w:before="0" w:after="283"/>
              <w:jc w:val="right"/>
              <w:rPr>
                <w:rFonts w:ascii="Arial" w:hAnsi="Arial"/>
                <w:sz w:val="20"/>
              </w:rPr>
            </w:pPr>
            <w:r>
              <w:rPr>
                <w:rFonts w:ascii="Arial" w:hAnsi="Arial"/>
                <w:sz w:val="20"/>
              </w:rPr>
              <w:t>195,005</w:t>
            </w:r>
          </w:p>
        </w:tc>
        <w:tc>
          <w:tcPr>
            <w:tcW w:w="30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710" w:type="dxa"/>
            <w:tcBorders>
              <w:bottom w:val="single" w:sz="8" w:space="0" w:color="000000"/>
            </w:tcBorders>
            <w:shd w:fill="auto" w:val="clear"/>
            <w:vAlign w:val="center"/>
          </w:tcPr>
          <w:p>
            <w:pPr>
              <w:pStyle w:val="TableContents"/>
              <w:spacing w:before="0" w:after="283"/>
              <w:jc w:val="right"/>
              <w:rPr>
                <w:rFonts w:ascii="Arial" w:hAnsi="Arial"/>
                <w:sz w:val="20"/>
              </w:rPr>
            </w:pPr>
            <w:r>
              <w:rPr>
                <w:rFonts w:ascii="Arial" w:hAnsi="Arial"/>
                <w:sz w:val="20"/>
              </w:rPr>
              <w:t>325,005</w:t>
            </w:r>
          </w:p>
        </w:tc>
      </w:tr>
      <w:tr>
        <w:trPr/>
        <w:tc>
          <w:tcPr>
            <w:tcW w:w="2015" w:type="dxa"/>
            <w:tcBorders>
              <w:bottom w:val="single" w:sz="8" w:space="0" w:color="000000"/>
            </w:tcBorders>
            <w:shd w:fill="auto" w:val="clear"/>
            <w:vAlign w:val="center"/>
          </w:tcPr>
          <w:p>
            <w:pPr>
              <w:pStyle w:val="TableContents"/>
              <w:spacing w:before="0" w:after="283"/>
              <w:jc w:val="left"/>
              <w:rPr/>
            </w:pPr>
            <w:r>
              <w:rPr>
                <w:rStyle w:val="StrongEmphasis"/>
                <w:rFonts w:ascii="Arial" w:hAnsi="Arial"/>
                <w:sz w:val="20"/>
              </w:rPr>
              <w:t>Madeline S. Bell</w:t>
            </w:r>
          </w:p>
        </w:tc>
        <w:tc>
          <w:tcPr>
            <w:tcW w:w="30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785" w:type="dxa"/>
            <w:tcBorders>
              <w:bottom w:val="single" w:sz="8" w:space="0" w:color="000000"/>
            </w:tcBorders>
            <w:shd w:fill="auto" w:val="clear"/>
            <w:vAlign w:val="center"/>
          </w:tcPr>
          <w:p>
            <w:pPr>
              <w:pStyle w:val="TableContents"/>
              <w:spacing w:before="0" w:after="283"/>
              <w:jc w:val="right"/>
              <w:rPr>
                <w:rFonts w:ascii="Arial" w:hAnsi="Arial"/>
                <w:sz w:val="20"/>
              </w:rPr>
            </w:pPr>
            <w:r>
              <w:rPr>
                <w:rFonts w:ascii="Arial" w:hAnsi="Arial"/>
                <w:sz w:val="20"/>
              </w:rPr>
              <w:t>122,500</w:t>
            </w:r>
          </w:p>
        </w:tc>
        <w:tc>
          <w:tcPr>
            <w:tcW w:w="30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vAlign w:val="center"/>
          </w:tcPr>
          <w:p>
            <w:pPr>
              <w:pStyle w:val="TableContents"/>
              <w:spacing w:before="0" w:after="283"/>
              <w:jc w:val="right"/>
              <w:rPr>
                <w:rFonts w:ascii="Arial" w:hAnsi="Arial"/>
                <w:sz w:val="20"/>
              </w:rPr>
            </w:pPr>
            <w:r>
              <w:rPr>
                <w:rFonts w:ascii="Arial" w:hAnsi="Arial"/>
                <w:sz w:val="20"/>
              </w:rPr>
              <w:t>195,005</w:t>
            </w:r>
          </w:p>
        </w:tc>
        <w:tc>
          <w:tcPr>
            <w:tcW w:w="30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710" w:type="dxa"/>
            <w:tcBorders>
              <w:bottom w:val="single" w:sz="8" w:space="0" w:color="000000"/>
            </w:tcBorders>
            <w:shd w:fill="auto" w:val="clear"/>
            <w:vAlign w:val="center"/>
          </w:tcPr>
          <w:p>
            <w:pPr>
              <w:pStyle w:val="TableContents"/>
              <w:spacing w:before="0" w:after="283"/>
              <w:jc w:val="right"/>
              <w:rPr>
                <w:rFonts w:ascii="Arial" w:hAnsi="Arial"/>
                <w:sz w:val="20"/>
              </w:rPr>
            </w:pPr>
            <w:r>
              <w:rPr>
                <w:rFonts w:ascii="Arial" w:hAnsi="Arial"/>
                <w:sz w:val="20"/>
              </w:rPr>
              <w:t>317,505</w:t>
            </w:r>
          </w:p>
        </w:tc>
      </w:tr>
      <w:tr>
        <w:trPr/>
        <w:tc>
          <w:tcPr>
            <w:tcW w:w="2015" w:type="dxa"/>
            <w:tcBorders>
              <w:bottom w:val="single" w:sz="8" w:space="0" w:color="000000"/>
            </w:tcBorders>
            <w:shd w:fill="auto" w:val="clear"/>
            <w:vAlign w:val="center"/>
          </w:tcPr>
          <w:p>
            <w:pPr>
              <w:pStyle w:val="TableContents"/>
              <w:spacing w:before="0" w:after="283"/>
              <w:jc w:val="left"/>
              <w:rPr/>
            </w:pPr>
            <w:r>
              <w:rPr>
                <w:rStyle w:val="StrongEmphasis"/>
                <w:rFonts w:ascii="Arial" w:hAnsi="Arial"/>
                <w:sz w:val="20"/>
              </w:rPr>
              <w:t>Naomi M. Bergman</w:t>
            </w:r>
            <w:r>
              <w:rPr>
                <w:rStyle w:val="StrongEmphasis"/>
                <w:rFonts w:ascii="Arial" w:hAnsi="Arial"/>
                <w:position w:val="7"/>
                <w:sz w:val="16"/>
                <w:sz w:val="20"/>
              </w:rPr>
              <w:t>(3)</w:t>
            </w:r>
          </w:p>
        </w:tc>
        <w:tc>
          <w:tcPr>
            <w:tcW w:w="30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785" w:type="dxa"/>
            <w:tcBorders>
              <w:bottom w:val="single" w:sz="8" w:space="0" w:color="000000"/>
            </w:tcBorders>
            <w:shd w:fill="auto" w:val="clear"/>
            <w:vAlign w:val="center"/>
          </w:tcPr>
          <w:p>
            <w:pPr>
              <w:pStyle w:val="TableContents"/>
              <w:spacing w:before="0" w:after="283"/>
              <w:jc w:val="right"/>
              <w:rPr>
                <w:rFonts w:ascii="Arial" w:hAnsi="Arial"/>
                <w:sz w:val="20"/>
              </w:rPr>
            </w:pPr>
            <w:r>
              <w:rPr>
                <w:rFonts w:ascii="Arial" w:hAnsi="Arial"/>
                <w:sz w:val="20"/>
              </w:rPr>
              <w:t>62,500</w:t>
            </w:r>
          </w:p>
        </w:tc>
        <w:tc>
          <w:tcPr>
            <w:tcW w:w="30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vAlign w:val="center"/>
          </w:tcPr>
          <w:p>
            <w:pPr>
              <w:pStyle w:val="TableContents"/>
              <w:spacing w:before="0" w:after="283"/>
              <w:jc w:val="right"/>
              <w:rPr/>
            </w:pPr>
            <w:r>
              <w:rPr/>
              <w:t>—</w:t>
            </w:r>
          </w:p>
        </w:tc>
        <w:tc>
          <w:tcPr>
            <w:tcW w:w="30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710" w:type="dxa"/>
            <w:tcBorders>
              <w:bottom w:val="single" w:sz="8" w:space="0" w:color="000000"/>
            </w:tcBorders>
            <w:shd w:fill="auto" w:val="clear"/>
            <w:vAlign w:val="center"/>
          </w:tcPr>
          <w:p>
            <w:pPr>
              <w:pStyle w:val="TableContents"/>
              <w:spacing w:before="0" w:after="283"/>
              <w:jc w:val="right"/>
              <w:rPr>
                <w:rFonts w:ascii="Arial" w:hAnsi="Arial"/>
                <w:sz w:val="20"/>
              </w:rPr>
            </w:pPr>
            <w:r>
              <w:rPr>
                <w:rFonts w:ascii="Arial" w:hAnsi="Arial"/>
                <w:sz w:val="20"/>
              </w:rPr>
              <w:t>62,500</w:t>
            </w:r>
          </w:p>
        </w:tc>
      </w:tr>
      <w:tr>
        <w:trPr/>
        <w:tc>
          <w:tcPr>
            <w:tcW w:w="2015" w:type="dxa"/>
            <w:tcBorders>
              <w:bottom w:val="single" w:sz="8" w:space="0" w:color="000000"/>
            </w:tcBorders>
            <w:shd w:fill="auto" w:val="clear"/>
            <w:vAlign w:val="center"/>
          </w:tcPr>
          <w:p>
            <w:pPr>
              <w:pStyle w:val="TableContents"/>
              <w:spacing w:before="0" w:after="283"/>
              <w:jc w:val="left"/>
              <w:rPr/>
            </w:pPr>
            <w:r>
              <w:rPr>
                <w:rStyle w:val="StrongEmphasis"/>
                <w:rFonts w:ascii="Arial" w:hAnsi="Arial"/>
                <w:sz w:val="20"/>
              </w:rPr>
              <w:t>Edward D. Breen</w:t>
            </w:r>
          </w:p>
        </w:tc>
        <w:tc>
          <w:tcPr>
            <w:tcW w:w="30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785" w:type="dxa"/>
            <w:tcBorders>
              <w:bottom w:val="single" w:sz="8" w:space="0" w:color="000000"/>
            </w:tcBorders>
            <w:shd w:fill="auto" w:val="clear"/>
            <w:vAlign w:val="center"/>
          </w:tcPr>
          <w:p>
            <w:pPr>
              <w:pStyle w:val="TableContents"/>
              <w:spacing w:before="0" w:after="283"/>
              <w:jc w:val="right"/>
              <w:rPr>
                <w:rFonts w:ascii="Arial" w:hAnsi="Arial"/>
                <w:sz w:val="20"/>
              </w:rPr>
            </w:pPr>
            <w:r>
              <w:rPr>
                <w:rFonts w:ascii="Arial" w:hAnsi="Arial"/>
                <w:sz w:val="20"/>
              </w:rPr>
              <w:t>150,000</w:t>
            </w:r>
          </w:p>
        </w:tc>
        <w:tc>
          <w:tcPr>
            <w:tcW w:w="30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vAlign w:val="center"/>
          </w:tcPr>
          <w:p>
            <w:pPr>
              <w:pStyle w:val="TableContents"/>
              <w:spacing w:before="0" w:after="283"/>
              <w:jc w:val="right"/>
              <w:rPr>
                <w:rFonts w:ascii="Arial" w:hAnsi="Arial"/>
                <w:sz w:val="20"/>
              </w:rPr>
            </w:pPr>
            <w:r>
              <w:rPr>
                <w:rFonts w:ascii="Arial" w:hAnsi="Arial"/>
                <w:sz w:val="20"/>
              </w:rPr>
              <w:t>195,005</w:t>
            </w:r>
          </w:p>
        </w:tc>
        <w:tc>
          <w:tcPr>
            <w:tcW w:w="30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710" w:type="dxa"/>
            <w:tcBorders>
              <w:bottom w:val="single" w:sz="8" w:space="0" w:color="000000"/>
            </w:tcBorders>
            <w:shd w:fill="auto" w:val="clear"/>
            <w:vAlign w:val="center"/>
          </w:tcPr>
          <w:p>
            <w:pPr>
              <w:pStyle w:val="TableContents"/>
              <w:spacing w:before="0" w:after="283"/>
              <w:jc w:val="right"/>
              <w:rPr>
                <w:rFonts w:ascii="Arial" w:hAnsi="Arial"/>
                <w:sz w:val="20"/>
              </w:rPr>
            </w:pPr>
            <w:r>
              <w:rPr>
                <w:rFonts w:ascii="Arial" w:hAnsi="Arial"/>
                <w:sz w:val="20"/>
              </w:rPr>
              <w:t>345,005</w:t>
            </w:r>
          </w:p>
        </w:tc>
      </w:tr>
      <w:tr>
        <w:trPr/>
        <w:tc>
          <w:tcPr>
            <w:tcW w:w="2015" w:type="dxa"/>
            <w:tcBorders>
              <w:bottom w:val="single" w:sz="8" w:space="0" w:color="000000"/>
            </w:tcBorders>
            <w:shd w:fill="auto" w:val="clear"/>
            <w:vAlign w:val="center"/>
          </w:tcPr>
          <w:p>
            <w:pPr>
              <w:pStyle w:val="TableContents"/>
              <w:spacing w:before="0" w:after="283"/>
              <w:jc w:val="left"/>
              <w:rPr/>
            </w:pPr>
            <w:r>
              <w:rPr>
                <w:rStyle w:val="StrongEmphasis"/>
                <w:rFonts w:ascii="Arial" w:hAnsi="Arial"/>
                <w:sz w:val="20"/>
              </w:rPr>
              <w:t>Gerald L. Hassell</w:t>
            </w:r>
          </w:p>
        </w:tc>
        <w:tc>
          <w:tcPr>
            <w:tcW w:w="30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785" w:type="dxa"/>
            <w:tcBorders>
              <w:bottom w:val="single" w:sz="8" w:space="0" w:color="000000"/>
            </w:tcBorders>
            <w:shd w:fill="auto" w:val="clear"/>
            <w:vAlign w:val="center"/>
          </w:tcPr>
          <w:p>
            <w:pPr>
              <w:pStyle w:val="TableContents"/>
              <w:spacing w:before="0" w:after="283"/>
              <w:jc w:val="right"/>
              <w:rPr>
                <w:rFonts w:ascii="Arial" w:hAnsi="Arial"/>
                <w:sz w:val="20"/>
              </w:rPr>
            </w:pPr>
            <w:r>
              <w:rPr>
                <w:rFonts w:ascii="Arial" w:hAnsi="Arial"/>
                <w:sz w:val="20"/>
              </w:rPr>
              <w:t>125,000</w:t>
            </w:r>
          </w:p>
        </w:tc>
        <w:tc>
          <w:tcPr>
            <w:tcW w:w="30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vAlign w:val="center"/>
          </w:tcPr>
          <w:p>
            <w:pPr>
              <w:pStyle w:val="TableContents"/>
              <w:spacing w:before="0" w:after="283"/>
              <w:jc w:val="right"/>
              <w:rPr>
                <w:rFonts w:ascii="Arial" w:hAnsi="Arial"/>
                <w:sz w:val="20"/>
              </w:rPr>
            </w:pPr>
            <w:r>
              <w:rPr>
                <w:rFonts w:ascii="Arial" w:hAnsi="Arial"/>
                <w:sz w:val="20"/>
              </w:rPr>
              <w:t>195,005</w:t>
            </w:r>
          </w:p>
        </w:tc>
        <w:tc>
          <w:tcPr>
            <w:tcW w:w="30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710" w:type="dxa"/>
            <w:tcBorders>
              <w:bottom w:val="single" w:sz="8" w:space="0" w:color="000000"/>
            </w:tcBorders>
            <w:shd w:fill="auto" w:val="clear"/>
            <w:vAlign w:val="center"/>
          </w:tcPr>
          <w:p>
            <w:pPr>
              <w:pStyle w:val="TableContents"/>
              <w:spacing w:before="0" w:after="283"/>
              <w:jc w:val="right"/>
              <w:rPr>
                <w:rFonts w:ascii="Arial" w:hAnsi="Arial"/>
                <w:sz w:val="20"/>
              </w:rPr>
            </w:pPr>
            <w:r>
              <w:rPr>
                <w:rFonts w:ascii="Arial" w:hAnsi="Arial"/>
                <w:sz w:val="20"/>
              </w:rPr>
              <w:t>320,005</w:t>
            </w:r>
          </w:p>
        </w:tc>
      </w:tr>
      <w:tr>
        <w:trPr/>
        <w:tc>
          <w:tcPr>
            <w:tcW w:w="2015" w:type="dxa"/>
            <w:tcBorders>
              <w:bottom w:val="single" w:sz="8" w:space="0" w:color="000000"/>
            </w:tcBorders>
            <w:shd w:fill="auto" w:val="clear"/>
            <w:vAlign w:val="center"/>
          </w:tcPr>
          <w:p>
            <w:pPr>
              <w:pStyle w:val="TableContents"/>
              <w:spacing w:before="0" w:after="283"/>
              <w:jc w:val="left"/>
              <w:rPr/>
            </w:pPr>
            <w:r>
              <w:rPr>
                <w:rStyle w:val="StrongEmphasis"/>
                <w:rFonts w:ascii="Arial" w:hAnsi="Arial"/>
                <w:sz w:val="20"/>
              </w:rPr>
              <w:t>Jeffrey A. Honickman</w:t>
            </w:r>
          </w:p>
        </w:tc>
        <w:tc>
          <w:tcPr>
            <w:tcW w:w="30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785" w:type="dxa"/>
            <w:tcBorders>
              <w:bottom w:val="single" w:sz="8" w:space="0" w:color="000000"/>
            </w:tcBorders>
            <w:shd w:fill="auto" w:val="clear"/>
            <w:vAlign w:val="center"/>
          </w:tcPr>
          <w:p>
            <w:pPr>
              <w:pStyle w:val="TableContents"/>
              <w:spacing w:before="0" w:after="283"/>
              <w:jc w:val="right"/>
              <w:rPr>
                <w:rFonts w:ascii="Arial" w:hAnsi="Arial"/>
                <w:sz w:val="20"/>
              </w:rPr>
            </w:pPr>
            <w:r>
              <w:rPr>
                <w:rFonts w:ascii="Arial" w:hAnsi="Arial"/>
                <w:sz w:val="20"/>
              </w:rPr>
              <w:t>162,500</w:t>
            </w:r>
          </w:p>
        </w:tc>
        <w:tc>
          <w:tcPr>
            <w:tcW w:w="30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vAlign w:val="center"/>
          </w:tcPr>
          <w:p>
            <w:pPr>
              <w:pStyle w:val="TableContents"/>
              <w:spacing w:before="0" w:after="283"/>
              <w:jc w:val="right"/>
              <w:rPr>
                <w:rFonts w:ascii="Arial" w:hAnsi="Arial"/>
                <w:sz w:val="20"/>
              </w:rPr>
            </w:pPr>
            <w:r>
              <w:rPr>
                <w:rFonts w:ascii="Arial" w:hAnsi="Arial"/>
                <w:sz w:val="20"/>
              </w:rPr>
              <w:t>195,005</w:t>
            </w:r>
          </w:p>
        </w:tc>
        <w:tc>
          <w:tcPr>
            <w:tcW w:w="30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710" w:type="dxa"/>
            <w:tcBorders>
              <w:bottom w:val="single" w:sz="8" w:space="0" w:color="000000"/>
            </w:tcBorders>
            <w:shd w:fill="auto" w:val="clear"/>
            <w:vAlign w:val="center"/>
          </w:tcPr>
          <w:p>
            <w:pPr>
              <w:pStyle w:val="TableContents"/>
              <w:spacing w:before="0" w:after="283"/>
              <w:jc w:val="right"/>
              <w:rPr>
                <w:rFonts w:ascii="Arial" w:hAnsi="Arial"/>
                <w:sz w:val="20"/>
              </w:rPr>
            </w:pPr>
            <w:r>
              <w:rPr>
                <w:rFonts w:ascii="Arial" w:hAnsi="Arial"/>
                <w:sz w:val="20"/>
              </w:rPr>
              <w:t>357,505</w:t>
            </w:r>
          </w:p>
        </w:tc>
      </w:tr>
      <w:tr>
        <w:trPr/>
        <w:tc>
          <w:tcPr>
            <w:tcW w:w="2015" w:type="dxa"/>
            <w:tcBorders>
              <w:bottom w:val="single" w:sz="8" w:space="0" w:color="000000"/>
            </w:tcBorders>
            <w:shd w:fill="auto" w:val="clear"/>
            <w:vAlign w:val="center"/>
          </w:tcPr>
          <w:p>
            <w:pPr>
              <w:pStyle w:val="TableContents"/>
              <w:spacing w:before="0" w:after="283"/>
              <w:jc w:val="left"/>
              <w:rPr/>
            </w:pPr>
            <w:r>
              <w:rPr>
                <w:rStyle w:val="StrongEmphasis"/>
                <w:rFonts w:ascii="Arial" w:hAnsi="Arial"/>
                <w:sz w:val="20"/>
              </w:rPr>
              <w:t>Maritza G. Montiel</w:t>
            </w:r>
          </w:p>
        </w:tc>
        <w:tc>
          <w:tcPr>
            <w:tcW w:w="30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785" w:type="dxa"/>
            <w:tcBorders>
              <w:bottom w:val="single" w:sz="8" w:space="0" w:color="000000"/>
            </w:tcBorders>
            <w:shd w:fill="auto" w:val="clear"/>
            <w:vAlign w:val="center"/>
          </w:tcPr>
          <w:p>
            <w:pPr>
              <w:pStyle w:val="TableContents"/>
              <w:spacing w:before="0" w:after="283"/>
              <w:jc w:val="right"/>
              <w:rPr>
                <w:rFonts w:ascii="Arial" w:hAnsi="Arial"/>
                <w:sz w:val="20"/>
              </w:rPr>
            </w:pPr>
            <w:r>
              <w:rPr>
                <w:rFonts w:ascii="Arial" w:hAnsi="Arial"/>
                <w:sz w:val="20"/>
              </w:rPr>
              <w:t>125,000</w:t>
            </w:r>
          </w:p>
        </w:tc>
        <w:tc>
          <w:tcPr>
            <w:tcW w:w="30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vAlign w:val="center"/>
          </w:tcPr>
          <w:p>
            <w:pPr>
              <w:pStyle w:val="TableContents"/>
              <w:spacing w:before="0" w:after="283"/>
              <w:jc w:val="right"/>
              <w:rPr>
                <w:rFonts w:ascii="Arial" w:hAnsi="Arial"/>
                <w:sz w:val="20"/>
              </w:rPr>
            </w:pPr>
            <w:r>
              <w:rPr>
                <w:rFonts w:ascii="Arial" w:hAnsi="Arial"/>
                <w:sz w:val="20"/>
              </w:rPr>
              <w:t>195,005</w:t>
            </w:r>
          </w:p>
        </w:tc>
        <w:tc>
          <w:tcPr>
            <w:tcW w:w="30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710" w:type="dxa"/>
            <w:tcBorders>
              <w:bottom w:val="single" w:sz="8" w:space="0" w:color="000000"/>
            </w:tcBorders>
            <w:shd w:fill="auto" w:val="clear"/>
            <w:vAlign w:val="center"/>
          </w:tcPr>
          <w:p>
            <w:pPr>
              <w:pStyle w:val="TableContents"/>
              <w:spacing w:before="0" w:after="283"/>
              <w:jc w:val="right"/>
              <w:rPr>
                <w:rFonts w:ascii="Arial" w:hAnsi="Arial"/>
                <w:sz w:val="20"/>
              </w:rPr>
            </w:pPr>
            <w:r>
              <w:rPr>
                <w:rFonts w:ascii="Arial" w:hAnsi="Arial"/>
                <w:sz w:val="20"/>
              </w:rPr>
              <w:t>320,005</w:t>
            </w:r>
          </w:p>
        </w:tc>
      </w:tr>
      <w:tr>
        <w:trPr/>
        <w:tc>
          <w:tcPr>
            <w:tcW w:w="2015" w:type="dxa"/>
            <w:tcBorders>
              <w:bottom w:val="single" w:sz="8" w:space="0" w:color="000000"/>
            </w:tcBorders>
            <w:shd w:fill="auto" w:val="clear"/>
            <w:vAlign w:val="center"/>
          </w:tcPr>
          <w:p>
            <w:pPr>
              <w:pStyle w:val="TableContents"/>
              <w:spacing w:before="0" w:after="283"/>
              <w:jc w:val="left"/>
              <w:rPr/>
            </w:pPr>
            <w:r>
              <w:rPr>
                <w:rStyle w:val="StrongEmphasis"/>
                <w:rFonts w:ascii="Arial" w:hAnsi="Arial"/>
                <w:sz w:val="20"/>
              </w:rPr>
              <w:t>Asuka Nakahara</w:t>
            </w:r>
          </w:p>
        </w:tc>
        <w:tc>
          <w:tcPr>
            <w:tcW w:w="30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785" w:type="dxa"/>
            <w:tcBorders>
              <w:bottom w:val="single" w:sz="8" w:space="0" w:color="000000"/>
            </w:tcBorders>
            <w:shd w:fill="auto" w:val="clear"/>
            <w:vAlign w:val="center"/>
          </w:tcPr>
          <w:p>
            <w:pPr>
              <w:pStyle w:val="TableContents"/>
              <w:spacing w:before="0" w:after="283"/>
              <w:jc w:val="right"/>
              <w:rPr>
                <w:rFonts w:ascii="Arial" w:hAnsi="Arial"/>
                <w:sz w:val="20"/>
              </w:rPr>
            </w:pPr>
            <w:r>
              <w:rPr>
                <w:rFonts w:ascii="Arial" w:hAnsi="Arial"/>
                <w:sz w:val="20"/>
              </w:rPr>
              <w:t>125,000</w:t>
            </w:r>
          </w:p>
        </w:tc>
        <w:tc>
          <w:tcPr>
            <w:tcW w:w="30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vAlign w:val="center"/>
          </w:tcPr>
          <w:p>
            <w:pPr>
              <w:pStyle w:val="TableContents"/>
              <w:spacing w:before="0" w:after="283"/>
              <w:jc w:val="right"/>
              <w:rPr>
                <w:rFonts w:ascii="Arial" w:hAnsi="Arial"/>
                <w:sz w:val="20"/>
              </w:rPr>
            </w:pPr>
            <w:r>
              <w:rPr>
                <w:rFonts w:ascii="Arial" w:hAnsi="Arial"/>
                <w:sz w:val="20"/>
              </w:rPr>
              <w:t>195,005</w:t>
            </w:r>
          </w:p>
        </w:tc>
        <w:tc>
          <w:tcPr>
            <w:tcW w:w="30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710" w:type="dxa"/>
            <w:tcBorders>
              <w:bottom w:val="single" w:sz="8" w:space="0" w:color="000000"/>
            </w:tcBorders>
            <w:shd w:fill="auto" w:val="clear"/>
            <w:vAlign w:val="center"/>
          </w:tcPr>
          <w:p>
            <w:pPr>
              <w:pStyle w:val="TableContents"/>
              <w:spacing w:before="0" w:after="283"/>
              <w:jc w:val="right"/>
              <w:rPr>
                <w:rFonts w:ascii="Arial" w:hAnsi="Arial"/>
                <w:sz w:val="20"/>
              </w:rPr>
            </w:pPr>
            <w:r>
              <w:rPr>
                <w:rFonts w:ascii="Arial" w:hAnsi="Arial"/>
                <w:sz w:val="20"/>
              </w:rPr>
              <w:t>320,005</w:t>
            </w:r>
          </w:p>
        </w:tc>
      </w:tr>
      <w:tr>
        <w:trPr/>
        <w:tc>
          <w:tcPr>
            <w:tcW w:w="2015" w:type="dxa"/>
            <w:tcBorders>
              <w:bottom w:val="single" w:sz="8" w:space="0" w:color="000000"/>
            </w:tcBorders>
            <w:shd w:fill="auto" w:val="clear"/>
            <w:vAlign w:val="center"/>
          </w:tcPr>
          <w:p>
            <w:pPr>
              <w:pStyle w:val="TableContents"/>
              <w:spacing w:before="0" w:after="283"/>
              <w:jc w:val="left"/>
              <w:rPr/>
            </w:pPr>
            <w:r>
              <w:rPr>
                <w:rStyle w:val="StrongEmphasis"/>
                <w:rFonts w:ascii="Arial" w:hAnsi="Arial"/>
                <w:sz w:val="20"/>
              </w:rPr>
              <w:t>David C. Novak</w:t>
            </w:r>
          </w:p>
        </w:tc>
        <w:tc>
          <w:tcPr>
            <w:tcW w:w="30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785" w:type="dxa"/>
            <w:tcBorders>
              <w:bottom w:val="single" w:sz="8" w:space="0" w:color="000000"/>
            </w:tcBorders>
            <w:shd w:fill="auto" w:val="clear"/>
            <w:vAlign w:val="center"/>
          </w:tcPr>
          <w:p>
            <w:pPr>
              <w:pStyle w:val="TableContents"/>
              <w:spacing w:before="0" w:after="283"/>
              <w:jc w:val="right"/>
              <w:rPr>
                <w:rFonts w:ascii="Arial" w:hAnsi="Arial"/>
                <w:sz w:val="20"/>
              </w:rPr>
            </w:pPr>
            <w:r>
              <w:rPr>
                <w:rFonts w:ascii="Arial" w:hAnsi="Arial"/>
                <w:sz w:val="20"/>
              </w:rPr>
              <w:t>125,000</w:t>
            </w:r>
          </w:p>
        </w:tc>
        <w:tc>
          <w:tcPr>
            <w:tcW w:w="30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830" w:type="dxa"/>
            <w:tcBorders>
              <w:bottom w:val="single" w:sz="8" w:space="0" w:color="000000"/>
            </w:tcBorders>
            <w:shd w:fill="auto" w:val="clear"/>
            <w:vAlign w:val="center"/>
          </w:tcPr>
          <w:p>
            <w:pPr>
              <w:pStyle w:val="TableContents"/>
              <w:spacing w:before="0" w:after="283"/>
              <w:jc w:val="right"/>
              <w:rPr>
                <w:rFonts w:ascii="Arial" w:hAnsi="Arial"/>
                <w:sz w:val="20"/>
              </w:rPr>
            </w:pPr>
            <w:r>
              <w:rPr>
                <w:rFonts w:ascii="Arial" w:hAnsi="Arial"/>
                <w:sz w:val="20"/>
              </w:rPr>
              <w:t>195,005</w:t>
            </w:r>
          </w:p>
        </w:tc>
        <w:tc>
          <w:tcPr>
            <w:tcW w:w="300" w:type="dxa"/>
            <w:tcBorders>
              <w:bottom w:val="single" w:sz="8" w:space="0" w:color="000000"/>
            </w:tcBorders>
            <w:shd w:fill="auto" w:val="clear"/>
            <w:vAlign w:val="center"/>
          </w:tcPr>
          <w:p>
            <w:pPr>
              <w:pStyle w:val="TableContents"/>
              <w:spacing w:before="0" w:after="283"/>
              <w:rPr>
                <w:sz w:val="4"/>
                <w:szCs w:val="4"/>
              </w:rPr>
            </w:pPr>
            <w:r>
              <w:rPr>
                <w:sz w:val="4"/>
                <w:szCs w:val="4"/>
              </w:rPr>
            </w:r>
          </w:p>
        </w:tc>
        <w:tc>
          <w:tcPr>
            <w:tcW w:w="710" w:type="dxa"/>
            <w:tcBorders>
              <w:bottom w:val="single" w:sz="8" w:space="0" w:color="000000"/>
            </w:tcBorders>
            <w:shd w:fill="auto" w:val="clear"/>
            <w:vAlign w:val="center"/>
          </w:tcPr>
          <w:p>
            <w:pPr>
              <w:pStyle w:val="TableContents"/>
              <w:spacing w:before="0" w:after="283"/>
              <w:jc w:val="right"/>
              <w:rPr>
                <w:rFonts w:ascii="Arial" w:hAnsi="Arial"/>
                <w:sz w:val="20"/>
              </w:rPr>
            </w:pPr>
            <w:r>
              <w:rPr>
                <w:rFonts w:ascii="Arial" w:hAnsi="Arial"/>
                <w:sz w:val="20"/>
              </w:rPr>
              <w:t>320,005</w:t>
            </w:r>
          </w:p>
        </w:tc>
      </w:tr>
    </w:tbl>
    <w:tbl>
      <w:tblPr>
        <w:tblW w:w="10205" w:type="dxa"/>
        <w:jc w:val="left"/>
        <w:tblInd w:w="0" w:type="dxa"/>
        <w:tblCellMar>
          <w:top w:w="0" w:type="dxa"/>
          <w:left w:w="0" w:type="dxa"/>
          <w:bottom w:w="0" w:type="dxa"/>
          <w:right w:w="0" w:type="dxa"/>
        </w:tblCellMar>
      </w:tblPr>
      <w:tblGrid>
        <w:gridCol w:w="135"/>
        <w:gridCol w:w="10070"/>
      </w:tblGrid>
      <w:tr>
        <w:trPr/>
        <w:tc>
          <w:tcPr>
            <w:tcW w:w="135"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(1)</w:t>
            </w:r>
          </w:p>
        </w:tc>
        <w:tc>
          <w:tcPr>
            <w:tcW w:w="10070" w:type="dxa"/>
            <w:tcBorders/>
            <w:shd w:fill="auto" w:val="clear"/>
            <w:vAlign w:val="center"/>
          </w:tcPr>
          <w:p>
            <w:pPr>
              <w:pStyle w:val="TableContents"/>
              <w:spacing w:before="0" w:after="283"/>
              <w:jc w:val="left"/>
              <w:rPr>
                <w:rFonts w:ascii="Arial" w:hAnsi="Arial"/>
                <w:sz w:val="15"/>
              </w:rPr>
            </w:pPr>
            <w:r>
              <w:rPr>
                <w:rFonts w:ascii="Arial" w:hAnsi="Arial"/>
                <w:sz w:val="15"/>
              </w:rPr>
              <w:t>This column represents all cash retainers and meeting fees earned by our nonemployee directors in 2022, regardless of whether such amounts were deferred or elected to be received in shares of our Class A common stock. Refer to footnote (2) of the Security Ownership of Directors and Executive Officers table for information on shares deferred by directors.</w:t>
            </w:r>
          </w:p>
        </w:tc>
      </w:tr>
      <w:tr>
        <w:trPr/>
        <w:tc>
          <w:tcPr>
            <w:tcW w:w="135"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(2)</w:t>
            </w:r>
          </w:p>
        </w:tc>
        <w:tc>
          <w:tcPr>
            <w:tcW w:w="10070" w:type="dxa"/>
            <w:tcBorders/>
            <w:shd w:fill="auto" w:val="clear"/>
            <w:vAlign w:val="center"/>
          </w:tcPr>
          <w:p>
            <w:pPr>
              <w:pStyle w:val="TableContents"/>
              <w:spacing w:before="0" w:after="283"/>
              <w:jc w:val="left"/>
              <w:rPr>
                <w:rFonts w:ascii="Arial" w:hAnsi="Arial"/>
                <w:sz w:val="15"/>
              </w:rPr>
            </w:pPr>
            <w:r>
              <w:rPr>
                <w:rFonts w:ascii="Arial" w:hAnsi="Arial"/>
                <w:sz w:val="15"/>
              </w:rPr>
              <w:t>The amounts in this column represent the aggregate grant date fair value for each award of shares of Class A common stock granted in 2022, in accordance with FASB ASC Topic 718. The amounts in this column were calculated using the valuation assumptions discussed in the “Share-Based Compensation” footnote to the financial statements in our Annual Report on Form 10-K for the year ended December 31, 2022. The amounts were determined by multiplying the Class A common stock closing price on November 20, 2022 by the number of shares subject to the grant.</w:t>
            </w:r>
          </w:p>
        </w:tc>
      </w:tr>
      <w:tr>
        <w:trPr/>
        <w:tc>
          <w:tcPr>
            <w:tcW w:w="135" w:type="dxa"/>
            <w:tcBorders/>
            <w:shd w:fill="auto" w:val="clear"/>
            <w:vAlign w:val="center"/>
          </w:tcPr>
          <w:p>
            <w:pPr>
              <w:pStyle w:val="TableContents"/>
              <w:spacing w:before="0" w:after="283"/>
              <w:jc w:val="left"/>
              <w:rPr>
                <w:rFonts w:ascii="Arial" w:hAnsi="Arial"/>
                <w:position w:val="5"/>
                <w:sz w:val="12"/>
                <w:sz w:val="15"/>
              </w:rPr>
            </w:pPr>
            <w:r>
              <w:rPr>
                <w:rFonts w:ascii="Arial" w:hAnsi="Arial"/>
                <w:position w:val="5"/>
                <w:sz w:val="12"/>
                <w:sz w:val="15"/>
              </w:rPr>
              <w:t>(3)</w:t>
            </w:r>
          </w:p>
        </w:tc>
        <w:tc>
          <w:tcPr>
            <w:tcW w:w="10070" w:type="dxa"/>
            <w:tcBorders/>
            <w:shd w:fill="auto" w:val="clear"/>
            <w:vAlign w:val="center"/>
          </w:tcPr>
          <w:p>
            <w:pPr>
              <w:pStyle w:val="TableContents"/>
              <w:spacing w:before="0" w:after="283"/>
              <w:jc w:val="left"/>
              <w:rPr>
                <w:rFonts w:ascii="Arial" w:hAnsi="Arial"/>
                <w:sz w:val="15"/>
              </w:rPr>
            </w:pPr>
            <w:r>
              <w:rPr>
                <w:rFonts w:ascii="Arial" w:hAnsi="Arial"/>
                <w:sz w:val="15"/>
              </w:rPr>
              <w:t>Ms. Bergman’s term ended in June 2022 and she is not a nominee for director at our 2023 annual meeting.</w:t>
            </w:r>
          </w:p>
        </w:tc>
      </w:tr>
    </w:tbl>
    <w:p>
      <w:pPr>
        <w:pStyle w:val="TextBody"/>
        <w:spacing w:before="240" w:after="283"/>
        <w:jc w:val="left"/>
        <w:rPr>
          <w:rFonts w:ascii="Arial" w:hAnsi="Arial"/>
          <w:b/>
          <w:sz w:val="36"/>
        </w:rPr>
      </w:pPr>
      <w:bookmarkStart w:id="102" w:name="relatedpartytransactions"/>
      <w:bookmarkEnd w:id="102"/>
      <w:r>
        <w:rPr>
          <w:rFonts w:ascii="Arial" w:hAnsi="Arial"/>
          <w:b/>
          <w:sz w:val="36"/>
        </w:rPr>
        <w:t>Related Party Transactions Policy and Certain Transactions</w:t>
      </w:r>
    </w:p>
    <w:p>
      <w:pPr>
        <w:pStyle w:val="TextBody"/>
        <w:jc w:val="left"/>
        <w:rPr>
          <w:rFonts w:ascii="Arial" w:hAnsi="Arial"/>
          <w:sz w:val="20"/>
        </w:rPr>
      </w:pPr>
      <w:r>
        <w:rPr>
          <w:rFonts w:ascii="Arial" w:hAnsi="Arial"/>
          <w:sz w:val="20"/>
        </w:rPr>
        <w:t>We review all transactions, except for certain de minimis transactions as set forth in our related party transactions policy, involving us in which any of our directors, director nominees, significant shareholders and executive officers and their immediate family members are participants, to determine whether such person has a direct or indirect material interest in the transaction. All directors, director nominees and executive officers are required to promptly notify our Chief Legal Officer of any proposed transaction involving us in which such person has a direct or indirect material interest. The proposed transaction is then reviewed by either the independent members of our Board as a whole, the GCR Committee or the Audit Committee to determine whether the proposed transaction is a related party transaction under our policy. In reviewing any related party transaction, the independent members of the Board as a whole, the GCR Committee or the Audit Committee will determine whether or not to approve or ratify the transaction based on all relevant facts and circumstances, including the following:</w:t>
      </w:r>
    </w:p>
    <w:tbl>
      <w:tblPr>
        <w:tblW w:w="8380" w:type="dxa"/>
        <w:jc w:val="left"/>
        <w:tblInd w:w="0" w:type="dxa"/>
        <w:tblCellMar>
          <w:top w:w="0" w:type="dxa"/>
          <w:left w:w="0" w:type="dxa"/>
          <w:bottom w:w="0" w:type="dxa"/>
          <w:right w:w="0" w:type="dxa"/>
        </w:tblCellMar>
      </w:tblPr>
      <w:tblGrid>
        <w:gridCol w:w="170"/>
        <w:gridCol w:w="8210"/>
      </w:tblGrid>
      <w:tr>
        <w:trPr/>
        <w:tc>
          <w:tcPr>
            <w:tcW w:w="170" w:type="dxa"/>
            <w:tcBorders/>
            <w:shd w:fill="auto" w:val="clear"/>
            <w:vAlign w:val="center"/>
          </w:tcPr>
          <w:p>
            <w:pPr>
              <w:pStyle w:val="TableContents"/>
              <w:spacing w:before="0" w:after="283"/>
              <w:rPr>
                <w:color w:val="00A1E0"/>
              </w:rPr>
            </w:pPr>
            <w:r>
              <w:rPr>
                <w:color w:val="00A1E0"/>
              </w:rPr>
              <w:t>●</w:t>
            </w:r>
          </w:p>
        </w:tc>
        <w:tc>
          <w:tcPr>
            <w:tcW w:w="8210" w:type="dxa"/>
            <w:tcBorders/>
            <w:shd w:fill="auto" w:val="clear"/>
            <w:vAlign w:val="center"/>
          </w:tcPr>
          <w:p>
            <w:pPr>
              <w:pStyle w:val="TableContents"/>
              <w:spacing w:before="0" w:after="283"/>
              <w:rPr>
                <w:rFonts w:ascii="arial" w:hAnsi="arial"/>
                <w:color w:val="000000"/>
              </w:rPr>
            </w:pPr>
            <w:r>
              <w:rPr>
                <w:rFonts w:ascii="arial" w:hAnsi="arial"/>
                <w:color w:val="000000"/>
              </w:rPr>
              <w:t>the materiality and character of the related person’s interest in the transaction;</w:t>
            </w:r>
          </w:p>
        </w:tc>
      </w:tr>
      <w:tr>
        <w:trPr/>
        <w:tc>
          <w:tcPr>
            <w:tcW w:w="170" w:type="dxa"/>
            <w:tcBorders/>
            <w:shd w:fill="auto" w:val="clear"/>
            <w:vAlign w:val="center"/>
          </w:tcPr>
          <w:p>
            <w:pPr>
              <w:pStyle w:val="TableContents"/>
              <w:spacing w:before="0" w:after="283"/>
              <w:rPr>
                <w:color w:val="00A1E0"/>
              </w:rPr>
            </w:pPr>
            <w:r>
              <w:rPr>
                <w:color w:val="00A1E0"/>
              </w:rPr>
              <w:t>●</w:t>
            </w:r>
          </w:p>
        </w:tc>
        <w:tc>
          <w:tcPr>
            <w:tcW w:w="8210" w:type="dxa"/>
            <w:tcBorders/>
            <w:shd w:fill="auto" w:val="clear"/>
            <w:vAlign w:val="center"/>
          </w:tcPr>
          <w:p>
            <w:pPr>
              <w:pStyle w:val="TableContents"/>
              <w:spacing w:before="0" w:after="283"/>
              <w:rPr>
                <w:rFonts w:ascii="arial" w:hAnsi="arial"/>
                <w:color w:val="000000"/>
              </w:rPr>
            </w:pPr>
            <w:r>
              <w:rPr>
                <w:rFonts w:ascii="arial" w:hAnsi="arial"/>
                <w:color w:val="000000"/>
              </w:rPr>
              <w:t>the commercial reasonableness of the terms of the transaction;</w:t>
            </w:r>
          </w:p>
        </w:tc>
      </w:tr>
      <w:tr>
        <w:trPr/>
        <w:tc>
          <w:tcPr>
            <w:tcW w:w="170" w:type="dxa"/>
            <w:tcBorders/>
            <w:shd w:fill="auto" w:val="clear"/>
            <w:vAlign w:val="center"/>
          </w:tcPr>
          <w:p>
            <w:pPr>
              <w:pStyle w:val="TableContents"/>
              <w:spacing w:before="0" w:after="283"/>
              <w:rPr>
                <w:color w:val="00A1E0"/>
              </w:rPr>
            </w:pPr>
            <w:r>
              <w:rPr>
                <w:color w:val="00A1E0"/>
              </w:rPr>
              <w:t>●</w:t>
            </w:r>
          </w:p>
        </w:tc>
        <w:tc>
          <w:tcPr>
            <w:tcW w:w="8210" w:type="dxa"/>
            <w:tcBorders/>
            <w:shd w:fill="auto" w:val="clear"/>
            <w:vAlign w:val="center"/>
          </w:tcPr>
          <w:p>
            <w:pPr>
              <w:pStyle w:val="TableContents"/>
              <w:spacing w:before="0" w:after="283"/>
              <w:rPr>
                <w:rFonts w:ascii="arial" w:hAnsi="arial"/>
                <w:color w:val="000000"/>
              </w:rPr>
            </w:pPr>
            <w:r>
              <w:rPr>
                <w:rFonts w:ascii="arial" w:hAnsi="arial"/>
                <w:color w:val="000000"/>
              </w:rPr>
              <w:t>the benefit and perceived benefit, or lack thereof, to our company;</w:t>
            </w:r>
          </w:p>
        </w:tc>
      </w:tr>
      <w:tr>
        <w:trPr/>
        <w:tc>
          <w:tcPr>
            <w:tcW w:w="170" w:type="dxa"/>
            <w:tcBorders/>
            <w:shd w:fill="auto" w:val="clear"/>
            <w:vAlign w:val="center"/>
          </w:tcPr>
          <w:p>
            <w:pPr>
              <w:pStyle w:val="TableContents"/>
              <w:spacing w:before="0" w:after="283"/>
              <w:rPr>
                <w:color w:val="00A1E0"/>
              </w:rPr>
            </w:pPr>
            <w:r>
              <w:rPr>
                <w:color w:val="00A1E0"/>
              </w:rPr>
              <w:t>●</w:t>
            </w:r>
          </w:p>
        </w:tc>
        <w:tc>
          <w:tcPr>
            <w:tcW w:w="8210" w:type="dxa"/>
            <w:tcBorders/>
            <w:shd w:fill="auto" w:val="clear"/>
            <w:vAlign w:val="center"/>
          </w:tcPr>
          <w:p>
            <w:pPr>
              <w:pStyle w:val="TableContents"/>
              <w:spacing w:before="0" w:after="283"/>
              <w:rPr>
                <w:rFonts w:ascii="arial" w:hAnsi="arial"/>
                <w:color w:val="000000"/>
              </w:rPr>
            </w:pPr>
            <w:r>
              <w:rPr>
                <w:rFonts w:ascii="arial" w:hAnsi="arial"/>
                <w:color w:val="000000"/>
              </w:rPr>
              <w:t>the opportunity costs of alternate transactions; and</w:t>
            </w:r>
          </w:p>
        </w:tc>
      </w:tr>
      <w:tr>
        <w:trPr/>
        <w:tc>
          <w:tcPr>
            <w:tcW w:w="170" w:type="dxa"/>
            <w:tcBorders/>
            <w:shd w:fill="auto" w:val="clear"/>
            <w:vAlign w:val="center"/>
          </w:tcPr>
          <w:p>
            <w:pPr>
              <w:pStyle w:val="TableContents"/>
              <w:spacing w:before="0" w:after="283"/>
              <w:rPr>
                <w:color w:val="00A1E0"/>
              </w:rPr>
            </w:pPr>
            <w:r>
              <w:rPr>
                <w:color w:val="00A1E0"/>
              </w:rPr>
              <w:t>●</w:t>
            </w:r>
          </w:p>
        </w:tc>
        <w:tc>
          <w:tcPr>
            <w:tcW w:w="8210" w:type="dxa"/>
            <w:tcBorders/>
            <w:shd w:fill="auto" w:val="clear"/>
            <w:vAlign w:val="center"/>
          </w:tcPr>
          <w:p>
            <w:pPr>
              <w:pStyle w:val="TableContents"/>
              <w:spacing w:before="0" w:after="283"/>
              <w:rPr>
                <w:rFonts w:ascii="arial" w:hAnsi="arial"/>
                <w:color w:val="000000"/>
              </w:rPr>
            </w:pPr>
            <w:r>
              <w:rPr>
                <w:rFonts w:ascii="arial" w:hAnsi="arial"/>
                <w:color w:val="000000"/>
              </w:rPr>
              <w:t>the actual or apparent conflict of interest of the related person.</w:t>
            </w:r>
          </w:p>
        </w:tc>
      </w:tr>
    </w:tbl>
    <w:p>
      <w:pPr>
        <w:pStyle w:val="TextBody"/>
        <w:spacing w:before="0" w:after="0"/>
        <w:rPr/>
      </w:pPr>
      <w:r>
        <w:rPr/>
      </w:r>
    </w:p>
    <w:tbl>
      <w:tblPr>
        <w:tblW w:w="2200" w:type="dxa"/>
        <w:jc w:val="left"/>
        <w:tblInd w:w="0" w:type="dxa"/>
        <w:tblCellMar>
          <w:top w:w="0" w:type="dxa"/>
          <w:left w:w="0" w:type="dxa"/>
          <w:bottom w:w="0" w:type="dxa"/>
          <w:right w:w="0" w:type="dxa"/>
        </w:tblCellMar>
      </w:tblPr>
      <w:tblGrid>
        <w:gridCol w:w="1580"/>
        <w:gridCol w:w="620"/>
      </w:tblGrid>
      <w:tr>
        <w:trPr/>
        <w:tc>
          <w:tcPr>
            <w:tcW w:w="1580" w:type="dxa"/>
            <w:tcBorders/>
            <w:shd w:fill="auto" w:val="clear"/>
            <w:vAlign w:val="center"/>
          </w:tcPr>
          <w:p>
            <w:pPr>
              <w:pStyle w:val="TableContents"/>
              <w:spacing w:before="0" w:after="283"/>
              <w:jc w:val="right"/>
              <w:rPr>
                <w:rFonts w:ascii="Arial" w:hAnsi="Arial"/>
                <w:sz w:val="15"/>
              </w:rPr>
            </w:pPr>
            <w:r>
              <w:rPr>
                <w:rFonts w:ascii="Arial" w:hAnsi="Arial"/>
                <w:sz w:val="15"/>
              </w:rPr>
              <w:t>2023 Proxy Statement</w:t>
            </w:r>
          </w:p>
        </w:tc>
        <w:tc>
          <w:tcPr>
            <w:tcW w:w="620" w:type="dxa"/>
            <w:tcBorders/>
            <w:shd w:fill="auto" w:val="clear"/>
            <w:vAlign w:val="center"/>
          </w:tcPr>
          <w:p>
            <w:pPr>
              <w:pStyle w:val="TableContents"/>
              <w:spacing w:before="0" w:after="283"/>
              <w:jc w:val="right"/>
              <w:rPr/>
            </w:pPr>
            <w:r>
              <w:rPr/>
              <w:t>       </w:t>
            </w:r>
            <w:r>
              <w:rPr>
                <w:rFonts w:ascii="Arial" w:hAnsi="Arial"/>
                <w:b/>
                <w:sz w:val="15"/>
              </w:rPr>
              <w:t>87</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p>
      <w:pPr>
        <w:pStyle w:val="TextBody"/>
        <w:jc w:val="left"/>
        <w:rPr/>
      </w:pPr>
      <w:r>
        <w:rPr>
          <w:rFonts w:ascii="Arial" w:hAnsi="Arial"/>
          <w:sz w:val="20"/>
        </w:rPr>
        <w:t xml:space="preserve">If the reviewing body determines that a transaction has potential conflict of interest issues and other circumstances warrant, it may also recommend that a special committee review the transaction. After such review, the reviewing body approves or ratifies the transaction only if it determines that the transaction is in, or not inconsistent with, the best interests of our company and our shareholders. Our related party transactions policy is posted under “Corporate Governance” in the Investors section of our website at </w:t>
      </w:r>
      <w:r>
        <w:rPr>
          <w:rFonts w:ascii="Arial" w:hAnsi="Arial"/>
          <w:b w:val="false"/>
          <w:i/>
          <w:caps w:val="false"/>
          <w:smallCaps w:val="false"/>
          <w:sz w:val="20"/>
        </w:rPr>
        <w:t>www.cmcsa.com</w:t>
      </w:r>
      <w:r>
        <w:rPr>
          <w:rFonts w:ascii="Arial" w:hAnsi="Arial"/>
          <w:sz w:val="20"/>
        </w:rPr>
        <w:t>.</w:t>
      </w:r>
    </w:p>
    <w:p>
      <w:pPr>
        <w:pStyle w:val="TextBody"/>
        <w:jc w:val="left"/>
        <w:rPr>
          <w:rFonts w:ascii="Arial" w:hAnsi="Arial"/>
          <w:color w:val="00A1E0"/>
          <w:sz w:val="28"/>
        </w:rPr>
      </w:pPr>
      <w:r>
        <w:rPr>
          <w:rFonts w:ascii="Arial" w:hAnsi="Arial"/>
          <w:color w:val="00A1E0"/>
          <w:sz w:val="28"/>
        </w:rPr>
        <w:t>Related Party Transactions</w:t>
      </w:r>
    </w:p>
    <w:p>
      <w:pPr>
        <w:pStyle w:val="TextBody"/>
        <w:jc w:val="left"/>
        <w:rPr>
          <w:rFonts w:ascii="Arial" w:hAnsi="Arial"/>
          <w:sz w:val="20"/>
        </w:rPr>
      </w:pPr>
      <w:r>
        <w:rPr>
          <w:rFonts w:ascii="Arial" w:hAnsi="Arial"/>
          <w:sz w:val="20"/>
        </w:rPr>
        <w:t>In connection with Mr. Roberts’ use of an aircraft he leases from a third party, we have agreed to provide various operational services for the aircraft for Mr. Roberts and his immediate family members, including by providing pilots and performing general operational and maintenance services. Pursuant to this agreement, Mr. Roberts is responsible for reimbursing us for the costs we incur in operating and maintaining the aircraft. For 2022, Mr. Roberts paid us an aggregate of approximately $262,000 related to this agreement.</w:t>
      </w:r>
    </w:p>
    <w:p>
      <w:pPr>
        <w:pStyle w:val="TextBody"/>
        <w:jc w:val="left"/>
        <w:rPr>
          <w:rFonts w:ascii="Arial" w:hAnsi="Arial"/>
          <w:sz w:val="20"/>
        </w:rPr>
      </w:pPr>
      <w:r>
        <w:rPr>
          <w:rFonts w:ascii="Arial" w:hAnsi="Arial"/>
          <w:sz w:val="20"/>
        </w:rPr>
        <w:t>Mr. Roberts’ son is an employee of Comcast Spectacor, one of our business units. He received approximately $703,000 in compensation from us and also participated in our employee benefit plans on the same basis as other similarly situated employees in 2022.</w:t>
      </w:r>
    </w:p>
    <w:p>
      <w:pPr>
        <w:pStyle w:val="TextBody"/>
        <w:jc w:val="left"/>
        <w:rPr>
          <w:rFonts w:ascii="Arial" w:hAnsi="Arial"/>
          <w:b/>
          <w:sz w:val="36"/>
        </w:rPr>
      </w:pPr>
      <w:bookmarkStart w:id="103" w:name="otherinformation"/>
      <w:bookmarkEnd w:id="103"/>
      <w:r>
        <w:rPr>
          <w:rFonts w:ascii="Arial" w:hAnsi="Arial"/>
          <w:b/>
          <w:sz w:val="36"/>
        </w:rPr>
        <w:t>Other Information</w:t>
      </w:r>
    </w:p>
    <w:p>
      <w:pPr>
        <w:pStyle w:val="TextBody"/>
        <w:jc w:val="left"/>
        <w:rPr>
          <w:rFonts w:ascii="Arial" w:hAnsi="Arial"/>
          <w:color w:val="00A1E0"/>
          <w:sz w:val="28"/>
        </w:rPr>
      </w:pPr>
      <w:r>
        <w:rPr>
          <w:rFonts w:ascii="Arial" w:hAnsi="Arial"/>
          <w:color w:val="00A1E0"/>
          <w:sz w:val="28"/>
        </w:rPr>
        <w:t>Who May Vote</w:t>
      </w:r>
    </w:p>
    <w:p>
      <w:pPr>
        <w:pStyle w:val="TextBody"/>
        <w:jc w:val="left"/>
        <w:rPr>
          <w:rFonts w:ascii="Arial" w:hAnsi="Arial"/>
          <w:sz w:val="20"/>
        </w:rPr>
      </w:pPr>
      <w:r>
        <w:rPr>
          <w:rFonts w:ascii="Arial" w:hAnsi="Arial"/>
          <w:sz w:val="20"/>
        </w:rPr>
        <w:t>Holders of record of Class A and Class B common stock of Comcast at the close of business on April 3, 2023 may vote at the annual meeting of shareholders. The Notice of Internet Availability of Proxy Materials (the “Notice”) is being mailed, and this proxy statement is being made available, to our shareholders beginning on or about April 28, 2023.</w:t>
      </w:r>
    </w:p>
    <w:p>
      <w:pPr>
        <w:pStyle w:val="TextBody"/>
        <w:jc w:val="left"/>
        <w:rPr>
          <w:rFonts w:ascii="Arial" w:hAnsi="Arial"/>
          <w:color w:val="00A1E0"/>
          <w:sz w:val="28"/>
        </w:rPr>
      </w:pPr>
      <w:r>
        <w:rPr>
          <w:rFonts w:ascii="Arial" w:hAnsi="Arial"/>
          <w:color w:val="00A1E0"/>
          <w:sz w:val="28"/>
        </w:rPr>
        <w:t>Participating and Voting at the Meeting</w:t>
      </w:r>
    </w:p>
    <w:p>
      <w:pPr>
        <w:pStyle w:val="TextBody"/>
        <w:jc w:val="left"/>
        <w:rPr>
          <w:rFonts w:ascii="Arial" w:hAnsi="Arial"/>
          <w:sz w:val="20"/>
        </w:rPr>
      </w:pPr>
      <w:r>
        <w:rPr>
          <w:rFonts w:ascii="Arial" w:hAnsi="Arial"/>
          <w:sz w:val="20"/>
        </w:rPr>
        <w:t>Attendance at the meeting for purposes of voting and asking questions is limited to shareholders of record on April 3, 2023. Please be sure to have your proxy voting card or notice with you so that you may access your 16-digit control number to log on to the meeting. If your shares are held in the name of your bank, brokerage firm or other nominee, please have your voting instruction form received from your bank, brokerage firm or other nominee, which will contain the relevant control number.</w:t>
      </w:r>
    </w:p>
    <w:p>
      <w:pPr>
        <w:pStyle w:val="TextBody"/>
        <w:jc w:val="left"/>
        <w:rPr/>
      </w:pPr>
      <w:r>
        <w:rPr>
          <w:rFonts w:ascii="Arial" w:hAnsi="Arial"/>
          <w:sz w:val="20"/>
        </w:rPr>
        <w:t xml:space="preserve">If you encounter any difficulties accessing the virtual meeting, please call the technical support number that will be posted on the meeting login page. If there are any technical issues in convening or hosting the meeting, we will promptly post information to the Investors section of our website at </w:t>
      </w:r>
      <w:r>
        <w:rPr>
          <w:rFonts w:ascii="Arial" w:hAnsi="Arial"/>
          <w:b w:val="false"/>
          <w:i/>
          <w:caps w:val="false"/>
          <w:smallCaps w:val="false"/>
          <w:sz w:val="20"/>
        </w:rPr>
        <w:t>www.cmcsa.com</w:t>
      </w:r>
      <w:r>
        <w:rPr>
          <w:rFonts w:ascii="Arial" w:hAnsi="Arial"/>
          <w:sz w:val="20"/>
        </w:rPr>
        <w:t>, including information on when the meeting will be reconvened. If your shares are held in the name of your bank, brokerage firm or other nominee and you have any questions about your control number, please contact the bank, brokerage firm or other nominee that holds your shares.</w:t>
      </w:r>
    </w:p>
    <w:p>
      <w:pPr>
        <w:pStyle w:val="TextBody"/>
        <w:jc w:val="left"/>
        <w:rPr>
          <w:rFonts w:ascii="Arial" w:hAnsi="Arial"/>
          <w:color w:val="00A1E0"/>
          <w:sz w:val="28"/>
        </w:rPr>
      </w:pPr>
      <w:r>
        <w:rPr>
          <w:rFonts w:ascii="Arial" w:hAnsi="Arial"/>
          <w:color w:val="00A1E0"/>
          <w:sz w:val="28"/>
        </w:rPr>
        <w:t>Conduct of the Meeting</w:t>
      </w:r>
    </w:p>
    <w:p>
      <w:pPr>
        <w:pStyle w:val="TextBody"/>
        <w:jc w:val="left"/>
        <w:rPr>
          <w:rFonts w:ascii="Arial" w:hAnsi="Arial"/>
          <w:sz w:val="20"/>
        </w:rPr>
      </w:pPr>
      <w:r>
        <w:rPr>
          <w:rFonts w:ascii="Arial" w:hAnsi="Arial"/>
          <w:sz w:val="20"/>
        </w:rPr>
        <w:t>The Chairman of our Board (or any other person designated by our Board) has broad authority to conduct the annual meeting of shareholders in an orderly manner. This authority includes establishing and enforcing rules of conduct, which will be available at the meeting online, for shareholders who wish to participate in the meeting. We have structured our virtual meeting to provide shareholders the same rights as if the meeting were held in person, including the ability to vote shares electronically during the meeting and ask questions in accordance with the rules of conduct for the meeting. Questions may be submitted during the meeting in the online question box provided at the meeting. Questions submitted in accordance with the rules of conduct generally will be addressed in the order received (both with respect to specific agenda items and the general question and answer session) and will be read as submitted, unless the question is duplicative of a question already asked and answered or is deemed profane or otherwise inappropriate, in which case the question may be edited or paraphrased.</w:t>
      </w:r>
    </w:p>
    <w:tbl>
      <w:tblPr>
        <w:tblW w:w="223" w:type="dxa"/>
        <w:jc w:val="left"/>
        <w:tblInd w:w="0" w:type="dxa"/>
        <w:tblCellMar>
          <w:top w:w="0" w:type="dxa"/>
          <w:left w:w="0" w:type="dxa"/>
          <w:bottom w:w="0" w:type="dxa"/>
          <w:right w:w="0" w:type="dxa"/>
        </w:tblCellMar>
      </w:tblPr>
      <w:tblGrid>
        <w:gridCol w:w="200"/>
        <w:gridCol w:w="23"/>
      </w:tblGrid>
      <w:tr>
        <w:trPr/>
        <w:tc>
          <w:tcPr>
            <w:tcW w:w="200" w:type="dxa"/>
            <w:tcBorders/>
            <w:shd w:fill="auto" w:val="clear"/>
            <w:vAlign w:val="center"/>
          </w:tcPr>
          <w:p>
            <w:pPr>
              <w:pStyle w:val="TableContents"/>
              <w:spacing w:before="0" w:after="283"/>
              <w:jc w:val="left"/>
              <w:rPr>
                <w:rFonts w:ascii="Arial" w:hAnsi="Arial"/>
                <w:b/>
                <w:sz w:val="15"/>
              </w:rPr>
            </w:pPr>
            <w:r>
              <w:rPr>
                <w:rFonts w:ascii="Arial" w:hAnsi="Arial"/>
                <w:b/>
                <w:sz w:val="15"/>
              </w:rPr>
              <w:t>88</w:t>
            </w:r>
          </w:p>
        </w:tc>
        <w:tc>
          <w:tcPr>
            <w:tcW w:w="2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p>
      <w:pPr>
        <w:pStyle w:val="TextBody"/>
        <w:jc w:val="left"/>
        <w:rPr>
          <w:rFonts w:ascii="Arial" w:hAnsi="Arial"/>
          <w:color w:val="00A1E0"/>
          <w:sz w:val="28"/>
        </w:rPr>
      </w:pPr>
      <w:r>
        <w:rPr>
          <w:rFonts w:ascii="Arial" w:hAnsi="Arial"/>
          <w:color w:val="00A1E0"/>
          <w:sz w:val="28"/>
        </w:rPr>
        <w:t>How to Vote</w:t>
      </w:r>
    </w:p>
    <w:p>
      <w:pPr>
        <w:pStyle w:val="TextBody"/>
        <w:jc w:val="left"/>
        <w:rPr>
          <w:rFonts w:ascii="Arial" w:hAnsi="Arial"/>
          <w:sz w:val="20"/>
        </w:rPr>
      </w:pPr>
      <w:r>
        <w:rPr>
          <w:rFonts w:ascii="Arial" w:hAnsi="Arial"/>
          <w:sz w:val="20"/>
        </w:rPr>
        <w:t>You may vote at the meeting or by proxy before the meeting. We recommend that you vote by proxy even if you plan to participate in the meeting. You can always change your vote at the meeting.</w:t>
      </w:r>
    </w:p>
    <w:p>
      <w:pPr>
        <w:pStyle w:val="TextBody"/>
        <w:jc w:val="left"/>
        <w:rPr>
          <w:rFonts w:ascii="Arial" w:hAnsi="Arial"/>
          <w:color w:val="00A1E0"/>
          <w:sz w:val="28"/>
        </w:rPr>
      </w:pPr>
      <w:r>
        <w:rPr>
          <w:rFonts w:ascii="Arial" w:hAnsi="Arial"/>
          <w:color w:val="00A1E0"/>
          <w:sz w:val="28"/>
        </w:rPr>
        <w:t>How Proxies Work</w:t>
      </w:r>
    </w:p>
    <w:p>
      <w:pPr>
        <w:pStyle w:val="TextBody"/>
        <w:jc w:val="left"/>
        <w:rPr>
          <w:rFonts w:ascii="Arial" w:hAnsi="Arial"/>
          <w:sz w:val="20"/>
        </w:rPr>
      </w:pPr>
      <w:r>
        <w:rPr>
          <w:rFonts w:ascii="Arial" w:hAnsi="Arial"/>
          <w:sz w:val="20"/>
        </w:rPr>
        <w:t>Our Board of Directors is asking for your proxy. Giving us your proxy means you authorize us to vote your shares at the meeting in the manner you direct. You may vote for all, some or none of our director candidates. You also may vote for or against the other proposals or abstain from voting.</w:t>
      </w:r>
    </w:p>
    <w:p>
      <w:pPr>
        <w:pStyle w:val="TextBody"/>
        <w:jc w:val="left"/>
        <w:rPr/>
      </w:pPr>
      <w:r>
        <w:rPr>
          <w:rFonts w:ascii="Arial" w:hAnsi="Arial"/>
          <w:sz w:val="20"/>
        </w:rPr>
        <w:t>You can vote by proxy before the meeting in any of the following ways:</w:t>
      </w:r>
      <w:r>
        <w:rPr/>
        <w:t> </w:t>
      </w:r>
    </w:p>
    <w:tbl>
      <w:tblPr>
        <w:tblW w:w="10205" w:type="dxa"/>
        <w:jc w:val="left"/>
        <w:tblInd w:w="0" w:type="dxa"/>
        <w:tblCellMar>
          <w:top w:w="0" w:type="dxa"/>
          <w:left w:w="0" w:type="dxa"/>
          <w:bottom w:w="0" w:type="dxa"/>
          <w:right w:w="0" w:type="dxa"/>
        </w:tblCellMar>
      </w:tblPr>
      <w:tblGrid>
        <w:gridCol w:w="3472"/>
        <w:gridCol w:w="300"/>
        <w:gridCol w:w="4436"/>
        <w:gridCol w:w="300"/>
        <w:gridCol w:w="1697"/>
      </w:tblGrid>
      <w:tr>
        <w:trPr/>
        <w:tc>
          <w:tcPr>
            <w:tcW w:w="3472" w:type="dxa"/>
            <w:tcBorders/>
            <w:shd w:fill="auto" w:val="clear"/>
            <w:vAlign w:val="center"/>
          </w:tcPr>
          <w:p>
            <w:pPr>
              <w:pStyle w:val="TableContents"/>
              <w:spacing w:before="0" w:after="283"/>
              <w:jc w:val="center"/>
              <w:rPr/>
            </w:pPr>
            <w:r>
              <w:rPr/>
              <w:drawing>
                <wp:inline distT="0" distB="0" distL="0" distR="0">
                  <wp:extent cx="371475" cy="276225"/>
                  <wp:effectExtent l="0" t="0" r="0" b="0"/>
                  <wp:docPr id="217"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141" descr=""/>
                          <pic:cNvPicPr>
                            <a:picLocks noChangeAspect="1" noChangeArrowheads="1"/>
                          </pic:cNvPicPr>
                        </pic:nvPicPr>
                        <pic:blipFill>
                          <a:blip r:embed="rId142"/>
                          <a:srcRect l="-2713" t="-3650" r="-2713" b="-3650"/>
                          <a:stretch>
                            <a:fillRect/>
                          </a:stretch>
                        </pic:blipFill>
                        <pic:spPr bwMode="auto">
                          <a:xfrm>
                            <a:off x="0" y="0"/>
                            <a:ext cx="371475" cy="276225"/>
                          </a:xfrm>
                          <a:prstGeom prst="rect">
                            <a:avLst/>
                          </a:prstGeom>
                          <a:ln w="635">
                            <a:solidFill>
                              <a:srgbClr val="000000"/>
                            </a:solidFill>
                          </a:ln>
                        </pic:spPr>
                      </pic:pic>
                    </a:graphicData>
                  </a:graphic>
                </wp:inline>
              </w:drawing>
            </w:r>
          </w:p>
        </w:tc>
        <w:tc>
          <w:tcPr>
            <w:tcW w:w="300" w:type="dxa"/>
            <w:tcBorders/>
            <w:shd w:fill="auto" w:val="clear"/>
            <w:vAlign w:val="center"/>
          </w:tcPr>
          <w:p>
            <w:pPr>
              <w:pStyle w:val="TableContents"/>
              <w:spacing w:before="0" w:after="283"/>
              <w:jc w:val="left"/>
              <w:rPr/>
            </w:pPr>
            <w:r>
              <w:rPr/>
              <w:t>     </w:t>
            </w:r>
          </w:p>
        </w:tc>
        <w:tc>
          <w:tcPr>
            <w:tcW w:w="4436" w:type="dxa"/>
            <w:tcBorders/>
            <w:shd w:fill="auto" w:val="clear"/>
            <w:vAlign w:val="center"/>
          </w:tcPr>
          <w:p>
            <w:pPr>
              <w:pStyle w:val="TableContents"/>
              <w:spacing w:before="0" w:after="283"/>
              <w:jc w:val="center"/>
              <w:rPr/>
            </w:pPr>
            <w:r>
              <w:rPr/>
              <w:drawing>
                <wp:inline distT="0" distB="0" distL="0" distR="0">
                  <wp:extent cx="209550" cy="371475"/>
                  <wp:effectExtent l="0" t="0" r="0" b="0"/>
                  <wp:docPr id="218"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42" descr=""/>
                          <pic:cNvPicPr>
                            <a:picLocks noChangeAspect="1" noChangeArrowheads="1"/>
                          </pic:cNvPicPr>
                        </pic:nvPicPr>
                        <pic:blipFill>
                          <a:blip r:embed="rId143"/>
                          <a:srcRect l="-4810" t="-2713" r="-4810" b="-2713"/>
                          <a:stretch>
                            <a:fillRect/>
                          </a:stretch>
                        </pic:blipFill>
                        <pic:spPr bwMode="auto">
                          <a:xfrm>
                            <a:off x="0" y="0"/>
                            <a:ext cx="209550" cy="371475"/>
                          </a:xfrm>
                          <a:prstGeom prst="rect">
                            <a:avLst/>
                          </a:prstGeom>
                          <a:ln w="635">
                            <a:solidFill>
                              <a:srgbClr val="000000"/>
                            </a:solidFill>
                          </a:ln>
                        </pic:spPr>
                      </pic:pic>
                    </a:graphicData>
                  </a:graphic>
                </wp:inline>
              </w:drawing>
            </w:r>
          </w:p>
        </w:tc>
        <w:tc>
          <w:tcPr>
            <w:tcW w:w="300" w:type="dxa"/>
            <w:tcBorders/>
            <w:shd w:fill="auto" w:val="clear"/>
            <w:vAlign w:val="center"/>
          </w:tcPr>
          <w:p>
            <w:pPr>
              <w:pStyle w:val="TableContents"/>
              <w:spacing w:before="0" w:after="283"/>
              <w:jc w:val="left"/>
              <w:rPr/>
            </w:pPr>
            <w:r>
              <w:rPr/>
              <w:t>     </w:t>
            </w:r>
          </w:p>
        </w:tc>
        <w:tc>
          <w:tcPr>
            <w:tcW w:w="1697" w:type="dxa"/>
            <w:tcBorders/>
            <w:shd w:fill="auto" w:val="clear"/>
            <w:vAlign w:val="center"/>
          </w:tcPr>
          <w:p>
            <w:pPr>
              <w:pStyle w:val="TableContents"/>
              <w:spacing w:before="0" w:after="283"/>
              <w:jc w:val="center"/>
              <w:rPr/>
            </w:pPr>
            <w:r>
              <w:rPr/>
              <w:drawing>
                <wp:inline distT="0" distB="0" distL="0" distR="0">
                  <wp:extent cx="381000" cy="323850"/>
                  <wp:effectExtent l="0" t="0" r="0" b="0"/>
                  <wp:docPr id="219"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143" descr=""/>
                          <pic:cNvPicPr>
                            <a:picLocks noChangeAspect="1" noChangeArrowheads="1"/>
                          </pic:cNvPicPr>
                        </pic:nvPicPr>
                        <pic:blipFill>
                          <a:blip r:embed="rId144"/>
                          <a:srcRect l="-2646" t="-3111" r="-2646" b="-3111"/>
                          <a:stretch>
                            <a:fillRect/>
                          </a:stretch>
                        </pic:blipFill>
                        <pic:spPr bwMode="auto">
                          <a:xfrm>
                            <a:off x="0" y="0"/>
                            <a:ext cx="381000" cy="323850"/>
                          </a:xfrm>
                          <a:prstGeom prst="rect">
                            <a:avLst/>
                          </a:prstGeom>
                          <a:ln w="635">
                            <a:solidFill>
                              <a:srgbClr val="000000"/>
                            </a:solidFill>
                          </a:ln>
                        </pic:spPr>
                      </pic:pic>
                    </a:graphicData>
                  </a:graphic>
                </wp:inline>
              </w:drawing>
            </w:r>
          </w:p>
        </w:tc>
      </w:tr>
      <w:tr>
        <w:trPr/>
        <w:tc>
          <w:tcPr>
            <w:tcW w:w="3472" w:type="dxa"/>
            <w:tcBorders/>
            <w:shd w:fill="auto" w:val="clear"/>
            <w:vAlign w:val="center"/>
          </w:tcPr>
          <w:p>
            <w:pPr>
              <w:pStyle w:val="TableContents"/>
              <w:spacing w:before="0" w:after="283"/>
              <w:jc w:val="left"/>
              <w:rPr>
                <w:rFonts w:ascii="Arial" w:hAnsi="Arial"/>
                <w:b/>
                <w:i/>
                <w:sz w:val="20"/>
              </w:rPr>
            </w:pPr>
            <w:r>
              <w:rPr>
                <w:rFonts w:ascii="Arial" w:hAnsi="Arial"/>
                <w:b/>
                <w:i/>
                <w:sz w:val="20"/>
              </w:rPr>
              <w:t>Internet</w:t>
            </w:r>
          </w:p>
        </w:tc>
        <w:tc>
          <w:tcPr>
            <w:tcW w:w="300" w:type="dxa"/>
            <w:tcBorders/>
            <w:shd w:fill="auto" w:val="clear"/>
            <w:vAlign w:val="center"/>
          </w:tcPr>
          <w:p>
            <w:pPr>
              <w:pStyle w:val="TableContents"/>
              <w:spacing w:before="0" w:after="283"/>
              <w:rPr>
                <w:sz w:val="4"/>
                <w:szCs w:val="4"/>
              </w:rPr>
            </w:pPr>
            <w:r>
              <w:rPr>
                <w:sz w:val="4"/>
                <w:szCs w:val="4"/>
              </w:rPr>
            </w:r>
          </w:p>
        </w:tc>
        <w:tc>
          <w:tcPr>
            <w:tcW w:w="4436" w:type="dxa"/>
            <w:tcBorders/>
            <w:shd w:fill="auto" w:val="clear"/>
            <w:vAlign w:val="center"/>
          </w:tcPr>
          <w:p>
            <w:pPr>
              <w:pStyle w:val="TableContents"/>
              <w:spacing w:before="0" w:after="283"/>
              <w:jc w:val="left"/>
              <w:rPr>
                <w:rFonts w:ascii="Arial" w:hAnsi="Arial"/>
                <w:b/>
                <w:i/>
                <w:sz w:val="20"/>
              </w:rPr>
            </w:pPr>
            <w:r>
              <w:rPr>
                <w:rFonts w:ascii="Arial" w:hAnsi="Arial"/>
                <w:b/>
                <w:i/>
                <w:sz w:val="20"/>
              </w:rPr>
              <w:t>Telephone</w:t>
            </w:r>
          </w:p>
        </w:tc>
        <w:tc>
          <w:tcPr>
            <w:tcW w:w="300" w:type="dxa"/>
            <w:tcBorders/>
            <w:shd w:fill="auto" w:val="clear"/>
            <w:vAlign w:val="center"/>
          </w:tcPr>
          <w:p>
            <w:pPr>
              <w:pStyle w:val="TableContents"/>
              <w:spacing w:before="0" w:after="283"/>
              <w:rPr>
                <w:sz w:val="4"/>
                <w:szCs w:val="4"/>
              </w:rPr>
            </w:pPr>
            <w:r>
              <w:rPr>
                <w:sz w:val="4"/>
                <w:szCs w:val="4"/>
              </w:rPr>
            </w:r>
          </w:p>
        </w:tc>
        <w:tc>
          <w:tcPr>
            <w:tcW w:w="1697" w:type="dxa"/>
            <w:tcBorders/>
            <w:shd w:fill="auto" w:val="clear"/>
            <w:vAlign w:val="center"/>
          </w:tcPr>
          <w:p>
            <w:pPr>
              <w:pStyle w:val="TableContents"/>
              <w:spacing w:before="0" w:after="283"/>
              <w:jc w:val="left"/>
              <w:rPr>
                <w:rFonts w:ascii="Arial" w:hAnsi="Arial"/>
                <w:b/>
                <w:i/>
                <w:sz w:val="20"/>
              </w:rPr>
            </w:pPr>
            <w:r>
              <w:rPr>
                <w:rFonts w:ascii="Arial" w:hAnsi="Arial"/>
                <w:b/>
                <w:i/>
                <w:sz w:val="20"/>
              </w:rPr>
              <w:t>Mail</w:t>
            </w:r>
          </w:p>
        </w:tc>
      </w:tr>
      <w:tr>
        <w:trPr/>
        <w:tc>
          <w:tcPr>
            <w:tcW w:w="3472" w:type="dxa"/>
            <w:tcBorders/>
            <w:shd w:fill="auto" w:val="clear"/>
            <w:vAlign w:val="center"/>
          </w:tcPr>
          <w:p>
            <w:pPr>
              <w:pStyle w:val="TableContents"/>
              <w:spacing w:before="0" w:after="283"/>
              <w:jc w:val="left"/>
              <w:rPr/>
            </w:pPr>
            <w:r>
              <w:rPr>
                <w:rFonts w:ascii="Arial" w:hAnsi="Arial"/>
                <w:sz w:val="20"/>
              </w:rPr>
              <w:t xml:space="preserve">Go to </w:t>
            </w:r>
            <w:r>
              <w:rPr>
                <w:rStyle w:val="Emphasis"/>
                <w:rFonts w:ascii="Arial" w:hAnsi="Arial"/>
                <w:sz w:val="20"/>
              </w:rPr>
              <w:t xml:space="preserve">www.proxyvote.com </w:t>
            </w:r>
            <w:r>
              <w:rPr>
                <w:rFonts w:ascii="Arial" w:hAnsi="Arial"/>
                <w:sz w:val="20"/>
              </w:rPr>
              <w:t>or scan the QR code on your Notice or proxy card with a smartphone or tablet, and then follow the instructions outlined on the secure website.</w:t>
            </w:r>
          </w:p>
        </w:tc>
        <w:tc>
          <w:tcPr>
            <w:tcW w:w="300" w:type="dxa"/>
            <w:tcBorders/>
            <w:shd w:fill="auto" w:val="clear"/>
            <w:vAlign w:val="center"/>
          </w:tcPr>
          <w:p>
            <w:pPr>
              <w:pStyle w:val="TableContents"/>
              <w:spacing w:before="0" w:after="283"/>
              <w:rPr>
                <w:sz w:val="4"/>
                <w:szCs w:val="4"/>
              </w:rPr>
            </w:pPr>
            <w:r>
              <w:rPr>
                <w:sz w:val="4"/>
                <w:szCs w:val="4"/>
              </w:rPr>
            </w:r>
          </w:p>
        </w:tc>
        <w:tc>
          <w:tcPr>
            <w:tcW w:w="4436" w:type="dxa"/>
            <w:tcBorders/>
            <w:shd w:fill="auto" w:val="clear"/>
            <w:vAlign w:val="center"/>
          </w:tcPr>
          <w:p>
            <w:pPr>
              <w:pStyle w:val="TableContents"/>
              <w:spacing w:before="0" w:after="283"/>
              <w:jc w:val="left"/>
              <w:rPr>
                <w:rFonts w:ascii="Arial" w:hAnsi="Arial"/>
                <w:sz w:val="20"/>
              </w:rPr>
            </w:pPr>
            <w:r>
              <w:rPr>
                <w:rFonts w:ascii="Arial" w:hAnsi="Arial"/>
                <w:sz w:val="20"/>
              </w:rPr>
              <w:t>Call toll free 1-800-690-6903 and follow the instructions provided on the recorded message. If you hold shares beneficially, through a broker, brokerage firm, bank or other nominee, please refer to the instructions your broker, brokerage firm, bank or other nominee provided to you regarding voting by telephone.</w:t>
            </w:r>
          </w:p>
        </w:tc>
        <w:tc>
          <w:tcPr>
            <w:tcW w:w="300" w:type="dxa"/>
            <w:tcBorders/>
            <w:shd w:fill="auto" w:val="clear"/>
            <w:vAlign w:val="center"/>
          </w:tcPr>
          <w:p>
            <w:pPr>
              <w:pStyle w:val="TableContents"/>
              <w:spacing w:before="0" w:after="283"/>
              <w:rPr>
                <w:sz w:val="4"/>
                <w:szCs w:val="4"/>
              </w:rPr>
            </w:pPr>
            <w:r>
              <w:rPr>
                <w:sz w:val="4"/>
                <w:szCs w:val="4"/>
              </w:rPr>
            </w:r>
          </w:p>
        </w:tc>
        <w:tc>
          <w:tcPr>
            <w:tcW w:w="1697" w:type="dxa"/>
            <w:tcBorders/>
            <w:shd w:fill="auto" w:val="clear"/>
            <w:vAlign w:val="center"/>
          </w:tcPr>
          <w:p>
            <w:pPr>
              <w:pStyle w:val="TableContents"/>
              <w:spacing w:before="0" w:after="283"/>
              <w:jc w:val="left"/>
              <w:rPr>
                <w:rFonts w:ascii="Arial" w:hAnsi="Arial"/>
                <w:sz w:val="20"/>
              </w:rPr>
            </w:pPr>
            <w:r>
              <w:rPr>
                <w:rFonts w:ascii="Arial" w:hAnsi="Arial"/>
                <w:sz w:val="20"/>
              </w:rPr>
              <w:t>Complete, sign and date your proxy card and return it in the enclosed envelope.</w:t>
            </w:r>
          </w:p>
        </w:tc>
      </w:tr>
    </w:tbl>
    <w:p>
      <w:pPr>
        <w:pStyle w:val="TextBody"/>
        <w:spacing w:before="240" w:after="283"/>
        <w:jc w:val="left"/>
        <w:rPr>
          <w:rFonts w:ascii="Arial" w:hAnsi="Arial"/>
          <w:sz w:val="20"/>
        </w:rPr>
      </w:pPr>
      <w:r>
        <w:rPr>
          <w:rFonts w:ascii="Arial" w:hAnsi="Arial"/>
          <w:sz w:val="20"/>
        </w:rPr>
        <w:t>If you vote via the internet or by telephone, your vote must be received by 11:59 p.m. Eastern Time on June 6, 2023.</w:t>
      </w:r>
    </w:p>
    <w:p>
      <w:pPr>
        <w:pStyle w:val="TextBody"/>
        <w:jc w:val="left"/>
        <w:rPr>
          <w:rFonts w:ascii="Arial" w:hAnsi="Arial"/>
          <w:sz w:val="20"/>
        </w:rPr>
      </w:pPr>
      <w:r>
        <w:rPr>
          <w:rFonts w:ascii="Arial" w:hAnsi="Arial"/>
          <w:sz w:val="20"/>
        </w:rPr>
        <w:t>If your shares are held in the name of your bank, brokerage firm or other nominee, please follow the voting instructions you received from your bank, brokerage firm or other nominee.</w:t>
      </w:r>
    </w:p>
    <w:p>
      <w:pPr>
        <w:pStyle w:val="TextBody"/>
        <w:jc w:val="left"/>
        <w:rPr/>
      </w:pPr>
      <w:r>
        <w:rPr>
          <w:rStyle w:val="StrongEmphasis"/>
          <w:rFonts w:ascii="Arial" w:hAnsi="Arial"/>
          <w:sz w:val="20"/>
        </w:rPr>
        <w:t>If you give us your signed proxy but do not specify how to vote, we will vote your shares (i) in favor of (a) the director candidates, (b) the ratification of the appointment of our independent auditors, (c) the approval of the Comcast Corporation 2023 Omnibus Equity Incentive Plan, (d) the approval of the Amended and Restated Comcast Corporation 2002 Employee Stock Purchase Plan, (e) the approval, on an advisory basis, of our executive compensation and (f) conducting the advisory vote on executive compensation every “one year”; and (ii) against each of the shareholder proposals.</w:t>
      </w:r>
    </w:p>
    <w:p>
      <w:pPr>
        <w:pStyle w:val="TextBody"/>
        <w:jc w:val="left"/>
        <w:rPr>
          <w:rFonts w:ascii="Arial" w:hAnsi="Arial"/>
          <w:color w:val="00A1E0"/>
          <w:sz w:val="28"/>
        </w:rPr>
      </w:pPr>
      <w:r>
        <w:rPr>
          <w:rFonts w:ascii="Arial" w:hAnsi="Arial"/>
          <w:color w:val="00A1E0"/>
          <w:sz w:val="28"/>
        </w:rPr>
        <w:t>Matters to be Presented</w:t>
      </w:r>
    </w:p>
    <w:p>
      <w:pPr>
        <w:pStyle w:val="TextBody"/>
        <w:jc w:val="left"/>
        <w:rPr>
          <w:rFonts w:ascii="Arial" w:hAnsi="Arial"/>
          <w:sz w:val="20"/>
        </w:rPr>
      </w:pPr>
      <w:r>
        <w:rPr>
          <w:rFonts w:ascii="Arial" w:hAnsi="Arial"/>
          <w:sz w:val="20"/>
        </w:rPr>
        <w:t>We are not aware of any matters to be presented at the meeting other than those described in this proxy statement. If any matters not described in this proxy statement are properly presented at the meeting, the proxies will use their own judgment to determine how to vote your shares. If the meeting is postponed or adjourned, the proxies will vote your shares on the new meeting date in accordance with your previous instructions, unless you have revoked your proxy.</w:t>
      </w:r>
    </w:p>
    <w:p>
      <w:pPr>
        <w:pStyle w:val="TextBody"/>
        <w:jc w:val="left"/>
        <w:rPr>
          <w:rFonts w:ascii="Arial" w:hAnsi="Arial"/>
          <w:color w:val="00A1E0"/>
          <w:sz w:val="28"/>
        </w:rPr>
      </w:pPr>
      <w:r>
        <w:rPr>
          <w:rFonts w:ascii="Arial" w:hAnsi="Arial"/>
          <w:color w:val="00A1E0"/>
          <w:sz w:val="28"/>
        </w:rPr>
        <w:t>Revoking a Proxy</w:t>
      </w:r>
    </w:p>
    <w:p>
      <w:pPr>
        <w:pStyle w:val="TextBody"/>
        <w:jc w:val="left"/>
        <w:rPr>
          <w:rFonts w:ascii="Arial" w:hAnsi="Arial"/>
          <w:sz w:val="20"/>
        </w:rPr>
      </w:pPr>
      <w:r>
        <w:rPr>
          <w:rFonts w:ascii="Arial" w:hAnsi="Arial"/>
          <w:sz w:val="20"/>
        </w:rPr>
        <w:t>You may revoke your proxy before it is voted by:</w:t>
      </w:r>
    </w:p>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rFonts w:ascii="arial" w:hAnsi="arial"/>
                <w:color w:val="000000"/>
              </w:rPr>
            </w:pPr>
            <w:r>
              <w:rPr>
                <w:rFonts w:ascii="arial" w:hAnsi="arial"/>
                <w:color w:val="000000"/>
              </w:rPr>
              <w:t xml:space="preserve">submitting a new proxy with a later date, including a proxy given via the internet or by telephone; </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rFonts w:ascii="arial" w:hAnsi="arial"/>
                <w:color w:val="000000"/>
              </w:rPr>
            </w:pPr>
            <w:r>
              <w:rPr>
                <w:rFonts w:ascii="arial" w:hAnsi="arial"/>
                <w:color w:val="000000"/>
              </w:rPr>
              <w:t xml:space="preserve">notifying our Secretary in writing before the meeting at the address given below; or </w:t>
            </w:r>
          </w:p>
        </w:tc>
      </w:tr>
      <w:tr>
        <w:trPr/>
        <w:tc>
          <w:tcPr>
            <w:tcW w:w="170" w:type="dxa"/>
            <w:tcBorders/>
            <w:shd w:fill="auto" w:val="clear"/>
            <w:vAlign w:val="center"/>
          </w:tcPr>
          <w:p>
            <w:pPr>
              <w:pStyle w:val="TableContents"/>
              <w:spacing w:before="0" w:after="283"/>
              <w:rPr>
                <w:color w:val="00A1E0"/>
              </w:rPr>
            </w:pPr>
            <w:r>
              <w:rPr>
                <w:color w:val="00A1E0"/>
              </w:rPr>
              <w:t>●</w:t>
            </w:r>
          </w:p>
        </w:tc>
        <w:tc>
          <w:tcPr>
            <w:tcW w:w="10035" w:type="dxa"/>
            <w:tcBorders/>
            <w:shd w:fill="auto" w:val="clear"/>
            <w:vAlign w:val="center"/>
          </w:tcPr>
          <w:p>
            <w:pPr>
              <w:pStyle w:val="TableContents"/>
              <w:spacing w:before="0" w:after="283"/>
              <w:rPr>
                <w:rFonts w:ascii="arial" w:hAnsi="arial"/>
                <w:color w:val="000000"/>
              </w:rPr>
            </w:pPr>
            <w:r>
              <w:rPr>
                <w:rFonts w:ascii="arial" w:hAnsi="arial"/>
                <w:color w:val="000000"/>
              </w:rPr>
              <w:t>voting in person at the meeting.</w:t>
            </w:r>
          </w:p>
        </w:tc>
      </w:tr>
    </w:tbl>
    <w:p>
      <w:pPr>
        <w:pStyle w:val="TextBody"/>
        <w:spacing w:before="0" w:after="0"/>
        <w:rPr/>
      </w:pPr>
      <w:r>
        <w:rPr/>
      </w:r>
    </w:p>
    <w:tbl>
      <w:tblPr>
        <w:tblW w:w="2200" w:type="dxa"/>
        <w:jc w:val="left"/>
        <w:tblInd w:w="0" w:type="dxa"/>
        <w:tblCellMar>
          <w:top w:w="0" w:type="dxa"/>
          <w:left w:w="0" w:type="dxa"/>
          <w:bottom w:w="0" w:type="dxa"/>
          <w:right w:w="0" w:type="dxa"/>
        </w:tblCellMar>
      </w:tblPr>
      <w:tblGrid>
        <w:gridCol w:w="1580"/>
        <w:gridCol w:w="620"/>
      </w:tblGrid>
      <w:tr>
        <w:trPr/>
        <w:tc>
          <w:tcPr>
            <w:tcW w:w="1580" w:type="dxa"/>
            <w:tcBorders/>
            <w:shd w:fill="auto" w:val="clear"/>
            <w:vAlign w:val="center"/>
          </w:tcPr>
          <w:p>
            <w:pPr>
              <w:pStyle w:val="TableContents"/>
              <w:spacing w:before="0" w:after="283"/>
              <w:jc w:val="right"/>
              <w:rPr>
                <w:rFonts w:ascii="Arial" w:hAnsi="Arial"/>
                <w:sz w:val="15"/>
              </w:rPr>
            </w:pPr>
            <w:r>
              <w:rPr>
                <w:rFonts w:ascii="Arial" w:hAnsi="Arial"/>
                <w:sz w:val="15"/>
              </w:rPr>
              <w:t>2023 Proxy Statement</w:t>
            </w:r>
          </w:p>
        </w:tc>
        <w:tc>
          <w:tcPr>
            <w:tcW w:w="620" w:type="dxa"/>
            <w:tcBorders/>
            <w:shd w:fill="auto" w:val="clear"/>
            <w:vAlign w:val="center"/>
          </w:tcPr>
          <w:p>
            <w:pPr>
              <w:pStyle w:val="TableContents"/>
              <w:spacing w:before="0" w:after="283"/>
              <w:jc w:val="right"/>
              <w:rPr/>
            </w:pPr>
            <w:r>
              <w:rPr/>
              <w:t>       </w:t>
            </w:r>
            <w:r>
              <w:rPr>
                <w:rFonts w:ascii="Arial" w:hAnsi="Arial"/>
                <w:b/>
                <w:sz w:val="15"/>
              </w:rPr>
              <w:t>89</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p>
      <w:pPr>
        <w:pStyle w:val="TextBody"/>
        <w:jc w:val="left"/>
        <w:rPr>
          <w:rFonts w:ascii="Arial" w:hAnsi="Arial"/>
          <w:color w:val="00A1E0"/>
          <w:sz w:val="28"/>
        </w:rPr>
      </w:pPr>
      <w:r>
        <w:rPr>
          <w:rFonts w:ascii="Arial" w:hAnsi="Arial"/>
          <w:color w:val="00A1E0"/>
          <w:sz w:val="28"/>
        </w:rPr>
        <w:t>Notice of Electronic Availability of Proxy Materials</w:t>
      </w:r>
    </w:p>
    <w:p>
      <w:pPr>
        <w:pStyle w:val="TextBody"/>
        <w:jc w:val="left"/>
        <w:rPr>
          <w:rFonts w:ascii="Arial" w:hAnsi="Arial"/>
          <w:sz w:val="20"/>
        </w:rPr>
      </w:pPr>
      <w:r>
        <w:rPr>
          <w:rFonts w:ascii="Arial" w:hAnsi="Arial"/>
          <w:sz w:val="20"/>
        </w:rPr>
        <w:t>Pursuant to the rules of the SEC, we are making this proxy statement and our Annual Report on Form 10-K available to our shareholders electronically via the internet. In compliance with this e-proxy process, on or about April 28, 2023, we mailed to our shareholders of record and beneficial owners the Notice containing instructions on how to access this proxy statement and our Annual Report on Form 10-K via the internet and how to vote online. As a result, you will not receive a paper copy of the proxy materials unless you request one. All shareholders may access the proxy materials on the website referred to in the Notice and in this proxy statement and request to receive a set of the proxy materials by mail or electronically, in either case, free of charge. If you would like to receive a paper or electronic copy of our proxy materials, you should follow the instructions for requesting such materials in the Notice. By participating in the e-proxy process, we reduce the impact of our annual meeting of shareholders on the environment and save money on the cost of printing and mailing documents to you. See “Electronic Access to Proxy Materials and Annual Report on Form 10-K” below for further information on electing to receive proxy materials electronically.</w:t>
      </w:r>
    </w:p>
    <w:p>
      <w:pPr>
        <w:pStyle w:val="TextBody"/>
        <w:jc w:val="left"/>
        <w:rPr>
          <w:rFonts w:ascii="Arial" w:hAnsi="Arial"/>
          <w:color w:val="00A1E0"/>
          <w:sz w:val="28"/>
        </w:rPr>
      </w:pPr>
      <w:r>
        <w:rPr>
          <w:rFonts w:ascii="Arial" w:hAnsi="Arial"/>
          <w:color w:val="00A1E0"/>
          <w:sz w:val="28"/>
        </w:rPr>
        <w:t>Additional Information on the Annual Meeting of Shareholders</w:t>
      </w:r>
    </w:p>
    <w:p>
      <w:pPr>
        <w:pStyle w:val="TextBody"/>
        <w:jc w:val="left"/>
        <w:rPr>
          <w:rFonts w:ascii="Arial" w:hAnsi="Arial"/>
          <w:sz w:val="20"/>
        </w:rPr>
      </w:pPr>
      <w:r>
        <w:rPr>
          <w:rFonts w:ascii="Arial" w:hAnsi="Arial"/>
          <w:sz w:val="20"/>
        </w:rPr>
        <w:t>If you have questions or would like more information about the annual meeting of shareholders, you can contact us in any of the following ways:</w:t>
      </w:r>
    </w:p>
    <w:tbl>
      <w:tblPr>
        <w:tblW w:w="10205" w:type="dxa"/>
        <w:jc w:val="left"/>
        <w:tblInd w:w="0" w:type="dxa"/>
        <w:tblCellMar>
          <w:top w:w="0" w:type="dxa"/>
          <w:left w:w="0" w:type="dxa"/>
          <w:bottom w:w="0" w:type="dxa"/>
          <w:right w:w="0" w:type="dxa"/>
        </w:tblCellMar>
      </w:tblPr>
      <w:tblGrid>
        <w:gridCol w:w="170"/>
        <w:gridCol w:w="1490"/>
        <w:gridCol w:w="5597"/>
        <w:gridCol w:w="170"/>
        <w:gridCol w:w="1015"/>
        <w:gridCol w:w="1763"/>
      </w:tblGrid>
      <w:tr>
        <w:trPr/>
        <w:tc>
          <w:tcPr>
            <w:tcW w:w="170" w:type="dxa"/>
            <w:tcBorders/>
            <w:shd w:fill="auto" w:val="clear"/>
            <w:vAlign w:val="center"/>
          </w:tcPr>
          <w:p>
            <w:pPr>
              <w:pStyle w:val="TableContents"/>
              <w:spacing w:before="0" w:after="283"/>
              <w:rPr>
                <w:color w:val="00A1E0"/>
              </w:rPr>
            </w:pPr>
            <w:r>
              <w:rPr>
                <w:color w:val="00A1E0"/>
              </w:rPr>
              <w:t>●</w:t>
            </w:r>
          </w:p>
        </w:tc>
        <w:tc>
          <w:tcPr>
            <w:tcW w:w="1490" w:type="dxa"/>
            <w:tcBorders/>
            <w:shd w:fill="auto" w:val="clear"/>
            <w:vAlign w:val="center"/>
          </w:tcPr>
          <w:p>
            <w:pPr>
              <w:pStyle w:val="TableContents"/>
              <w:spacing w:before="0" w:after="283"/>
              <w:rPr/>
            </w:pPr>
            <w:r>
              <w:rPr>
                <w:rStyle w:val="Emphasis"/>
                <w:rFonts w:ascii="arial" w:hAnsi="arial"/>
                <w:color w:val="000000"/>
              </w:rPr>
              <w:t>Via the internet:</w:t>
            </w:r>
          </w:p>
        </w:tc>
        <w:tc>
          <w:tcPr>
            <w:tcW w:w="5597" w:type="dxa"/>
            <w:tcBorders/>
            <w:shd w:fill="auto" w:val="clear"/>
            <w:vAlign w:val="center"/>
          </w:tcPr>
          <w:p>
            <w:pPr>
              <w:pStyle w:val="TableContents"/>
              <w:spacing w:before="0" w:after="283"/>
              <w:rPr>
                <w:rFonts w:ascii="arial" w:hAnsi="arial"/>
                <w:color w:val="000000"/>
              </w:rPr>
            </w:pPr>
            <w:r>
              <w:rPr>
                <w:rFonts w:ascii="Arial" w:hAnsi="Arial"/>
                <w:color w:val="000000"/>
                <w:sz w:val="20"/>
              </w:rPr>
              <w:t xml:space="preserve">Go to </w:t>
            </w:r>
            <w:r>
              <w:rPr>
                <w:rFonts w:ascii="Arial" w:hAnsi="Arial"/>
                <w:i/>
                <w:color w:val="000000"/>
                <w:sz w:val="20"/>
              </w:rPr>
              <w:t xml:space="preserve">www.proxyvote.com </w:t>
            </w:r>
            <w:r>
              <w:rPr>
                <w:rFonts w:ascii="Arial" w:hAnsi="Arial"/>
                <w:color w:val="000000"/>
                <w:sz w:val="20"/>
              </w:rPr>
              <w:t xml:space="preserve">or scan the QR code on your Notice or proxy card with a smartphone or tablet. </w:t>
            </w:r>
          </w:p>
        </w:tc>
        <w:tc>
          <w:tcPr>
            <w:tcW w:w="170" w:type="dxa"/>
            <w:tcBorders/>
            <w:shd w:fill="auto" w:val="clear"/>
            <w:vAlign w:val="center"/>
          </w:tcPr>
          <w:p>
            <w:pPr>
              <w:pStyle w:val="TableContents"/>
              <w:spacing w:before="0" w:after="283"/>
              <w:rPr>
                <w:color w:val="00A1E0"/>
              </w:rPr>
            </w:pPr>
            <w:r>
              <w:rPr>
                <w:color w:val="00A1E0"/>
              </w:rPr>
              <w:t>●</w:t>
            </w:r>
          </w:p>
        </w:tc>
        <w:tc>
          <w:tcPr>
            <w:tcW w:w="1015" w:type="dxa"/>
            <w:tcBorders/>
            <w:shd w:fill="auto" w:val="clear"/>
            <w:vAlign w:val="center"/>
          </w:tcPr>
          <w:p>
            <w:pPr>
              <w:pStyle w:val="TableContents"/>
              <w:spacing w:before="0" w:after="283"/>
              <w:rPr/>
            </w:pPr>
            <w:r>
              <w:rPr>
                <w:rStyle w:val="Emphasis"/>
                <w:rFonts w:ascii="arial" w:hAnsi="arial"/>
                <w:color w:val="000000"/>
              </w:rPr>
              <w:t>By writing:</w:t>
            </w:r>
          </w:p>
        </w:tc>
        <w:tc>
          <w:tcPr>
            <w:tcW w:w="1763" w:type="dxa"/>
            <w:vMerge w:val="restart"/>
            <w:tcBorders/>
            <w:shd w:fill="auto" w:val="clear"/>
            <w:vAlign w:val="center"/>
          </w:tcPr>
          <w:p>
            <w:pPr>
              <w:pStyle w:val="TableContents"/>
              <w:spacing w:before="0" w:after="283"/>
              <w:rPr>
                <w:rFonts w:ascii="arial" w:hAnsi="arial"/>
                <w:color w:val="000000"/>
              </w:rPr>
            </w:pPr>
            <w:r>
              <w:rPr>
                <w:rFonts w:ascii="Arial" w:hAnsi="Arial"/>
                <w:color w:val="000000"/>
                <w:sz w:val="20"/>
              </w:rPr>
              <w:t>Thomas J. Reid, Secretary</w:t>
            </w:r>
            <w:r>
              <w:rPr>
                <w:rFonts w:ascii="arial" w:hAnsi="arial"/>
                <w:color w:val="000000"/>
              </w:rPr>
              <w:br/>
            </w:r>
            <w:r>
              <w:rPr>
                <w:rFonts w:ascii="Arial" w:hAnsi="Arial"/>
                <w:color w:val="000000"/>
                <w:sz w:val="20"/>
              </w:rPr>
              <w:t>Comcast Corporation</w:t>
            </w:r>
            <w:r>
              <w:rPr>
                <w:rFonts w:ascii="arial" w:hAnsi="arial"/>
                <w:color w:val="000000"/>
              </w:rPr>
              <w:br/>
            </w:r>
            <w:r>
              <w:rPr>
                <w:rFonts w:ascii="Arial" w:hAnsi="Arial"/>
                <w:color w:val="000000"/>
                <w:sz w:val="20"/>
              </w:rPr>
              <w:t>One Comcast Center</w:t>
            </w:r>
            <w:r>
              <w:rPr>
                <w:rFonts w:ascii="arial" w:hAnsi="arial"/>
                <w:color w:val="000000"/>
              </w:rPr>
              <w:br/>
            </w:r>
            <w:r>
              <w:rPr>
                <w:rFonts w:ascii="Arial" w:hAnsi="Arial"/>
                <w:color w:val="000000"/>
                <w:sz w:val="20"/>
              </w:rPr>
              <w:t>Philadelphia, PA 19103</w:t>
            </w:r>
          </w:p>
        </w:tc>
      </w:tr>
      <w:tr>
        <w:trPr/>
        <w:tc>
          <w:tcPr>
            <w:tcW w:w="170" w:type="dxa"/>
            <w:tcBorders/>
            <w:shd w:fill="auto" w:val="clear"/>
            <w:vAlign w:val="center"/>
          </w:tcPr>
          <w:p>
            <w:pPr>
              <w:pStyle w:val="TableContents"/>
              <w:spacing w:before="0" w:after="283"/>
              <w:rPr>
                <w:color w:val="00A1E0"/>
              </w:rPr>
            </w:pPr>
            <w:r>
              <w:rPr>
                <w:color w:val="00A1E0"/>
              </w:rPr>
              <w:t>●</w:t>
            </w:r>
          </w:p>
        </w:tc>
        <w:tc>
          <w:tcPr>
            <w:tcW w:w="1490" w:type="dxa"/>
            <w:tcBorders/>
            <w:shd w:fill="auto" w:val="clear"/>
            <w:vAlign w:val="center"/>
          </w:tcPr>
          <w:p>
            <w:pPr>
              <w:pStyle w:val="TableContents"/>
              <w:spacing w:before="0" w:after="283"/>
              <w:rPr/>
            </w:pPr>
            <w:r>
              <w:rPr>
                <w:rStyle w:val="Emphasis"/>
                <w:rFonts w:ascii="arial" w:hAnsi="arial"/>
                <w:color w:val="000000"/>
              </w:rPr>
              <w:t>By telephone:</w:t>
            </w:r>
          </w:p>
        </w:tc>
        <w:tc>
          <w:tcPr>
            <w:tcW w:w="5597" w:type="dxa"/>
            <w:tcBorders/>
            <w:shd w:fill="auto" w:val="clear"/>
            <w:vAlign w:val="center"/>
          </w:tcPr>
          <w:p>
            <w:pPr>
              <w:pStyle w:val="TableContents"/>
              <w:spacing w:before="0" w:after="283"/>
              <w:rPr>
                <w:rFonts w:ascii="arial" w:hAnsi="arial"/>
                <w:color w:val="000000"/>
              </w:rPr>
            </w:pPr>
            <w:r>
              <w:rPr>
                <w:rFonts w:ascii="arial" w:hAnsi="arial"/>
                <w:color w:val="000000"/>
              </w:rPr>
              <w:t>Call toll free 1-866-281-2100</w:t>
            </w:r>
          </w:p>
        </w:tc>
        <w:tc>
          <w:tcPr>
            <w:tcW w:w="170" w:type="dxa"/>
            <w:tcBorders/>
            <w:shd w:fill="auto" w:val="clear"/>
            <w:vAlign w:val="center"/>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c>
          <w:tcPr>
            <w:tcW w:w="1763" w:type="dxa"/>
            <w:vMerge w:val="continue"/>
            <w:tcBorders/>
            <w:shd w:fill="auto" w:val="clear"/>
            <w:vAlign w:val="center"/>
          </w:tcPr>
          <w:p>
            <w:pPr>
              <w:pStyle w:val="Normal"/>
              <w:rPr/>
            </w:pPr>
            <w:r>
              <w:rPr/>
            </w:r>
          </w:p>
        </w:tc>
      </w:tr>
    </w:tbl>
    <w:p>
      <w:pPr>
        <w:pStyle w:val="TextBody"/>
        <w:spacing w:before="240" w:after="283"/>
        <w:jc w:val="left"/>
        <w:rPr>
          <w:rFonts w:ascii="Arial" w:hAnsi="Arial"/>
          <w:color w:val="00A1E0"/>
          <w:sz w:val="28"/>
        </w:rPr>
      </w:pPr>
      <w:r>
        <w:rPr>
          <w:rFonts w:ascii="Arial" w:hAnsi="Arial"/>
          <w:color w:val="00A1E0"/>
          <w:sz w:val="28"/>
        </w:rPr>
        <w:t>Shareholder Proposals for Next Year</w:t>
      </w:r>
    </w:p>
    <w:p>
      <w:pPr>
        <w:pStyle w:val="TextBody"/>
        <w:jc w:val="left"/>
        <w:rPr>
          <w:rFonts w:ascii="Arial" w:hAnsi="Arial"/>
          <w:sz w:val="20"/>
        </w:rPr>
      </w:pPr>
      <w:r>
        <w:rPr>
          <w:rFonts w:ascii="Arial" w:hAnsi="Arial"/>
          <w:sz w:val="20"/>
        </w:rPr>
        <w:t>Any shareholder proposals intended to be presented at our 2024 annual meeting of shareholders and considered for inclusion in our proxy materials under Rule 14a-8 under the Exchange Act (“Rule 14a-8”) must be received no later than the close of business on December 30, 2023 and must comply with the procedures and requirements of Rule 14a-8. Shareholder proposals failing to comply with the procedures of Rule 14a-8 under the Exchange Act will be excluded. If the date of our 2024 annual meeting is more than 30 days from June 7, 2024, we will publicly announce a different submission deadline from that set forth above, in compliance with SEC rules.</w:t>
      </w:r>
    </w:p>
    <w:p>
      <w:pPr>
        <w:pStyle w:val="TextBody"/>
        <w:jc w:val="left"/>
        <w:rPr>
          <w:rFonts w:ascii="Arial" w:hAnsi="Arial"/>
          <w:sz w:val="20"/>
        </w:rPr>
      </w:pPr>
      <w:r>
        <w:rPr>
          <w:rFonts w:ascii="Arial" w:hAnsi="Arial"/>
          <w:sz w:val="20"/>
        </w:rPr>
        <w:t>Any shareholder proposals (other than those proposals seeking to nominate directors) that are intended to be presented at the annual meeting of shareholders in 2024 but not to be included in our proxy materials must comply with the advance notice provision in Section 2.09 of our bylaws. If we call the 2024 annual meeting of shareholders for a date between May 8, 2024 and July 7, 2024, we must receive notice of the proposal at the mailing address given on page 90 on or after February 8, 2024 and no later than the close of business on March 9, 2024. If we call the 2024 annual meeting of shareholders for any other date, we must receive notice of the proposal no later than the close of business on the tenth day following the day on which we first make a public announcement of the date of the meeting. If notice is not received by the close of business on March 9, 2024 (or the close of business on the tenth day following the day we publicly announce the date of our 2024 annual meeting of shareholders, if such meeting is not called for a date between May 8, 2024 and July 7, 2024), the shareholder proposals will be deemed “untimely.”</w:t>
      </w:r>
    </w:p>
    <w:p>
      <w:pPr>
        <w:pStyle w:val="TextBody"/>
        <w:jc w:val="left"/>
        <w:rPr>
          <w:rFonts w:ascii="Arial" w:hAnsi="Arial"/>
          <w:sz w:val="20"/>
        </w:rPr>
      </w:pPr>
      <w:r>
        <w:rPr>
          <w:rFonts w:ascii="Arial" w:hAnsi="Arial"/>
          <w:sz w:val="20"/>
        </w:rPr>
        <w:t>Shareholders who wish to nominate directors for election must comply with the procedures described under “Corporate Governance and Board Matters – Board of Directors Nominees – Director Nominations – Shareholder Nominees.”</w:t>
      </w:r>
    </w:p>
    <w:p>
      <w:pPr>
        <w:pStyle w:val="TextBody"/>
        <w:jc w:val="left"/>
        <w:rPr>
          <w:rFonts w:ascii="Arial" w:hAnsi="Arial"/>
          <w:sz w:val="20"/>
        </w:rPr>
      </w:pPr>
      <w:r>
        <w:rPr>
          <w:rFonts w:ascii="Arial" w:hAnsi="Arial"/>
          <w:sz w:val="20"/>
        </w:rPr>
        <w:t>All shareholder proposals should be directed to Thomas J. Reid, Secretary, Comcast Corporation, at our mailing address given on page 90.</w:t>
      </w:r>
    </w:p>
    <w:tbl>
      <w:tblPr>
        <w:tblW w:w="223" w:type="dxa"/>
        <w:jc w:val="left"/>
        <w:tblInd w:w="0" w:type="dxa"/>
        <w:tblCellMar>
          <w:top w:w="0" w:type="dxa"/>
          <w:left w:w="0" w:type="dxa"/>
          <w:bottom w:w="0" w:type="dxa"/>
          <w:right w:w="0" w:type="dxa"/>
        </w:tblCellMar>
      </w:tblPr>
      <w:tblGrid>
        <w:gridCol w:w="200"/>
        <w:gridCol w:w="23"/>
      </w:tblGrid>
      <w:tr>
        <w:trPr/>
        <w:tc>
          <w:tcPr>
            <w:tcW w:w="200" w:type="dxa"/>
            <w:tcBorders/>
            <w:shd w:fill="auto" w:val="clear"/>
            <w:vAlign w:val="center"/>
          </w:tcPr>
          <w:p>
            <w:pPr>
              <w:pStyle w:val="TableContents"/>
              <w:spacing w:before="0" w:after="283"/>
              <w:jc w:val="left"/>
              <w:rPr>
                <w:rFonts w:ascii="Arial" w:hAnsi="Arial"/>
                <w:b/>
                <w:sz w:val="15"/>
              </w:rPr>
            </w:pPr>
            <w:r>
              <w:rPr>
                <w:rFonts w:ascii="Arial" w:hAnsi="Arial"/>
                <w:b/>
                <w:sz w:val="15"/>
              </w:rPr>
              <w:t>90</w:t>
            </w:r>
          </w:p>
        </w:tc>
        <w:tc>
          <w:tcPr>
            <w:tcW w:w="2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p>
      <w:pPr>
        <w:pStyle w:val="TextBody"/>
        <w:jc w:val="left"/>
        <w:rPr>
          <w:rFonts w:ascii="Arial" w:hAnsi="Arial"/>
          <w:color w:val="00A1E0"/>
          <w:sz w:val="28"/>
        </w:rPr>
      </w:pPr>
      <w:r>
        <w:rPr>
          <w:rFonts w:ascii="Arial" w:hAnsi="Arial"/>
          <w:color w:val="00A1E0"/>
          <w:sz w:val="28"/>
        </w:rPr>
        <w:t>Solicitation of Proxies</w:t>
      </w:r>
    </w:p>
    <w:p>
      <w:pPr>
        <w:pStyle w:val="TextBody"/>
        <w:jc w:val="left"/>
        <w:rPr>
          <w:rFonts w:ascii="Arial" w:hAnsi="Arial"/>
          <w:sz w:val="20"/>
        </w:rPr>
      </w:pPr>
      <w:r>
        <w:rPr>
          <w:rFonts w:ascii="Arial" w:hAnsi="Arial"/>
          <w:sz w:val="20"/>
        </w:rPr>
        <w:t>We pay the cost of this proxy solicitation. Pursuant to SEC rules, we are making this proxy statement and our Annual Report on Form 10-K available to our shareholders electronically via the internet. In addition to soliciting proxies by the internet and mail, we expect that a number of our employees will solicit shareholders personally and by telephone. None of these employees will receive any additional or special compensation for doing this. We have retained D.F. King &amp; Co., Inc. to assist in the solicitation of proxies for aggregate fees of approximately $32,500 plus reasonable out-of-pocket costs and expenses. The agreement with D.F. King contains customary indemnification provisions. We will, on request, reimburse banks, brokerage firms and other nominees for their expenses in sending proxy materials to their customers who are beneficial owners of our common stock and obtaining their voting instructions.</w:t>
      </w:r>
    </w:p>
    <w:p>
      <w:pPr>
        <w:pStyle w:val="TextBody"/>
        <w:jc w:val="left"/>
        <w:rPr>
          <w:rFonts w:ascii="Arial" w:hAnsi="Arial"/>
          <w:color w:val="00A1E0"/>
          <w:sz w:val="28"/>
        </w:rPr>
      </w:pPr>
      <w:r>
        <w:rPr>
          <w:rFonts w:ascii="Arial" w:hAnsi="Arial"/>
          <w:color w:val="00A1E0"/>
          <w:sz w:val="28"/>
        </w:rPr>
        <w:t>Electronic Access to Proxy Materials and Annual Report on Form 10-K</w:t>
      </w:r>
    </w:p>
    <w:p>
      <w:pPr>
        <w:pStyle w:val="TextBody"/>
        <w:jc w:val="left"/>
        <w:rPr/>
      </w:pPr>
      <w:r>
        <w:rPr>
          <w:rFonts w:ascii="Arial" w:hAnsi="Arial"/>
          <w:sz w:val="20"/>
        </w:rPr>
        <w:t xml:space="preserve">Shareholders can access this proxy statement and our Annual Report on Form 10-K via the internet at </w:t>
      </w:r>
      <w:r>
        <w:rPr>
          <w:rFonts w:ascii="Arial" w:hAnsi="Arial"/>
          <w:b w:val="false"/>
          <w:i/>
          <w:caps w:val="false"/>
          <w:smallCaps w:val="false"/>
          <w:sz w:val="20"/>
        </w:rPr>
        <w:t xml:space="preserve">www.proxyvote.com </w:t>
      </w:r>
      <w:r>
        <w:rPr>
          <w:rFonts w:ascii="Arial" w:hAnsi="Arial"/>
          <w:sz w:val="20"/>
        </w:rPr>
        <w:t>or by scanning the QR code on the Notice or proxy card with a smartphone or tablet, and then following the instructions outlined on the secure website. For future annual meetings of shareholders, shareholders can consent to accessing their proxy materials, including the Notice, the proxy statement and the annual report, electronically in lieu of receiving them by mail. To receive materials electronically, you will need access to a computer and an e-mail account. You will have the opportunity to revoke your request for electronic delivery at any time without charge.</w:t>
      </w:r>
    </w:p>
    <w:p>
      <w:pPr>
        <w:pStyle w:val="TextBody"/>
        <w:jc w:val="left"/>
        <w:rPr/>
      </w:pPr>
      <w:r>
        <w:rPr>
          <w:rFonts w:ascii="Arial" w:hAnsi="Arial"/>
          <w:sz w:val="20"/>
        </w:rPr>
        <w:t xml:space="preserve">If you are a registered shareholder and you have not already done so, you can choose this electronic delivery option by following the instructions provided when voting via the internet and provided on the proxy card. Your choice will remain in effect unless you revoke it by contacting our transfer agent, Equiniti Trust Company D/B/A EQ Shareowner Services (“EQ Shareowner Services”), at 1-888-883-8903 or P.O. Box 64854, St. Paul, MN 55164-0854 or by signing on to your account at </w:t>
      </w:r>
      <w:r>
        <w:rPr>
          <w:rStyle w:val="Emphasis"/>
          <w:rFonts w:ascii="Arial" w:hAnsi="Arial"/>
          <w:sz w:val="20"/>
        </w:rPr>
        <w:t>https://www.shareowneronline.com/comcast</w:t>
      </w:r>
      <w:r>
        <w:rPr>
          <w:rFonts w:ascii="Arial" w:hAnsi="Arial"/>
          <w:sz w:val="20"/>
        </w:rPr>
        <w:t>. You may update your electronic address by contacting EQ Shareowner Services.</w:t>
      </w:r>
    </w:p>
    <w:p>
      <w:pPr>
        <w:pStyle w:val="TextBody"/>
        <w:jc w:val="left"/>
        <w:rPr>
          <w:rFonts w:ascii="Arial" w:hAnsi="Arial"/>
          <w:sz w:val="20"/>
        </w:rPr>
      </w:pPr>
      <w:r>
        <w:rPr>
          <w:rFonts w:ascii="Arial" w:hAnsi="Arial"/>
          <w:sz w:val="20"/>
        </w:rPr>
        <w:t>If you hold your shares through a bank, brokerage firm or other nominee and you have not already done so, you can choose this electronic delivery option by contacting your nominee or by following the instructions provided when voting via the internet. Your choice will remain in effect unless you revoke it by contacting your nominee. You may update your electronic address by contacting your nominee.</w:t>
      </w:r>
    </w:p>
    <w:p>
      <w:pPr>
        <w:pStyle w:val="TextBody"/>
        <w:jc w:val="left"/>
        <w:rPr>
          <w:rFonts w:ascii="Arial" w:hAnsi="Arial"/>
          <w:color w:val="00A1E0"/>
          <w:sz w:val="28"/>
        </w:rPr>
      </w:pPr>
      <w:r>
        <w:rPr>
          <w:rFonts w:ascii="Arial" w:hAnsi="Arial"/>
          <w:color w:val="00A1E0"/>
          <w:sz w:val="28"/>
        </w:rPr>
        <w:t>Important Notice Regarding Delivery of Shareholder Documents</w:t>
      </w:r>
    </w:p>
    <w:p>
      <w:pPr>
        <w:pStyle w:val="TextBody"/>
        <w:jc w:val="left"/>
        <w:rPr>
          <w:rFonts w:ascii="Arial" w:hAnsi="Arial"/>
          <w:sz w:val="20"/>
        </w:rPr>
      </w:pPr>
      <w:r>
        <w:rPr>
          <w:rFonts w:ascii="Arial" w:hAnsi="Arial"/>
          <w:sz w:val="20"/>
        </w:rPr>
        <w:t>Under SEC rules, delivery of each Notice or a single proxy statement and annual report, as applicable, in a single envelope to two or more shareholders sharing the same mailing address is permitted under certain conditions. This procedure, called “householding,” is available if all of the following criteria are met:</w:t>
      </w:r>
    </w:p>
    <w:tbl>
      <w:tblPr>
        <w:tblW w:w="8110" w:type="dxa"/>
        <w:jc w:val="left"/>
        <w:tblInd w:w="0" w:type="dxa"/>
        <w:tblCellMar>
          <w:top w:w="0" w:type="dxa"/>
          <w:left w:w="0" w:type="dxa"/>
          <w:bottom w:w="0" w:type="dxa"/>
          <w:right w:w="0" w:type="dxa"/>
        </w:tblCellMar>
      </w:tblPr>
      <w:tblGrid>
        <w:gridCol w:w="170"/>
        <w:gridCol w:w="7940"/>
      </w:tblGrid>
      <w:tr>
        <w:trPr/>
        <w:tc>
          <w:tcPr>
            <w:tcW w:w="170" w:type="dxa"/>
            <w:tcBorders/>
            <w:shd w:fill="auto" w:val="clear"/>
            <w:vAlign w:val="center"/>
          </w:tcPr>
          <w:p>
            <w:pPr>
              <w:pStyle w:val="TableContents"/>
              <w:spacing w:before="0" w:after="283"/>
              <w:rPr>
                <w:color w:val="00A1E0"/>
              </w:rPr>
            </w:pPr>
            <w:r>
              <w:rPr>
                <w:color w:val="00A1E0"/>
              </w:rPr>
              <w:t>●</w:t>
            </w:r>
          </w:p>
        </w:tc>
        <w:tc>
          <w:tcPr>
            <w:tcW w:w="7940" w:type="dxa"/>
            <w:tcBorders/>
            <w:shd w:fill="auto" w:val="clear"/>
            <w:vAlign w:val="center"/>
          </w:tcPr>
          <w:p>
            <w:pPr>
              <w:pStyle w:val="TableContents"/>
              <w:spacing w:before="0" w:after="283"/>
              <w:rPr>
                <w:rFonts w:ascii="arial" w:hAnsi="arial"/>
                <w:color w:val="000000"/>
              </w:rPr>
            </w:pPr>
            <w:r>
              <w:rPr>
                <w:rFonts w:ascii="arial" w:hAnsi="arial"/>
                <w:color w:val="000000"/>
              </w:rPr>
              <w:t>you have the same address as other shareholders registered on our books;</w:t>
            </w:r>
          </w:p>
        </w:tc>
      </w:tr>
      <w:tr>
        <w:trPr/>
        <w:tc>
          <w:tcPr>
            <w:tcW w:w="170" w:type="dxa"/>
            <w:tcBorders/>
            <w:shd w:fill="auto" w:val="clear"/>
            <w:vAlign w:val="center"/>
          </w:tcPr>
          <w:p>
            <w:pPr>
              <w:pStyle w:val="TableContents"/>
              <w:spacing w:before="0" w:after="283"/>
              <w:rPr>
                <w:color w:val="00A1E0"/>
              </w:rPr>
            </w:pPr>
            <w:r>
              <w:rPr>
                <w:color w:val="00A1E0"/>
              </w:rPr>
              <w:t>●</w:t>
            </w:r>
          </w:p>
        </w:tc>
        <w:tc>
          <w:tcPr>
            <w:tcW w:w="7940" w:type="dxa"/>
            <w:tcBorders/>
            <w:shd w:fill="auto" w:val="clear"/>
            <w:vAlign w:val="center"/>
          </w:tcPr>
          <w:p>
            <w:pPr>
              <w:pStyle w:val="TableContents"/>
              <w:spacing w:before="0" w:after="283"/>
              <w:rPr>
                <w:rFonts w:ascii="arial" w:hAnsi="arial"/>
                <w:color w:val="000000"/>
              </w:rPr>
            </w:pPr>
            <w:r>
              <w:rPr>
                <w:rFonts w:ascii="arial" w:hAnsi="arial"/>
                <w:color w:val="000000"/>
              </w:rPr>
              <w:t xml:space="preserve">you have the same last name as the other shareholders; and </w:t>
            </w:r>
          </w:p>
        </w:tc>
      </w:tr>
      <w:tr>
        <w:trPr/>
        <w:tc>
          <w:tcPr>
            <w:tcW w:w="170" w:type="dxa"/>
            <w:tcBorders/>
            <w:shd w:fill="auto" w:val="clear"/>
            <w:vAlign w:val="center"/>
          </w:tcPr>
          <w:p>
            <w:pPr>
              <w:pStyle w:val="TableContents"/>
              <w:spacing w:before="0" w:after="283"/>
              <w:rPr>
                <w:color w:val="00A1E0"/>
              </w:rPr>
            </w:pPr>
            <w:r>
              <w:rPr>
                <w:color w:val="00A1E0"/>
              </w:rPr>
              <w:t>●</w:t>
            </w:r>
          </w:p>
        </w:tc>
        <w:tc>
          <w:tcPr>
            <w:tcW w:w="7940" w:type="dxa"/>
            <w:tcBorders/>
            <w:shd w:fill="auto" w:val="clear"/>
            <w:vAlign w:val="center"/>
          </w:tcPr>
          <w:p>
            <w:pPr>
              <w:pStyle w:val="TableContents"/>
              <w:spacing w:before="0" w:after="283"/>
              <w:rPr>
                <w:rFonts w:ascii="arial" w:hAnsi="arial"/>
                <w:color w:val="000000"/>
              </w:rPr>
            </w:pPr>
            <w:r>
              <w:rPr>
                <w:rFonts w:ascii="arial" w:hAnsi="arial"/>
                <w:color w:val="000000"/>
              </w:rPr>
              <w:t>your address is a residential address or post office box.</w:t>
            </w:r>
          </w:p>
        </w:tc>
      </w:tr>
    </w:tbl>
    <w:p>
      <w:pPr>
        <w:pStyle w:val="TextBody"/>
        <w:spacing w:before="240" w:after="283"/>
        <w:jc w:val="left"/>
        <w:rPr>
          <w:rFonts w:ascii="Arial" w:hAnsi="Arial"/>
          <w:sz w:val="20"/>
        </w:rPr>
      </w:pPr>
      <w:r>
        <w:rPr>
          <w:rFonts w:ascii="Arial" w:hAnsi="Arial"/>
          <w:sz w:val="20"/>
        </w:rPr>
        <w:t>If you meet this criteria, you are eligible for householding and the following terms apply. If you are not eligible, please disregard this notice.</w:t>
      </w:r>
    </w:p>
    <w:p>
      <w:pPr>
        <w:pStyle w:val="TextBody"/>
        <w:jc w:val="left"/>
        <w:rPr/>
      </w:pPr>
      <w:r>
        <w:rPr>
          <w:rStyle w:val="StrongEmphasis"/>
          <w:rFonts w:ascii="Arial" w:hAnsi="Arial"/>
          <w:sz w:val="20"/>
        </w:rPr>
        <w:t>How do I consent to, or discontinue, the householding process of receiving just one set of annual disclosure materials?</w:t>
      </w:r>
    </w:p>
    <w:p>
      <w:pPr>
        <w:pStyle w:val="TextBody"/>
        <w:jc w:val="left"/>
        <w:rPr>
          <w:rFonts w:ascii="Arial" w:hAnsi="Arial"/>
          <w:sz w:val="20"/>
        </w:rPr>
      </w:pPr>
      <w:r>
        <w:rPr>
          <w:rFonts w:ascii="Arial" w:hAnsi="Arial"/>
          <w:sz w:val="20"/>
        </w:rPr>
        <w:t>To give your consent to, or to discontinue, householding, please notify our transfer agent, EQ Shareowner Services, at 1-888-883-8903 or by mail at P.O. Box 64874, St. Paul, MN 55164-0854 if you are a registered shareholder, or your bank or broker if you are a beneficial shareholder. Registered and beneficial shareholders may also discontinue householding by contacting Broadridge by phone at (866) 540-7095 or by mail at Broadridge, Householding Department, 51 Mercedes Way, Edgewood, NY 11717.</w:t>
      </w:r>
    </w:p>
    <w:p>
      <w:pPr>
        <w:pStyle w:val="TextBody"/>
        <w:jc w:val="left"/>
        <w:rPr>
          <w:rFonts w:ascii="Arial" w:hAnsi="Arial"/>
          <w:sz w:val="20"/>
        </w:rPr>
      </w:pPr>
      <w:r>
        <w:rPr>
          <w:rFonts w:ascii="Arial" w:hAnsi="Arial"/>
          <w:sz w:val="20"/>
        </w:rPr>
        <w:t>The householding consent is considered perpetual, which means you will continue to receive a single envelope containing each Notice for the household or a single proxy statement and annual report, as applicable, in the future unless you discontinue this process.</w:t>
      </w:r>
    </w:p>
    <w:tbl>
      <w:tblPr>
        <w:tblW w:w="2200" w:type="dxa"/>
        <w:jc w:val="left"/>
        <w:tblInd w:w="0" w:type="dxa"/>
        <w:tblCellMar>
          <w:top w:w="0" w:type="dxa"/>
          <w:left w:w="0" w:type="dxa"/>
          <w:bottom w:w="0" w:type="dxa"/>
          <w:right w:w="0" w:type="dxa"/>
        </w:tblCellMar>
      </w:tblPr>
      <w:tblGrid>
        <w:gridCol w:w="1580"/>
        <w:gridCol w:w="620"/>
      </w:tblGrid>
      <w:tr>
        <w:trPr/>
        <w:tc>
          <w:tcPr>
            <w:tcW w:w="1580" w:type="dxa"/>
            <w:tcBorders/>
            <w:shd w:fill="auto" w:val="clear"/>
            <w:vAlign w:val="center"/>
          </w:tcPr>
          <w:p>
            <w:pPr>
              <w:pStyle w:val="TableContents"/>
              <w:spacing w:before="0" w:after="283"/>
              <w:jc w:val="right"/>
              <w:rPr>
                <w:rFonts w:ascii="Arial" w:hAnsi="Arial"/>
                <w:sz w:val="15"/>
              </w:rPr>
            </w:pPr>
            <w:r>
              <w:rPr>
                <w:rFonts w:ascii="Arial" w:hAnsi="Arial"/>
                <w:sz w:val="15"/>
              </w:rPr>
              <w:t>2023 Proxy Statement</w:t>
            </w:r>
          </w:p>
        </w:tc>
        <w:tc>
          <w:tcPr>
            <w:tcW w:w="620" w:type="dxa"/>
            <w:tcBorders/>
            <w:shd w:fill="auto" w:val="clear"/>
            <w:vAlign w:val="center"/>
          </w:tcPr>
          <w:p>
            <w:pPr>
              <w:pStyle w:val="TableContents"/>
              <w:spacing w:before="0" w:after="283"/>
              <w:jc w:val="right"/>
              <w:rPr/>
            </w:pPr>
            <w:r>
              <w:rPr/>
              <w:t>       </w:t>
            </w:r>
            <w:r>
              <w:rPr>
                <w:rFonts w:ascii="Arial" w:hAnsi="Arial"/>
                <w:b/>
                <w:sz w:val="15"/>
              </w:rPr>
              <w:t>91</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p>
      <w:pPr>
        <w:pStyle w:val="TextBody"/>
        <w:jc w:val="left"/>
        <w:rPr>
          <w:rFonts w:ascii="Arial" w:hAnsi="Arial"/>
          <w:b/>
          <w:sz w:val="36"/>
        </w:rPr>
      </w:pPr>
      <w:bookmarkStart w:id="104" w:name="appendixa"/>
      <w:bookmarkEnd w:id="104"/>
      <w:r>
        <w:rPr>
          <w:rFonts w:ascii="Arial" w:hAnsi="Arial"/>
          <w:b/>
          <w:sz w:val="36"/>
        </w:rPr>
        <w:t>Appendix A: Reconciliations of Non-GAAP Financial Measures</w:t>
      </w:r>
    </w:p>
    <w:p>
      <w:pPr>
        <w:pStyle w:val="TextBody"/>
        <w:jc w:val="left"/>
        <w:rPr>
          <w:rFonts w:ascii="Arial" w:hAnsi="Arial"/>
          <w:sz w:val="20"/>
        </w:rPr>
      </w:pPr>
      <w:r>
        <w:rPr>
          <w:rFonts w:ascii="Arial" w:hAnsi="Arial"/>
          <w:sz w:val="20"/>
        </w:rPr>
        <w:t>We believe that the presentation of financial measures not in accordance with generally accepted accounting principles in the United States (“GAAP”) provides useful information to investors regarding our results of operations and financial condition. Our non-GAAP financial measures should be considered in addition to, but not as a substitute for, operating income, net income, net income attributable to Comcast Corporation, earnings per common share attributable to Comcast Corporation shareholders, net cash provided by operating activities or other measures of performance or liquidity reported in accordance with GAAP.</w:t>
      </w:r>
    </w:p>
    <w:p>
      <w:pPr>
        <w:pStyle w:val="TextBody"/>
        <w:jc w:val="left"/>
        <w:rPr>
          <w:rFonts w:ascii="Arial" w:hAnsi="Arial"/>
          <w:sz w:val="20"/>
        </w:rPr>
      </w:pPr>
      <w:r>
        <w:rPr>
          <w:rFonts w:ascii="Arial" w:hAnsi="Arial"/>
          <w:sz w:val="20"/>
        </w:rPr>
        <w:t>We define Adjusted EBITDA as net income attributable to Comcast Corporation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 Additional information and reconciliations of Adjusted EBITDA to net income attributable to Comcast Corporation for the years ended December 31, 2020, 2021 and 2022 are set forth in “Item 7: Management’s Discussion and Analysis of Financial Condition and Results of Operations – Non-GAAP Financial Measures” on pages 52-53 of our Annual Report on Form 10-K for the year ended December 31, 2022, as filed with the SEC on February 3, 2023 (the “10-K”).</w:t>
      </w:r>
    </w:p>
    <w:p>
      <w:pPr>
        <w:pStyle w:val="TextBody"/>
        <w:jc w:val="left"/>
        <w:rPr>
          <w:rFonts w:ascii="Arial" w:hAnsi="Arial"/>
          <w:sz w:val="20"/>
        </w:rPr>
      </w:pPr>
      <w:r>
        <w:rPr>
          <w:rFonts w:ascii="Arial" w:hAnsi="Arial"/>
          <w:sz w:val="20"/>
        </w:rPr>
        <w:t>Constant currency and constant currency growth rates are calculated by comparing the prior year results adjusted to reflect the average exchange rates from the current year rather than the actual exchange rates that were in effect during the respective prior year. Additional information and a reconciliation of Sky’s constant currency revenue and Adjusted EBITDA growth rates for 2022 is set forth in “Item 7: Management’s Discussion and Analysis of Financial Condition and Results of Operations – Non-GAAP Financial Measures” on pages 52-53 of the 10-K.</w:t>
      </w:r>
    </w:p>
    <w:p>
      <w:pPr>
        <w:pStyle w:val="TextBody"/>
        <w:jc w:val="left"/>
        <w:rPr>
          <w:rFonts w:ascii="Arial" w:hAnsi="Arial"/>
          <w:sz w:val="20"/>
        </w:rPr>
      </w:pPr>
      <w:r>
        <w:rPr>
          <w:rFonts w:ascii="Arial" w:hAnsi="Arial"/>
          <w:sz w:val="20"/>
        </w:rPr>
        <w:t>We define Free Cash Flow as net cash provided by operating activities (as stated in our Consolidated Statement of Cash Flows) reduced by capital expenditures and cash paid for intangible assets. From time to time, we may exclude from Free Cash Flow the impact of certain cash receipts or payments (such as significant legal settlements) that affect period-to-period comparability. Cash payments related to certain capital or intangible assets, such as the construction of Universal Beijing Resort, are presented separately in our Consolidated Statement of Cash Flows and are therefore excluded from capital expenditures and cash paid for intangible assets for Free Cash Flow. We believe Free Cash Flow provides a meaningful measure of liquidity and a useful basis for assessing our ability to repay debt, make strategic acquisitions and investments, and return capital to investors through stock repurchases and dividends. It is also a significant performance measure in our annual incentive compensation programs. Additionally, we believe Free Cash Flow is useful to investors as a basis for comparing our performance and coverage ratios with other companies in our industries, although our measure of Free Cash Flow may not be directly comparable to similar measures used by other companies. Free Cash Flow has certain limitations, including that it does not represent the residual cash flow available for discretionary expenditures since other non-discretionary payments, such as mandatory debt repayments, are not deducted from the measure.</w:t>
      </w:r>
    </w:p>
    <w:p>
      <w:pPr>
        <w:pStyle w:val="TextBody"/>
        <w:jc w:val="left"/>
        <w:rPr/>
      </w:pPr>
      <w:r>
        <w:rPr>
          <w:rFonts w:ascii="Arial" w:hAnsi="Arial"/>
          <w:b/>
          <w:color w:val="00A1E0"/>
          <w:sz w:val="20"/>
        </w:rPr>
        <w:t>RECONCILIATION FROM NET CASH PROVIDED BY OPERATING ACTIVITIES TO FREE CASH FLOW</w:t>
        <w:br/>
      </w:r>
      <w:r>
        <w:rPr>
          <w:rFonts w:ascii="Arial" w:hAnsi="Arial"/>
          <w:sz w:val="20"/>
        </w:rPr>
        <w:t>($ in millions)</w:t>
      </w:r>
    </w:p>
    <w:tbl>
      <w:tblPr>
        <w:tblW w:w="8225" w:type="dxa"/>
        <w:jc w:val="left"/>
        <w:tblInd w:w="0" w:type="dxa"/>
        <w:tblCellMar>
          <w:top w:w="0" w:type="dxa"/>
          <w:left w:w="0" w:type="dxa"/>
          <w:bottom w:w="0" w:type="dxa"/>
          <w:right w:w="0" w:type="dxa"/>
        </w:tblCellMar>
      </w:tblPr>
      <w:tblGrid>
        <w:gridCol w:w="5360"/>
        <w:gridCol w:w="300"/>
        <w:gridCol w:w="725"/>
        <w:gridCol w:w="300"/>
        <w:gridCol w:w="620"/>
        <w:gridCol w:w="300"/>
        <w:gridCol w:w="620"/>
      </w:tblGrid>
      <w:tr>
        <w:trPr/>
        <w:tc>
          <w:tcPr>
            <w:tcW w:w="5360"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2565" w:type="dxa"/>
            <w:gridSpan w:val="5"/>
            <w:tcBorders>
              <w:bottom w:val="single" w:sz="8" w:space="0" w:color="000000"/>
            </w:tcBorders>
            <w:shd w:fill="auto" w:val="clear"/>
            <w:tcMar>
              <w:bottom w:w="40" w:type="dxa"/>
            </w:tcMar>
            <w:vAlign w:val="center"/>
          </w:tcPr>
          <w:p>
            <w:pPr>
              <w:pStyle w:val="TableContents"/>
              <w:spacing w:before="0" w:after="283"/>
              <w:jc w:val="center"/>
              <w:rPr>
                <w:rFonts w:ascii="Arial" w:hAnsi="Arial"/>
                <w:b/>
                <w:i w:val="false"/>
                <w:caps w:val="false"/>
                <w:smallCaps w:val="false"/>
                <w:sz w:val="15"/>
              </w:rPr>
            </w:pPr>
            <w:r>
              <w:rPr>
                <w:rFonts w:ascii="Arial" w:hAnsi="Arial"/>
                <w:b/>
                <w:i w:val="false"/>
                <w:caps w:val="false"/>
                <w:smallCaps w:val="false"/>
                <w:sz w:val="15"/>
              </w:rPr>
              <w:t>YEAR ENDED DECEMBER 31,</w:t>
            </w:r>
          </w:p>
        </w:tc>
      </w:tr>
      <w:tr>
        <w:trPr/>
        <w:tc>
          <w:tcPr>
            <w:tcW w:w="5360" w:type="dxa"/>
            <w:tcBorders>
              <w:bottom w:val="single" w:sz="12"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300" w:type="dxa"/>
            <w:tcBorders>
              <w:bottom w:val="single" w:sz="12"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725" w:type="dxa"/>
            <w:tcBorders>
              <w:bottom w:val="single" w:sz="12" w:space="0" w:color="000000"/>
            </w:tcBorders>
            <w:shd w:fill="auto" w:val="clear"/>
            <w:tcMar>
              <w:bottom w:w="40" w:type="dxa"/>
            </w:tcMar>
            <w:vAlign w:val="center"/>
          </w:tcPr>
          <w:p>
            <w:pPr>
              <w:pStyle w:val="TableContents"/>
              <w:spacing w:before="0" w:after="283"/>
              <w:jc w:val="right"/>
              <w:rPr>
                <w:rFonts w:ascii="Arial" w:hAnsi="Arial"/>
                <w:b/>
                <w:i w:val="false"/>
                <w:caps w:val="false"/>
                <w:smallCaps w:val="false"/>
                <w:sz w:val="15"/>
              </w:rPr>
            </w:pPr>
            <w:r>
              <w:rPr>
                <w:rFonts w:ascii="Arial" w:hAnsi="Arial"/>
                <w:b/>
                <w:i w:val="false"/>
                <w:caps w:val="false"/>
                <w:smallCaps w:val="false"/>
                <w:sz w:val="15"/>
              </w:rPr>
              <w:t>2022</w:t>
            </w:r>
          </w:p>
        </w:tc>
        <w:tc>
          <w:tcPr>
            <w:tcW w:w="300" w:type="dxa"/>
            <w:tcBorders>
              <w:bottom w:val="single" w:sz="12"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620" w:type="dxa"/>
            <w:tcBorders>
              <w:bottom w:val="single" w:sz="12" w:space="0" w:color="000000"/>
            </w:tcBorders>
            <w:shd w:fill="auto" w:val="clear"/>
            <w:tcMar>
              <w:bottom w:w="40" w:type="dxa"/>
            </w:tcMar>
            <w:vAlign w:val="center"/>
          </w:tcPr>
          <w:p>
            <w:pPr>
              <w:pStyle w:val="TableContents"/>
              <w:spacing w:before="0" w:after="283"/>
              <w:jc w:val="right"/>
              <w:rPr>
                <w:rFonts w:ascii="Arial" w:hAnsi="Arial"/>
                <w:b/>
                <w:i w:val="false"/>
                <w:caps w:val="false"/>
                <w:smallCaps w:val="false"/>
                <w:sz w:val="15"/>
              </w:rPr>
            </w:pPr>
            <w:r>
              <w:rPr>
                <w:rFonts w:ascii="Arial" w:hAnsi="Arial"/>
                <w:b/>
                <w:i w:val="false"/>
                <w:caps w:val="false"/>
                <w:smallCaps w:val="false"/>
                <w:sz w:val="15"/>
              </w:rPr>
              <w:t>2021</w:t>
            </w:r>
          </w:p>
        </w:tc>
        <w:tc>
          <w:tcPr>
            <w:tcW w:w="300" w:type="dxa"/>
            <w:tcBorders>
              <w:bottom w:val="single" w:sz="12" w:space="0" w:color="000000"/>
            </w:tcBorders>
            <w:shd w:fill="auto" w:val="clear"/>
            <w:tcMar>
              <w:bottom w:w="40" w:type="dxa"/>
            </w:tcMar>
            <w:vAlign w:val="center"/>
          </w:tcPr>
          <w:p>
            <w:pPr>
              <w:pStyle w:val="TableContents"/>
              <w:spacing w:before="0" w:after="283"/>
              <w:rPr>
                <w:sz w:val="4"/>
                <w:szCs w:val="4"/>
              </w:rPr>
            </w:pPr>
            <w:r>
              <w:rPr>
                <w:sz w:val="4"/>
                <w:szCs w:val="4"/>
              </w:rPr>
            </w:r>
          </w:p>
        </w:tc>
        <w:tc>
          <w:tcPr>
            <w:tcW w:w="620" w:type="dxa"/>
            <w:tcBorders>
              <w:bottom w:val="single" w:sz="12" w:space="0" w:color="000000"/>
            </w:tcBorders>
            <w:shd w:fill="auto" w:val="clear"/>
            <w:tcMar>
              <w:bottom w:w="40" w:type="dxa"/>
            </w:tcMar>
            <w:vAlign w:val="center"/>
          </w:tcPr>
          <w:p>
            <w:pPr>
              <w:pStyle w:val="TableContents"/>
              <w:spacing w:before="0" w:after="283"/>
              <w:jc w:val="right"/>
              <w:rPr>
                <w:rFonts w:ascii="Arial" w:hAnsi="Arial"/>
                <w:b/>
                <w:i w:val="false"/>
                <w:caps w:val="false"/>
                <w:smallCaps w:val="false"/>
                <w:sz w:val="15"/>
              </w:rPr>
            </w:pPr>
            <w:r>
              <w:rPr>
                <w:rFonts w:ascii="Arial" w:hAnsi="Arial"/>
                <w:b/>
                <w:i w:val="false"/>
                <w:caps w:val="false"/>
                <w:smallCaps w:val="false"/>
                <w:sz w:val="15"/>
              </w:rPr>
              <w:t>2020</w:t>
            </w:r>
          </w:p>
        </w:tc>
      </w:tr>
      <w:tr>
        <w:trPr/>
        <w:tc>
          <w:tcPr>
            <w:tcW w:w="5360" w:type="dxa"/>
            <w:tcBorders>
              <w:bottom w:val="single" w:sz="8" w:space="0" w:color="000000"/>
            </w:tcBorders>
            <w:shd w:fill="auto" w:val="clear"/>
            <w:tcMar>
              <w:bottom w:w="28" w:type="dxa"/>
            </w:tcMar>
            <w:vAlign w:val="center"/>
          </w:tcPr>
          <w:p>
            <w:pPr>
              <w:pStyle w:val="TableContents"/>
              <w:spacing w:before="0" w:after="283"/>
              <w:jc w:val="left"/>
              <w:rPr/>
            </w:pPr>
            <w:r>
              <w:rPr>
                <w:rStyle w:val="StrongEmphasis"/>
                <w:rFonts w:ascii="Arial" w:hAnsi="Arial"/>
                <w:sz w:val="20"/>
              </w:rPr>
              <w:t>Net cash provided by operating activities</w:t>
            </w:r>
          </w:p>
        </w:tc>
        <w:tc>
          <w:tcPr>
            <w:tcW w:w="300"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725" w:type="dxa"/>
            <w:tcBorders>
              <w:bottom w:val="single" w:sz="8" w:space="0" w:color="000000"/>
            </w:tcBorders>
            <w:shd w:fill="auto" w:val="clear"/>
            <w:tcMar>
              <w:bottom w:w="28" w:type="dxa"/>
            </w:tcMar>
            <w:vAlign w:val="center"/>
          </w:tcPr>
          <w:p>
            <w:pPr>
              <w:pStyle w:val="TableContents"/>
              <w:spacing w:before="0" w:after="283"/>
              <w:jc w:val="right"/>
              <w:rPr>
                <w:rFonts w:ascii="Arial" w:hAnsi="Arial"/>
                <w:b/>
                <w:i w:val="false"/>
                <w:caps w:val="false"/>
                <w:smallCaps w:val="false"/>
                <w:sz w:val="20"/>
              </w:rPr>
            </w:pPr>
            <w:r>
              <w:rPr>
                <w:rFonts w:ascii="Arial" w:hAnsi="Arial"/>
                <w:b/>
                <w:i w:val="false"/>
                <w:caps w:val="false"/>
                <w:smallCaps w:val="false"/>
                <w:sz w:val="20"/>
              </w:rPr>
              <w:t>26,413</w:t>
            </w:r>
          </w:p>
        </w:tc>
        <w:tc>
          <w:tcPr>
            <w:tcW w:w="300"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620" w:type="dxa"/>
            <w:tcBorders>
              <w:bottom w:val="single" w:sz="8" w:space="0" w:color="000000"/>
            </w:tcBorders>
            <w:shd w:fill="auto" w:val="clear"/>
            <w:tcMar>
              <w:bottom w:w="28" w:type="dxa"/>
            </w:tcMar>
            <w:vAlign w:val="center"/>
          </w:tcPr>
          <w:p>
            <w:pPr>
              <w:pStyle w:val="TableContents"/>
              <w:spacing w:before="0" w:after="283"/>
              <w:jc w:val="right"/>
              <w:rPr>
                <w:rFonts w:ascii="Arial" w:hAnsi="Arial"/>
                <w:b/>
                <w:i w:val="false"/>
                <w:caps w:val="false"/>
                <w:smallCaps w:val="false"/>
                <w:sz w:val="20"/>
              </w:rPr>
            </w:pPr>
            <w:r>
              <w:rPr>
                <w:rFonts w:ascii="Arial" w:hAnsi="Arial"/>
                <w:b/>
                <w:i w:val="false"/>
                <w:caps w:val="false"/>
                <w:smallCaps w:val="false"/>
                <w:sz w:val="20"/>
              </w:rPr>
              <w:t>29,146</w:t>
            </w:r>
          </w:p>
        </w:tc>
        <w:tc>
          <w:tcPr>
            <w:tcW w:w="300"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620" w:type="dxa"/>
            <w:tcBorders>
              <w:bottom w:val="single" w:sz="8" w:space="0" w:color="000000"/>
            </w:tcBorders>
            <w:shd w:fill="auto" w:val="clear"/>
            <w:tcMar>
              <w:bottom w:w="28" w:type="dxa"/>
            </w:tcMar>
            <w:vAlign w:val="center"/>
          </w:tcPr>
          <w:p>
            <w:pPr>
              <w:pStyle w:val="TableContents"/>
              <w:spacing w:before="0" w:after="283"/>
              <w:jc w:val="right"/>
              <w:rPr>
                <w:rFonts w:ascii="Arial" w:hAnsi="Arial"/>
                <w:b/>
                <w:i w:val="false"/>
                <w:caps w:val="false"/>
                <w:smallCaps w:val="false"/>
                <w:sz w:val="20"/>
              </w:rPr>
            </w:pPr>
            <w:r>
              <w:rPr>
                <w:rFonts w:ascii="Arial" w:hAnsi="Arial"/>
                <w:b/>
                <w:i w:val="false"/>
                <w:caps w:val="false"/>
                <w:smallCaps w:val="false"/>
                <w:sz w:val="20"/>
              </w:rPr>
              <w:t>24,737</w:t>
            </w:r>
          </w:p>
        </w:tc>
      </w:tr>
      <w:tr>
        <w:trPr/>
        <w:tc>
          <w:tcPr>
            <w:tcW w:w="5360" w:type="dxa"/>
            <w:tcBorders>
              <w:bottom w:val="single" w:sz="8" w:space="0" w:color="000000"/>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Capital expenditures</w:t>
            </w:r>
          </w:p>
        </w:tc>
        <w:tc>
          <w:tcPr>
            <w:tcW w:w="3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25"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(10,626)</w:t>
            </w:r>
          </w:p>
        </w:tc>
        <w:tc>
          <w:tcPr>
            <w:tcW w:w="3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2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(9,174)</w:t>
            </w:r>
          </w:p>
        </w:tc>
        <w:tc>
          <w:tcPr>
            <w:tcW w:w="3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2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(9,179)</w:t>
            </w:r>
          </w:p>
        </w:tc>
      </w:tr>
      <w:tr>
        <w:trPr/>
        <w:tc>
          <w:tcPr>
            <w:tcW w:w="5360" w:type="dxa"/>
            <w:tcBorders>
              <w:bottom w:val="single" w:sz="8" w:space="0" w:color="000000"/>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Cash paid for capitalized software and other intangible assets</w:t>
            </w:r>
          </w:p>
        </w:tc>
        <w:tc>
          <w:tcPr>
            <w:tcW w:w="3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25"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(3,141)</w:t>
            </w:r>
          </w:p>
        </w:tc>
        <w:tc>
          <w:tcPr>
            <w:tcW w:w="3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2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(2,883)</w:t>
            </w:r>
          </w:p>
        </w:tc>
        <w:tc>
          <w:tcPr>
            <w:tcW w:w="3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2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(2,455)</w:t>
            </w:r>
          </w:p>
        </w:tc>
      </w:tr>
      <w:tr>
        <w:trPr/>
        <w:tc>
          <w:tcPr>
            <w:tcW w:w="5360" w:type="dxa"/>
            <w:tcBorders>
              <w:bottom w:val="single" w:sz="8" w:space="0" w:color="000000"/>
            </w:tcBorders>
            <w:shd w:fill="auto" w:val="clear"/>
            <w:tcMar>
              <w:bottom w:w="28" w:type="dxa"/>
            </w:tcMar>
            <w:vAlign w:val="center"/>
          </w:tcPr>
          <w:p>
            <w:pPr>
              <w:pStyle w:val="TableContents"/>
              <w:spacing w:before="0" w:after="283"/>
              <w:jc w:val="left"/>
              <w:rPr>
                <w:rFonts w:ascii="Arial" w:hAnsi="Arial"/>
                <w:sz w:val="20"/>
              </w:rPr>
            </w:pPr>
            <w:r>
              <w:rPr>
                <w:rFonts w:ascii="Arial" w:hAnsi="Arial"/>
                <w:sz w:val="20"/>
              </w:rPr>
              <w:t>Adjustments related to legal settlements</w:t>
            </w:r>
          </w:p>
        </w:tc>
        <w:tc>
          <w:tcPr>
            <w:tcW w:w="3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25"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3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20"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3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20" w:type="dxa"/>
            <w:tcBorders>
              <w:bottom w:val="single" w:sz="8" w:space="0" w:color="000000"/>
            </w:tcBorders>
            <w:shd w:fill="auto" w:val="clear"/>
            <w:tcMar>
              <w:bottom w:w="28" w:type="dxa"/>
            </w:tcMar>
            <w:vAlign w:val="center"/>
          </w:tcPr>
          <w:p>
            <w:pPr>
              <w:pStyle w:val="TableContents"/>
              <w:spacing w:before="0" w:after="283"/>
              <w:jc w:val="right"/>
              <w:rPr>
                <w:rFonts w:ascii="Arial" w:hAnsi="Arial"/>
                <w:sz w:val="20"/>
              </w:rPr>
            </w:pPr>
            <w:r>
              <w:rPr>
                <w:rFonts w:ascii="Arial" w:hAnsi="Arial"/>
                <w:sz w:val="20"/>
              </w:rPr>
              <w:t>177</w:t>
            </w:r>
          </w:p>
        </w:tc>
      </w:tr>
      <w:tr>
        <w:trPr/>
        <w:tc>
          <w:tcPr>
            <w:tcW w:w="5360" w:type="dxa"/>
            <w:tcBorders>
              <w:bottom w:val="single" w:sz="8" w:space="0" w:color="000000"/>
            </w:tcBorders>
            <w:shd w:fill="auto" w:val="clear"/>
            <w:tcMar>
              <w:bottom w:w="28" w:type="dxa"/>
            </w:tcMar>
            <w:vAlign w:val="center"/>
          </w:tcPr>
          <w:p>
            <w:pPr>
              <w:pStyle w:val="TableContents"/>
              <w:spacing w:before="0" w:after="283"/>
              <w:jc w:val="left"/>
              <w:rPr/>
            </w:pPr>
            <w:r>
              <w:rPr>
                <w:rStyle w:val="StrongEmphasis"/>
                <w:rFonts w:ascii="Arial" w:hAnsi="Arial"/>
                <w:sz w:val="20"/>
              </w:rPr>
              <w:t>Free Cash Flow</w:t>
            </w:r>
          </w:p>
        </w:tc>
        <w:tc>
          <w:tcPr>
            <w:tcW w:w="3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25" w:type="dxa"/>
            <w:tcBorders>
              <w:bottom w:val="single" w:sz="8" w:space="0" w:color="000000"/>
            </w:tcBorders>
            <w:shd w:fill="auto" w:val="clear"/>
            <w:tcMar>
              <w:bottom w:w="28" w:type="dxa"/>
            </w:tcMar>
            <w:vAlign w:val="center"/>
          </w:tcPr>
          <w:p>
            <w:pPr>
              <w:pStyle w:val="TableContents"/>
              <w:spacing w:before="0" w:after="283"/>
              <w:jc w:val="right"/>
              <w:rPr>
                <w:rFonts w:ascii="Arial" w:hAnsi="Arial"/>
                <w:b/>
                <w:i w:val="false"/>
                <w:caps w:val="false"/>
                <w:smallCaps w:val="false"/>
                <w:sz w:val="20"/>
              </w:rPr>
            </w:pPr>
            <w:r>
              <w:rPr>
                <w:rFonts w:ascii="Arial" w:hAnsi="Arial"/>
                <w:b/>
                <w:i w:val="false"/>
                <w:caps w:val="false"/>
                <w:smallCaps w:val="false"/>
                <w:sz w:val="20"/>
              </w:rPr>
              <w:t>12,646</w:t>
            </w:r>
          </w:p>
        </w:tc>
        <w:tc>
          <w:tcPr>
            <w:tcW w:w="3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20" w:type="dxa"/>
            <w:tcBorders>
              <w:bottom w:val="single" w:sz="8" w:space="0" w:color="000000"/>
            </w:tcBorders>
            <w:shd w:fill="auto" w:val="clear"/>
            <w:tcMar>
              <w:bottom w:w="28" w:type="dxa"/>
            </w:tcMar>
            <w:vAlign w:val="center"/>
          </w:tcPr>
          <w:p>
            <w:pPr>
              <w:pStyle w:val="TableContents"/>
              <w:spacing w:before="0" w:after="283"/>
              <w:jc w:val="right"/>
              <w:rPr>
                <w:rFonts w:ascii="Arial" w:hAnsi="Arial"/>
                <w:b/>
                <w:i w:val="false"/>
                <w:caps w:val="false"/>
                <w:smallCaps w:val="false"/>
                <w:sz w:val="20"/>
              </w:rPr>
            </w:pPr>
            <w:r>
              <w:rPr>
                <w:rFonts w:ascii="Arial" w:hAnsi="Arial"/>
                <w:b/>
                <w:i w:val="false"/>
                <w:caps w:val="false"/>
                <w:smallCaps w:val="false"/>
                <w:sz w:val="20"/>
              </w:rPr>
              <w:t>17,089</w:t>
            </w:r>
          </w:p>
        </w:tc>
        <w:tc>
          <w:tcPr>
            <w:tcW w:w="30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20" w:type="dxa"/>
            <w:tcBorders>
              <w:bottom w:val="single" w:sz="8" w:space="0" w:color="000000"/>
            </w:tcBorders>
            <w:shd w:fill="auto" w:val="clear"/>
            <w:tcMar>
              <w:bottom w:w="28" w:type="dxa"/>
            </w:tcMar>
            <w:vAlign w:val="center"/>
          </w:tcPr>
          <w:p>
            <w:pPr>
              <w:pStyle w:val="TableContents"/>
              <w:spacing w:before="0" w:after="283"/>
              <w:jc w:val="right"/>
              <w:rPr>
                <w:rFonts w:ascii="Arial" w:hAnsi="Arial"/>
                <w:b/>
                <w:i w:val="false"/>
                <w:caps w:val="false"/>
                <w:smallCaps w:val="false"/>
                <w:sz w:val="20"/>
              </w:rPr>
            </w:pPr>
            <w:r>
              <w:rPr>
                <w:rFonts w:ascii="Arial" w:hAnsi="Arial"/>
                <w:b/>
                <w:i w:val="false"/>
                <w:caps w:val="false"/>
                <w:smallCaps w:val="false"/>
                <w:sz w:val="20"/>
              </w:rPr>
              <w:t>13,280</w:t>
            </w:r>
          </w:p>
        </w:tc>
      </w:tr>
    </w:tbl>
    <w:p>
      <w:pPr>
        <w:pStyle w:val="TextBody"/>
        <w:spacing w:before="0" w:after="0"/>
        <w:rPr/>
      </w:pPr>
      <w:r>
        <w:rPr/>
      </w:r>
    </w:p>
    <w:tbl>
      <w:tblPr>
        <w:tblW w:w="283" w:type="dxa"/>
        <w:jc w:val="left"/>
        <w:tblInd w:w="0" w:type="dxa"/>
        <w:tblCellMar>
          <w:top w:w="0" w:type="dxa"/>
          <w:left w:w="0" w:type="dxa"/>
          <w:bottom w:w="0" w:type="dxa"/>
          <w:right w:w="0" w:type="dxa"/>
        </w:tblCellMar>
      </w:tblPr>
      <w:tblGrid>
        <w:gridCol w:w="260"/>
        <w:gridCol w:w="23"/>
      </w:tblGrid>
      <w:tr>
        <w:trPr/>
        <w:tc>
          <w:tcPr>
            <w:tcW w:w="260" w:type="dxa"/>
            <w:tcBorders/>
            <w:shd w:fill="auto" w:val="clear"/>
            <w:vAlign w:val="center"/>
          </w:tcPr>
          <w:p>
            <w:pPr>
              <w:pStyle w:val="TableContents"/>
              <w:spacing w:before="0" w:after="283"/>
              <w:jc w:val="left"/>
              <w:rPr>
                <w:rFonts w:ascii="Arial" w:hAnsi="Arial"/>
                <w:b/>
                <w:sz w:val="15"/>
              </w:rPr>
            </w:pPr>
            <w:r>
              <w:rPr>
                <w:rFonts w:ascii="Arial" w:hAnsi="Arial"/>
                <w:b/>
                <w:sz w:val="15"/>
              </w:rPr>
              <w:t>A-1</w:t>
            </w:r>
          </w:p>
        </w:tc>
        <w:tc>
          <w:tcPr>
            <w:tcW w:w="2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p>
      <w:pPr>
        <w:pStyle w:val="TextBody"/>
        <w:jc w:val="left"/>
        <w:rPr>
          <w:rFonts w:ascii="Arial" w:hAnsi="Arial"/>
          <w:b/>
          <w:sz w:val="36"/>
        </w:rPr>
      </w:pPr>
      <w:bookmarkStart w:id="105" w:name="appendixb"/>
      <w:bookmarkEnd w:id="105"/>
      <w:r>
        <w:rPr>
          <w:rFonts w:ascii="Arial" w:hAnsi="Arial"/>
          <w:b/>
          <w:sz w:val="36"/>
        </w:rPr>
        <w:t>Appendix B: Nasdaq Board Diversity Matrix</w:t>
      </w:r>
    </w:p>
    <w:tbl>
      <w:tblPr>
        <w:tblW w:w="6763" w:type="dxa"/>
        <w:jc w:val="left"/>
        <w:tblInd w:w="0" w:type="dxa"/>
        <w:tblCellMar>
          <w:top w:w="0" w:type="dxa"/>
          <w:left w:w="28" w:type="dxa"/>
          <w:bottom w:w="0" w:type="dxa"/>
          <w:right w:w="28" w:type="dxa"/>
        </w:tblCellMar>
      </w:tblPr>
      <w:tblGrid>
        <w:gridCol w:w="3125"/>
        <w:gridCol w:w="1099"/>
        <w:gridCol w:w="720"/>
        <w:gridCol w:w="1099"/>
        <w:gridCol w:w="720"/>
      </w:tblGrid>
      <w:tr>
        <w:trPr/>
        <w:tc>
          <w:tcPr>
            <w:tcW w:w="6763" w:type="dxa"/>
            <w:gridSpan w:val="5"/>
            <w:tcBorders>
              <w:left w:val="single" w:sz="8" w:space="0" w:color="00A1E0"/>
              <w:right w:val="single" w:sz="8" w:space="0" w:color="00A1E0"/>
            </w:tcBorders>
            <w:shd w:fill="00A1E0" w:val="clear"/>
            <w:vAlign w:val="center"/>
          </w:tcPr>
          <w:p>
            <w:pPr>
              <w:pStyle w:val="TableContents"/>
              <w:spacing w:before="0" w:after="283"/>
              <w:jc w:val="center"/>
              <w:rPr>
                <w:rFonts w:ascii="Arial" w:hAnsi="Arial"/>
                <w:b/>
                <w:i w:val="false"/>
                <w:caps w:val="false"/>
                <w:smallCaps w:val="false"/>
                <w:color w:val="FFFFFF"/>
                <w:sz w:val="15"/>
              </w:rPr>
            </w:pPr>
            <w:r>
              <w:rPr>
                <w:rFonts w:ascii="Arial" w:hAnsi="Arial"/>
                <w:b/>
                <w:i w:val="false"/>
                <w:caps w:val="false"/>
                <w:smallCaps w:val="false"/>
                <w:color w:val="FFFFFF"/>
                <w:sz w:val="15"/>
              </w:rPr>
              <w:t>BOARD DIVERSITY MATRIX</w:t>
            </w:r>
          </w:p>
        </w:tc>
      </w:tr>
      <w:tr>
        <w:trPr/>
        <w:tc>
          <w:tcPr>
            <w:tcW w:w="3125" w:type="dxa"/>
            <w:tcBorders>
              <w:left w:val="single" w:sz="8" w:space="0" w:color="00A1E0"/>
              <w:bottom w:val="single" w:sz="8" w:space="0" w:color="00A1E0"/>
              <w:right w:val="single" w:sz="8" w:space="0" w:color="00A1E0"/>
            </w:tcBorders>
            <w:shd w:fill="auto" w:val="clear"/>
            <w:tcMar>
              <w:bottom w:w="80" w:type="dxa"/>
            </w:tcMar>
            <w:vAlign w:val="center"/>
          </w:tcPr>
          <w:p>
            <w:pPr>
              <w:pStyle w:val="TableContents"/>
              <w:spacing w:before="0" w:after="283"/>
              <w:rPr>
                <w:sz w:val="4"/>
                <w:szCs w:val="4"/>
              </w:rPr>
            </w:pPr>
            <w:r>
              <w:rPr>
                <w:sz w:val="4"/>
                <w:szCs w:val="4"/>
              </w:rPr>
            </w:r>
          </w:p>
        </w:tc>
        <w:tc>
          <w:tcPr>
            <w:tcW w:w="1819" w:type="dxa"/>
            <w:gridSpan w:val="2"/>
            <w:tcBorders>
              <w:bottom w:val="single" w:sz="8" w:space="0" w:color="00A1E0"/>
              <w:right w:val="single" w:sz="8" w:space="0" w:color="00A1E0"/>
            </w:tcBorders>
            <w:shd w:fill="auto" w:val="clear"/>
            <w:tcMar>
              <w:left w:w="0" w:type="dxa"/>
              <w:bottom w:w="80" w:type="dxa"/>
            </w:tcMar>
            <w:vAlign w:val="center"/>
          </w:tcPr>
          <w:p>
            <w:pPr>
              <w:pStyle w:val="TableContents"/>
              <w:spacing w:before="0" w:after="283"/>
              <w:jc w:val="center"/>
              <w:rPr>
                <w:rFonts w:ascii="Arial" w:hAnsi="Arial"/>
                <w:b/>
                <w:i w:val="false"/>
                <w:caps w:val="false"/>
                <w:smallCaps w:val="false"/>
                <w:sz w:val="20"/>
              </w:rPr>
            </w:pPr>
            <w:r>
              <w:rPr>
                <w:rFonts w:ascii="Arial" w:hAnsi="Arial"/>
                <w:b/>
                <w:i w:val="false"/>
                <w:caps w:val="false"/>
                <w:smallCaps w:val="false"/>
                <w:sz w:val="20"/>
              </w:rPr>
              <w:t>As of April 28, 2022</w:t>
            </w:r>
          </w:p>
        </w:tc>
        <w:tc>
          <w:tcPr>
            <w:tcW w:w="1819" w:type="dxa"/>
            <w:gridSpan w:val="2"/>
            <w:tcBorders>
              <w:bottom w:val="single" w:sz="8" w:space="0" w:color="00A1E0"/>
              <w:right w:val="single" w:sz="8" w:space="0" w:color="00A1E0"/>
            </w:tcBorders>
            <w:shd w:fill="auto" w:val="clear"/>
            <w:tcMar>
              <w:left w:w="0" w:type="dxa"/>
              <w:bottom w:w="80" w:type="dxa"/>
            </w:tcMar>
            <w:vAlign w:val="center"/>
          </w:tcPr>
          <w:p>
            <w:pPr>
              <w:pStyle w:val="TableContents"/>
              <w:spacing w:before="0" w:after="283"/>
              <w:jc w:val="center"/>
              <w:rPr>
                <w:rFonts w:ascii="Arial" w:hAnsi="Arial"/>
                <w:b/>
                <w:i w:val="false"/>
                <w:caps w:val="false"/>
                <w:smallCaps w:val="false"/>
                <w:sz w:val="20"/>
              </w:rPr>
            </w:pPr>
            <w:r>
              <w:rPr>
                <w:rFonts w:ascii="Arial" w:hAnsi="Arial"/>
                <w:b/>
                <w:i w:val="false"/>
                <w:caps w:val="false"/>
                <w:smallCaps w:val="false"/>
                <w:sz w:val="20"/>
              </w:rPr>
              <w:t>As of April 28, 2023</w:t>
            </w:r>
          </w:p>
        </w:tc>
      </w:tr>
      <w:tr>
        <w:trPr/>
        <w:tc>
          <w:tcPr>
            <w:tcW w:w="3125" w:type="dxa"/>
            <w:tcBorders>
              <w:left w:val="single" w:sz="8" w:space="0" w:color="00A1E0"/>
              <w:bottom w:val="single" w:sz="8" w:space="0" w:color="00A1E0"/>
              <w:right w:val="single" w:sz="8" w:space="0" w:color="00A1E0"/>
            </w:tcBorders>
            <w:shd w:fill="auto" w:val="clear"/>
            <w:tcMar>
              <w:left w:w="80" w:type="dxa"/>
              <w:bottom w:w="80" w:type="dxa"/>
            </w:tcMar>
            <w:vAlign w:val="center"/>
          </w:tcPr>
          <w:p>
            <w:pPr>
              <w:pStyle w:val="TableContents"/>
              <w:spacing w:before="0" w:after="283"/>
              <w:jc w:val="left"/>
              <w:rPr>
                <w:rFonts w:ascii="Arial" w:hAnsi="Arial"/>
                <w:b/>
                <w:i w:val="false"/>
                <w:caps w:val="false"/>
                <w:smallCaps w:val="false"/>
                <w:sz w:val="20"/>
              </w:rPr>
            </w:pPr>
            <w:r>
              <w:rPr>
                <w:rFonts w:ascii="Arial" w:hAnsi="Arial"/>
                <w:b/>
                <w:i w:val="false"/>
                <w:caps w:val="false"/>
                <w:smallCaps w:val="false"/>
                <w:sz w:val="20"/>
              </w:rPr>
              <w:t>Total Number of Directors</w:t>
            </w:r>
          </w:p>
        </w:tc>
        <w:tc>
          <w:tcPr>
            <w:tcW w:w="1819" w:type="dxa"/>
            <w:gridSpan w:val="2"/>
            <w:tcBorders>
              <w:bottom w:val="single" w:sz="8" w:space="0" w:color="00A1E0"/>
              <w:right w:val="single" w:sz="8" w:space="0" w:color="00A1E0"/>
            </w:tcBorders>
            <w:shd w:fill="auto" w:val="clear"/>
            <w:tcMar>
              <w:left w:w="0" w:type="dxa"/>
              <w:bottom w:w="80" w:type="dxa"/>
            </w:tcMar>
            <w:vAlign w:val="center"/>
          </w:tcPr>
          <w:p>
            <w:pPr>
              <w:pStyle w:val="TableContents"/>
              <w:spacing w:before="0" w:after="283"/>
              <w:jc w:val="center"/>
              <w:rPr>
                <w:rFonts w:ascii="Arial" w:hAnsi="Arial"/>
                <w:b/>
                <w:i w:val="false"/>
                <w:caps w:val="false"/>
                <w:smallCaps w:val="false"/>
                <w:sz w:val="20"/>
              </w:rPr>
            </w:pPr>
            <w:r>
              <w:rPr>
                <w:rFonts w:ascii="Arial" w:hAnsi="Arial"/>
                <w:b/>
                <w:i w:val="false"/>
                <w:caps w:val="false"/>
                <w:smallCaps w:val="false"/>
                <w:sz w:val="20"/>
              </w:rPr>
              <w:t>10</w:t>
            </w:r>
          </w:p>
        </w:tc>
        <w:tc>
          <w:tcPr>
            <w:tcW w:w="1819" w:type="dxa"/>
            <w:gridSpan w:val="2"/>
            <w:tcBorders>
              <w:bottom w:val="single" w:sz="8" w:space="0" w:color="00A1E0"/>
              <w:right w:val="single" w:sz="8" w:space="0" w:color="00A1E0"/>
            </w:tcBorders>
            <w:shd w:fill="auto" w:val="clear"/>
            <w:tcMar>
              <w:left w:w="0" w:type="dxa"/>
              <w:bottom w:w="80" w:type="dxa"/>
            </w:tcMar>
            <w:vAlign w:val="center"/>
          </w:tcPr>
          <w:p>
            <w:pPr>
              <w:pStyle w:val="TableContents"/>
              <w:spacing w:before="0" w:after="283"/>
              <w:jc w:val="center"/>
              <w:rPr>
                <w:rFonts w:ascii="Arial" w:hAnsi="Arial"/>
                <w:b/>
                <w:i w:val="false"/>
                <w:caps w:val="false"/>
                <w:smallCaps w:val="false"/>
                <w:sz w:val="20"/>
              </w:rPr>
            </w:pPr>
            <w:r>
              <w:rPr>
                <w:rFonts w:ascii="Arial" w:hAnsi="Arial"/>
                <w:b/>
                <w:i w:val="false"/>
                <w:caps w:val="false"/>
                <w:smallCaps w:val="false"/>
                <w:sz w:val="20"/>
              </w:rPr>
              <w:t>10</w:t>
            </w:r>
          </w:p>
        </w:tc>
      </w:tr>
      <w:tr>
        <w:trPr/>
        <w:tc>
          <w:tcPr>
            <w:tcW w:w="3125" w:type="dxa"/>
            <w:tcBorders>
              <w:left w:val="single" w:sz="8" w:space="0" w:color="00A1E0"/>
              <w:bottom w:val="single" w:sz="8" w:space="0" w:color="00A1E0"/>
              <w:right w:val="single" w:sz="8" w:space="0" w:color="00A1E0"/>
            </w:tcBorders>
            <w:shd w:fill="auto" w:val="clear"/>
            <w:tcMar>
              <w:left w:w="80" w:type="dxa"/>
              <w:bottom w:w="80" w:type="dxa"/>
            </w:tcMar>
            <w:vAlign w:val="center"/>
          </w:tcPr>
          <w:p>
            <w:pPr>
              <w:pStyle w:val="TableContents"/>
              <w:spacing w:before="0" w:after="283"/>
              <w:jc w:val="left"/>
              <w:rPr/>
            </w:pPr>
            <w:r>
              <w:rPr/>
              <w:t> </w:t>
            </w:r>
          </w:p>
        </w:tc>
        <w:tc>
          <w:tcPr>
            <w:tcW w:w="1099" w:type="dxa"/>
            <w:tcBorders>
              <w:bottom w:val="single" w:sz="8" w:space="0" w:color="00A1E0"/>
              <w:right w:val="single" w:sz="8" w:space="0" w:color="00A1E0"/>
            </w:tcBorders>
            <w:shd w:fill="auto" w:val="clear"/>
            <w:tcMar>
              <w:left w:w="0" w:type="dxa"/>
              <w:bottom w:w="80" w:type="dxa"/>
            </w:tcMar>
            <w:vAlign w:val="center"/>
          </w:tcPr>
          <w:p>
            <w:pPr>
              <w:pStyle w:val="TableContents"/>
              <w:spacing w:before="0" w:after="283"/>
              <w:jc w:val="center"/>
              <w:rPr>
                <w:rFonts w:ascii="Arial" w:hAnsi="Arial"/>
                <w:b/>
                <w:i w:val="false"/>
                <w:caps w:val="false"/>
                <w:smallCaps w:val="false"/>
                <w:sz w:val="20"/>
              </w:rPr>
            </w:pPr>
            <w:r>
              <w:rPr>
                <w:rFonts w:ascii="Arial" w:hAnsi="Arial"/>
                <w:b/>
                <w:i w:val="false"/>
                <w:caps w:val="false"/>
                <w:smallCaps w:val="false"/>
                <w:sz w:val="20"/>
              </w:rPr>
              <w:t>Female</w:t>
            </w:r>
          </w:p>
        </w:tc>
        <w:tc>
          <w:tcPr>
            <w:tcW w:w="720" w:type="dxa"/>
            <w:tcBorders>
              <w:bottom w:val="single" w:sz="8" w:space="0" w:color="00A1E0"/>
              <w:right w:val="single" w:sz="8" w:space="0" w:color="00A1E0"/>
            </w:tcBorders>
            <w:shd w:fill="auto" w:val="clear"/>
            <w:tcMar>
              <w:left w:w="0" w:type="dxa"/>
              <w:bottom w:w="80" w:type="dxa"/>
            </w:tcMar>
            <w:vAlign w:val="center"/>
          </w:tcPr>
          <w:p>
            <w:pPr>
              <w:pStyle w:val="TableContents"/>
              <w:spacing w:before="0" w:after="283"/>
              <w:jc w:val="center"/>
              <w:rPr>
                <w:rFonts w:ascii="Arial" w:hAnsi="Arial"/>
                <w:b/>
                <w:i w:val="false"/>
                <w:caps w:val="false"/>
                <w:smallCaps w:val="false"/>
                <w:sz w:val="20"/>
              </w:rPr>
            </w:pPr>
            <w:r>
              <w:rPr>
                <w:rFonts w:ascii="Arial" w:hAnsi="Arial"/>
                <w:b/>
                <w:i w:val="false"/>
                <w:caps w:val="false"/>
                <w:smallCaps w:val="false"/>
                <w:sz w:val="20"/>
              </w:rPr>
              <w:t>Male</w:t>
            </w:r>
          </w:p>
        </w:tc>
        <w:tc>
          <w:tcPr>
            <w:tcW w:w="1099" w:type="dxa"/>
            <w:tcBorders>
              <w:bottom w:val="single" w:sz="8" w:space="0" w:color="00A1E0"/>
              <w:right w:val="single" w:sz="8" w:space="0" w:color="00A1E0"/>
            </w:tcBorders>
            <w:shd w:fill="auto" w:val="clear"/>
            <w:tcMar>
              <w:left w:w="0" w:type="dxa"/>
              <w:bottom w:w="80" w:type="dxa"/>
            </w:tcMar>
            <w:vAlign w:val="center"/>
          </w:tcPr>
          <w:p>
            <w:pPr>
              <w:pStyle w:val="TableContents"/>
              <w:spacing w:before="0" w:after="283"/>
              <w:jc w:val="center"/>
              <w:rPr>
                <w:rFonts w:ascii="Arial" w:hAnsi="Arial"/>
                <w:b/>
                <w:i w:val="false"/>
                <w:caps w:val="false"/>
                <w:smallCaps w:val="false"/>
                <w:sz w:val="20"/>
              </w:rPr>
            </w:pPr>
            <w:r>
              <w:rPr>
                <w:rFonts w:ascii="Arial" w:hAnsi="Arial"/>
                <w:b/>
                <w:i w:val="false"/>
                <w:caps w:val="false"/>
                <w:smallCaps w:val="false"/>
                <w:sz w:val="20"/>
              </w:rPr>
              <w:t>Female</w:t>
            </w:r>
          </w:p>
        </w:tc>
        <w:tc>
          <w:tcPr>
            <w:tcW w:w="720" w:type="dxa"/>
            <w:tcBorders>
              <w:bottom w:val="single" w:sz="8" w:space="0" w:color="00A1E0"/>
              <w:right w:val="single" w:sz="8" w:space="0" w:color="00A1E0"/>
            </w:tcBorders>
            <w:shd w:fill="auto" w:val="clear"/>
            <w:tcMar>
              <w:left w:w="0" w:type="dxa"/>
              <w:bottom w:w="80" w:type="dxa"/>
            </w:tcMar>
            <w:vAlign w:val="center"/>
          </w:tcPr>
          <w:p>
            <w:pPr>
              <w:pStyle w:val="TableContents"/>
              <w:spacing w:before="0" w:after="283"/>
              <w:jc w:val="center"/>
              <w:rPr>
                <w:rFonts w:ascii="Arial" w:hAnsi="Arial"/>
                <w:b/>
                <w:i w:val="false"/>
                <w:caps w:val="false"/>
                <w:smallCaps w:val="false"/>
                <w:sz w:val="20"/>
              </w:rPr>
            </w:pPr>
            <w:r>
              <w:rPr>
                <w:rFonts w:ascii="Arial" w:hAnsi="Arial"/>
                <w:b/>
                <w:i w:val="false"/>
                <w:caps w:val="false"/>
                <w:smallCaps w:val="false"/>
                <w:sz w:val="20"/>
              </w:rPr>
              <w:t>Male</w:t>
            </w:r>
          </w:p>
        </w:tc>
      </w:tr>
      <w:tr>
        <w:trPr/>
        <w:tc>
          <w:tcPr>
            <w:tcW w:w="3125" w:type="dxa"/>
            <w:tcBorders>
              <w:left w:val="single" w:sz="8" w:space="0" w:color="00A1E0"/>
              <w:bottom w:val="single" w:sz="8" w:space="0" w:color="00A1E0"/>
            </w:tcBorders>
            <w:shd w:fill="auto" w:val="clear"/>
            <w:tcMar>
              <w:left w:w="80" w:type="dxa"/>
              <w:bottom w:w="80" w:type="dxa"/>
              <w:right w:w="0" w:type="dxa"/>
            </w:tcMar>
            <w:vAlign w:val="center"/>
          </w:tcPr>
          <w:p>
            <w:pPr>
              <w:pStyle w:val="TableContents"/>
              <w:spacing w:before="0" w:after="283"/>
              <w:jc w:val="left"/>
              <w:rPr>
                <w:rFonts w:ascii="Arial" w:hAnsi="Arial"/>
                <w:b/>
                <w:i w:val="false"/>
                <w:caps w:val="false"/>
                <w:smallCaps w:val="false"/>
                <w:sz w:val="20"/>
              </w:rPr>
            </w:pPr>
            <w:r>
              <w:rPr>
                <w:rFonts w:ascii="Arial" w:hAnsi="Arial"/>
                <w:b/>
                <w:i w:val="false"/>
                <w:caps w:val="false"/>
                <w:smallCaps w:val="false"/>
                <w:sz w:val="20"/>
              </w:rPr>
              <w:t>Part I: Gender Identity</w:t>
            </w:r>
          </w:p>
        </w:tc>
        <w:tc>
          <w:tcPr>
            <w:tcW w:w="1099" w:type="dxa"/>
            <w:tcBorders>
              <w:bottom w:val="single" w:sz="8" w:space="0" w:color="00A1E0"/>
            </w:tcBorders>
            <w:shd w:fill="auto" w:val="clear"/>
            <w:tcMar>
              <w:left w:w="0" w:type="dxa"/>
              <w:bottom w:w="80" w:type="dxa"/>
              <w:right w:w="0" w:type="dxa"/>
            </w:tcMar>
            <w:vAlign w:val="center"/>
          </w:tcPr>
          <w:p>
            <w:pPr>
              <w:pStyle w:val="TableContents"/>
              <w:spacing w:before="0" w:after="283"/>
              <w:rPr>
                <w:sz w:val="4"/>
                <w:szCs w:val="4"/>
              </w:rPr>
            </w:pPr>
            <w:r>
              <w:rPr>
                <w:sz w:val="4"/>
                <w:szCs w:val="4"/>
              </w:rPr>
            </w:r>
          </w:p>
        </w:tc>
        <w:tc>
          <w:tcPr>
            <w:tcW w:w="720" w:type="dxa"/>
            <w:tcBorders>
              <w:bottom w:val="single" w:sz="8" w:space="0" w:color="00A1E0"/>
            </w:tcBorders>
            <w:shd w:fill="auto" w:val="clear"/>
            <w:tcMar>
              <w:left w:w="0" w:type="dxa"/>
              <w:bottom w:w="80" w:type="dxa"/>
              <w:right w:w="0" w:type="dxa"/>
            </w:tcMar>
            <w:vAlign w:val="center"/>
          </w:tcPr>
          <w:p>
            <w:pPr>
              <w:pStyle w:val="TableContents"/>
              <w:spacing w:before="0" w:after="283"/>
              <w:rPr>
                <w:sz w:val="4"/>
                <w:szCs w:val="4"/>
              </w:rPr>
            </w:pPr>
            <w:r>
              <w:rPr>
                <w:sz w:val="4"/>
                <w:szCs w:val="4"/>
              </w:rPr>
            </w:r>
          </w:p>
        </w:tc>
        <w:tc>
          <w:tcPr>
            <w:tcW w:w="1099" w:type="dxa"/>
            <w:tcBorders>
              <w:bottom w:val="single" w:sz="8" w:space="0" w:color="00A1E0"/>
            </w:tcBorders>
            <w:shd w:fill="auto" w:val="clear"/>
            <w:tcMar>
              <w:left w:w="0" w:type="dxa"/>
              <w:bottom w:w="80" w:type="dxa"/>
              <w:right w:w="0" w:type="dxa"/>
            </w:tcMar>
            <w:vAlign w:val="center"/>
          </w:tcPr>
          <w:p>
            <w:pPr>
              <w:pStyle w:val="TableContents"/>
              <w:spacing w:before="0" w:after="283"/>
              <w:rPr>
                <w:sz w:val="4"/>
                <w:szCs w:val="4"/>
              </w:rPr>
            </w:pPr>
            <w:r>
              <w:rPr>
                <w:sz w:val="4"/>
                <w:szCs w:val="4"/>
              </w:rPr>
            </w:r>
          </w:p>
        </w:tc>
        <w:tc>
          <w:tcPr>
            <w:tcW w:w="720" w:type="dxa"/>
            <w:tcBorders>
              <w:bottom w:val="single" w:sz="8" w:space="0" w:color="00A1E0"/>
              <w:right w:val="single" w:sz="8" w:space="0" w:color="00A1E0"/>
            </w:tcBorders>
            <w:shd w:fill="auto" w:val="clear"/>
            <w:tcMar>
              <w:left w:w="0" w:type="dxa"/>
              <w:bottom w:w="80" w:type="dxa"/>
            </w:tcMar>
            <w:vAlign w:val="center"/>
          </w:tcPr>
          <w:p>
            <w:pPr>
              <w:pStyle w:val="TableContents"/>
              <w:spacing w:before="0" w:after="283"/>
              <w:rPr>
                <w:sz w:val="4"/>
                <w:szCs w:val="4"/>
              </w:rPr>
            </w:pPr>
            <w:r>
              <w:rPr>
                <w:sz w:val="4"/>
                <w:szCs w:val="4"/>
              </w:rPr>
            </w:r>
          </w:p>
        </w:tc>
      </w:tr>
      <w:tr>
        <w:trPr/>
        <w:tc>
          <w:tcPr>
            <w:tcW w:w="3125" w:type="dxa"/>
            <w:tcBorders>
              <w:left w:val="single" w:sz="8" w:space="0" w:color="00A1E0"/>
              <w:bottom w:val="single" w:sz="8" w:space="0" w:color="00A1E0"/>
              <w:right w:val="single" w:sz="8" w:space="0" w:color="00A1E0"/>
            </w:tcBorders>
            <w:shd w:fill="auto" w:val="clear"/>
            <w:tcMar>
              <w:left w:w="80" w:type="dxa"/>
              <w:bottom w:w="80" w:type="dxa"/>
            </w:tcMar>
            <w:vAlign w:val="center"/>
          </w:tcPr>
          <w:p>
            <w:pPr>
              <w:pStyle w:val="TableContents"/>
              <w:spacing w:before="0" w:after="283"/>
              <w:jc w:val="left"/>
              <w:rPr>
                <w:rFonts w:ascii="Arial" w:hAnsi="Arial"/>
                <w:sz w:val="20"/>
              </w:rPr>
            </w:pPr>
            <w:r>
              <w:rPr>
                <w:rFonts w:ascii="Arial" w:hAnsi="Arial"/>
                <w:sz w:val="20"/>
              </w:rPr>
              <w:t>Directors</w:t>
            </w:r>
          </w:p>
        </w:tc>
        <w:tc>
          <w:tcPr>
            <w:tcW w:w="1099" w:type="dxa"/>
            <w:tcBorders>
              <w:bottom w:val="single" w:sz="8" w:space="0" w:color="00A1E0"/>
              <w:right w:val="single" w:sz="8" w:space="0" w:color="00A1E0"/>
            </w:tcBorders>
            <w:shd w:fill="auto" w:val="clear"/>
            <w:tcMar>
              <w:left w:w="0" w:type="dxa"/>
              <w:bottom w:w="80" w:type="dxa"/>
            </w:tcMar>
            <w:vAlign w:val="center"/>
          </w:tcPr>
          <w:p>
            <w:pPr>
              <w:pStyle w:val="TableContents"/>
              <w:spacing w:before="0" w:after="283"/>
              <w:jc w:val="center"/>
              <w:rPr>
                <w:rFonts w:ascii="Arial" w:hAnsi="Arial"/>
                <w:sz w:val="20"/>
              </w:rPr>
            </w:pPr>
            <w:r>
              <w:rPr>
                <w:rFonts w:ascii="Arial" w:hAnsi="Arial"/>
                <w:sz w:val="20"/>
              </w:rPr>
              <w:t>3</w:t>
            </w:r>
          </w:p>
        </w:tc>
        <w:tc>
          <w:tcPr>
            <w:tcW w:w="720" w:type="dxa"/>
            <w:tcBorders>
              <w:bottom w:val="single" w:sz="8" w:space="0" w:color="00A1E0"/>
              <w:right w:val="single" w:sz="8" w:space="0" w:color="00A1E0"/>
            </w:tcBorders>
            <w:shd w:fill="auto" w:val="clear"/>
            <w:tcMar>
              <w:left w:w="0" w:type="dxa"/>
              <w:bottom w:w="80" w:type="dxa"/>
            </w:tcMar>
            <w:vAlign w:val="center"/>
          </w:tcPr>
          <w:p>
            <w:pPr>
              <w:pStyle w:val="TableContents"/>
              <w:spacing w:before="0" w:after="283"/>
              <w:jc w:val="center"/>
              <w:rPr>
                <w:rFonts w:ascii="Arial" w:hAnsi="Arial"/>
                <w:sz w:val="20"/>
              </w:rPr>
            </w:pPr>
            <w:r>
              <w:rPr>
                <w:rFonts w:ascii="Arial" w:hAnsi="Arial"/>
                <w:sz w:val="20"/>
              </w:rPr>
              <w:t>7</w:t>
            </w:r>
          </w:p>
        </w:tc>
        <w:tc>
          <w:tcPr>
            <w:tcW w:w="1099" w:type="dxa"/>
            <w:tcBorders>
              <w:bottom w:val="single" w:sz="8" w:space="0" w:color="00A1E0"/>
              <w:right w:val="single" w:sz="8" w:space="0" w:color="00A1E0"/>
            </w:tcBorders>
            <w:shd w:fill="auto" w:val="clear"/>
            <w:tcMar>
              <w:left w:w="0" w:type="dxa"/>
              <w:bottom w:w="80" w:type="dxa"/>
            </w:tcMar>
            <w:vAlign w:val="center"/>
          </w:tcPr>
          <w:p>
            <w:pPr>
              <w:pStyle w:val="TableContents"/>
              <w:spacing w:before="0" w:after="283"/>
              <w:jc w:val="center"/>
              <w:rPr>
                <w:rFonts w:ascii="Arial" w:hAnsi="Arial"/>
                <w:sz w:val="20"/>
              </w:rPr>
            </w:pPr>
            <w:r>
              <w:rPr>
                <w:rFonts w:ascii="Arial" w:hAnsi="Arial"/>
                <w:sz w:val="20"/>
              </w:rPr>
              <w:t>2</w:t>
            </w:r>
          </w:p>
        </w:tc>
        <w:tc>
          <w:tcPr>
            <w:tcW w:w="720" w:type="dxa"/>
            <w:tcBorders>
              <w:bottom w:val="single" w:sz="8" w:space="0" w:color="00A1E0"/>
              <w:right w:val="single" w:sz="8" w:space="0" w:color="00A1E0"/>
            </w:tcBorders>
            <w:shd w:fill="auto" w:val="clear"/>
            <w:tcMar>
              <w:left w:w="0" w:type="dxa"/>
              <w:bottom w:w="80" w:type="dxa"/>
            </w:tcMar>
            <w:vAlign w:val="center"/>
          </w:tcPr>
          <w:p>
            <w:pPr>
              <w:pStyle w:val="TableContents"/>
              <w:spacing w:before="0" w:after="283"/>
              <w:jc w:val="center"/>
              <w:rPr>
                <w:rFonts w:ascii="Arial" w:hAnsi="Arial"/>
                <w:sz w:val="20"/>
              </w:rPr>
            </w:pPr>
            <w:r>
              <w:rPr>
                <w:rFonts w:ascii="Arial" w:hAnsi="Arial"/>
                <w:sz w:val="20"/>
              </w:rPr>
              <w:t>8</w:t>
            </w:r>
          </w:p>
        </w:tc>
      </w:tr>
      <w:tr>
        <w:trPr/>
        <w:tc>
          <w:tcPr>
            <w:tcW w:w="3125" w:type="dxa"/>
            <w:tcBorders>
              <w:left w:val="single" w:sz="8" w:space="0" w:color="00A1E0"/>
              <w:bottom w:val="single" w:sz="8" w:space="0" w:color="00A1E0"/>
            </w:tcBorders>
            <w:shd w:fill="auto" w:val="clear"/>
            <w:tcMar>
              <w:left w:w="80" w:type="dxa"/>
              <w:bottom w:w="80" w:type="dxa"/>
              <w:right w:w="0" w:type="dxa"/>
            </w:tcMar>
            <w:vAlign w:val="center"/>
          </w:tcPr>
          <w:p>
            <w:pPr>
              <w:pStyle w:val="TableContents"/>
              <w:spacing w:before="0" w:after="283"/>
              <w:jc w:val="left"/>
              <w:rPr>
                <w:rFonts w:ascii="Arial" w:hAnsi="Arial"/>
                <w:b/>
                <w:i w:val="false"/>
                <w:caps w:val="false"/>
                <w:smallCaps w:val="false"/>
                <w:sz w:val="20"/>
              </w:rPr>
            </w:pPr>
            <w:r>
              <w:rPr>
                <w:rFonts w:ascii="Arial" w:hAnsi="Arial"/>
                <w:b/>
                <w:i w:val="false"/>
                <w:caps w:val="false"/>
                <w:smallCaps w:val="false"/>
                <w:sz w:val="20"/>
              </w:rPr>
              <w:t>Part II: Demographic Background</w:t>
            </w:r>
          </w:p>
        </w:tc>
        <w:tc>
          <w:tcPr>
            <w:tcW w:w="1099" w:type="dxa"/>
            <w:tcBorders>
              <w:bottom w:val="single" w:sz="8" w:space="0" w:color="00A1E0"/>
            </w:tcBorders>
            <w:shd w:fill="auto" w:val="clear"/>
            <w:tcMar>
              <w:left w:w="0" w:type="dxa"/>
              <w:bottom w:w="80" w:type="dxa"/>
              <w:right w:w="0" w:type="dxa"/>
            </w:tcMar>
            <w:vAlign w:val="center"/>
          </w:tcPr>
          <w:p>
            <w:pPr>
              <w:pStyle w:val="TableContents"/>
              <w:spacing w:before="0" w:after="283"/>
              <w:rPr>
                <w:sz w:val="4"/>
                <w:szCs w:val="4"/>
              </w:rPr>
            </w:pPr>
            <w:r>
              <w:rPr>
                <w:sz w:val="4"/>
                <w:szCs w:val="4"/>
              </w:rPr>
            </w:r>
          </w:p>
        </w:tc>
        <w:tc>
          <w:tcPr>
            <w:tcW w:w="720" w:type="dxa"/>
            <w:tcBorders>
              <w:bottom w:val="single" w:sz="8" w:space="0" w:color="00A1E0"/>
            </w:tcBorders>
            <w:shd w:fill="auto" w:val="clear"/>
            <w:tcMar>
              <w:left w:w="0" w:type="dxa"/>
              <w:bottom w:w="80" w:type="dxa"/>
              <w:right w:w="0" w:type="dxa"/>
            </w:tcMar>
            <w:vAlign w:val="center"/>
          </w:tcPr>
          <w:p>
            <w:pPr>
              <w:pStyle w:val="TableContents"/>
              <w:spacing w:before="0" w:after="283"/>
              <w:rPr>
                <w:sz w:val="4"/>
                <w:szCs w:val="4"/>
              </w:rPr>
            </w:pPr>
            <w:r>
              <w:rPr>
                <w:sz w:val="4"/>
                <w:szCs w:val="4"/>
              </w:rPr>
            </w:r>
          </w:p>
        </w:tc>
        <w:tc>
          <w:tcPr>
            <w:tcW w:w="1099" w:type="dxa"/>
            <w:tcBorders>
              <w:bottom w:val="single" w:sz="8" w:space="0" w:color="00A1E0"/>
            </w:tcBorders>
            <w:shd w:fill="auto" w:val="clear"/>
            <w:tcMar>
              <w:left w:w="0" w:type="dxa"/>
              <w:bottom w:w="80" w:type="dxa"/>
              <w:right w:w="0" w:type="dxa"/>
            </w:tcMar>
            <w:vAlign w:val="center"/>
          </w:tcPr>
          <w:p>
            <w:pPr>
              <w:pStyle w:val="TableContents"/>
              <w:spacing w:before="0" w:after="283"/>
              <w:rPr>
                <w:sz w:val="4"/>
                <w:szCs w:val="4"/>
              </w:rPr>
            </w:pPr>
            <w:r>
              <w:rPr>
                <w:sz w:val="4"/>
                <w:szCs w:val="4"/>
              </w:rPr>
            </w:r>
          </w:p>
        </w:tc>
        <w:tc>
          <w:tcPr>
            <w:tcW w:w="720" w:type="dxa"/>
            <w:tcBorders>
              <w:bottom w:val="single" w:sz="8" w:space="0" w:color="00A1E0"/>
              <w:right w:val="single" w:sz="8" w:space="0" w:color="00A1E0"/>
            </w:tcBorders>
            <w:shd w:fill="auto" w:val="clear"/>
            <w:tcMar>
              <w:left w:w="0" w:type="dxa"/>
              <w:bottom w:w="80" w:type="dxa"/>
            </w:tcMar>
            <w:vAlign w:val="center"/>
          </w:tcPr>
          <w:p>
            <w:pPr>
              <w:pStyle w:val="TableContents"/>
              <w:spacing w:before="0" w:after="283"/>
              <w:rPr>
                <w:sz w:val="4"/>
                <w:szCs w:val="4"/>
              </w:rPr>
            </w:pPr>
            <w:r>
              <w:rPr>
                <w:sz w:val="4"/>
                <w:szCs w:val="4"/>
              </w:rPr>
            </w:r>
          </w:p>
        </w:tc>
      </w:tr>
      <w:tr>
        <w:trPr/>
        <w:tc>
          <w:tcPr>
            <w:tcW w:w="3125" w:type="dxa"/>
            <w:tcBorders>
              <w:left w:val="single" w:sz="8" w:space="0" w:color="00A1E0"/>
              <w:bottom w:val="single" w:sz="8" w:space="0" w:color="00A1E0"/>
              <w:right w:val="single" w:sz="8" w:space="0" w:color="00A1E0"/>
            </w:tcBorders>
            <w:shd w:fill="auto" w:val="clear"/>
            <w:tcMar>
              <w:left w:w="80" w:type="dxa"/>
              <w:bottom w:w="80" w:type="dxa"/>
            </w:tcMar>
            <w:vAlign w:val="center"/>
          </w:tcPr>
          <w:p>
            <w:pPr>
              <w:pStyle w:val="TableContents"/>
              <w:spacing w:before="0" w:after="283"/>
              <w:jc w:val="left"/>
              <w:rPr>
                <w:rFonts w:ascii="Arial" w:hAnsi="Arial"/>
                <w:sz w:val="20"/>
              </w:rPr>
            </w:pPr>
            <w:r>
              <w:rPr>
                <w:rFonts w:ascii="Arial" w:hAnsi="Arial"/>
                <w:sz w:val="20"/>
              </w:rPr>
              <w:t>Black or African American</w:t>
            </w:r>
          </w:p>
        </w:tc>
        <w:tc>
          <w:tcPr>
            <w:tcW w:w="1099" w:type="dxa"/>
            <w:tcBorders>
              <w:bottom w:val="single" w:sz="8" w:space="0" w:color="00A1E0"/>
              <w:right w:val="single" w:sz="8" w:space="0" w:color="00A1E0"/>
            </w:tcBorders>
            <w:shd w:fill="auto" w:val="clear"/>
            <w:tcMar>
              <w:left w:w="0" w:type="dxa"/>
              <w:bottom w:w="80" w:type="dxa"/>
            </w:tcMar>
            <w:vAlign w:val="center"/>
          </w:tcPr>
          <w:p>
            <w:pPr>
              <w:pStyle w:val="TableContents"/>
              <w:spacing w:before="0" w:after="283"/>
              <w:jc w:val="center"/>
              <w:rPr/>
            </w:pPr>
            <w:r>
              <w:rPr/>
              <w:t>—</w:t>
            </w:r>
          </w:p>
        </w:tc>
        <w:tc>
          <w:tcPr>
            <w:tcW w:w="720" w:type="dxa"/>
            <w:tcBorders>
              <w:bottom w:val="single" w:sz="8" w:space="0" w:color="00A1E0"/>
              <w:right w:val="single" w:sz="8" w:space="0" w:color="00A1E0"/>
            </w:tcBorders>
            <w:shd w:fill="auto" w:val="clear"/>
            <w:tcMar>
              <w:left w:w="0" w:type="dxa"/>
              <w:bottom w:w="80" w:type="dxa"/>
            </w:tcMar>
            <w:vAlign w:val="center"/>
          </w:tcPr>
          <w:p>
            <w:pPr>
              <w:pStyle w:val="TableContents"/>
              <w:spacing w:before="0" w:after="283"/>
              <w:jc w:val="center"/>
              <w:rPr>
                <w:rFonts w:ascii="Arial" w:hAnsi="Arial"/>
                <w:sz w:val="20"/>
              </w:rPr>
            </w:pPr>
            <w:r>
              <w:rPr>
                <w:rFonts w:ascii="Arial" w:hAnsi="Arial"/>
                <w:sz w:val="20"/>
              </w:rPr>
              <w:t>1</w:t>
            </w:r>
          </w:p>
        </w:tc>
        <w:tc>
          <w:tcPr>
            <w:tcW w:w="1099" w:type="dxa"/>
            <w:tcBorders>
              <w:bottom w:val="single" w:sz="8" w:space="0" w:color="00A1E0"/>
              <w:right w:val="single" w:sz="8" w:space="0" w:color="00A1E0"/>
            </w:tcBorders>
            <w:shd w:fill="auto" w:val="clear"/>
            <w:tcMar>
              <w:left w:w="0" w:type="dxa"/>
              <w:bottom w:w="80" w:type="dxa"/>
            </w:tcMar>
            <w:vAlign w:val="center"/>
          </w:tcPr>
          <w:p>
            <w:pPr>
              <w:pStyle w:val="TableContents"/>
              <w:spacing w:before="0" w:after="283"/>
              <w:jc w:val="center"/>
              <w:rPr/>
            </w:pPr>
            <w:r>
              <w:rPr/>
              <w:t>—</w:t>
            </w:r>
          </w:p>
        </w:tc>
        <w:tc>
          <w:tcPr>
            <w:tcW w:w="720" w:type="dxa"/>
            <w:tcBorders>
              <w:bottom w:val="single" w:sz="8" w:space="0" w:color="00A1E0"/>
              <w:right w:val="single" w:sz="8" w:space="0" w:color="00A1E0"/>
            </w:tcBorders>
            <w:shd w:fill="auto" w:val="clear"/>
            <w:tcMar>
              <w:left w:w="0" w:type="dxa"/>
              <w:bottom w:w="80" w:type="dxa"/>
            </w:tcMar>
            <w:vAlign w:val="center"/>
          </w:tcPr>
          <w:p>
            <w:pPr>
              <w:pStyle w:val="TableContents"/>
              <w:spacing w:before="0" w:after="283"/>
              <w:jc w:val="center"/>
              <w:rPr>
                <w:rFonts w:ascii="Arial" w:hAnsi="Arial"/>
                <w:sz w:val="20"/>
              </w:rPr>
            </w:pPr>
            <w:r>
              <w:rPr>
                <w:rFonts w:ascii="Arial" w:hAnsi="Arial"/>
                <w:sz w:val="20"/>
              </w:rPr>
              <w:t>2</w:t>
            </w:r>
          </w:p>
        </w:tc>
      </w:tr>
      <w:tr>
        <w:trPr/>
        <w:tc>
          <w:tcPr>
            <w:tcW w:w="3125" w:type="dxa"/>
            <w:tcBorders>
              <w:left w:val="single" w:sz="8" w:space="0" w:color="00A1E0"/>
              <w:bottom w:val="single" w:sz="8" w:space="0" w:color="00A1E0"/>
              <w:right w:val="single" w:sz="8" w:space="0" w:color="00A1E0"/>
            </w:tcBorders>
            <w:shd w:fill="auto" w:val="clear"/>
            <w:tcMar>
              <w:left w:w="80" w:type="dxa"/>
              <w:bottom w:w="80" w:type="dxa"/>
            </w:tcMar>
            <w:vAlign w:val="center"/>
          </w:tcPr>
          <w:p>
            <w:pPr>
              <w:pStyle w:val="TableContents"/>
              <w:spacing w:before="0" w:after="283"/>
              <w:jc w:val="left"/>
              <w:rPr>
                <w:rFonts w:ascii="Arial" w:hAnsi="Arial"/>
                <w:sz w:val="20"/>
              </w:rPr>
            </w:pPr>
            <w:r>
              <w:rPr>
                <w:rFonts w:ascii="Arial" w:hAnsi="Arial"/>
                <w:sz w:val="20"/>
              </w:rPr>
              <w:t>Asian or Pacific Islander</w:t>
            </w:r>
          </w:p>
        </w:tc>
        <w:tc>
          <w:tcPr>
            <w:tcW w:w="1099" w:type="dxa"/>
            <w:tcBorders>
              <w:bottom w:val="single" w:sz="8" w:space="0" w:color="00A1E0"/>
              <w:right w:val="single" w:sz="8" w:space="0" w:color="00A1E0"/>
            </w:tcBorders>
            <w:shd w:fill="auto" w:val="clear"/>
            <w:tcMar>
              <w:left w:w="0" w:type="dxa"/>
              <w:bottom w:w="80" w:type="dxa"/>
            </w:tcMar>
            <w:vAlign w:val="center"/>
          </w:tcPr>
          <w:p>
            <w:pPr>
              <w:pStyle w:val="TableContents"/>
              <w:spacing w:before="0" w:after="283"/>
              <w:jc w:val="center"/>
              <w:rPr/>
            </w:pPr>
            <w:r>
              <w:rPr/>
              <w:t>—</w:t>
            </w:r>
          </w:p>
        </w:tc>
        <w:tc>
          <w:tcPr>
            <w:tcW w:w="720" w:type="dxa"/>
            <w:tcBorders>
              <w:bottom w:val="single" w:sz="8" w:space="0" w:color="00A1E0"/>
              <w:right w:val="single" w:sz="8" w:space="0" w:color="00A1E0"/>
            </w:tcBorders>
            <w:shd w:fill="auto" w:val="clear"/>
            <w:tcMar>
              <w:left w:w="0" w:type="dxa"/>
              <w:bottom w:w="80" w:type="dxa"/>
            </w:tcMar>
            <w:vAlign w:val="center"/>
          </w:tcPr>
          <w:p>
            <w:pPr>
              <w:pStyle w:val="TableContents"/>
              <w:spacing w:before="0" w:after="283"/>
              <w:jc w:val="center"/>
              <w:rPr>
                <w:rFonts w:ascii="Arial" w:hAnsi="Arial"/>
                <w:sz w:val="20"/>
              </w:rPr>
            </w:pPr>
            <w:r>
              <w:rPr>
                <w:rFonts w:ascii="Arial" w:hAnsi="Arial"/>
                <w:sz w:val="20"/>
              </w:rPr>
              <w:t>1</w:t>
            </w:r>
          </w:p>
        </w:tc>
        <w:tc>
          <w:tcPr>
            <w:tcW w:w="1099" w:type="dxa"/>
            <w:tcBorders>
              <w:bottom w:val="single" w:sz="8" w:space="0" w:color="00A1E0"/>
              <w:right w:val="single" w:sz="8" w:space="0" w:color="00A1E0"/>
            </w:tcBorders>
            <w:shd w:fill="auto" w:val="clear"/>
            <w:tcMar>
              <w:left w:w="0" w:type="dxa"/>
              <w:bottom w:w="80" w:type="dxa"/>
            </w:tcMar>
            <w:vAlign w:val="center"/>
          </w:tcPr>
          <w:p>
            <w:pPr>
              <w:pStyle w:val="TableContents"/>
              <w:spacing w:before="0" w:after="283"/>
              <w:jc w:val="center"/>
              <w:rPr/>
            </w:pPr>
            <w:r>
              <w:rPr/>
              <w:t>—</w:t>
            </w:r>
          </w:p>
        </w:tc>
        <w:tc>
          <w:tcPr>
            <w:tcW w:w="720" w:type="dxa"/>
            <w:tcBorders>
              <w:bottom w:val="single" w:sz="8" w:space="0" w:color="00A1E0"/>
              <w:right w:val="single" w:sz="8" w:space="0" w:color="00A1E0"/>
            </w:tcBorders>
            <w:shd w:fill="auto" w:val="clear"/>
            <w:tcMar>
              <w:left w:w="0" w:type="dxa"/>
              <w:bottom w:w="80" w:type="dxa"/>
            </w:tcMar>
            <w:vAlign w:val="center"/>
          </w:tcPr>
          <w:p>
            <w:pPr>
              <w:pStyle w:val="TableContents"/>
              <w:spacing w:before="0" w:after="283"/>
              <w:jc w:val="center"/>
              <w:rPr>
                <w:rFonts w:ascii="Arial" w:hAnsi="Arial"/>
                <w:sz w:val="20"/>
              </w:rPr>
            </w:pPr>
            <w:r>
              <w:rPr>
                <w:rFonts w:ascii="Arial" w:hAnsi="Arial"/>
                <w:sz w:val="20"/>
              </w:rPr>
              <w:t>1</w:t>
            </w:r>
          </w:p>
        </w:tc>
      </w:tr>
      <w:tr>
        <w:trPr/>
        <w:tc>
          <w:tcPr>
            <w:tcW w:w="3125" w:type="dxa"/>
            <w:tcBorders>
              <w:left w:val="single" w:sz="8" w:space="0" w:color="00A1E0"/>
              <w:bottom w:val="single" w:sz="8" w:space="0" w:color="00A1E0"/>
              <w:right w:val="single" w:sz="8" w:space="0" w:color="00A1E0"/>
            </w:tcBorders>
            <w:shd w:fill="auto" w:val="clear"/>
            <w:tcMar>
              <w:left w:w="80" w:type="dxa"/>
              <w:bottom w:w="80" w:type="dxa"/>
            </w:tcMar>
            <w:vAlign w:val="center"/>
          </w:tcPr>
          <w:p>
            <w:pPr>
              <w:pStyle w:val="TableContents"/>
              <w:spacing w:before="0" w:after="283"/>
              <w:jc w:val="left"/>
              <w:rPr>
                <w:rFonts w:ascii="Arial" w:hAnsi="Arial"/>
                <w:sz w:val="20"/>
              </w:rPr>
            </w:pPr>
            <w:r>
              <w:rPr>
                <w:rFonts w:ascii="Arial" w:hAnsi="Arial"/>
                <w:sz w:val="20"/>
              </w:rPr>
              <w:t>Hispanic/Latino/a/e</w:t>
            </w:r>
          </w:p>
        </w:tc>
        <w:tc>
          <w:tcPr>
            <w:tcW w:w="1099" w:type="dxa"/>
            <w:tcBorders>
              <w:bottom w:val="single" w:sz="8" w:space="0" w:color="00A1E0"/>
              <w:right w:val="single" w:sz="8" w:space="0" w:color="00A1E0"/>
            </w:tcBorders>
            <w:shd w:fill="auto" w:val="clear"/>
            <w:tcMar>
              <w:left w:w="0" w:type="dxa"/>
              <w:bottom w:w="80" w:type="dxa"/>
            </w:tcMar>
            <w:vAlign w:val="center"/>
          </w:tcPr>
          <w:p>
            <w:pPr>
              <w:pStyle w:val="TableContents"/>
              <w:spacing w:before="0" w:after="283"/>
              <w:jc w:val="center"/>
              <w:rPr>
                <w:rFonts w:ascii="Arial" w:hAnsi="Arial"/>
                <w:sz w:val="20"/>
              </w:rPr>
            </w:pPr>
            <w:r>
              <w:rPr>
                <w:rFonts w:ascii="Arial" w:hAnsi="Arial"/>
                <w:sz w:val="20"/>
              </w:rPr>
              <w:t>1</w:t>
            </w:r>
          </w:p>
        </w:tc>
        <w:tc>
          <w:tcPr>
            <w:tcW w:w="720" w:type="dxa"/>
            <w:tcBorders>
              <w:bottom w:val="single" w:sz="8" w:space="0" w:color="00A1E0"/>
              <w:right w:val="single" w:sz="8" w:space="0" w:color="00A1E0"/>
            </w:tcBorders>
            <w:shd w:fill="auto" w:val="clear"/>
            <w:tcMar>
              <w:left w:w="0" w:type="dxa"/>
              <w:bottom w:w="80" w:type="dxa"/>
            </w:tcMar>
            <w:vAlign w:val="center"/>
          </w:tcPr>
          <w:p>
            <w:pPr>
              <w:pStyle w:val="TableContents"/>
              <w:spacing w:before="0" w:after="283"/>
              <w:jc w:val="center"/>
              <w:rPr/>
            </w:pPr>
            <w:r>
              <w:rPr/>
              <w:t>—</w:t>
            </w:r>
          </w:p>
        </w:tc>
        <w:tc>
          <w:tcPr>
            <w:tcW w:w="1099" w:type="dxa"/>
            <w:tcBorders>
              <w:bottom w:val="single" w:sz="8" w:space="0" w:color="00A1E0"/>
              <w:right w:val="single" w:sz="8" w:space="0" w:color="00A1E0"/>
            </w:tcBorders>
            <w:shd w:fill="auto" w:val="clear"/>
            <w:tcMar>
              <w:left w:w="0" w:type="dxa"/>
              <w:bottom w:w="80" w:type="dxa"/>
            </w:tcMar>
            <w:vAlign w:val="center"/>
          </w:tcPr>
          <w:p>
            <w:pPr>
              <w:pStyle w:val="TableContents"/>
              <w:spacing w:before="0" w:after="283"/>
              <w:jc w:val="center"/>
              <w:rPr>
                <w:rFonts w:ascii="Arial" w:hAnsi="Arial"/>
                <w:sz w:val="20"/>
              </w:rPr>
            </w:pPr>
            <w:r>
              <w:rPr>
                <w:rFonts w:ascii="Arial" w:hAnsi="Arial"/>
                <w:sz w:val="20"/>
              </w:rPr>
              <w:t>1</w:t>
            </w:r>
          </w:p>
        </w:tc>
        <w:tc>
          <w:tcPr>
            <w:tcW w:w="720" w:type="dxa"/>
            <w:tcBorders>
              <w:bottom w:val="single" w:sz="8" w:space="0" w:color="00A1E0"/>
              <w:right w:val="single" w:sz="8" w:space="0" w:color="00A1E0"/>
            </w:tcBorders>
            <w:shd w:fill="auto" w:val="clear"/>
            <w:tcMar>
              <w:left w:w="0" w:type="dxa"/>
              <w:bottom w:w="80" w:type="dxa"/>
            </w:tcMar>
            <w:vAlign w:val="center"/>
          </w:tcPr>
          <w:p>
            <w:pPr>
              <w:pStyle w:val="TableContents"/>
              <w:spacing w:before="0" w:after="283"/>
              <w:jc w:val="center"/>
              <w:rPr/>
            </w:pPr>
            <w:r>
              <w:rPr/>
              <w:t>—</w:t>
            </w:r>
          </w:p>
        </w:tc>
      </w:tr>
      <w:tr>
        <w:trPr/>
        <w:tc>
          <w:tcPr>
            <w:tcW w:w="3125" w:type="dxa"/>
            <w:tcBorders>
              <w:left w:val="single" w:sz="8" w:space="0" w:color="00A1E0"/>
              <w:bottom w:val="single" w:sz="8" w:space="0" w:color="00A1E0"/>
              <w:right w:val="single" w:sz="8" w:space="0" w:color="00A1E0"/>
            </w:tcBorders>
            <w:shd w:fill="auto" w:val="clear"/>
            <w:tcMar>
              <w:left w:w="80" w:type="dxa"/>
              <w:bottom w:w="80" w:type="dxa"/>
            </w:tcMar>
            <w:vAlign w:val="center"/>
          </w:tcPr>
          <w:p>
            <w:pPr>
              <w:pStyle w:val="TableContents"/>
              <w:spacing w:before="0" w:after="283"/>
              <w:jc w:val="left"/>
              <w:rPr>
                <w:rFonts w:ascii="Arial" w:hAnsi="Arial"/>
                <w:sz w:val="20"/>
              </w:rPr>
            </w:pPr>
            <w:r>
              <w:rPr>
                <w:rFonts w:ascii="Arial" w:hAnsi="Arial"/>
                <w:sz w:val="20"/>
              </w:rPr>
              <w:t>White</w:t>
            </w:r>
          </w:p>
        </w:tc>
        <w:tc>
          <w:tcPr>
            <w:tcW w:w="1099" w:type="dxa"/>
            <w:tcBorders>
              <w:bottom w:val="single" w:sz="8" w:space="0" w:color="00A1E0"/>
              <w:right w:val="single" w:sz="8" w:space="0" w:color="00A1E0"/>
            </w:tcBorders>
            <w:shd w:fill="auto" w:val="clear"/>
            <w:tcMar>
              <w:left w:w="0" w:type="dxa"/>
              <w:bottom w:w="80" w:type="dxa"/>
            </w:tcMar>
            <w:vAlign w:val="center"/>
          </w:tcPr>
          <w:p>
            <w:pPr>
              <w:pStyle w:val="TableContents"/>
              <w:spacing w:before="0" w:after="283"/>
              <w:jc w:val="center"/>
              <w:rPr>
                <w:rFonts w:ascii="Arial" w:hAnsi="Arial"/>
                <w:sz w:val="20"/>
              </w:rPr>
            </w:pPr>
            <w:r>
              <w:rPr>
                <w:rFonts w:ascii="Arial" w:hAnsi="Arial"/>
                <w:sz w:val="20"/>
              </w:rPr>
              <w:t>2</w:t>
            </w:r>
          </w:p>
        </w:tc>
        <w:tc>
          <w:tcPr>
            <w:tcW w:w="720" w:type="dxa"/>
            <w:tcBorders>
              <w:bottom w:val="single" w:sz="8" w:space="0" w:color="00A1E0"/>
              <w:right w:val="single" w:sz="8" w:space="0" w:color="00A1E0"/>
            </w:tcBorders>
            <w:shd w:fill="auto" w:val="clear"/>
            <w:tcMar>
              <w:left w:w="0" w:type="dxa"/>
              <w:bottom w:w="80" w:type="dxa"/>
            </w:tcMar>
            <w:vAlign w:val="center"/>
          </w:tcPr>
          <w:p>
            <w:pPr>
              <w:pStyle w:val="TableContents"/>
              <w:spacing w:before="0" w:after="283"/>
              <w:jc w:val="center"/>
              <w:rPr>
                <w:rFonts w:ascii="Arial" w:hAnsi="Arial"/>
                <w:sz w:val="20"/>
              </w:rPr>
            </w:pPr>
            <w:r>
              <w:rPr>
                <w:rFonts w:ascii="Arial" w:hAnsi="Arial"/>
                <w:sz w:val="20"/>
              </w:rPr>
              <w:t>5</w:t>
            </w:r>
          </w:p>
        </w:tc>
        <w:tc>
          <w:tcPr>
            <w:tcW w:w="1099" w:type="dxa"/>
            <w:tcBorders>
              <w:bottom w:val="single" w:sz="8" w:space="0" w:color="00A1E0"/>
              <w:right w:val="single" w:sz="8" w:space="0" w:color="00A1E0"/>
            </w:tcBorders>
            <w:shd w:fill="auto" w:val="clear"/>
            <w:tcMar>
              <w:left w:w="0" w:type="dxa"/>
              <w:bottom w:w="80" w:type="dxa"/>
            </w:tcMar>
            <w:vAlign w:val="center"/>
          </w:tcPr>
          <w:p>
            <w:pPr>
              <w:pStyle w:val="TableContents"/>
              <w:spacing w:before="0" w:after="283"/>
              <w:jc w:val="center"/>
              <w:rPr>
                <w:rFonts w:ascii="Arial" w:hAnsi="Arial"/>
                <w:sz w:val="20"/>
              </w:rPr>
            </w:pPr>
            <w:r>
              <w:rPr>
                <w:rFonts w:ascii="Arial" w:hAnsi="Arial"/>
                <w:sz w:val="20"/>
              </w:rPr>
              <w:t>1</w:t>
            </w:r>
          </w:p>
        </w:tc>
        <w:tc>
          <w:tcPr>
            <w:tcW w:w="720" w:type="dxa"/>
            <w:tcBorders>
              <w:bottom w:val="single" w:sz="8" w:space="0" w:color="00A1E0"/>
              <w:right w:val="single" w:sz="8" w:space="0" w:color="00A1E0"/>
            </w:tcBorders>
            <w:shd w:fill="auto" w:val="clear"/>
            <w:tcMar>
              <w:left w:w="0" w:type="dxa"/>
              <w:bottom w:w="80" w:type="dxa"/>
            </w:tcMar>
            <w:vAlign w:val="center"/>
          </w:tcPr>
          <w:p>
            <w:pPr>
              <w:pStyle w:val="TableContents"/>
              <w:spacing w:before="0" w:after="283"/>
              <w:jc w:val="center"/>
              <w:rPr>
                <w:rFonts w:ascii="Arial" w:hAnsi="Arial"/>
                <w:sz w:val="20"/>
              </w:rPr>
            </w:pPr>
            <w:r>
              <w:rPr>
                <w:rFonts w:ascii="Arial" w:hAnsi="Arial"/>
                <w:sz w:val="20"/>
              </w:rPr>
              <w:t>5</w:t>
            </w:r>
          </w:p>
        </w:tc>
      </w:tr>
    </w:tbl>
    <w:p>
      <w:pPr>
        <w:pStyle w:val="TextBody"/>
        <w:spacing w:before="0" w:after="0"/>
        <w:rPr/>
      </w:pPr>
      <w:r>
        <w:rPr/>
      </w:r>
    </w:p>
    <w:tbl>
      <w:tblPr>
        <w:tblW w:w="2260" w:type="dxa"/>
        <w:jc w:val="left"/>
        <w:tblInd w:w="0" w:type="dxa"/>
        <w:tblCellMar>
          <w:top w:w="0" w:type="dxa"/>
          <w:left w:w="0" w:type="dxa"/>
          <w:bottom w:w="0" w:type="dxa"/>
          <w:right w:w="0" w:type="dxa"/>
        </w:tblCellMar>
      </w:tblPr>
      <w:tblGrid>
        <w:gridCol w:w="1580"/>
        <w:gridCol w:w="680"/>
      </w:tblGrid>
      <w:tr>
        <w:trPr/>
        <w:tc>
          <w:tcPr>
            <w:tcW w:w="1580" w:type="dxa"/>
            <w:tcBorders/>
            <w:shd w:fill="auto" w:val="clear"/>
            <w:vAlign w:val="center"/>
          </w:tcPr>
          <w:p>
            <w:pPr>
              <w:pStyle w:val="TableContents"/>
              <w:spacing w:before="0" w:after="283"/>
              <w:jc w:val="right"/>
              <w:rPr>
                <w:rFonts w:ascii="Arial" w:hAnsi="Arial"/>
                <w:sz w:val="15"/>
              </w:rPr>
            </w:pPr>
            <w:r>
              <w:rPr>
                <w:rFonts w:ascii="Arial" w:hAnsi="Arial"/>
                <w:sz w:val="15"/>
              </w:rPr>
              <w:t>2023 Proxy Statement</w:t>
            </w:r>
          </w:p>
        </w:tc>
        <w:tc>
          <w:tcPr>
            <w:tcW w:w="680" w:type="dxa"/>
            <w:tcBorders/>
            <w:shd w:fill="auto" w:val="clear"/>
            <w:vAlign w:val="center"/>
          </w:tcPr>
          <w:p>
            <w:pPr>
              <w:pStyle w:val="TableContents"/>
              <w:spacing w:before="0" w:after="283"/>
              <w:jc w:val="right"/>
              <w:rPr/>
            </w:pPr>
            <w:r>
              <w:rPr/>
              <w:t>       </w:t>
            </w:r>
            <w:r>
              <w:rPr>
                <w:rFonts w:ascii="Arial" w:hAnsi="Arial"/>
                <w:b/>
                <w:sz w:val="15"/>
              </w:rPr>
              <w:t>B-1</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p>
      <w:pPr>
        <w:pStyle w:val="TextBody"/>
        <w:jc w:val="left"/>
        <w:rPr>
          <w:rFonts w:ascii="Arial" w:hAnsi="Arial"/>
          <w:b/>
          <w:sz w:val="36"/>
        </w:rPr>
      </w:pPr>
      <w:bookmarkStart w:id="106" w:name="appendixc"/>
      <w:bookmarkEnd w:id="106"/>
      <w:r>
        <w:rPr>
          <w:rFonts w:ascii="Arial" w:hAnsi="Arial"/>
          <w:b/>
          <w:sz w:val="36"/>
        </w:rPr>
        <w:t>Appendix C: Comcast Corporation 2023 Omnibus Equity Incentive Plan</w:t>
      </w:r>
    </w:p>
    <w:tbl>
      <w:tblPr>
        <w:tblW w:w="10205" w:type="dxa"/>
        <w:jc w:val="left"/>
        <w:tblInd w:w="0" w:type="dxa"/>
        <w:tblCellMar>
          <w:top w:w="0" w:type="dxa"/>
          <w:left w:w="0" w:type="dxa"/>
          <w:bottom w:w="0" w:type="dxa"/>
          <w:right w:w="0" w:type="dxa"/>
        </w:tblCellMar>
      </w:tblPr>
      <w:tblGrid>
        <w:gridCol w:w="480"/>
        <w:gridCol w:w="480"/>
        <w:gridCol w:w="480"/>
        <w:gridCol w:w="480"/>
        <w:gridCol w:w="8285"/>
      </w:tblGrid>
      <w:tr>
        <w:trPr/>
        <w:tc>
          <w:tcPr>
            <w:tcW w:w="480" w:type="dxa"/>
            <w:tcBorders/>
            <w:shd w:fill="auto" w:val="clear"/>
            <w:vAlign w:val="center"/>
          </w:tcPr>
          <w:p>
            <w:pPr>
              <w:pStyle w:val="TableContents"/>
              <w:spacing w:before="0" w:after="283"/>
              <w:jc w:val="left"/>
              <w:rPr/>
            </w:pPr>
            <w:r>
              <w:rPr>
                <w:rStyle w:val="StrongEmphasis"/>
                <w:rFonts w:ascii="Arial" w:hAnsi="Arial"/>
                <w:sz w:val="20"/>
              </w:rPr>
              <w:t>1.</w:t>
            </w:r>
          </w:p>
        </w:tc>
        <w:tc>
          <w:tcPr>
            <w:tcW w:w="9725" w:type="dxa"/>
            <w:gridSpan w:val="4"/>
            <w:tcBorders/>
            <w:shd w:fill="auto" w:val="clear"/>
            <w:vAlign w:val="center"/>
          </w:tcPr>
          <w:p>
            <w:pPr>
              <w:pStyle w:val="TableContents"/>
              <w:spacing w:before="0" w:after="283"/>
              <w:jc w:val="left"/>
              <w:rPr/>
            </w:pPr>
            <w:r>
              <w:rPr>
                <w:rStyle w:val="StrongEmphasis"/>
                <w:rFonts w:ascii="Arial" w:hAnsi="Arial"/>
                <w:sz w:val="20"/>
                <w:u w:val="single"/>
              </w:rPr>
              <w:t>BACKGROUND AND PURPOSE</w:t>
            </w:r>
            <w:r>
              <w:rPr>
                <w:rStyle w:val="StrongEmphasis"/>
                <w:rFonts w:ascii="Arial" w:hAnsi="Arial"/>
                <w:sz w:val="20"/>
              </w:rPr>
              <w:t>.</w:t>
            </w:r>
          </w:p>
        </w:tc>
      </w:tr>
      <w:tr>
        <w:trPr/>
        <w:tc>
          <w:tcPr>
            <w:tcW w:w="480" w:type="dxa"/>
            <w:tcBorders/>
            <w:shd w:fill="auto" w:val="clear"/>
            <w:vAlign w:val="center"/>
          </w:tcPr>
          <w:p>
            <w:pPr>
              <w:pStyle w:val="TableContents"/>
              <w:spacing w:before="0" w:after="283"/>
              <w:jc w:val="left"/>
              <w:rPr/>
            </w:pPr>
            <w:r>
              <w:rPr/>
              <w:t>        </w:t>
            </w:r>
          </w:p>
        </w:tc>
        <w:tc>
          <w:tcPr>
            <w:tcW w:w="480" w:type="dxa"/>
            <w:tcBorders/>
            <w:shd w:fill="auto" w:val="clear"/>
            <w:vAlign w:val="center"/>
          </w:tcPr>
          <w:p>
            <w:pPr>
              <w:pStyle w:val="TableContents"/>
              <w:spacing w:before="0" w:after="283"/>
              <w:jc w:val="left"/>
              <w:rPr/>
            </w:pPr>
            <w:r>
              <w:rPr/>
              <w:t>        </w:t>
            </w:r>
          </w:p>
        </w:tc>
        <w:tc>
          <w:tcPr>
            <w:tcW w:w="480" w:type="dxa"/>
            <w:tcBorders/>
            <w:shd w:fill="auto" w:val="clear"/>
            <w:vAlign w:val="center"/>
          </w:tcPr>
          <w:p>
            <w:pPr>
              <w:pStyle w:val="TableContents"/>
              <w:spacing w:before="0" w:after="283"/>
              <w:jc w:val="left"/>
              <w:rPr/>
            </w:pPr>
            <w:r>
              <w:rPr/>
              <w:t>        </w:t>
            </w:r>
          </w:p>
        </w:tc>
        <w:tc>
          <w:tcPr>
            <w:tcW w:w="480" w:type="dxa"/>
            <w:tcBorders/>
            <w:shd w:fill="auto" w:val="clear"/>
            <w:vAlign w:val="center"/>
          </w:tcPr>
          <w:p>
            <w:pPr>
              <w:pStyle w:val="TableContents"/>
              <w:spacing w:before="0" w:after="283"/>
              <w:jc w:val="left"/>
              <w:rPr/>
            </w:pPr>
            <w:r>
              <w:rPr/>
              <w:t>        </w:t>
            </w:r>
          </w:p>
        </w:tc>
        <w:tc>
          <w:tcPr>
            <w:tcW w:w="8285" w:type="dxa"/>
            <w:tcBorders/>
            <w:shd w:fill="auto" w:val="clear"/>
            <w:vAlign w:val="center"/>
          </w:tcPr>
          <w:p>
            <w:pPr>
              <w:pStyle w:val="TableContents"/>
              <w:spacing w:before="0" w:after="283"/>
              <w:jc w:val="left"/>
              <w:rPr/>
            </w:pPr>
            <w:r>
              <w:rPr/>
              <w:t> </w:t>
            </w:r>
          </w:p>
        </w:tc>
      </w:tr>
      <w:tr>
        <w:trPr/>
        <w:tc>
          <w:tcPr>
            <w:tcW w:w="480" w:type="dxa"/>
            <w:tcBorders/>
            <w:shd w:fill="auto" w:val="clear"/>
            <w:vAlign w:val="center"/>
          </w:tcPr>
          <w:p>
            <w:pPr>
              <w:pStyle w:val="TableContents"/>
              <w:spacing w:before="0" w:after="283"/>
              <w:jc w:val="left"/>
              <w:rPr/>
            </w:pPr>
            <w:r>
              <w:rPr/>
              <w:t>        </w:t>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(a)</w:t>
            </w:r>
          </w:p>
        </w:tc>
        <w:tc>
          <w:tcPr>
            <w:tcW w:w="9245" w:type="dxa"/>
            <w:gridSpan w:val="3"/>
            <w:tcBorders/>
            <w:shd w:fill="auto" w:val="clear"/>
            <w:vAlign w:val="center"/>
          </w:tcPr>
          <w:p>
            <w:pPr>
              <w:pStyle w:val="TableContents"/>
              <w:spacing w:before="0" w:after="283"/>
              <w:jc w:val="left"/>
              <w:rPr/>
            </w:pPr>
            <w:r>
              <w:rPr>
                <w:rFonts w:ascii="Arial" w:hAnsi="Arial"/>
                <w:sz w:val="20"/>
                <w:u w:val="single"/>
              </w:rPr>
              <w:t>Background</w:t>
            </w:r>
            <w:r>
              <w:rPr>
                <w:rFonts w:ascii="Arial" w:hAnsi="Arial"/>
                <w:sz w:val="20"/>
              </w:rPr>
              <w:t>. COMCAST CORPORATION, a Pennsylvania corporation, hereby establishes this Comcast Corporation 2023 Omnibus Equity Incentive Plan (the “</w:t>
            </w:r>
            <w:r>
              <w:rPr>
                <w:rFonts w:ascii="Arial" w:hAnsi="Arial"/>
                <w:sz w:val="20"/>
                <w:u w:val="single"/>
              </w:rPr>
              <w:t>Plan</w:t>
            </w:r>
            <w:r>
              <w:rPr>
                <w:rFonts w:ascii="Arial" w:hAnsi="Arial"/>
                <w:sz w:val="20"/>
              </w:rPr>
              <w:t>”). The Plan shall, effective as of the Effective Date, supersede and replace (i) the Comcast Corporation 2002 Restricted Stock Plan (the “</w:t>
            </w:r>
            <w:r>
              <w:rPr>
                <w:rFonts w:ascii="Arial" w:hAnsi="Arial"/>
                <w:sz w:val="20"/>
                <w:u w:val="single"/>
              </w:rPr>
              <w:t>RS Plan</w:t>
            </w:r>
            <w:r>
              <w:rPr>
                <w:rFonts w:ascii="Arial" w:hAnsi="Arial"/>
                <w:sz w:val="20"/>
              </w:rPr>
              <w:t>”) and (ii) the Comcast Corporation 2003 Stock Option Plan (the “</w:t>
            </w:r>
            <w:r>
              <w:rPr>
                <w:rFonts w:ascii="Arial" w:hAnsi="Arial"/>
                <w:sz w:val="20"/>
                <w:u w:val="single"/>
              </w:rPr>
              <w:t>Stock Option Plan</w:t>
            </w:r>
            <w:r>
              <w:rPr>
                <w:rFonts w:ascii="Arial" w:hAnsi="Arial"/>
                <w:sz w:val="20"/>
              </w:rPr>
              <w:t>”), and shall apply to Awards granted on and after the Effective Date.</w:t>
            </w:r>
          </w:p>
        </w:tc>
      </w:tr>
      <w:tr>
        <w:trPr/>
        <w:tc>
          <w:tcPr>
            <w:tcW w:w="480" w:type="dxa"/>
            <w:tcBorders/>
            <w:shd w:fill="auto" w:val="clear"/>
            <w:vAlign w:val="center"/>
          </w:tcPr>
          <w:p>
            <w:pPr>
              <w:pStyle w:val="TableContents"/>
              <w:spacing w:before="0" w:after="283"/>
              <w:jc w:val="left"/>
              <w:rPr/>
            </w:pPr>
            <w:r>
              <w:rPr/>
              <w:t> </w:t>
            </w:r>
          </w:p>
        </w:tc>
        <w:tc>
          <w:tcPr>
            <w:tcW w:w="480" w:type="dxa"/>
            <w:tcBorders/>
            <w:shd w:fill="auto" w:val="clear"/>
            <w:vAlign w:val="center"/>
          </w:tcPr>
          <w:p>
            <w:pPr>
              <w:pStyle w:val="TableContents"/>
              <w:spacing w:before="0" w:after="283"/>
              <w:jc w:val="left"/>
              <w:rPr/>
            </w:pPr>
            <w:r>
              <w:rPr/>
              <w:t> </w:t>
            </w:r>
          </w:p>
        </w:tc>
        <w:tc>
          <w:tcPr>
            <w:tcW w:w="9245" w:type="dxa"/>
            <w:gridSpan w:val="3"/>
            <w:tcBorders/>
            <w:shd w:fill="auto" w:val="clear"/>
            <w:vAlign w:val="center"/>
          </w:tcPr>
          <w:p>
            <w:pPr>
              <w:pStyle w:val="TableContents"/>
              <w:spacing w:before="0" w:after="283"/>
              <w:jc w:val="left"/>
              <w:rPr/>
            </w:pPr>
            <w:r>
              <w:rPr/>
              <w:t> </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(b)</w:t>
            </w:r>
          </w:p>
        </w:tc>
        <w:tc>
          <w:tcPr>
            <w:tcW w:w="9245" w:type="dxa"/>
            <w:gridSpan w:val="3"/>
            <w:tcBorders/>
            <w:shd w:fill="auto" w:val="clear"/>
            <w:vAlign w:val="center"/>
          </w:tcPr>
          <w:p>
            <w:pPr>
              <w:pStyle w:val="TableContents"/>
              <w:spacing w:before="0" w:after="283"/>
              <w:jc w:val="left"/>
              <w:rPr/>
            </w:pPr>
            <w:r>
              <w:rPr>
                <w:rFonts w:ascii="Arial" w:hAnsi="Arial"/>
                <w:sz w:val="20"/>
                <w:u w:val="single"/>
              </w:rPr>
              <w:t>Purpose</w:t>
            </w:r>
            <w:r>
              <w:rPr>
                <w:rFonts w:ascii="Arial" w:hAnsi="Arial"/>
                <w:sz w:val="20"/>
              </w:rPr>
              <w:t>. The purpose of the Plan is to promote the ability of the Company to recruit and retain employees and other eligible service providers and enhance the growth and profitability of the Company by providing the incentive of long-term awards for continued employment or other service and the attainment of performance objectives.</w:t>
            </w:r>
          </w:p>
        </w:tc>
      </w:tr>
      <w:tr>
        <w:trPr/>
        <w:tc>
          <w:tcPr>
            <w:tcW w:w="480" w:type="dxa"/>
            <w:tcBorders/>
            <w:shd w:fill="auto" w:val="clear"/>
            <w:vAlign w:val="center"/>
          </w:tcPr>
          <w:p>
            <w:pPr>
              <w:pStyle w:val="TableContents"/>
              <w:spacing w:before="0" w:after="283"/>
              <w:jc w:val="left"/>
              <w:rPr/>
            </w:pPr>
            <w:r>
              <w:rPr/>
              <w:t> </w:t>
            </w:r>
          </w:p>
        </w:tc>
        <w:tc>
          <w:tcPr>
            <w:tcW w:w="480" w:type="dxa"/>
            <w:tcBorders/>
            <w:shd w:fill="auto" w:val="clear"/>
            <w:vAlign w:val="center"/>
          </w:tcPr>
          <w:p>
            <w:pPr>
              <w:pStyle w:val="TableContents"/>
              <w:spacing w:before="0" w:after="283"/>
              <w:jc w:val="left"/>
              <w:rPr/>
            </w:pPr>
            <w:r>
              <w:rPr/>
              <w:t> </w:t>
            </w:r>
          </w:p>
        </w:tc>
        <w:tc>
          <w:tcPr>
            <w:tcW w:w="9245" w:type="dxa"/>
            <w:gridSpan w:val="3"/>
            <w:tcBorders/>
            <w:shd w:fill="auto" w:val="clear"/>
            <w:vAlign w:val="center"/>
          </w:tcPr>
          <w:p>
            <w:pPr>
              <w:pStyle w:val="TableContents"/>
              <w:spacing w:before="0" w:after="283"/>
              <w:jc w:val="left"/>
              <w:rPr/>
            </w:pPr>
            <w:r>
              <w:rPr/>
              <w:t> </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(c)</w:t>
            </w:r>
          </w:p>
        </w:tc>
        <w:tc>
          <w:tcPr>
            <w:tcW w:w="9245" w:type="dxa"/>
            <w:gridSpan w:val="3"/>
            <w:tcBorders/>
            <w:shd w:fill="auto" w:val="clear"/>
            <w:vAlign w:val="center"/>
          </w:tcPr>
          <w:p>
            <w:pPr>
              <w:pStyle w:val="TableContents"/>
              <w:spacing w:before="0" w:after="283"/>
              <w:jc w:val="left"/>
              <w:rPr/>
            </w:pPr>
            <w:r>
              <w:rPr>
                <w:rFonts w:ascii="Arial" w:hAnsi="Arial"/>
                <w:sz w:val="20"/>
                <w:u w:val="single"/>
              </w:rPr>
              <w:t>Grant Documentation</w:t>
            </w:r>
            <w:r>
              <w:rPr>
                <w:rFonts w:ascii="Arial" w:hAnsi="Arial"/>
                <w:sz w:val="20"/>
              </w:rPr>
              <w:t>. Each Award shall be evidenced by a written instrument containing such terms and conditions not inconsistent with the Plan as the Committee may determine (an “</w:t>
            </w:r>
            <w:r>
              <w:rPr>
                <w:rFonts w:ascii="Arial" w:hAnsi="Arial"/>
                <w:sz w:val="20"/>
                <w:u w:val="single"/>
              </w:rPr>
              <w:t>Award Agreement</w:t>
            </w:r>
            <w:r>
              <w:rPr>
                <w:rFonts w:ascii="Arial" w:hAnsi="Arial"/>
                <w:sz w:val="20"/>
              </w:rPr>
              <w:t>”). The issuance of Shares under the Plan shall be subject to all of the applicable requirements of the Plan, the applicable Award Agreement, the corporation law of the Company’s state of incorporation and other applicable laws, including applicable securities laws, and all Shares issued under the Plan shall be subject to the terms and restrictions contained in the Articles of Incorporation and Bylaws of the Company, as amended from time to time.</w:t>
            </w:r>
          </w:p>
        </w:tc>
      </w:tr>
      <w:tr>
        <w:trPr/>
        <w:tc>
          <w:tcPr>
            <w:tcW w:w="480" w:type="dxa"/>
            <w:tcBorders/>
            <w:shd w:fill="auto" w:val="clear"/>
            <w:vAlign w:val="center"/>
          </w:tcPr>
          <w:p>
            <w:pPr>
              <w:pStyle w:val="TableContents"/>
              <w:spacing w:before="0" w:after="283"/>
              <w:jc w:val="left"/>
              <w:rPr/>
            </w:pPr>
            <w:r>
              <w:rPr/>
              <w:t> </w:t>
            </w:r>
          </w:p>
        </w:tc>
        <w:tc>
          <w:tcPr>
            <w:tcW w:w="480" w:type="dxa"/>
            <w:tcBorders/>
            <w:shd w:fill="auto" w:val="clear"/>
            <w:vAlign w:val="center"/>
          </w:tcPr>
          <w:p>
            <w:pPr>
              <w:pStyle w:val="TableContents"/>
              <w:spacing w:before="0" w:after="283"/>
              <w:jc w:val="left"/>
              <w:rPr/>
            </w:pPr>
            <w:r>
              <w:rPr/>
              <w:t> </w:t>
            </w:r>
          </w:p>
        </w:tc>
        <w:tc>
          <w:tcPr>
            <w:tcW w:w="9245" w:type="dxa"/>
            <w:gridSpan w:val="3"/>
            <w:tcBorders/>
            <w:shd w:fill="auto" w:val="clear"/>
            <w:vAlign w:val="center"/>
          </w:tcPr>
          <w:p>
            <w:pPr>
              <w:pStyle w:val="TableContents"/>
              <w:spacing w:before="0" w:after="283"/>
              <w:jc w:val="left"/>
              <w:rPr/>
            </w:pPr>
            <w:r>
              <w:rPr/>
              <w:t> </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(d)</w:t>
            </w:r>
          </w:p>
        </w:tc>
        <w:tc>
          <w:tcPr>
            <w:tcW w:w="9245" w:type="dxa"/>
            <w:gridSpan w:val="3"/>
            <w:tcBorders/>
            <w:shd w:fill="auto" w:val="clear"/>
            <w:vAlign w:val="center"/>
          </w:tcPr>
          <w:p>
            <w:pPr>
              <w:pStyle w:val="TableContents"/>
              <w:spacing w:before="0" w:after="283"/>
              <w:jc w:val="left"/>
              <w:rPr/>
            </w:pPr>
            <w:r>
              <w:rPr>
                <w:rFonts w:ascii="Arial" w:hAnsi="Arial"/>
                <w:sz w:val="20"/>
                <w:u w:val="single"/>
              </w:rPr>
              <w:t>References to Written Forms, Elections and Notices</w:t>
            </w:r>
            <w:r>
              <w:rPr>
                <w:rFonts w:ascii="Arial" w:hAnsi="Arial"/>
                <w:sz w:val="20"/>
              </w:rPr>
              <w:t>. Any action under the Plan that requires a written form, election, notice or other action shall be treated as completed if taken via electronic or other means.</w:t>
            </w:r>
          </w:p>
        </w:tc>
      </w:tr>
      <w:tr>
        <w:trPr/>
        <w:tc>
          <w:tcPr>
            <w:tcW w:w="480" w:type="dxa"/>
            <w:tcBorders/>
            <w:shd w:fill="auto" w:val="clear"/>
            <w:vAlign w:val="center"/>
          </w:tcPr>
          <w:p>
            <w:pPr>
              <w:pStyle w:val="TableContents"/>
              <w:spacing w:before="0" w:after="283"/>
              <w:jc w:val="left"/>
              <w:rPr/>
            </w:pPr>
            <w:r>
              <w:rPr/>
              <w:t> </w:t>
            </w:r>
          </w:p>
        </w:tc>
        <w:tc>
          <w:tcPr>
            <w:tcW w:w="480" w:type="dxa"/>
            <w:tcBorders/>
            <w:shd w:fill="auto" w:val="clear"/>
            <w:vAlign w:val="center"/>
          </w:tcPr>
          <w:p>
            <w:pPr>
              <w:pStyle w:val="TableContents"/>
              <w:spacing w:before="0" w:after="283"/>
              <w:jc w:val="left"/>
              <w:rPr/>
            </w:pPr>
            <w:r>
              <w:rPr/>
              <w:t> </w:t>
            </w:r>
          </w:p>
        </w:tc>
        <w:tc>
          <w:tcPr>
            <w:tcW w:w="9245" w:type="dxa"/>
            <w:gridSpan w:val="3"/>
            <w:tcBorders/>
            <w:shd w:fill="auto" w:val="clear"/>
            <w:vAlign w:val="center"/>
          </w:tcPr>
          <w:p>
            <w:pPr>
              <w:pStyle w:val="TableContents"/>
              <w:spacing w:before="0" w:after="283"/>
              <w:jc w:val="left"/>
              <w:rPr/>
            </w:pPr>
            <w:r>
              <w:rPr/>
              <w:t> </w:t>
            </w:r>
          </w:p>
        </w:tc>
      </w:tr>
      <w:tr>
        <w:trPr/>
        <w:tc>
          <w:tcPr>
            <w:tcW w:w="480" w:type="dxa"/>
            <w:tcBorders/>
            <w:shd w:fill="auto" w:val="clear"/>
            <w:vAlign w:val="center"/>
          </w:tcPr>
          <w:p>
            <w:pPr>
              <w:pStyle w:val="TableContents"/>
              <w:spacing w:before="0" w:after="283"/>
              <w:jc w:val="left"/>
              <w:rPr/>
            </w:pPr>
            <w:r>
              <w:rPr>
                <w:rStyle w:val="StrongEmphasis"/>
                <w:rFonts w:ascii="Arial" w:hAnsi="Arial"/>
                <w:sz w:val="20"/>
              </w:rPr>
              <w:t>2.</w:t>
            </w:r>
          </w:p>
        </w:tc>
        <w:tc>
          <w:tcPr>
            <w:tcW w:w="9725" w:type="dxa"/>
            <w:gridSpan w:val="4"/>
            <w:tcBorders/>
            <w:shd w:fill="auto" w:val="clear"/>
            <w:vAlign w:val="center"/>
          </w:tcPr>
          <w:p>
            <w:pPr>
              <w:pStyle w:val="TableContents"/>
              <w:spacing w:before="0" w:after="283"/>
              <w:jc w:val="left"/>
              <w:rPr/>
            </w:pPr>
            <w:r>
              <w:rPr>
                <w:rStyle w:val="StrongEmphasis"/>
                <w:rFonts w:ascii="Arial" w:hAnsi="Arial"/>
                <w:sz w:val="20"/>
                <w:u w:val="single"/>
              </w:rPr>
              <w:t>DEFINITIONS</w:t>
            </w:r>
            <w:r>
              <w:rPr>
                <w:rStyle w:val="StrongEmphasis"/>
                <w:rFonts w:ascii="Arial" w:hAnsi="Arial"/>
                <w:sz w:val="20"/>
              </w:rPr>
              <w:t>.</w:t>
            </w:r>
          </w:p>
        </w:tc>
      </w:tr>
      <w:tr>
        <w:trPr/>
        <w:tc>
          <w:tcPr>
            <w:tcW w:w="480" w:type="dxa"/>
            <w:tcBorders/>
            <w:shd w:fill="auto" w:val="clear"/>
            <w:vAlign w:val="center"/>
          </w:tcPr>
          <w:p>
            <w:pPr>
              <w:pStyle w:val="TableContents"/>
              <w:spacing w:before="0" w:after="283"/>
              <w:jc w:val="left"/>
              <w:rPr/>
            </w:pPr>
            <w:r>
              <w:rPr/>
              <w:t> </w:t>
            </w:r>
          </w:p>
        </w:tc>
        <w:tc>
          <w:tcPr>
            <w:tcW w:w="480" w:type="dxa"/>
            <w:tcBorders/>
            <w:shd w:fill="auto" w:val="clear"/>
            <w:vAlign w:val="center"/>
          </w:tcPr>
          <w:p>
            <w:pPr>
              <w:pStyle w:val="TableContents"/>
              <w:spacing w:before="0" w:after="283"/>
              <w:jc w:val="left"/>
              <w:rPr/>
            </w:pPr>
            <w:r>
              <w:rPr/>
              <w:t> </w:t>
            </w:r>
          </w:p>
        </w:tc>
        <w:tc>
          <w:tcPr>
            <w:tcW w:w="9245" w:type="dxa"/>
            <w:gridSpan w:val="3"/>
            <w:tcBorders/>
            <w:shd w:fill="auto" w:val="clear"/>
            <w:vAlign w:val="center"/>
          </w:tcPr>
          <w:p>
            <w:pPr>
              <w:pStyle w:val="TableContents"/>
              <w:spacing w:before="0" w:after="283"/>
              <w:jc w:val="left"/>
              <w:rPr/>
            </w:pPr>
            <w:r>
              <w:rPr/>
              <w:t> </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(a)</w:t>
            </w:r>
          </w:p>
        </w:tc>
        <w:tc>
          <w:tcPr>
            <w:tcW w:w="9245" w:type="dxa"/>
            <w:gridSpan w:val="3"/>
            <w:tcBorders/>
            <w:shd w:fill="auto" w:val="clear"/>
            <w:vAlign w:val="center"/>
          </w:tcPr>
          <w:p>
            <w:pPr>
              <w:pStyle w:val="TableContents"/>
              <w:spacing w:before="0" w:after="283"/>
              <w:jc w:val="left"/>
              <w:rPr/>
            </w:pPr>
            <w:r>
              <w:rPr/>
              <w:t>“</w:t>
            </w:r>
            <w:r>
              <w:rPr>
                <w:rFonts w:ascii="Arial" w:hAnsi="Arial"/>
                <w:sz w:val="20"/>
                <w:u w:val="single"/>
              </w:rPr>
              <w:t>Affiliate</w:t>
            </w:r>
            <w:r>
              <w:rPr/>
              <w:t xml:space="preserve">” </w:t>
            </w:r>
            <w:r>
              <w:rPr>
                <w:rFonts w:ascii="Arial" w:hAnsi="Arial"/>
                <w:sz w:val="20"/>
              </w:rPr>
              <w:t>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tc>
      </w:tr>
      <w:tr>
        <w:trPr/>
        <w:tc>
          <w:tcPr>
            <w:tcW w:w="480" w:type="dxa"/>
            <w:tcBorders/>
            <w:shd w:fill="auto" w:val="clear"/>
            <w:vAlign w:val="center"/>
          </w:tcPr>
          <w:p>
            <w:pPr>
              <w:pStyle w:val="TableContents"/>
              <w:spacing w:before="0" w:after="283"/>
              <w:jc w:val="left"/>
              <w:rPr/>
            </w:pPr>
            <w:r>
              <w:rPr/>
              <w:t> </w:t>
            </w:r>
          </w:p>
        </w:tc>
        <w:tc>
          <w:tcPr>
            <w:tcW w:w="480" w:type="dxa"/>
            <w:tcBorders/>
            <w:shd w:fill="auto" w:val="clear"/>
            <w:vAlign w:val="center"/>
          </w:tcPr>
          <w:p>
            <w:pPr>
              <w:pStyle w:val="TableContents"/>
              <w:spacing w:before="0" w:after="283"/>
              <w:jc w:val="left"/>
              <w:rPr/>
            </w:pPr>
            <w:r>
              <w:rPr/>
              <w:t> </w:t>
            </w:r>
          </w:p>
        </w:tc>
        <w:tc>
          <w:tcPr>
            <w:tcW w:w="9245" w:type="dxa"/>
            <w:gridSpan w:val="3"/>
            <w:tcBorders/>
            <w:shd w:fill="auto" w:val="clear"/>
            <w:vAlign w:val="center"/>
          </w:tcPr>
          <w:p>
            <w:pPr>
              <w:pStyle w:val="TableContents"/>
              <w:spacing w:before="0" w:after="283"/>
              <w:jc w:val="left"/>
              <w:rPr/>
            </w:pPr>
            <w:r>
              <w:rPr/>
              <w:t> </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(b)</w:t>
            </w:r>
          </w:p>
        </w:tc>
        <w:tc>
          <w:tcPr>
            <w:tcW w:w="9245" w:type="dxa"/>
            <w:gridSpan w:val="3"/>
            <w:tcBorders/>
            <w:shd w:fill="auto" w:val="clear"/>
            <w:vAlign w:val="center"/>
          </w:tcPr>
          <w:p>
            <w:pPr>
              <w:pStyle w:val="TableContents"/>
              <w:spacing w:before="0" w:after="283"/>
              <w:jc w:val="left"/>
              <w:rPr/>
            </w:pPr>
            <w:r>
              <w:rPr/>
              <w:t>“</w:t>
            </w:r>
            <w:r>
              <w:rPr>
                <w:rFonts w:ascii="Arial" w:hAnsi="Arial"/>
                <w:sz w:val="20"/>
                <w:u w:val="single"/>
              </w:rPr>
              <w:t>Award</w:t>
            </w:r>
            <w:r>
              <w:rPr/>
              <w:t xml:space="preserve">” </w:t>
            </w:r>
            <w:r>
              <w:rPr>
                <w:rFonts w:ascii="Arial" w:hAnsi="Arial"/>
                <w:sz w:val="20"/>
              </w:rPr>
              <w:t>means an award of Restricted Stock Units, Restricted Stock, Options, SAR, or Other Share-Based Award granted under the Plan.</w:t>
            </w:r>
          </w:p>
        </w:tc>
      </w:tr>
      <w:tr>
        <w:trPr/>
        <w:tc>
          <w:tcPr>
            <w:tcW w:w="480" w:type="dxa"/>
            <w:tcBorders/>
            <w:shd w:fill="auto" w:val="clear"/>
            <w:vAlign w:val="center"/>
          </w:tcPr>
          <w:p>
            <w:pPr>
              <w:pStyle w:val="TableContents"/>
              <w:spacing w:before="0" w:after="283"/>
              <w:jc w:val="left"/>
              <w:rPr/>
            </w:pPr>
            <w:r>
              <w:rPr/>
              <w:t> </w:t>
            </w:r>
          </w:p>
        </w:tc>
        <w:tc>
          <w:tcPr>
            <w:tcW w:w="480" w:type="dxa"/>
            <w:tcBorders/>
            <w:shd w:fill="auto" w:val="clear"/>
            <w:vAlign w:val="center"/>
          </w:tcPr>
          <w:p>
            <w:pPr>
              <w:pStyle w:val="TableContents"/>
              <w:spacing w:before="0" w:after="283"/>
              <w:jc w:val="left"/>
              <w:rPr/>
            </w:pPr>
            <w:r>
              <w:rPr/>
              <w:t> </w:t>
            </w:r>
          </w:p>
        </w:tc>
        <w:tc>
          <w:tcPr>
            <w:tcW w:w="9245" w:type="dxa"/>
            <w:gridSpan w:val="3"/>
            <w:tcBorders/>
            <w:shd w:fill="auto" w:val="clear"/>
            <w:vAlign w:val="center"/>
          </w:tcPr>
          <w:p>
            <w:pPr>
              <w:pStyle w:val="TableContents"/>
              <w:spacing w:before="0" w:after="283"/>
              <w:jc w:val="left"/>
              <w:rPr/>
            </w:pPr>
            <w:r>
              <w:rPr/>
              <w:t> </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(c)</w:t>
            </w:r>
          </w:p>
        </w:tc>
        <w:tc>
          <w:tcPr>
            <w:tcW w:w="9245" w:type="dxa"/>
            <w:gridSpan w:val="3"/>
            <w:tcBorders/>
            <w:shd w:fill="auto" w:val="clear"/>
            <w:vAlign w:val="center"/>
          </w:tcPr>
          <w:p>
            <w:pPr>
              <w:pStyle w:val="TableContents"/>
              <w:spacing w:before="0" w:after="283"/>
              <w:jc w:val="left"/>
              <w:rPr/>
            </w:pPr>
            <w:r>
              <w:rPr/>
              <w:t>“</w:t>
            </w:r>
            <w:r>
              <w:rPr>
                <w:rFonts w:ascii="Arial" w:hAnsi="Arial"/>
                <w:sz w:val="20"/>
                <w:u w:val="single"/>
              </w:rPr>
              <w:t>Board</w:t>
            </w:r>
            <w:r>
              <w:rPr/>
              <w:t xml:space="preserve">” </w:t>
            </w:r>
            <w:r>
              <w:rPr>
                <w:rFonts w:ascii="Arial" w:hAnsi="Arial"/>
                <w:sz w:val="20"/>
              </w:rPr>
              <w:t>means the Board of Directors of the Company.</w:t>
            </w:r>
          </w:p>
        </w:tc>
      </w:tr>
      <w:tr>
        <w:trPr/>
        <w:tc>
          <w:tcPr>
            <w:tcW w:w="480" w:type="dxa"/>
            <w:tcBorders/>
            <w:shd w:fill="auto" w:val="clear"/>
            <w:vAlign w:val="center"/>
          </w:tcPr>
          <w:p>
            <w:pPr>
              <w:pStyle w:val="TableContents"/>
              <w:spacing w:before="0" w:after="283"/>
              <w:jc w:val="left"/>
              <w:rPr/>
            </w:pPr>
            <w:r>
              <w:rPr/>
              <w:t> </w:t>
            </w:r>
          </w:p>
        </w:tc>
        <w:tc>
          <w:tcPr>
            <w:tcW w:w="480" w:type="dxa"/>
            <w:tcBorders/>
            <w:shd w:fill="auto" w:val="clear"/>
            <w:vAlign w:val="center"/>
          </w:tcPr>
          <w:p>
            <w:pPr>
              <w:pStyle w:val="TableContents"/>
              <w:spacing w:before="0" w:after="283"/>
              <w:jc w:val="left"/>
              <w:rPr/>
            </w:pPr>
            <w:r>
              <w:rPr/>
              <w:t> </w:t>
            </w:r>
          </w:p>
        </w:tc>
        <w:tc>
          <w:tcPr>
            <w:tcW w:w="9245" w:type="dxa"/>
            <w:gridSpan w:val="3"/>
            <w:tcBorders/>
            <w:shd w:fill="auto" w:val="clear"/>
            <w:vAlign w:val="center"/>
          </w:tcPr>
          <w:p>
            <w:pPr>
              <w:pStyle w:val="TableContents"/>
              <w:spacing w:before="0" w:after="283"/>
              <w:jc w:val="left"/>
              <w:rPr/>
            </w:pPr>
            <w:r>
              <w:rPr/>
              <w:t> </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(d)</w:t>
            </w:r>
          </w:p>
        </w:tc>
        <w:tc>
          <w:tcPr>
            <w:tcW w:w="9245" w:type="dxa"/>
            <w:gridSpan w:val="3"/>
            <w:tcBorders/>
            <w:shd w:fill="auto" w:val="clear"/>
            <w:vAlign w:val="center"/>
          </w:tcPr>
          <w:p>
            <w:pPr>
              <w:pStyle w:val="TableContents"/>
              <w:spacing w:before="0" w:after="283"/>
              <w:jc w:val="left"/>
              <w:rPr/>
            </w:pPr>
            <w:r>
              <w:rPr/>
              <w:t>“</w:t>
            </w:r>
            <w:r>
              <w:rPr>
                <w:rFonts w:ascii="Arial" w:hAnsi="Arial"/>
                <w:sz w:val="20"/>
                <w:u w:val="single"/>
              </w:rPr>
              <w:t>Cause</w:t>
            </w:r>
            <w:r>
              <w:rPr/>
              <w:t xml:space="preserve">” </w:t>
            </w:r>
            <w:r>
              <w:rPr>
                <w:rFonts w:ascii="Arial" w:hAnsi="Arial"/>
                <w:sz w:val="20"/>
              </w:rPr>
              <w:t>has the meaning set forth in the Participant’s applicable employment, severance, consulting or similar agreement with any applicable Participating Company, if any, or if no such definition exists, means (i) fraud; (ii) misappropriation; (iii) embezzlement; (iv) gross negligence in the performance of duties; (v) self-dealing; (vi) dishonesty; (vii) misrepresentation; (viii) conviction of a crime of a felony; (ix) material violation of any Company policy; (x) material violation of the Company’s Code of Conduct or, (xi) in the case of an employee of a Company who is a party to an employment agreement with a Company, material breach of such agreement.</w:t>
            </w:r>
          </w:p>
        </w:tc>
      </w:tr>
      <w:tr>
        <w:trPr/>
        <w:tc>
          <w:tcPr>
            <w:tcW w:w="480" w:type="dxa"/>
            <w:tcBorders/>
            <w:shd w:fill="auto" w:val="clear"/>
            <w:vAlign w:val="center"/>
          </w:tcPr>
          <w:p>
            <w:pPr>
              <w:pStyle w:val="TableContents"/>
              <w:spacing w:before="0" w:after="283"/>
              <w:jc w:val="left"/>
              <w:rPr/>
            </w:pPr>
            <w:r>
              <w:rPr/>
              <w:t> </w:t>
            </w:r>
          </w:p>
        </w:tc>
        <w:tc>
          <w:tcPr>
            <w:tcW w:w="480" w:type="dxa"/>
            <w:tcBorders/>
            <w:shd w:fill="auto" w:val="clear"/>
            <w:vAlign w:val="center"/>
          </w:tcPr>
          <w:p>
            <w:pPr>
              <w:pStyle w:val="TableContents"/>
              <w:spacing w:before="0" w:after="283"/>
              <w:jc w:val="left"/>
              <w:rPr/>
            </w:pPr>
            <w:r>
              <w:rPr/>
              <w:t> </w:t>
            </w:r>
          </w:p>
        </w:tc>
        <w:tc>
          <w:tcPr>
            <w:tcW w:w="9245" w:type="dxa"/>
            <w:gridSpan w:val="3"/>
            <w:tcBorders/>
            <w:shd w:fill="auto" w:val="clear"/>
            <w:vAlign w:val="center"/>
          </w:tcPr>
          <w:p>
            <w:pPr>
              <w:pStyle w:val="TableContents"/>
              <w:spacing w:before="0" w:after="283"/>
              <w:jc w:val="left"/>
              <w:rPr/>
            </w:pPr>
            <w:r>
              <w:rPr/>
              <w:t> </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(e)</w:t>
            </w:r>
          </w:p>
        </w:tc>
        <w:tc>
          <w:tcPr>
            <w:tcW w:w="9245" w:type="dxa"/>
            <w:gridSpan w:val="3"/>
            <w:tcBorders/>
            <w:shd w:fill="auto" w:val="clear"/>
            <w:vAlign w:val="center"/>
          </w:tcPr>
          <w:p>
            <w:pPr>
              <w:pStyle w:val="TableContents"/>
              <w:spacing w:before="0" w:after="283"/>
              <w:jc w:val="left"/>
              <w:rPr/>
            </w:pPr>
            <w:r>
              <w:rPr/>
              <w:t>“</w:t>
            </w:r>
            <w:r>
              <w:rPr>
                <w:rFonts w:ascii="Arial" w:hAnsi="Arial"/>
                <w:sz w:val="20"/>
                <w:u w:val="single"/>
              </w:rPr>
              <w:t>Change in Control</w:t>
            </w:r>
            <w:r>
              <w:rPr/>
              <w:t xml:space="preserve">” </w:t>
            </w:r>
            <w:r>
              <w:rPr>
                <w:rFonts w:ascii="Arial" w:hAnsi="Arial"/>
                <w:sz w:val="20"/>
              </w:rPr>
              <w:t>means:</w:t>
            </w:r>
          </w:p>
        </w:tc>
      </w:tr>
      <w:tr>
        <w:trPr/>
        <w:tc>
          <w:tcPr>
            <w:tcW w:w="480" w:type="dxa"/>
            <w:tcBorders/>
            <w:shd w:fill="auto" w:val="clear"/>
            <w:vAlign w:val="center"/>
          </w:tcPr>
          <w:p>
            <w:pPr>
              <w:pStyle w:val="TableContents"/>
              <w:spacing w:before="0" w:after="283"/>
              <w:jc w:val="left"/>
              <w:rPr/>
            </w:pPr>
            <w:r>
              <w:rPr/>
              <w:t> </w:t>
            </w:r>
          </w:p>
        </w:tc>
        <w:tc>
          <w:tcPr>
            <w:tcW w:w="480" w:type="dxa"/>
            <w:tcBorders/>
            <w:shd w:fill="auto" w:val="clear"/>
            <w:vAlign w:val="center"/>
          </w:tcPr>
          <w:p>
            <w:pPr>
              <w:pStyle w:val="TableContents"/>
              <w:spacing w:before="0" w:after="283"/>
              <w:jc w:val="left"/>
              <w:rPr/>
            </w:pPr>
            <w:r>
              <w:rPr/>
              <w:t> </w:t>
            </w:r>
          </w:p>
        </w:tc>
        <w:tc>
          <w:tcPr>
            <w:tcW w:w="9245" w:type="dxa"/>
            <w:gridSpan w:val="3"/>
            <w:tcBorders/>
            <w:shd w:fill="auto" w:val="clear"/>
            <w:vAlign w:val="center"/>
          </w:tcPr>
          <w:p>
            <w:pPr>
              <w:pStyle w:val="TableContents"/>
              <w:spacing w:before="0" w:after="283"/>
              <w:jc w:val="left"/>
              <w:rPr/>
            </w:pPr>
            <w:r>
              <w:rPr/>
              <w:t> </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 xml:space="preserve">(i) </w:t>
            </w:r>
          </w:p>
        </w:tc>
        <w:tc>
          <w:tcPr>
            <w:tcW w:w="8765" w:type="dxa"/>
            <w:gridSpan w:val="2"/>
            <w:tcBorders/>
            <w:shd w:fill="auto" w:val="clear"/>
            <w:vAlign w:val="center"/>
          </w:tcPr>
          <w:p>
            <w:pPr>
              <w:pStyle w:val="TableContents"/>
              <w:spacing w:before="0" w:after="283"/>
              <w:jc w:val="left"/>
              <w:rPr>
                <w:rFonts w:ascii="Arial" w:hAnsi="Arial"/>
                <w:sz w:val="20"/>
              </w:rPr>
            </w:pPr>
            <w:r>
              <w:rPr>
                <w:rFonts w:ascii="Arial" w:hAnsi="Arial"/>
                <w:sz w:val="20"/>
              </w:rPr>
              <w:t>Except as provided in Section 2(e)(ii), “Change in Control” means the occurrence of any one or more of the following events:</w:t>
            </w:r>
          </w:p>
        </w:tc>
      </w:tr>
      <w:tr>
        <w:trPr/>
        <w:tc>
          <w:tcPr>
            <w:tcW w:w="480" w:type="dxa"/>
            <w:tcBorders/>
            <w:shd w:fill="auto" w:val="clear"/>
            <w:vAlign w:val="center"/>
          </w:tcPr>
          <w:p>
            <w:pPr>
              <w:pStyle w:val="TableContents"/>
              <w:spacing w:before="0" w:after="283"/>
              <w:jc w:val="left"/>
              <w:rPr/>
            </w:pPr>
            <w:r>
              <w:rPr/>
              <w:t> </w:t>
            </w:r>
          </w:p>
        </w:tc>
        <w:tc>
          <w:tcPr>
            <w:tcW w:w="480" w:type="dxa"/>
            <w:tcBorders/>
            <w:shd w:fill="auto" w:val="clear"/>
            <w:vAlign w:val="center"/>
          </w:tcPr>
          <w:p>
            <w:pPr>
              <w:pStyle w:val="TableContents"/>
              <w:spacing w:before="0" w:after="283"/>
              <w:jc w:val="left"/>
              <w:rPr/>
            </w:pPr>
            <w:r>
              <w:rPr/>
              <w:t> </w:t>
            </w:r>
          </w:p>
        </w:tc>
        <w:tc>
          <w:tcPr>
            <w:tcW w:w="9245" w:type="dxa"/>
            <w:gridSpan w:val="3"/>
            <w:tcBorders/>
            <w:shd w:fill="auto" w:val="clear"/>
            <w:vAlign w:val="center"/>
          </w:tcPr>
          <w:p>
            <w:pPr>
              <w:pStyle w:val="TableContents"/>
              <w:spacing w:before="0" w:after="283"/>
              <w:jc w:val="left"/>
              <w:rPr/>
            </w:pPr>
            <w:r>
              <w:rPr/>
              <w:t> </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(A)</w:t>
            </w:r>
          </w:p>
        </w:tc>
        <w:tc>
          <w:tcPr>
            <w:tcW w:w="8285" w:type="dxa"/>
            <w:tcBorders/>
            <w:shd w:fill="auto" w:val="clear"/>
            <w:vAlign w:val="center"/>
          </w:tcPr>
          <w:p>
            <w:pPr>
              <w:pStyle w:val="TableContents"/>
              <w:spacing w:before="0" w:after="283"/>
              <w:jc w:val="left"/>
              <w:rPr>
                <w:rFonts w:ascii="Arial" w:hAnsi="Arial"/>
                <w:sz w:val="20"/>
              </w:rPr>
            </w:pPr>
            <w:r>
              <w:rPr>
                <w:rFonts w:ascii="Arial" w:hAnsi="Arial"/>
                <w:sz w:val="20"/>
              </w:rPr>
              <w:t>any person or “group” (as defined in Section 13(d) of the Exchange Act) (each, a “Person”), other than an employee benefit plan or trust maintained by the Company, becomes the “beneficial owner” (as defined in Rule 13d-3 under the Exchange Act), directly or indirectly, of securities of the Company representing 30% or more of the combined voting power of the Company’s outstanding securities entitled to vote generally in the election of directors, unless a majority of the directors of the Company in office immediately preceding the date on which such Person acquires such beneficial ownership, by resolution negates the effectiveness of this provision in a particular circumstance);</w:t>
            </w:r>
          </w:p>
        </w:tc>
      </w:tr>
      <w:tr>
        <w:trPr/>
        <w:tc>
          <w:tcPr>
            <w:tcW w:w="480" w:type="dxa"/>
            <w:tcBorders/>
            <w:shd w:fill="auto" w:val="clear"/>
            <w:vAlign w:val="center"/>
          </w:tcPr>
          <w:p>
            <w:pPr>
              <w:pStyle w:val="TableContents"/>
              <w:spacing w:before="0" w:after="283"/>
              <w:jc w:val="left"/>
              <w:rPr/>
            </w:pPr>
            <w:r>
              <w:rPr/>
              <w:t> </w:t>
            </w:r>
          </w:p>
        </w:tc>
        <w:tc>
          <w:tcPr>
            <w:tcW w:w="480" w:type="dxa"/>
            <w:tcBorders/>
            <w:shd w:fill="auto" w:val="clear"/>
            <w:vAlign w:val="center"/>
          </w:tcPr>
          <w:p>
            <w:pPr>
              <w:pStyle w:val="TableContents"/>
              <w:spacing w:before="0" w:after="283"/>
              <w:jc w:val="left"/>
              <w:rPr/>
            </w:pPr>
            <w:r>
              <w:rPr/>
              <w:t> </w:t>
            </w:r>
          </w:p>
        </w:tc>
        <w:tc>
          <w:tcPr>
            <w:tcW w:w="9245" w:type="dxa"/>
            <w:gridSpan w:val="3"/>
            <w:tcBorders/>
            <w:shd w:fill="auto" w:val="clear"/>
            <w:vAlign w:val="center"/>
          </w:tcPr>
          <w:p>
            <w:pPr>
              <w:pStyle w:val="TableContents"/>
              <w:spacing w:before="0" w:after="283"/>
              <w:jc w:val="left"/>
              <w:rPr/>
            </w:pPr>
            <w:r>
              <w:rPr/>
              <w:t> </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(B)</w:t>
            </w:r>
          </w:p>
        </w:tc>
        <w:tc>
          <w:tcPr>
            <w:tcW w:w="8285" w:type="dxa"/>
            <w:tcBorders/>
            <w:shd w:fill="auto" w:val="clear"/>
            <w:vAlign w:val="center"/>
          </w:tcPr>
          <w:p>
            <w:pPr>
              <w:pStyle w:val="TableContents"/>
              <w:spacing w:before="0" w:after="283"/>
              <w:jc w:val="left"/>
              <w:rPr>
                <w:rFonts w:ascii="Arial" w:hAnsi="Arial"/>
                <w:sz w:val="20"/>
              </w:rPr>
            </w:pPr>
            <w:r>
              <w:rPr>
                <w:rFonts w:ascii="Arial" w:hAnsi="Arial"/>
                <w:sz w:val="20"/>
              </w:rPr>
              <w:t>at any time during a period of 12 consecutive months, individuals who at the beginning of such period constituted the Board and any new member of the Board whose election or nomination for election was approved by a vote of at least a majority of the directors then still in office who either were directors at the beginning of such period or whose election or nomination for election was so approved, cease for any reason to constitute a majority of members of the Board;</w:t>
            </w:r>
          </w:p>
        </w:tc>
      </w:tr>
    </w:tbl>
    <w:p>
      <w:pPr>
        <w:pStyle w:val="TextBody"/>
        <w:spacing w:before="0" w:after="0"/>
        <w:rPr/>
      </w:pPr>
      <w:r>
        <w:rPr/>
      </w:r>
    </w:p>
    <w:tbl>
      <w:tblPr>
        <w:tblW w:w="283" w:type="dxa"/>
        <w:jc w:val="left"/>
        <w:tblInd w:w="0" w:type="dxa"/>
        <w:tblCellMar>
          <w:top w:w="0" w:type="dxa"/>
          <w:left w:w="0" w:type="dxa"/>
          <w:bottom w:w="0" w:type="dxa"/>
          <w:right w:w="0" w:type="dxa"/>
        </w:tblCellMar>
      </w:tblPr>
      <w:tblGrid>
        <w:gridCol w:w="260"/>
        <w:gridCol w:w="23"/>
      </w:tblGrid>
      <w:tr>
        <w:trPr/>
        <w:tc>
          <w:tcPr>
            <w:tcW w:w="260" w:type="dxa"/>
            <w:tcBorders/>
            <w:shd w:fill="auto" w:val="clear"/>
            <w:vAlign w:val="center"/>
          </w:tcPr>
          <w:p>
            <w:pPr>
              <w:pStyle w:val="TableContents"/>
              <w:spacing w:before="0" w:after="283"/>
              <w:jc w:val="left"/>
              <w:rPr>
                <w:rFonts w:ascii="Arial" w:hAnsi="Arial"/>
                <w:b/>
                <w:sz w:val="15"/>
              </w:rPr>
            </w:pPr>
            <w:r>
              <w:rPr>
                <w:rFonts w:ascii="Arial" w:hAnsi="Arial"/>
                <w:b/>
                <w:sz w:val="15"/>
              </w:rPr>
              <w:t>C-1</w:t>
            </w:r>
          </w:p>
        </w:tc>
        <w:tc>
          <w:tcPr>
            <w:tcW w:w="2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10205" w:type="dxa"/>
        <w:jc w:val="left"/>
        <w:tblInd w:w="0" w:type="dxa"/>
        <w:tblCellMar>
          <w:top w:w="0" w:type="dxa"/>
          <w:left w:w="0" w:type="dxa"/>
          <w:bottom w:w="0" w:type="dxa"/>
          <w:right w:w="0" w:type="dxa"/>
        </w:tblCellMar>
      </w:tblPr>
      <w:tblGrid>
        <w:gridCol w:w="480"/>
        <w:gridCol w:w="480"/>
        <w:gridCol w:w="494"/>
        <w:gridCol w:w="494"/>
        <w:gridCol w:w="8257"/>
      </w:tblGrid>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jc w:val="left"/>
              <w:rPr>
                <w:rFonts w:ascii="Arial" w:hAnsi="Arial"/>
                <w:sz w:val="20"/>
              </w:rPr>
            </w:pPr>
            <w:r>
              <w:rPr>
                <w:rFonts w:ascii="Arial" w:hAnsi="Arial"/>
                <w:sz w:val="20"/>
              </w:rPr>
              <w:t>(C)</w:t>
            </w:r>
          </w:p>
        </w:tc>
        <w:tc>
          <w:tcPr>
            <w:tcW w:w="8257" w:type="dxa"/>
            <w:tcBorders/>
            <w:shd w:fill="auto" w:val="clear"/>
            <w:vAlign w:val="center"/>
          </w:tcPr>
          <w:p>
            <w:pPr>
              <w:pStyle w:val="TableContents"/>
              <w:spacing w:before="0" w:after="283"/>
              <w:jc w:val="left"/>
              <w:rPr>
                <w:rFonts w:ascii="Arial" w:hAnsi="Arial"/>
                <w:sz w:val="20"/>
              </w:rPr>
            </w:pPr>
            <w:r>
              <w:rPr>
                <w:rFonts w:ascii="Arial" w:hAnsi="Arial"/>
                <w:sz w:val="20"/>
              </w:rPr>
              <w:t>the consummation of a merger, consolidation, amalgamation, reorganization or similar business transaction or series of related transactions involving the Company or any of its subsidiaries with any other corporation or entity, which would result in the combined voting power of the Company’s securities entitled to vote generally in the election of directors outstanding immediately prior to such transaction or series of related transactions representing (either by remaining outstanding or being converted into voting securities of the surviving entity or, if applicable, the ultimate parent thereof) less than a majority of the combined voting power of the Company or such surviving entity or parent outstanding immediately after such transaction or series of related transactions;</w:t>
            </w:r>
          </w:p>
        </w:tc>
      </w:tr>
      <w:tr>
        <w:trPr/>
        <w:tc>
          <w:tcPr>
            <w:tcW w:w="480" w:type="dxa"/>
            <w:tcBorders/>
            <w:shd w:fill="auto" w:val="clear"/>
            <w:vAlign w:val="center"/>
          </w:tcPr>
          <w:p>
            <w:pPr>
              <w:pStyle w:val="TableContents"/>
              <w:spacing w:before="0" w:after="283"/>
              <w:jc w:val="left"/>
              <w:rPr/>
            </w:pPr>
            <w:r>
              <w:rPr/>
              <w:t>        </w:t>
            </w:r>
          </w:p>
        </w:tc>
        <w:tc>
          <w:tcPr>
            <w:tcW w:w="480" w:type="dxa"/>
            <w:tcBorders/>
            <w:shd w:fill="auto" w:val="clear"/>
            <w:vAlign w:val="center"/>
          </w:tcPr>
          <w:p>
            <w:pPr>
              <w:pStyle w:val="TableContents"/>
              <w:spacing w:before="0" w:after="283"/>
              <w:jc w:val="left"/>
              <w:rPr/>
            </w:pPr>
            <w:r>
              <w:rPr/>
              <w:t>        </w:t>
            </w:r>
          </w:p>
        </w:tc>
        <w:tc>
          <w:tcPr>
            <w:tcW w:w="494" w:type="dxa"/>
            <w:tcBorders/>
            <w:shd w:fill="auto" w:val="clear"/>
            <w:vAlign w:val="center"/>
          </w:tcPr>
          <w:p>
            <w:pPr>
              <w:pStyle w:val="TableContents"/>
              <w:spacing w:before="0" w:after="283"/>
              <w:jc w:val="left"/>
              <w:rPr/>
            </w:pPr>
            <w:r>
              <w:rPr/>
              <w:t>        </w:t>
            </w:r>
          </w:p>
        </w:tc>
        <w:tc>
          <w:tcPr>
            <w:tcW w:w="494" w:type="dxa"/>
            <w:tcBorders/>
            <w:shd w:fill="auto" w:val="clear"/>
            <w:vAlign w:val="center"/>
          </w:tcPr>
          <w:p>
            <w:pPr>
              <w:pStyle w:val="TableContents"/>
              <w:spacing w:before="0" w:after="283"/>
              <w:jc w:val="left"/>
              <w:rPr/>
            </w:pPr>
            <w:r>
              <w:rPr/>
              <w:t>        </w:t>
            </w:r>
          </w:p>
        </w:tc>
        <w:tc>
          <w:tcPr>
            <w:tcW w:w="8257" w:type="dxa"/>
            <w:tcBorders/>
            <w:shd w:fill="auto" w:val="clear"/>
            <w:vAlign w:val="center"/>
          </w:tcPr>
          <w:p>
            <w:pPr>
              <w:pStyle w:val="TableContents"/>
              <w:spacing w:before="0" w:after="283"/>
              <w:jc w:val="left"/>
              <w:rPr/>
            </w:pPr>
            <w:r>
              <w:rPr/>
              <w:t>        </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jc w:val="left"/>
              <w:rPr>
                <w:rFonts w:ascii="Arial" w:hAnsi="Arial"/>
                <w:sz w:val="20"/>
              </w:rPr>
            </w:pPr>
            <w:r>
              <w:rPr>
                <w:rFonts w:ascii="Arial" w:hAnsi="Arial"/>
                <w:sz w:val="20"/>
              </w:rPr>
              <w:t>(D)</w:t>
            </w:r>
          </w:p>
        </w:tc>
        <w:tc>
          <w:tcPr>
            <w:tcW w:w="8257" w:type="dxa"/>
            <w:tcBorders/>
            <w:shd w:fill="auto" w:val="clear"/>
            <w:vAlign w:val="center"/>
          </w:tcPr>
          <w:p>
            <w:pPr>
              <w:pStyle w:val="TableContents"/>
              <w:spacing w:before="0" w:after="283"/>
              <w:jc w:val="left"/>
              <w:rPr>
                <w:rFonts w:ascii="Arial" w:hAnsi="Arial"/>
                <w:sz w:val="20"/>
              </w:rPr>
            </w:pPr>
            <w:r>
              <w:rPr>
                <w:rFonts w:ascii="Arial" w:hAnsi="Arial"/>
                <w:sz w:val="20"/>
              </w:rPr>
              <w:t>the consummation of any sale, lease, exchange or other transfer to any Person of all or substantially all of the assets of the Company, in one transaction or a series of related transactions; or</w:t>
            </w:r>
          </w:p>
        </w:tc>
      </w:tr>
      <w:tr>
        <w:trPr/>
        <w:tc>
          <w:tcPr>
            <w:tcW w:w="480" w:type="dxa"/>
            <w:tcBorders/>
            <w:shd w:fill="auto" w:val="clear"/>
            <w:vAlign w:val="center"/>
          </w:tcPr>
          <w:p>
            <w:pPr>
              <w:pStyle w:val="TableContents"/>
              <w:spacing w:before="0" w:after="283"/>
              <w:jc w:val="left"/>
              <w:rPr/>
            </w:pPr>
            <w:r>
              <w:rPr/>
              <w:t> </w:t>
            </w:r>
          </w:p>
        </w:tc>
        <w:tc>
          <w:tcPr>
            <w:tcW w:w="480" w:type="dxa"/>
            <w:tcBorders/>
            <w:shd w:fill="auto" w:val="clear"/>
            <w:vAlign w:val="center"/>
          </w:tcPr>
          <w:p>
            <w:pPr>
              <w:pStyle w:val="TableContents"/>
              <w:spacing w:before="0" w:after="283"/>
              <w:jc w:val="left"/>
              <w:rPr/>
            </w:pPr>
            <w:r>
              <w:rPr/>
              <w:t> </w:t>
            </w:r>
          </w:p>
        </w:tc>
        <w:tc>
          <w:tcPr>
            <w:tcW w:w="9245" w:type="dxa"/>
            <w:gridSpan w:val="3"/>
            <w:tcBorders/>
            <w:shd w:fill="auto" w:val="clear"/>
            <w:vAlign w:val="center"/>
          </w:tcPr>
          <w:p>
            <w:pPr>
              <w:pStyle w:val="TableContents"/>
              <w:spacing w:before="0" w:after="283"/>
              <w:jc w:val="left"/>
              <w:rPr/>
            </w:pPr>
            <w:r>
              <w:rPr/>
              <w:t> </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jc w:val="left"/>
              <w:rPr>
                <w:rFonts w:ascii="Arial" w:hAnsi="Arial"/>
                <w:sz w:val="20"/>
              </w:rPr>
            </w:pPr>
            <w:r>
              <w:rPr>
                <w:rFonts w:ascii="Arial" w:hAnsi="Arial"/>
                <w:sz w:val="20"/>
              </w:rPr>
              <w:t>(E)</w:t>
            </w:r>
          </w:p>
        </w:tc>
        <w:tc>
          <w:tcPr>
            <w:tcW w:w="8257" w:type="dxa"/>
            <w:tcBorders/>
            <w:shd w:fill="auto" w:val="clear"/>
            <w:vAlign w:val="center"/>
          </w:tcPr>
          <w:p>
            <w:pPr>
              <w:pStyle w:val="TableContents"/>
              <w:spacing w:before="0" w:after="283"/>
              <w:jc w:val="left"/>
              <w:rPr>
                <w:rFonts w:ascii="Arial" w:hAnsi="Arial"/>
                <w:sz w:val="20"/>
              </w:rPr>
            </w:pPr>
            <w:r>
              <w:rPr>
                <w:rFonts w:ascii="Arial" w:hAnsi="Arial"/>
                <w:sz w:val="20"/>
              </w:rPr>
              <w:t>the approval by the shareholders of the Company of a liquidation or dissolution of the Company.</w:t>
            </w:r>
          </w:p>
        </w:tc>
      </w:tr>
      <w:tr>
        <w:trPr/>
        <w:tc>
          <w:tcPr>
            <w:tcW w:w="480" w:type="dxa"/>
            <w:tcBorders/>
            <w:shd w:fill="auto" w:val="clear"/>
            <w:vAlign w:val="center"/>
          </w:tcPr>
          <w:p>
            <w:pPr>
              <w:pStyle w:val="TableContents"/>
              <w:spacing w:before="0" w:after="283"/>
              <w:jc w:val="left"/>
              <w:rPr/>
            </w:pPr>
            <w:r>
              <w:rPr/>
              <w:t> </w:t>
            </w:r>
          </w:p>
        </w:tc>
        <w:tc>
          <w:tcPr>
            <w:tcW w:w="480" w:type="dxa"/>
            <w:tcBorders/>
            <w:shd w:fill="auto" w:val="clear"/>
            <w:vAlign w:val="center"/>
          </w:tcPr>
          <w:p>
            <w:pPr>
              <w:pStyle w:val="TableContents"/>
              <w:spacing w:before="0" w:after="283"/>
              <w:jc w:val="left"/>
              <w:rPr/>
            </w:pPr>
            <w:r>
              <w:rPr/>
              <w:t> </w:t>
            </w:r>
          </w:p>
        </w:tc>
        <w:tc>
          <w:tcPr>
            <w:tcW w:w="9245" w:type="dxa"/>
            <w:gridSpan w:val="3"/>
            <w:tcBorders/>
            <w:shd w:fill="auto" w:val="clear"/>
            <w:vAlign w:val="center"/>
          </w:tcPr>
          <w:p>
            <w:pPr>
              <w:pStyle w:val="TableContents"/>
              <w:spacing w:before="0" w:after="283"/>
              <w:jc w:val="left"/>
              <w:rPr/>
            </w:pPr>
            <w:r>
              <w:rPr/>
              <w:t> </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jc w:val="left"/>
              <w:rPr>
                <w:rFonts w:ascii="Arial" w:hAnsi="Arial"/>
                <w:sz w:val="20"/>
              </w:rPr>
            </w:pPr>
            <w:r>
              <w:rPr>
                <w:rFonts w:ascii="Arial" w:hAnsi="Arial"/>
                <w:sz w:val="20"/>
              </w:rPr>
              <w:t>(ii)</w:t>
            </w:r>
          </w:p>
        </w:tc>
        <w:tc>
          <w:tcPr>
            <w:tcW w:w="8751" w:type="dxa"/>
            <w:gridSpan w:val="2"/>
            <w:tcBorders/>
            <w:shd w:fill="auto" w:val="clear"/>
            <w:vAlign w:val="center"/>
          </w:tcPr>
          <w:p>
            <w:pPr>
              <w:pStyle w:val="TableContents"/>
              <w:spacing w:before="0" w:after="283"/>
              <w:jc w:val="left"/>
              <w:rPr>
                <w:rFonts w:ascii="Arial" w:hAnsi="Arial"/>
                <w:sz w:val="20"/>
              </w:rPr>
            </w:pPr>
            <w:r>
              <w:rPr>
                <w:rFonts w:ascii="Arial" w:hAnsi="Arial"/>
                <w:sz w:val="20"/>
              </w:rPr>
              <w:t>With respect to the distribution of amounts subject to an Award that constitute “deferred compensation” (within the meaning of Section 409A of the Code), the term “Change in Control” shall mean any transaction or series of transactions that constitutes a change in the ownership or effective control or a change in the ownership of a substantial portion of the assets of the Company, within the meaning of Section 409A of the Code.</w:t>
            </w:r>
          </w:p>
        </w:tc>
      </w:tr>
      <w:tr>
        <w:trPr/>
        <w:tc>
          <w:tcPr>
            <w:tcW w:w="480" w:type="dxa"/>
            <w:tcBorders/>
            <w:shd w:fill="auto" w:val="clear"/>
            <w:vAlign w:val="center"/>
          </w:tcPr>
          <w:p>
            <w:pPr>
              <w:pStyle w:val="TableContents"/>
              <w:spacing w:before="0" w:after="283"/>
              <w:jc w:val="left"/>
              <w:rPr/>
            </w:pPr>
            <w:r>
              <w:rPr/>
              <w:t> </w:t>
            </w:r>
          </w:p>
        </w:tc>
        <w:tc>
          <w:tcPr>
            <w:tcW w:w="480" w:type="dxa"/>
            <w:tcBorders/>
            <w:shd w:fill="auto" w:val="clear"/>
            <w:vAlign w:val="center"/>
          </w:tcPr>
          <w:p>
            <w:pPr>
              <w:pStyle w:val="TableContents"/>
              <w:spacing w:before="0" w:after="283"/>
              <w:jc w:val="left"/>
              <w:rPr/>
            </w:pPr>
            <w:r>
              <w:rPr/>
              <w:t> </w:t>
            </w:r>
          </w:p>
        </w:tc>
        <w:tc>
          <w:tcPr>
            <w:tcW w:w="9245" w:type="dxa"/>
            <w:gridSpan w:val="3"/>
            <w:tcBorders/>
            <w:shd w:fill="auto" w:val="clear"/>
            <w:vAlign w:val="center"/>
          </w:tcPr>
          <w:p>
            <w:pPr>
              <w:pStyle w:val="TableContents"/>
              <w:spacing w:before="0" w:after="283"/>
              <w:jc w:val="left"/>
              <w:rPr/>
            </w:pPr>
            <w:r>
              <w:rPr/>
              <w:t> </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 xml:space="preserve">(f) </w:t>
            </w:r>
          </w:p>
        </w:tc>
        <w:tc>
          <w:tcPr>
            <w:tcW w:w="9245" w:type="dxa"/>
            <w:gridSpan w:val="3"/>
            <w:tcBorders/>
            <w:shd w:fill="auto" w:val="clear"/>
            <w:vAlign w:val="center"/>
          </w:tcPr>
          <w:p>
            <w:pPr>
              <w:pStyle w:val="TableContents"/>
              <w:spacing w:before="0" w:after="283"/>
              <w:jc w:val="left"/>
              <w:rPr/>
            </w:pPr>
            <w:r>
              <w:rPr/>
              <w:t>“</w:t>
            </w:r>
            <w:r>
              <w:rPr>
                <w:rFonts w:ascii="Arial" w:hAnsi="Arial"/>
                <w:sz w:val="20"/>
                <w:u w:val="single"/>
              </w:rPr>
              <w:t>Code</w:t>
            </w:r>
            <w:r>
              <w:rPr/>
              <w:t xml:space="preserve">” </w:t>
            </w:r>
            <w:r>
              <w:rPr>
                <w:rFonts w:ascii="Arial" w:hAnsi="Arial"/>
                <w:sz w:val="20"/>
              </w:rPr>
              <w:t>means the Internal Revenue Code of 1986, as amended.</w:t>
            </w:r>
          </w:p>
        </w:tc>
      </w:tr>
      <w:tr>
        <w:trPr/>
        <w:tc>
          <w:tcPr>
            <w:tcW w:w="480" w:type="dxa"/>
            <w:tcBorders/>
            <w:shd w:fill="auto" w:val="clear"/>
            <w:vAlign w:val="center"/>
          </w:tcPr>
          <w:p>
            <w:pPr>
              <w:pStyle w:val="TableContents"/>
              <w:spacing w:before="0" w:after="283"/>
              <w:jc w:val="left"/>
              <w:rPr/>
            </w:pPr>
            <w:r>
              <w:rPr/>
              <w:t> </w:t>
            </w:r>
          </w:p>
        </w:tc>
        <w:tc>
          <w:tcPr>
            <w:tcW w:w="480" w:type="dxa"/>
            <w:tcBorders/>
            <w:shd w:fill="auto" w:val="clear"/>
            <w:vAlign w:val="center"/>
          </w:tcPr>
          <w:p>
            <w:pPr>
              <w:pStyle w:val="TableContents"/>
              <w:spacing w:before="0" w:after="283"/>
              <w:jc w:val="left"/>
              <w:rPr/>
            </w:pPr>
            <w:r>
              <w:rPr/>
              <w:t> </w:t>
            </w:r>
          </w:p>
        </w:tc>
        <w:tc>
          <w:tcPr>
            <w:tcW w:w="9245" w:type="dxa"/>
            <w:gridSpan w:val="3"/>
            <w:tcBorders/>
            <w:shd w:fill="auto" w:val="clear"/>
            <w:vAlign w:val="center"/>
          </w:tcPr>
          <w:p>
            <w:pPr>
              <w:pStyle w:val="TableContents"/>
              <w:spacing w:before="0" w:after="283"/>
              <w:jc w:val="left"/>
              <w:rPr/>
            </w:pPr>
            <w:r>
              <w:rPr/>
              <w:t> </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(g)</w:t>
            </w:r>
          </w:p>
        </w:tc>
        <w:tc>
          <w:tcPr>
            <w:tcW w:w="9245" w:type="dxa"/>
            <w:gridSpan w:val="3"/>
            <w:tcBorders/>
            <w:shd w:fill="auto" w:val="clear"/>
            <w:vAlign w:val="center"/>
          </w:tcPr>
          <w:p>
            <w:pPr>
              <w:pStyle w:val="TableContents"/>
              <w:spacing w:before="0" w:after="283"/>
              <w:jc w:val="left"/>
              <w:rPr/>
            </w:pPr>
            <w:r>
              <w:rPr/>
              <w:t>“</w:t>
            </w:r>
            <w:r>
              <w:rPr>
                <w:rFonts w:ascii="Arial" w:hAnsi="Arial"/>
                <w:sz w:val="20"/>
                <w:u w:val="single"/>
              </w:rPr>
              <w:t>Committee</w:t>
            </w:r>
            <w:r>
              <w:rPr/>
              <w:t xml:space="preserve">” </w:t>
            </w:r>
            <w:r>
              <w:rPr>
                <w:rFonts w:ascii="Arial" w:hAnsi="Arial"/>
                <w:sz w:val="20"/>
              </w:rPr>
              <w:t xml:space="preserve">means the Compensation and Human Capital Committee of the Board or any other committee or subcommittee designated by the Board; </w:t>
            </w:r>
            <w:r>
              <w:rPr>
                <w:rFonts w:ascii="Arial" w:hAnsi="Arial"/>
                <w:sz w:val="20"/>
                <w:u w:val="single"/>
              </w:rPr>
              <w:t>provided</w:t>
            </w:r>
            <w:r>
              <w:rPr>
                <w:rFonts w:ascii="Arial" w:hAnsi="Arial"/>
                <w:sz w:val="20"/>
              </w:rPr>
              <w:t> that all references to the Committee shall be treated as references to the Committee’s delegates with respect to any Award granted within the scope of the delegate’s authority pursuant to Section 5(c).</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(h)</w:t>
            </w:r>
          </w:p>
        </w:tc>
        <w:tc>
          <w:tcPr>
            <w:tcW w:w="9245" w:type="dxa"/>
            <w:gridSpan w:val="3"/>
            <w:tcBorders/>
            <w:shd w:fill="auto" w:val="clear"/>
            <w:vAlign w:val="center"/>
          </w:tcPr>
          <w:p>
            <w:pPr>
              <w:pStyle w:val="TableContents"/>
              <w:spacing w:before="0" w:after="283"/>
              <w:jc w:val="left"/>
              <w:rPr/>
            </w:pPr>
            <w:r>
              <w:rPr/>
              <w:t>“</w:t>
            </w:r>
            <w:r>
              <w:rPr>
                <w:rFonts w:ascii="Arial" w:hAnsi="Arial"/>
                <w:sz w:val="20"/>
                <w:u w:val="single"/>
              </w:rPr>
              <w:t>Common Stock</w:t>
            </w:r>
            <w:r>
              <w:rPr/>
              <w:t xml:space="preserve">” </w:t>
            </w:r>
            <w:r>
              <w:rPr>
                <w:rFonts w:ascii="Arial" w:hAnsi="Arial"/>
                <w:sz w:val="20"/>
              </w:rPr>
              <w:t>means the Company’s Class A Common Stock, par value, $0.01.</w:t>
            </w:r>
          </w:p>
        </w:tc>
      </w:tr>
      <w:tr>
        <w:trPr/>
        <w:tc>
          <w:tcPr>
            <w:tcW w:w="480" w:type="dxa"/>
            <w:tcBorders/>
            <w:shd w:fill="auto" w:val="clear"/>
            <w:vAlign w:val="center"/>
          </w:tcPr>
          <w:p>
            <w:pPr>
              <w:pStyle w:val="TableContents"/>
              <w:spacing w:before="0" w:after="283"/>
              <w:jc w:val="left"/>
              <w:rPr/>
            </w:pPr>
            <w:r>
              <w:rPr/>
              <w:t> </w:t>
            </w:r>
          </w:p>
        </w:tc>
        <w:tc>
          <w:tcPr>
            <w:tcW w:w="480" w:type="dxa"/>
            <w:tcBorders/>
            <w:shd w:fill="auto" w:val="clear"/>
            <w:vAlign w:val="center"/>
          </w:tcPr>
          <w:p>
            <w:pPr>
              <w:pStyle w:val="TableContents"/>
              <w:spacing w:before="0" w:after="283"/>
              <w:jc w:val="left"/>
              <w:rPr/>
            </w:pPr>
            <w:r>
              <w:rPr/>
              <w:t> </w:t>
            </w:r>
          </w:p>
        </w:tc>
        <w:tc>
          <w:tcPr>
            <w:tcW w:w="9245" w:type="dxa"/>
            <w:gridSpan w:val="3"/>
            <w:tcBorders/>
            <w:shd w:fill="auto" w:val="clear"/>
            <w:vAlign w:val="center"/>
          </w:tcPr>
          <w:p>
            <w:pPr>
              <w:pStyle w:val="TableContents"/>
              <w:spacing w:before="0" w:after="283"/>
              <w:jc w:val="left"/>
              <w:rPr/>
            </w:pPr>
            <w:r>
              <w:rPr/>
              <w:t> </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 xml:space="preserve">(i) </w:t>
            </w:r>
          </w:p>
        </w:tc>
        <w:tc>
          <w:tcPr>
            <w:tcW w:w="9245" w:type="dxa"/>
            <w:gridSpan w:val="3"/>
            <w:tcBorders/>
            <w:shd w:fill="auto" w:val="clear"/>
            <w:vAlign w:val="center"/>
          </w:tcPr>
          <w:p>
            <w:pPr>
              <w:pStyle w:val="TableContents"/>
              <w:spacing w:before="0" w:after="283"/>
              <w:jc w:val="left"/>
              <w:rPr/>
            </w:pPr>
            <w:r>
              <w:rPr/>
              <w:t>“</w:t>
            </w:r>
            <w:r>
              <w:rPr>
                <w:rFonts w:ascii="Arial" w:hAnsi="Arial"/>
                <w:sz w:val="20"/>
                <w:u w:val="single"/>
              </w:rPr>
              <w:t>Company</w:t>
            </w:r>
            <w:r>
              <w:rPr/>
              <w:t xml:space="preserve">” </w:t>
            </w:r>
            <w:r>
              <w:rPr>
                <w:rFonts w:ascii="Arial" w:hAnsi="Arial"/>
                <w:sz w:val="20"/>
              </w:rPr>
              <w:t>means Comcast Corporation, a Pennsylvania corporation, including any successor thereto by merger, consolidation, amalgamation, acquisition of all or substantially all the assets thereof, or otherwise.</w:t>
            </w:r>
          </w:p>
        </w:tc>
      </w:tr>
      <w:tr>
        <w:trPr/>
        <w:tc>
          <w:tcPr>
            <w:tcW w:w="480" w:type="dxa"/>
            <w:tcBorders/>
            <w:shd w:fill="auto" w:val="clear"/>
            <w:vAlign w:val="center"/>
          </w:tcPr>
          <w:p>
            <w:pPr>
              <w:pStyle w:val="TableContents"/>
              <w:spacing w:before="0" w:after="283"/>
              <w:jc w:val="left"/>
              <w:rPr/>
            </w:pPr>
            <w:r>
              <w:rPr/>
              <w:t> </w:t>
            </w:r>
          </w:p>
        </w:tc>
        <w:tc>
          <w:tcPr>
            <w:tcW w:w="480" w:type="dxa"/>
            <w:tcBorders/>
            <w:shd w:fill="auto" w:val="clear"/>
            <w:vAlign w:val="center"/>
          </w:tcPr>
          <w:p>
            <w:pPr>
              <w:pStyle w:val="TableContents"/>
              <w:spacing w:before="0" w:after="283"/>
              <w:jc w:val="left"/>
              <w:rPr/>
            </w:pPr>
            <w:r>
              <w:rPr/>
              <w:t> </w:t>
            </w:r>
          </w:p>
        </w:tc>
        <w:tc>
          <w:tcPr>
            <w:tcW w:w="9245" w:type="dxa"/>
            <w:gridSpan w:val="3"/>
            <w:tcBorders/>
            <w:shd w:fill="auto" w:val="clear"/>
            <w:vAlign w:val="center"/>
          </w:tcPr>
          <w:p>
            <w:pPr>
              <w:pStyle w:val="TableContents"/>
              <w:spacing w:before="0" w:after="283"/>
              <w:jc w:val="left"/>
              <w:rPr/>
            </w:pPr>
            <w:r>
              <w:rPr/>
              <w:t> </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 xml:space="preserve">(j) </w:t>
            </w:r>
          </w:p>
        </w:tc>
        <w:tc>
          <w:tcPr>
            <w:tcW w:w="9245" w:type="dxa"/>
            <w:gridSpan w:val="3"/>
            <w:tcBorders/>
            <w:shd w:fill="auto" w:val="clear"/>
            <w:vAlign w:val="center"/>
          </w:tcPr>
          <w:p>
            <w:pPr>
              <w:pStyle w:val="TableContents"/>
              <w:spacing w:before="0" w:after="283"/>
              <w:jc w:val="left"/>
              <w:rPr/>
            </w:pPr>
            <w:r>
              <w:rPr/>
              <w:t>“</w:t>
            </w:r>
            <w:r>
              <w:rPr>
                <w:rFonts w:ascii="Arial" w:hAnsi="Arial"/>
                <w:sz w:val="20"/>
                <w:u w:val="single"/>
              </w:rPr>
              <w:t>Date of Grant</w:t>
            </w:r>
            <w:r>
              <w:rPr/>
              <w:t xml:space="preserve">” </w:t>
            </w:r>
            <w:r>
              <w:rPr>
                <w:rFonts w:ascii="Arial" w:hAnsi="Arial"/>
                <w:sz w:val="20"/>
              </w:rPr>
              <w:t>means the date on which an Award is granted.</w:t>
            </w:r>
          </w:p>
        </w:tc>
      </w:tr>
      <w:tr>
        <w:trPr/>
        <w:tc>
          <w:tcPr>
            <w:tcW w:w="480" w:type="dxa"/>
            <w:tcBorders/>
            <w:shd w:fill="auto" w:val="clear"/>
            <w:vAlign w:val="center"/>
          </w:tcPr>
          <w:p>
            <w:pPr>
              <w:pStyle w:val="TableContents"/>
              <w:spacing w:before="0" w:after="283"/>
              <w:jc w:val="left"/>
              <w:rPr/>
            </w:pPr>
            <w:r>
              <w:rPr/>
              <w:t> </w:t>
            </w:r>
          </w:p>
        </w:tc>
        <w:tc>
          <w:tcPr>
            <w:tcW w:w="480" w:type="dxa"/>
            <w:tcBorders/>
            <w:shd w:fill="auto" w:val="clear"/>
            <w:vAlign w:val="center"/>
          </w:tcPr>
          <w:p>
            <w:pPr>
              <w:pStyle w:val="TableContents"/>
              <w:spacing w:before="0" w:after="283"/>
              <w:jc w:val="left"/>
              <w:rPr/>
            </w:pPr>
            <w:r>
              <w:rPr/>
              <w:t> </w:t>
            </w:r>
          </w:p>
        </w:tc>
        <w:tc>
          <w:tcPr>
            <w:tcW w:w="9245" w:type="dxa"/>
            <w:gridSpan w:val="3"/>
            <w:tcBorders/>
            <w:shd w:fill="auto" w:val="clear"/>
            <w:vAlign w:val="center"/>
          </w:tcPr>
          <w:p>
            <w:pPr>
              <w:pStyle w:val="TableContents"/>
              <w:spacing w:before="0" w:after="283"/>
              <w:jc w:val="left"/>
              <w:rPr/>
            </w:pPr>
            <w:r>
              <w:rPr/>
              <w:t> </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(k)</w:t>
            </w:r>
          </w:p>
        </w:tc>
        <w:tc>
          <w:tcPr>
            <w:tcW w:w="9245" w:type="dxa"/>
            <w:gridSpan w:val="3"/>
            <w:tcBorders/>
            <w:shd w:fill="auto" w:val="clear"/>
            <w:vAlign w:val="center"/>
          </w:tcPr>
          <w:p>
            <w:pPr>
              <w:pStyle w:val="TableContents"/>
              <w:spacing w:before="0" w:after="283"/>
              <w:jc w:val="left"/>
              <w:rPr/>
            </w:pPr>
            <w:r>
              <w:rPr/>
              <w:t>“</w:t>
            </w:r>
            <w:r>
              <w:rPr>
                <w:rFonts w:ascii="Arial" w:hAnsi="Arial"/>
                <w:sz w:val="20"/>
                <w:u w:val="single"/>
              </w:rPr>
              <w:t>DCP</w:t>
            </w:r>
            <w:r>
              <w:rPr/>
              <w:t xml:space="preserve">” </w:t>
            </w:r>
            <w:r>
              <w:rPr>
                <w:rFonts w:ascii="Arial" w:hAnsi="Arial"/>
                <w:sz w:val="20"/>
              </w:rPr>
              <w:t>means the Comcast Corporation 2005 Deferred Compensation Plan, and any successor plan thereof.</w:t>
            </w:r>
          </w:p>
        </w:tc>
      </w:tr>
      <w:tr>
        <w:trPr/>
        <w:tc>
          <w:tcPr>
            <w:tcW w:w="480" w:type="dxa"/>
            <w:tcBorders/>
            <w:shd w:fill="auto" w:val="clear"/>
            <w:vAlign w:val="center"/>
          </w:tcPr>
          <w:p>
            <w:pPr>
              <w:pStyle w:val="TableContents"/>
              <w:spacing w:before="0" w:after="283"/>
              <w:jc w:val="left"/>
              <w:rPr/>
            </w:pPr>
            <w:r>
              <w:rPr/>
              <w:t> </w:t>
            </w:r>
          </w:p>
        </w:tc>
        <w:tc>
          <w:tcPr>
            <w:tcW w:w="480" w:type="dxa"/>
            <w:tcBorders/>
            <w:shd w:fill="auto" w:val="clear"/>
            <w:vAlign w:val="center"/>
          </w:tcPr>
          <w:p>
            <w:pPr>
              <w:pStyle w:val="TableContents"/>
              <w:spacing w:before="0" w:after="283"/>
              <w:jc w:val="left"/>
              <w:rPr/>
            </w:pPr>
            <w:r>
              <w:rPr/>
              <w:t> </w:t>
            </w:r>
          </w:p>
        </w:tc>
        <w:tc>
          <w:tcPr>
            <w:tcW w:w="9245" w:type="dxa"/>
            <w:gridSpan w:val="3"/>
            <w:tcBorders/>
            <w:shd w:fill="auto" w:val="clear"/>
            <w:vAlign w:val="center"/>
          </w:tcPr>
          <w:p>
            <w:pPr>
              <w:pStyle w:val="TableContents"/>
              <w:spacing w:before="0" w:after="283"/>
              <w:jc w:val="left"/>
              <w:rPr/>
            </w:pPr>
            <w:r>
              <w:rPr/>
              <w:t> </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 xml:space="preserve">(l) </w:t>
            </w:r>
          </w:p>
        </w:tc>
        <w:tc>
          <w:tcPr>
            <w:tcW w:w="9245" w:type="dxa"/>
            <w:gridSpan w:val="3"/>
            <w:tcBorders/>
            <w:shd w:fill="auto" w:val="clear"/>
            <w:vAlign w:val="center"/>
          </w:tcPr>
          <w:p>
            <w:pPr>
              <w:pStyle w:val="TableContents"/>
              <w:spacing w:before="0" w:after="283"/>
              <w:jc w:val="left"/>
              <w:rPr/>
            </w:pPr>
            <w:r>
              <w:rPr/>
              <w:t>“</w:t>
            </w:r>
            <w:r>
              <w:rPr>
                <w:rFonts w:ascii="Arial" w:hAnsi="Arial"/>
                <w:sz w:val="20"/>
                <w:u w:val="single"/>
              </w:rPr>
              <w:t>Director Emeritus</w:t>
            </w:r>
            <w:r>
              <w:rPr/>
              <w:t xml:space="preserve">” </w:t>
            </w:r>
            <w:r>
              <w:rPr>
                <w:rFonts w:ascii="Arial" w:hAnsi="Arial"/>
                <w:sz w:val="20"/>
              </w:rPr>
              <w:t>means an individual designated by the Board, in its sole discretion, as Director Emeritus, pursuant to the Board’s Director Emeritus Policy.</w:t>
            </w:r>
          </w:p>
        </w:tc>
      </w:tr>
      <w:tr>
        <w:trPr/>
        <w:tc>
          <w:tcPr>
            <w:tcW w:w="480" w:type="dxa"/>
            <w:tcBorders/>
            <w:shd w:fill="auto" w:val="clear"/>
            <w:vAlign w:val="center"/>
          </w:tcPr>
          <w:p>
            <w:pPr>
              <w:pStyle w:val="TableContents"/>
              <w:spacing w:before="0" w:after="283"/>
              <w:jc w:val="left"/>
              <w:rPr/>
            </w:pPr>
            <w:r>
              <w:rPr/>
              <w:t> </w:t>
            </w:r>
          </w:p>
        </w:tc>
        <w:tc>
          <w:tcPr>
            <w:tcW w:w="480" w:type="dxa"/>
            <w:tcBorders/>
            <w:shd w:fill="auto" w:val="clear"/>
            <w:vAlign w:val="center"/>
          </w:tcPr>
          <w:p>
            <w:pPr>
              <w:pStyle w:val="TableContents"/>
              <w:spacing w:before="0" w:after="283"/>
              <w:jc w:val="left"/>
              <w:rPr/>
            </w:pPr>
            <w:r>
              <w:rPr/>
              <w:t> </w:t>
            </w:r>
          </w:p>
        </w:tc>
        <w:tc>
          <w:tcPr>
            <w:tcW w:w="9245" w:type="dxa"/>
            <w:gridSpan w:val="3"/>
            <w:tcBorders/>
            <w:shd w:fill="auto" w:val="clear"/>
            <w:vAlign w:val="center"/>
          </w:tcPr>
          <w:p>
            <w:pPr>
              <w:pStyle w:val="TableContents"/>
              <w:spacing w:before="0" w:after="283"/>
              <w:jc w:val="left"/>
              <w:rPr/>
            </w:pPr>
            <w:r>
              <w:rPr/>
              <w:t> </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(m)</w:t>
            </w:r>
          </w:p>
        </w:tc>
        <w:tc>
          <w:tcPr>
            <w:tcW w:w="9245" w:type="dxa"/>
            <w:gridSpan w:val="3"/>
            <w:tcBorders/>
            <w:shd w:fill="auto" w:val="clear"/>
            <w:vAlign w:val="center"/>
          </w:tcPr>
          <w:p>
            <w:pPr>
              <w:pStyle w:val="TableContents"/>
              <w:spacing w:before="0" w:after="283"/>
              <w:jc w:val="left"/>
              <w:rPr/>
            </w:pPr>
            <w:r>
              <w:rPr/>
              <w:t>“</w:t>
            </w:r>
            <w:r>
              <w:rPr>
                <w:rFonts w:ascii="Arial" w:hAnsi="Arial"/>
                <w:sz w:val="20"/>
                <w:u w:val="single"/>
              </w:rPr>
              <w:t>Disability</w:t>
            </w:r>
            <w:r>
              <w:rPr/>
              <w:t xml:space="preserve">” </w:t>
            </w:r>
            <w:r>
              <w:rPr>
                <w:rFonts w:ascii="Arial" w:hAnsi="Arial"/>
                <w:sz w:val="20"/>
              </w:rPr>
              <w:t>has the meaning set forth in the Participant’s applicable employment, severance, consulting or similar agreement with any applicable Participating Company, if any, or if no such definition exists, means: (i) a Participant’s substantial inability to perform Participant’s employment duties due to partial or total disability or incapacity resulting from a mental or physical illness, injury or other health-related cause for a period of 12 consecutive months or for a cumulative period of 52 weeks in any two-calendar year period; or (ii) for any Incentive Stock Option, a disability within the meaning of section 22(e)(3) of the Code.</w:t>
            </w:r>
          </w:p>
        </w:tc>
      </w:tr>
      <w:tr>
        <w:trPr/>
        <w:tc>
          <w:tcPr>
            <w:tcW w:w="480" w:type="dxa"/>
            <w:tcBorders/>
            <w:shd w:fill="auto" w:val="clear"/>
            <w:vAlign w:val="center"/>
          </w:tcPr>
          <w:p>
            <w:pPr>
              <w:pStyle w:val="TableContents"/>
              <w:spacing w:before="0" w:after="283"/>
              <w:jc w:val="left"/>
              <w:rPr/>
            </w:pPr>
            <w:r>
              <w:rPr/>
              <w:t> </w:t>
            </w:r>
          </w:p>
        </w:tc>
        <w:tc>
          <w:tcPr>
            <w:tcW w:w="480" w:type="dxa"/>
            <w:tcBorders/>
            <w:shd w:fill="auto" w:val="clear"/>
            <w:vAlign w:val="center"/>
          </w:tcPr>
          <w:p>
            <w:pPr>
              <w:pStyle w:val="TableContents"/>
              <w:spacing w:before="0" w:after="283"/>
              <w:jc w:val="left"/>
              <w:rPr/>
            </w:pPr>
            <w:r>
              <w:rPr/>
              <w:t> </w:t>
            </w:r>
          </w:p>
        </w:tc>
        <w:tc>
          <w:tcPr>
            <w:tcW w:w="9245" w:type="dxa"/>
            <w:gridSpan w:val="3"/>
            <w:tcBorders/>
            <w:shd w:fill="auto" w:val="clear"/>
            <w:vAlign w:val="center"/>
          </w:tcPr>
          <w:p>
            <w:pPr>
              <w:pStyle w:val="TableContents"/>
              <w:spacing w:before="0" w:after="283"/>
              <w:jc w:val="left"/>
              <w:rPr/>
            </w:pPr>
            <w:r>
              <w:rPr/>
              <w:t> </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(n)</w:t>
            </w:r>
          </w:p>
        </w:tc>
        <w:tc>
          <w:tcPr>
            <w:tcW w:w="9245" w:type="dxa"/>
            <w:gridSpan w:val="3"/>
            <w:tcBorders/>
            <w:shd w:fill="auto" w:val="clear"/>
            <w:vAlign w:val="center"/>
          </w:tcPr>
          <w:p>
            <w:pPr>
              <w:pStyle w:val="TableContents"/>
              <w:spacing w:before="0" w:after="283"/>
              <w:jc w:val="left"/>
              <w:rPr/>
            </w:pPr>
            <w:r>
              <w:rPr/>
              <w:t>“</w:t>
            </w:r>
            <w:r>
              <w:rPr>
                <w:rFonts w:ascii="Arial" w:hAnsi="Arial"/>
                <w:sz w:val="20"/>
                <w:u w:val="single"/>
              </w:rPr>
              <w:t>Effective Date</w:t>
            </w:r>
            <w:r>
              <w:rPr/>
              <w:t xml:space="preserve">” </w:t>
            </w:r>
            <w:r>
              <w:rPr>
                <w:rFonts w:ascii="Arial" w:hAnsi="Arial"/>
                <w:sz w:val="20"/>
              </w:rPr>
              <w:t>means June 7, 2023, subject to approval by the shareholders of the Company.</w:t>
            </w:r>
          </w:p>
        </w:tc>
      </w:tr>
      <w:tr>
        <w:trPr/>
        <w:tc>
          <w:tcPr>
            <w:tcW w:w="480" w:type="dxa"/>
            <w:tcBorders/>
            <w:shd w:fill="auto" w:val="clear"/>
            <w:vAlign w:val="center"/>
          </w:tcPr>
          <w:p>
            <w:pPr>
              <w:pStyle w:val="TableContents"/>
              <w:spacing w:before="0" w:after="283"/>
              <w:jc w:val="left"/>
              <w:rPr/>
            </w:pPr>
            <w:r>
              <w:rPr/>
              <w:t> </w:t>
            </w:r>
          </w:p>
        </w:tc>
        <w:tc>
          <w:tcPr>
            <w:tcW w:w="480" w:type="dxa"/>
            <w:tcBorders/>
            <w:shd w:fill="auto" w:val="clear"/>
            <w:vAlign w:val="center"/>
          </w:tcPr>
          <w:p>
            <w:pPr>
              <w:pStyle w:val="TableContents"/>
              <w:spacing w:before="0" w:after="283"/>
              <w:jc w:val="left"/>
              <w:rPr/>
            </w:pPr>
            <w:r>
              <w:rPr/>
              <w:t> </w:t>
            </w:r>
          </w:p>
        </w:tc>
        <w:tc>
          <w:tcPr>
            <w:tcW w:w="9245" w:type="dxa"/>
            <w:gridSpan w:val="3"/>
            <w:tcBorders/>
            <w:shd w:fill="auto" w:val="clear"/>
            <w:vAlign w:val="center"/>
          </w:tcPr>
          <w:p>
            <w:pPr>
              <w:pStyle w:val="TableContents"/>
              <w:spacing w:before="0" w:after="283"/>
              <w:jc w:val="left"/>
              <w:rPr/>
            </w:pPr>
            <w:r>
              <w:rPr/>
              <w:t> </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(o)</w:t>
            </w:r>
          </w:p>
        </w:tc>
        <w:tc>
          <w:tcPr>
            <w:tcW w:w="9245" w:type="dxa"/>
            <w:gridSpan w:val="3"/>
            <w:tcBorders/>
            <w:shd w:fill="auto" w:val="clear"/>
            <w:vAlign w:val="center"/>
          </w:tcPr>
          <w:p>
            <w:pPr>
              <w:pStyle w:val="TableContents"/>
              <w:spacing w:before="0" w:after="283"/>
              <w:jc w:val="left"/>
              <w:rPr/>
            </w:pPr>
            <w:r>
              <w:rPr/>
              <w:t>“</w:t>
            </w:r>
            <w:r>
              <w:rPr>
                <w:rFonts w:ascii="Arial" w:hAnsi="Arial"/>
                <w:sz w:val="20"/>
                <w:u w:val="single"/>
              </w:rPr>
              <w:t>Eligible Employee</w:t>
            </w:r>
            <w:r>
              <w:rPr/>
              <w:t xml:space="preserve">” </w:t>
            </w:r>
            <w:r>
              <w:rPr>
                <w:rFonts w:ascii="Arial" w:hAnsi="Arial"/>
                <w:sz w:val="20"/>
              </w:rPr>
              <w:t>means an employee of a Participating Company or any prospective employee who has accepted an offer of employment from any Participating Company, in each case as determined by the Committee.</w:t>
            </w:r>
          </w:p>
        </w:tc>
      </w:tr>
      <w:tr>
        <w:trPr/>
        <w:tc>
          <w:tcPr>
            <w:tcW w:w="480" w:type="dxa"/>
            <w:tcBorders/>
            <w:shd w:fill="auto" w:val="clear"/>
            <w:vAlign w:val="center"/>
          </w:tcPr>
          <w:p>
            <w:pPr>
              <w:pStyle w:val="TableContents"/>
              <w:spacing w:before="0" w:after="283"/>
              <w:jc w:val="left"/>
              <w:rPr/>
            </w:pPr>
            <w:r>
              <w:rPr/>
              <w:t> </w:t>
            </w:r>
          </w:p>
        </w:tc>
        <w:tc>
          <w:tcPr>
            <w:tcW w:w="480" w:type="dxa"/>
            <w:tcBorders/>
            <w:shd w:fill="auto" w:val="clear"/>
            <w:vAlign w:val="center"/>
          </w:tcPr>
          <w:p>
            <w:pPr>
              <w:pStyle w:val="TableContents"/>
              <w:spacing w:before="0" w:after="283"/>
              <w:jc w:val="left"/>
              <w:rPr/>
            </w:pPr>
            <w:r>
              <w:rPr/>
              <w:t> </w:t>
            </w:r>
          </w:p>
        </w:tc>
        <w:tc>
          <w:tcPr>
            <w:tcW w:w="9245" w:type="dxa"/>
            <w:gridSpan w:val="3"/>
            <w:tcBorders/>
            <w:shd w:fill="auto" w:val="clear"/>
            <w:vAlign w:val="center"/>
          </w:tcPr>
          <w:p>
            <w:pPr>
              <w:pStyle w:val="TableContents"/>
              <w:spacing w:before="0" w:after="283"/>
              <w:jc w:val="left"/>
              <w:rPr/>
            </w:pPr>
            <w:r>
              <w:rPr/>
              <w:t> </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(p)</w:t>
            </w:r>
          </w:p>
        </w:tc>
        <w:tc>
          <w:tcPr>
            <w:tcW w:w="9245" w:type="dxa"/>
            <w:gridSpan w:val="3"/>
            <w:tcBorders/>
            <w:shd w:fill="auto" w:val="clear"/>
            <w:vAlign w:val="center"/>
          </w:tcPr>
          <w:p>
            <w:pPr>
              <w:pStyle w:val="TableContents"/>
              <w:spacing w:before="0" w:after="283"/>
              <w:jc w:val="left"/>
              <w:rPr/>
            </w:pPr>
            <w:r>
              <w:rPr/>
              <w:t>“</w:t>
            </w:r>
            <w:r>
              <w:rPr>
                <w:rFonts w:ascii="Arial" w:hAnsi="Arial"/>
                <w:sz w:val="20"/>
                <w:u w:val="single"/>
              </w:rPr>
              <w:t>Fair Market Value</w:t>
            </w:r>
            <w:r>
              <w:rPr/>
              <w:t xml:space="preserve">” </w:t>
            </w:r>
            <w:r>
              <w:rPr>
                <w:rFonts w:ascii="Arial" w:hAnsi="Arial"/>
                <w:sz w:val="20"/>
              </w:rPr>
              <w:t>means: (i) if Shares are listed on a stock exchange, Fair Market Value shall be determined based on the last reported sale price of a share on the principal exchange on which shares are listed on the date of determination, or if such date is not a trading day, the next trading date and (ii) if Shares are not so listed nor trades of Shares so reported, Fair Market Value shall be determined by the Committee in good faith and in a manner consistent with the requirements of Section 409A of the Code. For purposes of Section 9(b) and Section 11 (except to the extent that the Participant pays the full option price and all applicable withholding taxes in cash, by certified check, surrender or attestation to ownership of Shares or via cashless exercise, as described in Section 9(b)(i), (ii), (iii), and (iv) respectively), the Fair Market Value of Shares applied to pay the option price and the Fair Market Value of Shares withheld to pay applicable tax liabilities shall be determined based on the available price of Shares at the time the Option exercise transaction is executed.</w:t>
            </w:r>
          </w:p>
        </w:tc>
      </w:tr>
      <w:tr>
        <w:trPr/>
        <w:tc>
          <w:tcPr>
            <w:tcW w:w="480" w:type="dxa"/>
            <w:tcBorders/>
            <w:shd w:fill="auto" w:val="clear"/>
            <w:vAlign w:val="center"/>
          </w:tcPr>
          <w:p>
            <w:pPr>
              <w:pStyle w:val="TableContents"/>
              <w:spacing w:before="0" w:after="283"/>
              <w:jc w:val="left"/>
              <w:rPr/>
            </w:pPr>
            <w:r>
              <w:rPr/>
              <w:t> </w:t>
            </w:r>
          </w:p>
        </w:tc>
        <w:tc>
          <w:tcPr>
            <w:tcW w:w="480" w:type="dxa"/>
            <w:tcBorders/>
            <w:shd w:fill="auto" w:val="clear"/>
            <w:vAlign w:val="center"/>
          </w:tcPr>
          <w:p>
            <w:pPr>
              <w:pStyle w:val="TableContents"/>
              <w:spacing w:before="0" w:after="283"/>
              <w:jc w:val="left"/>
              <w:rPr/>
            </w:pPr>
            <w:r>
              <w:rPr/>
              <w:t> </w:t>
            </w:r>
          </w:p>
        </w:tc>
        <w:tc>
          <w:tcPr>
            <w:tcW w:w="9245" w:type="dxa"/>
            <w:gridSpan w:val="3"/>
            <w:tcBorders/>
            <w:shd w:fill="auto" w:val="clear"/>
            <w:vAlign w:val="center"/>
          </w:tcPr>
          <w:p>
            <w:pPr>
              <w:pStyle w:val="TableContents"/>
              <w:spacing w:before="0" w:after="283"/>
              <w:jc w:val="left"/>
              <w:rPr/>
            </w:pPr>
            <w:r>
              <w:rPr/>
              <w:t> </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(q)</w:t>
            </w:r>
          </w:p>
        </w:tc>
        <w:tc>
          <w:tcPr>
            <w:tcW w:w="9245" w:type="dxa"/>
            <w:gridSpan w:val="3"/>
            <w:tcBorders/>
            <w:shd w:fill="auto" w:val="clear"/>
            <w:vAlign w:val="center"/>
          </w:tcPr>
          <w:p>
            <w:pPr>
              <w:pStyle w:val="TableContents"/>
              <w:spacing w:before="0" w:after="283"/>
              <w:jc w:val="left"/>
              <w:rPr/>
            </w:pPr>
            <w:r>
              <w:rPr/>
              <w:t>“</w:t>
            </w:r>
            <w:r>
              <w:rPr>
                <w:rFonts w:ascii="Arial" w:hAnsi="Arial"/>
                <w:sz w:val="20"/>
                <w:u w:val="single"/>
              </w:rPr>
              <w:t>Family Member</w:t>
            </w:r>
            <w:r>
              <w:rPr/>
              <w:t xml:space="preserve">” </w:t>
            </w:r>
            <w:r>
              <w:rPr>
                <w:rFonts w:ascii="Arial" w:hAnsi="Arial"/>
                <w:sz w:val="20"/>
              </w:rPr>
              <w:t>has the meaning given to such term in General Instructions A.1(a)(5) to Form S-8 under the 1933 Act, and any successor registration statement thereunder.</w:t>
            </w:r>
          </w:p>
        </w:tc>
      </w:tr>
      <w:tr>
        <w:trPr/>
        <w:tc>
          <w:tcPr>
            <w:tcW w:w="480" w:type="dxa"/>
            <w:tcBorders/>
            <w:shd w:fill="auto" w:val="clear"/>
            <w:vAlign w:val="center"/>
          </w:tcPr>
          <w:p>
            <w:pPr>
              <w:pStyle w:val="TableContents"/>
              <w:spacing w:before="0" w:after="283"/>
              <w:jc w:val="left"/>
              <w:rPr/>
            </w:pPr>
            <w:r>
              <w:rPr/>
              <w:t> </w:t>
            </w:r>
          </w:p>
        </w:tc>
        <w:tc>
          <w:tcPr>
            <w:tcW w:w="480" w:type="dxa"/>
            <w:tcBorders/>
            <w:shd w:fill="auto" w:val="clear"/>
            <w:vAlign w:val="center"/>
          </w:tcPr>
          <w:p>
            <w:pPr>
              <w:pStyle w:val="TableContents"/>
              <w:spacing w:before="0" w:after="283"/>
              <w:jc w:val="left"/>
              <w:rPr/>
            </w:pPr>
            <w:r>
              <w:rPr/>
              <w:t> </w:t>
            </w:r>
          </w:p>
        </w:tc>
        <w:tc>
          <w:tcPr>
            <w:tcW w:w="9245" w:type="dxa"/>
            <w:gridSpan w:val="3"/>
            <w:tcBorders/>
            <w:shd w:fill="auto" w:val="clear"/>
            <w:vAlign w:val="center"/>
          </w:tcPr>
          <w:p>
            <w:pPr>
              <w:pStyle w:val="TableContents"/>
              <w:spacing w:before="0" w:after="283"/>
              <w:jc w:val="left"/>
              <w:rPr/>
            </w:pPr>
            <w:r>
              <w:rPr/>
              <w:t> </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(r)</w:t>
            </w:r>
          </w:p>
        </w:tc>
        <w:tc>
          <w:tcPr>
            <w:tcW w:w="9245" w:type="dxa"/>
            <w:gridSpan w:val="3"/>
            <w:tcBorders/>
            <w:shd w:fill="auto" w:val="clear"/>
            <w:vAlign w:val="center"/>
          </w:tcPr>
          <w:p>
            <w:pPr>
              <w:pStyle w:val="TableContents"/>
              <w:spacing w:before="0" w:after="283"/>
              <w:jc w:val="left"/>
              <w:rPr/>
            </w:pPr>
            <w:r>
              <w:rPr/>
              <w:t>“</w:t>
            </w:r>
            <w:r>
              <w:rPr>
                <w:rFonts w:ascii="Arial" w:hAnsi="Arial"/>
                <w:sz w:val="20"/>
                <w:u w:val="single"/>
              </w:rPr>
              <w:t>Full-Value Award</w:t>
            </w:r>
            <w:r>
              <w:rPr/>
              <w:t xml:space="preserve">” </w:t>
            </w:r>
            <w:r>
              <w:rPr>
                <w:rFonts w:ascii="Arial" w:hAnsi="Arial"/>
                <w:sz w:val="20"/>
              </w:rPr>
              <w:t>means an Award of Restricted Stock, Restricted Stock Units or Other Share-Based Award.</w:t>
            </w:r>
          </w:p>
        </w:tc>
      </w:tr>
      <w:tr>
        <w:trPr/>
        <w:tc>
          <w:tcPr>
            <w:tcW w:w="480" w:type="dxa"/>
            <w:tcBorders/>
            <w:shd w:fill="auto" w:val="clear"/>
            <w:vAlign w:val="center"/>
          </w:tcPr>
          <w:p>
            <w:pPr>
              <w:pStyle w:val="TableContents"/>
              <w:spacing w:before="0" w:after="283"/>
              <w:jc w:val="left"/>
              <w:rPr/>
            </w:pPr>
            <w:r>
              <w:rPr/>
              <w:t> </w:t>
            </w:r>
          </w:p>
        </w:tc>
        <w:tc>
          <w:tcPr>
            <w:tcW w:w="480" w:type="dxa"/>
            <w:tcBorders/>
            <w:shd w:fill="auto" w:val="clear"/>
            <w:vAlign w:val="center"/>
          </w:tcPr>
          <w:p>
            <w:pPr>
              <w:pStyle w:val="TableContents"/>
              <w:spacing w:before="0" w:after="283"/>
              <w:jc w:val="left"/>
              <w:rPr/>
            </w:pPr>
            <w:r>
              <w:rPr/>
              <w:t> </w:t>
            </w:r>
          </w:p>
        </w:tc>
        <w:tc>
          <w:tcPr>
            <w:tcW w:w="9245" w:type="dxa"/>
            <w:gridSpan w:val="3"/>
            <w:tcBorders/>
            <w:shd w:fill="auto" w:val="clear"/>
            <w:vAlign w:val="center"/>
          </w:tcPr>
          <w:p>
            <w:pPr>
              <w:pStyle w:val="TableContents"/>
              <w:spacing w:before="0" w:after="283"/>
              <w:jc w:val="left"/>
              <w:rPr/>
            </w:pPr>
            <w:r>
              <w:rPr/>
              <w:t> </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(s)</w:t>
            </w:r>
          </w:p>
        </w:tc>
        <w:tc>
          <w:tcPr>
            <w:tcW w:w="9245" w:type="dxa"/>
            <w:gridSpan w:val="3"/>
            <w:tcBorders/>
            <w:shd w:fill="auto" w:val="clear"/>
            <w:vAlign w:val="center"/>
          </w:tcPr>
          <w:p>
            <w:pPr>
              <w:pStyle w:val="TableContents"/>
              <w:spacing w:before="0" w:after="283"/>
              <w:jc w:val="left"/>
              <w:rPr/>
            </w:pPr>
            <w:r>
              <w:rPr/>
              <w:t>“</w:t>
            </w:r>
            <w:r>
              <w:rPr>
                <w:rFonts w:ascii="Arial" w:hAnsi="Arial"/>
                <w:sz w:val="20"/>
                <w:u w:val="single"/>
              </w:rPr>
              <w:t>Incentive Stock Option</w:t>
            </w:r>
            <w:r>
              <w:rPr/>
              <w:t xml:space="preserve">” </w:t>
            </w:r>
            <w:r>
              <w:rPr>
                <w:rFonts w:ascii="Arial" w:hAnsi="Arial"/>
                <w:sz w:val="20"/>
              </w:rPr>
              <w:t xml:space="preserve">means an Option granted under the Plan, designated by the Committee at the time of such grant as an Incentive Stock Option within the meaning of section 422 of the Code and containing the terms specified herein for Incentive Stock Options; </w:t>
            </w:r>
            <w:r>
              <w:rPr>
                <w:rFonts w:ascii="Arial" w:hAnsi="Arial"/>
                <w:sz w:val="20"/>
                <w:u w:val="single"/>
              </w:rPr>
              <w:t>provided, however,</w:t>
            </w:r>
            <w:r>
              <w:rPr>
                <w:rFonts w:ascii="Arial" w:hAnsi="Arial"/>
                <w:sz w:val="20"/>
              </w:rPr>
              <w:t> that, to the extent an Option granted under the Plan</w:t>
            </w:r>
          </w:p>
        </w:tc>
      </w:tr>
    </w:tbl>
    <w:p>
      <w:pPr>
        <w:pStyle w:val="TextBody"/>
        <w:spacing w:before="0" w:after="0"/>
        <w:rPr/>
      </w:pPr>
      <w:r>
        <w:rPr/>
      </w:r>
    </w:p>
    <w:tbl>
      <w:tblPr>
        <w:tblW w:w="2260" w:type="dxa"/>
        <w:jc w:val="left"/>
        <w:tblInd w:w="0" w:type="dxa"/>
        <w:tblCellMar>
          <w:top w:w="0" w:type="dxa"/>
          <w:left w:w="0" w:type="dxa"/>
          <w:bottom w:w="0" w:type="dxa"/>
          <w:right w:w="0" w:type="dxa"/>
        </w:tblCellMar>
      </w:tblPr>
      <w:tblGrid>
        <w:gridCol w:w="1580"/>
        <w:gridCol w:w="680"/>
      </w:tblGrid>
      <w:tr>
        <w:trPr/>
        <w:tc>
          <w:tcPr>
            <w:tcW w:w="1580" w:type="dxa"/>
            <w:tcBorders/>
            <w:shd w:fill="auto" w:val="clear"/>
            <w:vAlign w:val="center"/>
          </w:tcPr>
          <w:p>
            <w:pPr>
              <w:pStyle w:val="TableContents"/>
              <w:spacing w:before="0" w:after="283"/>
              <w:jc w:val="right"/>
              <w:rPr>
                <w:rFonts w:ascii="Arial" w:hAnsi="Arial"/>
                <w:sz w:val="15"/>
              </w:rPr>
            </w:pPr>
            <w:r>
              <w:rPr>
                <w:rFonts w:ascii="Arial" w:hAnsi="Arial"/>
                <w:sz w:val="15"/>
              </w:rPr>
              <w:t>2023 Proxy Statement</w:t>
            </w:r>
          </w:p>
        </w:tc>
        <w:tc>
          <w:tcPr>
            <w:tcW w:w="680" w:type="dxa"/>
            <w:tcBorders/>
            <w:shd w:fill="auto" w:val="clear"/>
            <w:vAlign w:val="center"/>
          </w:tcPr>
          <w:p>
            <w:pPr>
              <w:pStyle w:val="TableContents"/>
              <w:spacing w:before="0" w:after="283"/>
              <w:jc w:val="right"/>
              <w:rPr/>
            </w:pPr>
            <w:r>
              <w:rPr/>
              <w:t>       </w:t>
            </w:r>
            <w:r>
              <w:rPr>
                <w:rFonts w:ascii="Arial" w:hAnsi="Arial"/>
                <w:b/>
                <w:sz w:val="15"/>
              </w:rPr>
              <w:t>C-2</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10205" w:type="dxa"/>
        <w:jc w:val="left"/>
        <w:tblInd w:w="0" w:type="dxa"/>
        <w:tblCellMar>
          <w:top w:w="0" w:type="dxa"/>
          <w:left w:w="0" w:type="dxa"/>
          <w:bottom w:w="0" w:type="dxa"/>
          <w:right w:w="0" w:type="dxa"/>
        </w:tblCellMar>
      </w:tblPr>
      <w:tblGrid>
        <w:gridCol w:w="480"/>
        <w:gridCol w:w="480"/>
        <w:gridCol w:w="2576"/>
        <w:gridCol w:w="3431"/>
        <w:gridCol w:w="3238"/>
      </w:tblGrid>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9245" w:type="dxa"/>
            <w:gridSpan w:val="3"/>
            <w:tcBorders/>
            <w:shd w:fill="auto" w:val="clear"/>
            <w:vAlign w:val="center"/>
          </w:tcPr>
          <w:p>
            <w:pPr>
              <w:pStyle w:val="TableContents"/>
              <w:spacing w:before="0" w:after="283"/>
              <w:jc w:val="left"/>
              <w:rPr/>
            </w:pPr>
            <w:r>
              <w:rPr>
                <w:rFonts w:ascii="Arial" w:hAnsi="Arial"/>
                <w:sz w:val="20"/>
              </w:rPr>
              <w:t>and designated by the Committee at the time of grant as an Incentive Stock Option fails to satisfy the requirements for an incentive stock option under section 422 of the Code for any reason, such Option shall be treated as a Non-Qualified Option.</w:t>
            </w:r>
            <w:r>
              <w:rPr/>
              <w:t xml:space="preserve"> </w:t>
            </w:r>
          </w:p>
        </w:tc>
      </w:tr>
      <w:tr>
        <w:trPr/>
        <w:tc>
          <w:tcPr>
            <w:tcW w:w="480" w:type="dxa"/>
            <w:tcBorders/>
            <w:shd w:fill="auto" w:val="clear"/>
            <w:vAlign w:val="center"/>
          </w:tcPr>
          <w:p>
            <w:pPr>
              <w:pStyle w:val="TableContents"/>
              <w:spacing w:before="0" w:after="283"/>
              <w:jc w:val="left"/>
              <w:rPr/>
            </w:pPr>
            <w:r>
              <w:rPr/>
              <w:t>        </w:t>
            </w:r>
          </w:p>
        </w:tc>
        <w:tc>
          <w:tcPr>
            <w:tcW w:w="480" w:type="dxa"/>
            <w:tcBorders/>
            <w:shd w:fill="auto" w:val="clear"/>
            <w:vAlign w:val="center"/>
          </w:tcPr>
          <w:p>
            <w:pPr>
              <w:pStyle w:val="TableContents"/>
              <w:spacing w:before="0" w:after="283"/>
              <w:jc w:val="left"/>
              <w:rPr/>
            </w:pPr>
            <w:r>
              <w:rPr/>
              <w:t>        </w:t>
            </w:r>
          </w:p>
        </w:tc>
        <w:tc>
          <w:tcPr>
            <w:tcW w:w="2576" w:type="dxa"/>
            <w:tcBorders/>
            <w:shd w:fill="auto" w:val="clear"/>
            <w:vAlign w:val="center"/>
          </w:tcPr>
          <w:p>
            <w:pPr>
              <w:pStyle w:val="TableContents"/>
              <w:spacing w:before="0" w:after="283"/>
              <w:jc w:val="left"/>
              <w:rPr/>
            </w:pPr>
            <w:r>
              <w:rPr/>
              <w:t>        </w:t>
            </w:r>
          </w:p>
        </w:tc>
        <w:tc>
          <w:tcPr>
            <w:tcW w:w="3431" w:type="dxa"/>
            <w:tcBorders/>
            <w:shd w:fill="auto" w:val="clear"/>
            <w:vAlign w:val="center"/>
          </w:tcPr>
          <w:p>
            <w:pPr>
              <w:pStyle w:val="TableContents"/>
              <w:spacing w:before="0" w:after="283"/>
              <w:jc w:val="left"/>
              <w:rPr/>
            </w:pPr>
            <w:r>
              <w:rPr/>
              <w:t>        </w:t>
            </w:r>
          </w:p>
        </w:tc>
        <w:tc>
          <w:tcPr>
            <w:tcW w:w="3238" w:type="dxa"/>
            <w:tcBorders/>
            <w:shd w:fill="auto" w:val="clear"/>
            <w:vAlign w:val="center"/>
          </w:tcPr>
          <w:p>
            <w:pPr>
              <w:pStyle w:val="TableContents"/>
              <w:spacing w:before="0" w:after="283"/>
              <w:jc w:val="left"/>
              <w:rPr/>
            </w:pPr>
            <w:r>
              <w:rPr/>
              <w:t>        </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(t)</w:t>
            </w:r>
          </w:p>
        </w:tc>
        <w:tc>
          <w:tcPr>
            <w:tcW w:w="9245" w:type="dxa"/>
            <w:gridSpan w:val="3"/>
            <w:tcBorders/>
            <w:shd w:fill="auto" w:val="clear"/>
            <w:vAlign w:val="center"/>
          </w:tcPr>
          <w:p>
            <w:pPr>
              <w:pStyle w:val="TableContents"/>
              <w:spacing w:before="0" w:after="283"/>
              <w:jc w:val="left"/>
              <w:rPr/>
            </w:pPr>
            <w:r>
              <w:rPr/>
              <w:t>“</w:t>
            </w:r>
            <w:r>
              <w:rPr>
                <w:rFonts w:ascii="Arial" w:hAnsi="Arial"/>
                <w:sz w:val="20"/>
                <w:u w:val="single"/>
              </w:rPr>
              <w:t>Intrinsic Value</w:t>
            </w:r>
            <w:r>
              <w:rPr/>
              <w:t xml:space="preserve">” </w:t>
            </w:r>
            <w:r>
              <w:rPr>
                <w:rFonts w:ascii="Arial" w:hAnsi="Arial"/>
                <w:sz w:val="20"/>
              </w:rPr>
              <w:t>with respect to an Option or SAR means (i) the excess, if any, of the price or implied price per Share in a Change in Control or other event over (ii) the exercise or hurdle price of such Award multiplied by (iii) the number of Shares covered by such Award.</w:t>
            </w:r>
            <w:r>
              <w:rPr/>
              <w:t xml:space="preserve"> </w:t>
            </w:r>
          </w:p>
        </w:tc>
      </w:tr>
      <w:tr>
        <w:trPr/>
        <w:tc>
          <w:tcPr>
            <w:tcW w:w="480" w:type="dxa"/>
            <w:tcBorders/>
            <w:shd w:fill="auto" w:val="clear"/>
            <w:vAlign w:val="center"/>
          </w:tcPr>
          <w:p>
            <w:pPr>
              <w:pStyle w:val="TableContents"/>
              <w:spacing w:before="0" w:after="283"/>
              <w:jc w:val="left"/>
              <w:rPr/>
            </w:pPr>
            <w:r>
              <w:rPr/>
              <w:t> </w:t>
            </w:r>
          </w:p>
        </w:tc>
        <w:tc>
          <w:tcPr>
            <w:tcW w:w="480" w:type="dxa"/>
            <w:tcBorders/>
            <w:shd w:fill="auto" w:val="clear"/>
            <w:vAlign w:val="center"/>
          </w:tcPr>
          <w:p>
            <w:pPr>
              <w:pStyle w:val="TableContents"/>
              <w:spacing w:before="0" w:after="283"/>
              <w:jc w:val="left"/>
              <w:rPr/>
            </w:pPr>
            <w:r>
              <w:rPr/>
              <w:t> </w:t>
            </w:r>
          </w:p>
        </w:tc>
        <w:tc>
          <w:tcPr>
            <w:tcW w:w="9245" w:type="dxa"/>
            <w:gridSpan w:val="3"/>
            <w:tcBorders/>
            <w:shd w:fill="auto" w:val="clear"/>
            <w:vAlign w:val="center"/>
          </w:tcPr>
          <w:p>
            <w:pPr>
              <w:pStyle w:val="TableContents"/>
              <w:spacing w:before="0" w:after="283"/>
              <w:jc w:val="left"/>
              <w:rPr/>
            </w:pPr>
            <w:r>
              <w:rPr/>
              <w:t> </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(u)</w:t>
            </w:r>
          </w:p>
        </w:tc>
        <w:tc>
          <w:tcPr>
            <w:tcW w:w="9245" w:type="dxa"/>
            <w:gridSpan w:val="3"/>
            <w:tcBorders/>
            <w:shd w:fill="auto" w:val="clear"/>
            <w:vAlign w:val="center"/>
          </w:tcPr>
          <w:p>
            <w:pPr>
              <w:pStyle w:val="TableContents"/>
              <w:spacing w:before="0" w:after="283"/>
              <w:jc w:val="left"/>
              <w:rPr/>
            </w:pPr>
            <w:r>
              <w:rPr/>
              <w:t>“</w:t>
            </w:r>
            <w:r>
              <w:rPr>
                <w:rFonts w:ascii="Arial" w:hAnsi="Arial"/>
                <w:sz w:val="20"/>
                <w:u w:val="single"/>
              </w:rPr>
              <w:t>Non-Employee Director</w:t>
            </w:r>
            <w:r>
              <w:rPr/>
              <w:t xml:space="preserve">” </w:t>
            </w:r>
            <w:r>
              <w:rPr>
                <w:rFonts w:ascii="Arial" w:hAnsi="Arial"/>
                <w:sz w:val="20"/>
              </w:rPr>
              <w:t>means an individual who is a member of the Board, and who is not an employee of a Participating Company, including an individual who is a member of the Board and who previously was, but at the time of reference is not, an employee of a Participating Company.</w:t>
            </w:r>
          </w:p>
        </w:tc>
      </w:tr>
      <w:tr>
        <w:trPr/>
        <w:tc>
          <w:tcPr>
            <w:tcW w:w="480" w:type="dxa"/>
            <w:tcBorders/>
            <w:shd w:fill="auto" w:val="clear"/>
            <w:vAlign w:val="center"/>
          </w:tcPr>
          <w:p>
            <w:pPr>
              <w:pStyle w:val="TableContents"/>
              <w:spacing w:before="0" w:after="283"/>
              <w:jc w:val="left"/>
              <w:rPr/>
            </w:pPr>
            <w:r>
              <w:rPr/>
              <w:t> </w:t>
            </w:r>
          </w:p>
        </w:tc>
        <w:tc>
          <w:tcPr>
            <w:tcW w:w="480" w:type="dxa"/>
            <w:tcBorders/>
            <w:shd w:fill="auto" w:val="clear"/>
            <w:vAlign w:val="center"/>
          </w:tcPr>
          <w:p>
            <w:pPr>
              <w:pStyle w:val="TableContents"/>
              <w:spacing w:before="0" w:after="283"/>
              <w:jc w:val="left"/>
              <w:rPr/>
            </w:pPr>
            <w:r>
              <w:rPr/>
              <w:t> </w:t>
            </w:r>
          </w:p>
        </w:tc>
        <w:tc>
          <w:tcPr>
            <w:tcW w:w="9245" w:type="dxa"/>
            <w:gridSpan w:val="3"/>
            <w:tcBorders/>
            <w:shd w:fill="auto" w:val="clear"/>
            <w:vAlign w:val="center"/>
          </w:tcPr>
          <w:p>
            <w:pPr>
              <w:pStyle w:val="TableContents"/>
              <w:spacing w:before="0" w:after="283"/>
              <w:jc w:val="left"/>
              <w:rPr/>
            </w:pPr>
            <w:r>
              <w:rPr/>
              <w:t> </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 xml:space="preserve">(v) </w:t>
            </w:r>
          </w:p>
        </w:tc>
        <w:tc>
          <w:tcPr>
            <w:tcW w:w="9245" w:type="dxa"/>
            <w:gridSpan w:val="3"/>
            <w:tcBorders/>
            <w:shd w:fill="auto" w:val="clear"/>
            <w:vAlign w:val="center"/>
          </w:tcPr>
          <w:p>
            <w:pPr>
              <w:pStyle w:val="TableContents"/>
              <w:spacing w:before="0" w:after="283"/>
              <w:jc w:val="left"/>
              <w:rPr/>
            </w:pPr>
            <w:r>
              <w:rPr/>
              <w:t>“</w:t>
            </w:r>
            <w:r>
              <w:rPr>
                <w:rFonts w:ascii="Arial" w:hAnsi="Arial"/>
                <w:sz w:val="20"/>
                <w:u w:val="single"/>
              </w:rPr>
              <w:t>Non-Qualified Option</w:t>
            </w:r>
            <w:r>
              <w:rPr/>
              <w:t xml:space="preserve">” </w:t>
            </w:r>
            <w:r>
              <w:rPr>
                <w:rFonts w:ascii="Arial" w:hAnsi="Arial"/>
                <w:sz w:val="20"/>
              </w:rPr>
              <w:t>means:</w:t>
            </w:r>
            <w:r>
              <w:rPr/>
              <w:t xml:space="preserve"> </w:t>
            </w:r>
          </w:p>
        </w:tc>
      </w:tr>
      <w:tr>
        <w:trPr/>
        <w:tc>
          <w:tcPr>
            <w:tcW w:w="480" w:type="dxa"/>
            <w:tcBorders/>
            <w:shd w:fill="auto" w:val="clear"/>
            <w:vAlign w:val="center"/>
          </w:tcPr>
          <w:p>
            <w:pPr>
              <w:pStyle w:val="TableContents"/>
              <w:spacing w:before="0" w:after="283"/>
              <w:jc w:val="left"/>
              <w:rPr/>
            </w:pPr>
            <w:r>
              <w:rPr/>
              <w:t> </w:t>
            </w:r>
          </w:p>
        </w:tc>
        <w:tc>
          <w:tcPr>
            <w:tcW w:w="480" w:type="dxa"/>
            <w:tcBorders/>
            <w:shd w:fill="auto" w:val="clear"/>
            <w:vAlign w:val="center"/>
          </w:tcPr>
          <w:p>
            <w:pPr>
              <w:pStyle w:val="TableContents"/>
              <w:spacing w:before="0" w:after="283"/>
              <w:jc w:val="left"/>
              <w:rPr/>
            </w:pPr>
            <w:r>
              <w:rPr/>
              <w:t> </w:t>
            </w:r>
          </w:p>
        </w:tc>
        <w:tc>
          <w:tcPr>
            <w:tcW w:w="9245" w:type="dxa"/>
            <w:gridSpan w:val="3"/>
            <w:tcBorders/>
            <w:shd w:fill="auto" w:val="clear"/>
            <w:vAlign w:val="center"/>
          </w:tcPr>
          <w:p>
            <w:pPr>
              <w:pStyle w:val="TableContents"/>
              <w:spacing w:before="0" w:after="283"/>
              <w:jc w:val="left"/>
              <w:rPr/>
            </w:pPr>
            <w:r>
              <w:rPr/>
              <w:t> </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2576" w:type="dxa"/>
            <w:tcBorders/>
            <w:shd w:fill="auto" w:val="clear"/>
            <w:vAlign w:val="center"/>
          </w:tcPr>
          <w:p>
            <w:pPr>
              <w:pStyle w:val="TableContents"/>
              <w:spacing w:before="0" w:after="283"/>
              <w:jc w:val="left"/>
              <w:rPr>
                <w:rFonts w:ascii="Arial" w:hAnsi="Arial"/>
                <w:sz w:val="20"/>
              </w:rPr>
            </w:pPr>
            <w:r>
              <w:rPr>
                <w:rFonts w:ascii="Arial" w:hAnsi="Arial"/>
                <w:sz w:val="20"/>
              </w:rPr>
              <w:t>(i)</w:t>
            </w:r>
          </w:p>
        </w:tc>
        <w:tc>
          <w:tcPr>
            <w:tcW w:w="6669" w:type="dxa"/>
            <w:gridSpan w:val="2"/>
            <w:tcBorders/>
            <w:shd w:fill="auto" w:val="clear"/>
            <w:vAlign w:val="center"/>
          </w:tcPr>
          <w:p>
            <w:pPr>
              <w:pStyle w:val="TableContents"/>
              <w:spacing w:before="0" w:after="283"/>
              <w:jc w:val="left"/>
              <w:rPr>
                <w:rFonts w:ascii="Arial" w:hAnsi="Arial"/>
                <w:sz w:val="20"/>
              </w:rPr>
            </w:pPr>
            <w:r>
              <w:rPr>
                <w:rFonts w:ascii="Arial" w:hAnsi="Arial"/>
                <w:sz w:val="20"/>
              </w:rPr>
              <w:t>an Option granted under the Plan, designated by the Committee at the time of such grant as a Non-Qualified Option and containing the terms specified herein for Non-Qualified Options; and</w:t>
            </w:r>
          </w:p>
        </w:tc>
      </w:tr>
      <w:tr>
        <w:trPr/>
        <w:tc>
          <w:tcPr>
            <w:tcW w:w="480" w:type="dxa"/>
            <w:tcBorders/>
            <w:shd w:fill="auto" w:val="clear"/>
            <w:vAlign w:val="center"/>
          </w:tcPr>
          <w:p>
            <w:pPr>
              <w:pStyle w:val="TableContents"/>
              <w:spacing w:before="0" w:after="283"/>
              <w:jc w:val="left"/>
              <w:rPr/>
            </w:pPr>
            <w:r>
              <w:rPr/>
              <w:t> </w:t>
            </w:r>
          </w:p>
        </w:tc>
        <w:tc>
          <w:tcPr>
            <w:tcW w:w="480" w:type="dxa"/>
            <w:tcBorders/>
            <w:shd w:fill="auto" w:val="clear"/>
            <w:vAlign w:val="center"/>
          </w:tcPr>
          <w:p>
            <w:pPr>
              <w:pStyle w:val="TableContents"/>
              <w:spacing w:before="0" w:after="283"/>
              <w:jc w:val="left"/>
              <w:rPr/>
            </w:pPr>
            <w:r>
              <w:rPr/>
              <w:t> </w:t>
            </w:r>
          </w:p>
        </w:tc>
        <w:tc>
          <w:tcPr>
            <w:tcW w:w="9245" w:type="dxa"/>
            <w:gridSpan w:val="3"/>
            <w:tcBorders/>
            <w:shd w:fill="auto" w:val="clear"/>
            <w:vAlign w:val="center"/>
          </w:tcPr>
          <w:p>
            <w:pPr>
              <w:pStyle w:val="TableContents"/>
              <w:spacing w:before="0" w:after="283"/>
              <w:jc w:val="left"/>
              <w:rPr/>
            </w:pPr>
            <w:r>
              <w:rPr/>
              <w:t> </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2576" w:type="dxa"/>
            <w:tcBorders/>
            <w:shd w:fill="auto" w:val="clear"/>
            <w:vAlign w:val="center"/>
          </w:tcPr>
          <w:p>
            <w:pPr>
              <w:pStyle w:val="TableContents"/>
              <w:spacing w:before="0" w:after="283"/>
              <w:jc w:val="left"/>
              <w:rPr>
                <w:rFonts w:ascii="Arial" w:hAnsi="Arial"/>
                <w:sz w:val="20"/>
              </w:rPr>
            </w:pPr>
            <w:r>
              <w:rPr>
                <w:rFonts w:ascii="Arial" w:hAnsi="Arial"/>
                <w:sz w:val="20"/>
              </w:rPr>
              <w:t>(ii)</w:t>
            </w:r>
          </w:p>
        </w:tc>
        <w:tc>
          <w:tcPr>
            <w:tcW w:w="6669" w:type="dxa"/>
            <w:gridSpan w:val="2"/>
            <w:tcBorders/>
            <w:shd w:fill="auto" w:val="clear"/>
            <w:vAlign w:val="center"/>
          </w:tcPr>
          <w:p>
            <w:pPr>
              <w:pStyle w:val="TableContents"/>
              <w:spacing w:before="0" w:after="283"/>
              <w:jc w:val="left"/>
              <w:rPr/>
            </w:pPr>
            <w:r>
              <w:rPr>
                <w:rFonts w:ascii="Arial" w:hAnsi="Arial"/>
                <w:sz w:val="20"/>
              </w:rPr>
              <w:t>an Option granted under the Plan and designated by the Committee at the time of grant as an Incentive Stock Option, to the extent such Option fails to satisfy the requirements for an incentive stock option under section 422 of the Code for any reason.</w:t>
            </w:r>
            <w:r>
              <w:rPr/>
              <w:t xml:space="preserve"> </w:t>
            </w:r>
          </w:p>
        </w:tc>
      </w:tr>
      <w:tr>
        <w:trPr/>
        <w:tc>
          <w:tcPr>
            <w:tcW w:w="480" w:type="dxa"/>
            <w:tcBorders/>
            <w:shd w:fill="auto" w:val="clear"/>
            <w:vAlign w:val="center"/>
          </w:tcPr>
          <w:p>
            <w:pPr>
              <w:pStyle w:val="TableContents"/>
              <w:spacing w:before="0" w:after="283"/>
              <w:jc w:val="left"/>
              <w:rPr/>
            </w:pPr>
            <w:r>
              <w:rPr/>
              <w:t> </w:t>
            </w:r>
          </w:p>
        </w:tc>
        <w:tc>
          <w:tcPr>
            <w:tcW w:w="480" w:type="dxa"/>
            <w:tcBorders/>
            <w:shd w:fill="auto" w:val="clear"/>
            <w:vAlign w:val="center"/>
          </w:tcPr>
          <w:p>
            <w:pPr>
              <w:pStyle w:val="TableContents"/>
              <w:spacing w:before="0" w:after="283"/>
              <w:jc w:val="left"/>
              <w:rPr/>
            </w:pPr>
            <w:r>
              <w:rPr/>
              <w:t> </w:t>
            </w:r>
          </w:p>
        </w:tc>
        <w:tc>
          <w:tcPr>
            <w:tcW w:w="9245" w:type="dxa"/>
            <w:gridSpan w:val="3"/>
            <w:tcBorders/>
            <w:shd w:fill="auto" w:val="clear"/>
            <w:vAlign w:val="center"/>
          </w:tcPr>
          <w:p>
            <w:pPr>
              <w:pStyle w:val="TableContents"/>
              <w:spacing w:before="0" w:after="283"/>
              <w:jc w:val="left"/>
              <w:rPr/>
            </w:pPr>
            <w:r>
              <w:rPr/>
              <w:t> </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(w)</w:t>
            </w:r>
          </w:p>
        </w:tc>
        <w:tc>
          <w:tcPr>
            <w:tcW w:w="9245" w:type="dxa"/>
            <w:gridSpan w:val="3"/>
            <w:tcBorders/>
            <w:shd w:fill="auto" w:val="clear"/>
            <w:vAlign w:val="center"/>
          </w:tcPr>
          <w:p>
            <w:pPr>
              <w:pStyle w:val="TableContents"/>
              <w:spacing w:before="0" w:after="283"/>
              <w:jc w:val="left"/>
              <w:rPr/>
            </w:pPr>
            <w:r>
              <w:rPr/>
              <w:t>“</w:t>
            </w:r>
            <w:r>
              <w:rPr>
                <w:rFonts w:ascii="Arial" w:hAnsi="Arial"/>
                <w:sz w:val="20"/>
                <w:u w:val="single"/>
              </w:rPr>
              <w:t>Option</w:t>
            </w:r>
            <w:r>
              <w:rPr/>
              <w:t xml:space="preserve">” </w:t>
            </w:r>
            <w:r>
              <w:rPr>
                <w:rFonts w:ascii="Arial" w:hAnsi="Arial"/>
                <w:sz w:val="20"/>
              </w:rPr>
              <w:t>means any stock option granted under the Plan and described in 3(c) or Section 3(d).</w:t>
            </w:r>
            <w:r>
              <w:rPr/>
              <w:t xml:space="preserve"> </w:t>
            </w:r>
          </w:p>
        </w:tc>
      </w:tr>
      <w:tr>
        <w:trPr/>
        <w:tc>
          <w:tcPr>
            <w:tcW w:w="480" w:type="dxa"/>
            <w:tcBorders/>
            <w:shd w:fill="auto" w:val="clear"/>
            <w:vAlign w:val="center"/>
          </w:tcPr>
          <w:p>
            <w:pPr>
              <w:pStyle w:val="TableContents"/>
              <w:spacing w:before="0" w:after="283"/>
              <w:jc w:val="left"/>
              <w:rPr/>
            </w:pPr>
            <w:r>
              <w:rPr/>
              <w:t> </w:t>
            </w:r>
          </w:p>
        </w:tc>
        <w:tc>
          <w:tcPr>
            <w:tcW w:w="480" w:type="dxa"/>
            <w:tcBorders/>
            <w:shd w:fill="auto" w:val="clear"/>
            <w:vAlign w:val="center"/>
          </w:tcPr>
          <w:p>
            <w:pPr>
              <w:pStyle w:val="TableContents"/>
              <w:spacing w:before="0" w:after="283"/>
              <w:jc w:val="left"/>
              <w:rPr/>
            </w:pPr>
            <w:r>
              <w:rPr/>
              <w:t> </w:t>
            </w:r>
          </w:p>
        </w:tc>
        <w:tc>
          <w:tcPr>
            <w:tcW w:w="9245" w:type="dxa"/>
            <w:gridSpan w:val="3"/>
            <w:tcBorders/>
            <w:shd w:fill="auto" w:val="clear"/>
            <w:vAlign w:val="center"/>
          </w:tcPr>
          <w:p>
            <w:pPr>
              <w:pStyle w:val="TableContents"/>
              <w:spacing w:before="0" w:after="283"/>
              <w:jc w:val="left"/>
              <w:rPr/>
            </w:pPr>
            <w:r>
              <w:rPr/>
              <w:t> </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(x)</w:t>
            </w:r>
          </w:p>
        </w:tc>
        <w:tc>
          <w:tcPr>
            <w:tcW w:w="9245" w:type="dxa"/>
            <w:gridSpan w:val="3"/>
            <w:tcBorders/>
            <w:shd w:fill="auto" w:val="clear"/>
            <w:vAlign w:val="center"/>
          </w:tcPr>
          <w:p>
            <w:pPr>
              <w:pStyle w:val="TableContents"/>
              <w:spacing w:before="0" w:after="283"/>
              <w:jc w:val="left"/>
              <w:rPr/>
            </w:pPr>
            <w:r>
              <w:rPr/>
              <w:t>“</w:t>
            </w:r>
            <w:r>
              <w:rPr>
                <w:rFonts w:ascii="Arial" w:hAnsi="Arial"/>
                <w:sz w:val="20"/>
                <w:u w:val="single"/>
              </w:rPr>
              <w:t>Other Eligible Service Provider</w:t>
            </w:r>
            <w:r>
              <w:rPr/>
              <w:t xml:space="preserve">” </w:t>
            </w:r>
            <w:r>
              <w:rPr>
                <w:rFonts w:ascii="Arial" w:hAnsi="Arial"/>
                <w:sz w:val="20"/>
              </w:rPr>
              <w:t>means (x) any individual, including an advisor, who is providing services to any Participating Company or who has accepted an offer of service or consultancy from any Participating Company and (y) any other service provider eligible to receive grants under a plan that is eligible for registration with the Securities and Exchange Commission on Form S-8.</w:t>
            </w:r>
            <w:r>
              <w:rPr/>
              <w:t xml:space="preserve"> </w:t>
            </w:r>
          </w:p>
        </w:tc>
      </w:tr>
      <w:tr>
        <w:trPr/>
        <w:tc>
          <w:tcPr>
            <w:tcW w:w="480" w:type="dxa"/>
            <w:tcBorders/>
            <w:shd w:fill="auto" w:val="clear"/>
            <w:vAlign w:val="center"/>
          </w:tcPr>
          <w:p>
            <w:pPr>
              <w:pStyle w:val="TableContents"/>
              <w:spacing w:before="0" w:after="283"/>
              <w:jc w:val="left"/>
              <w:rPr/>
            </w:pPr>
            <w:r>
              <w:rPr/>
              <w:t> </w:t>
            </w:r>
          </w:p>
        </w:tc>
        <w:tc>
          <w:tcPr>
            <w:tcW w:w="480" w:type="dxa"/>
            <w:tcBorders/>
            <w:shd w:fill="auto" w:val="clear"/>
            <w:vAlign w:val="center"/>
          </w:tcPr>
          <w:p>
            <w:pPr>
              <w:pStyle w:val="TableContents"/>
              <w:spacing w:before="0" w:after="283"/>
              <w:jc w:val="left"/>
              <w:rPr/>
            </w:pPr>
            <w:r>
              <w:rPr/>
              <w:t> </w:t>
            </w:r>
          </w:p>
        </w:tc>
        <w:tc>
          <w:tcPr>
            <w:tcW w:w="9245" w:type="dxa"/>
            <w:gridSpan w:val="3"/>
            <w:tcBorders/>
            <w:shd w:fill="auto" w:val="clear"/>
            <w:vAlign w:val="center"/>
          </w:tcPr>
          <w:p>
            <w:pPr>
              <w:pStyle w:val="TableContents"/>
              <w:spacing w:before="0" w:after="283"/>
              <w:jc w:val="left"/>
              <w:rPr/>
            </w:pPr>
            <w:r>
              <w:rPr/>
              <w:t> </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(y)</w:t>
            </w:r>
          </w:p>
        </w:tc>
        <w:tc>
          <w:tcPr>
            <w:tcW w:w="9245" w:type="dxa"/>
            <w:gridSpan w:val="3"/>
            <w:tcBorders/>
            <w:shd w:fill="auto" w:val="clear"/>
            <w:vAlign w:val="center"/>
          </w:tcPr>
          <w:p>
            <w:pPr>
              <w:pStyle w:val="TableContents"/>
              <w:spacing w:before="0" w:after="283"/>
              <w:jc w:val="left"/>
              <w:rPr/>
            </w:pPr>
            <w:r>
              <w:rPr/>
              <w:t>“</w:t>
            </w:r>
            <w:r>
              <w:rPr>
                <w:rFonts w:ascii="Arial" w:hAnsi="Arial"/>
                <w:sz w:val="20"/>
                <w:u w:val="single"/>
              </w:rPr>
              <w:t>Other Share-Based Award</w:t>
            </w:r>
            <w:r>
              <w:rPr/>
              <w:t xml:space="preserve">” </w:t>
            </w:r>
            <w:r>
              <w:rPr>
                <w:rFonts w:ascii="Arial" w:hAnsi="Arial"/>
                <w:sz w:val="20"/>
              </w:rPr>
              <w:t>means an Award granted pursuant to Section 10 that may be denominated or payable in, valued in whole or in part by reference to, or otherwise based on, or related to, Shares or factors that may influence the value of Shares, including convertible or exchangeable debt securities, other rights convertible or exchangeable into Shares, purchase rights for Shares, dividend rights or dividend equivalent rights or Awards with value and payment contingent upon performance of the Company or business units thereof or any other factors designated by the Committee.</w:t>
            </w:r>
            <w:r>
              <w:rPr/>
              <w:t xml:space="preserve"> </w:t>
            </w:r>
          </w:p>
        </w:tc>
      </w:tr>
      <w:tr>
        <w:trPr/>
        <w:tc>
          <w:tcPr>
            <w:tcW w:w="480" w:type="dxa"/>
            <w:tcBorders/>
            <w:shd w:fill="auto" w:val="clear"/>
            <w:vAlign w:val="center"/>
          </w:tcPr>
          <w:p>
            <w:pPr>
              <w:pStyle w:val="TableContents"/>
              <w:spacing w:before="0" w:after="283"/>
              <w:jc w:val="left"/>
              <w:rPr/>
            </w:pPr>
            <w:r>
              <w:rPr/>
              <w:t> </w:t>
            </w:r>
          </w:p>
        </w:tc>
        <w:tc>
          <w:tcPr>
            <w:tcW w:w="480" w:type="dxa"/>
            <w:tcBorders/>
            <w:shd w:fill="auto" w:val="clear"/>
            <w:vAlign w:val="center"/>
          </w:tcPr>
          <w:p>
            <w:pPr>
              <w:pStyle w:val="TableContents"/>
              <w:spacing w:before="0" w:after="283"/>
              <w:jc w:val="left"/>
              <w:rPr/>
            </w:pPr>
            <w:r>
              <w:rPr/>
              <w:t> </w:t>
            </w:r>
          </w:p>
        </w:tc>
        <w:tc>
          <w:tcPr>
            <w:tcW w:w="9245" w:type="dxa"/>
            <w:gridSpan w:val="3"/>
            <w:tcBorders/>
            <w:shd w:fill="auto" w:val="clear"/>
            <w:vAlign w:val="center"/>
          </w:tcPr>
          <w:p>
            <w:pPr>
              <w:pStyle w:val="TableContents"/>
              <w:spacing w:before="0" w:after="283"/>
              <w:jc w:val="left"/>
              <w:rPr/>
            </w:pPr>
            <w:r>
              <w:rPr/>
              <w:t> </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(z)</w:t>
            </w:r>
          </w:p>
        </w:tc>
        <w:tc>
          <w:tcPr>
            <w:tcW w:w="9245" w:type="dxa"/>
            <w:gridSpan w:val="3"/>
            <w:tcBorders/>
            <w:shd w:fill="auto" w:val="clear"/>
            <w:vAlign w:val="center"/>
          </w:tcPr>
          <w:p>
            <w:pPr>
              <w:pStyle w:val="TableContents"/>
              <w:spacing w:before="0" w:after="283"/>
              <w:jc w:val="left"/>
              <w:rPr/>
            </w:pPr>
            <w:r>
              <w:rPr/>
              <w:t>“</w:t>
            </w:r>
            <w:r>
              <w:rPr>
                <w:rFonts w:ascii="Arial" w:hAnsi="Arial"/>
                <w:sz w:val="20"/>
                <w:u w:val="single"/>
              </w:rPr>
              <w:t>Participant</w:t>
            </w:r>
            <w:r>
              <w:rPr/>
              <w:t xml:space="preserve">” </w:t>
            </w:r>
            <w:r>
              <w:rPr>
                <w:rFonts w:ascii="Arial" w:hAnsi="Arial"/>
                <w:sz w:val="20"/>
              </w:rPr>
              <w:t>means an Eligible Employee, Non-Employee Director or Other Eligible Service Provider who is granted an Award under the Plan.</w:t>
            </w:r>
            <w:r>
              <w:rPr/>
              <w:t xml:space="preserve"> </w:t>
            </w:r>
          </w:p>
        </w:tc>
      </w:tr>
      <w:tr>
        <w:trPr/>
        <w:tc>
          <w:tcPr>
            <w:tcW w:w="480" w:type="dxa"/>
            <w:tcBorders/>
            <w:shd w:fill="auto" w:val="clear"/>
            <w:vAlign w:val="center"/>
          </w:tcPr>
          <w:p>
            <w:pPr>
              <w:pStyle w:val="TableContents"/>
              <w:spacing w:before="0" w:after="283"/>
              <w:jc w:val="left"/>
              <w:rPr/>
            </w:pPr>
            <w:r>
              <w:rPr/>
              <w:t> </w:t>
            </w:r>
          </w:p>
        </w:tc>
        <w:tc>
          <w:tcPr>
            <w:tcW w:w="480" w:type="dxa"/>
            <w:tcBorders/>
            <w:shd w:fill="auto" w:val="clear"/>
            <w:vAlign w:val="center"/>
          </w:tcPr>
          <w:p>
            <w:pPr>
              <w:pStyle w:val="TableContents"/>
              <w:spacing w:before="0" w:after="283"/>
              <w:jc w:val="left"/>
              <w:rPr/>
            </w:pPr>
            <w:r>
              <w:rPr/>
              <w:t> </w:t>
            </w:r>
          </w:p>
        </w:tc>
        <w:tc>
          <w:tcPr>
            <w:tcW w:w="9245" w:type="dxa"/>
            <w:gridSpan w:val="3"/>
            <w:tcBorders/>
            <w:shd w:fill="auto" w:val="clear"/>
            <w:vAlign w:val="center"/>
          </w:tcPr>
          <w:p>
            <w:pPr>
              <w:pStyle w:val="TableContents"/>
              <w:spacing w:before="0" w:after="283"/>
              <w:jc w:val="left"/>
              <w:rPr/>
            </w:pPr>
            <w:r>
              <w:rPr/>
              <w:t> </w:t>
            </w:r>
          </w:p>
        </w:tc>
      </w:tr>
    </w:tbl>
    <w:tbl>
      <w:tblPr>
        <w:tblW w:w="10205" w:type="dxa"/>
        <w:jc w:val="left"/>
        <w:tblInd w:w="0" w:type="dxa"/>
        <w:tblCellMar>
          <w:top w:w="0" w:type="dxa"/>
          <w:left w:w="0" w:type="dxa"/>
          <w:bottom w:w="0" w:type="dxa"/>
          <w:right w:w="0" w:type="dxa"/>
        </w:tblCellMar>
      </w:tblPr>
      <w:tblGrid>
        <w:gridCol w:w="480"/>
        <w:gridCol w:w="480"/>
        <w:gridCol w:w="9245"/>
      </w:tblGrid>
      <w:tr>
        <w:trPr/>
        <w:tc>
          <w:tcPr>
            <w:tcW w:w="480" w:type="dxa"/>
            <w:tcBorders/>
            <w:shd w:fill="auto" w:val="clear"/>
            <w:vAlign w:val="center"/>
          </w:tcPr>
          <w:p>
            <w:pPr>
              <w:pStyle w:val="TableContents"/>
              <w:spacing w:before="0" w:after="283"/>
              <w:jc w:val="left"/>
              <w:rPr/>
            </w:pPr>
            <w:r>
              <w:rPr/>
              <w:t>        </w:t>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(aa)</w:t>
            </w:r>
          </w:p>
        </w:tc>
        <w:tc>
          <w:tcPr>
            <w:tcW w:w="9245" w:type="dxa"/>
            <w:tcBorders/>
            <w:shd w:fill="auto" w:val="clear"/>
            <w:vAlign w:val="center"/>
          </w:tcPr>
          <w:p>
            <w:pPr>
              <w:pStyle w:val="TableContents"/>
              <w:spacing w:before="0" w:after="283"/>
              <w:jc w:val="left"/>
              <w:rPr/>
            </w:pPr>
            <w:r>
              <w:rPr/>
              <w:t>“</w:t>
            </w:r>
            <w:r>
              <w:rPr>
                <w:rFonts w:ascii="Arial" w:hAnsi="Arial"/>
                <w:sz w:val="20"/>
                <w:u w:val="single"/>
              </w:rPr>
              <w:t>Participating Company</w:t>
            </w:r>
            <w:r>
              <w:rPr/>
              <w:t xml:space="preserve">” </w:t>
            </w:r>
            <w:r>
              <w:rPr>
                <w:rFonts w:ascii="Arial" w:hAnsi="Arial"/>
                <w:sz w:val="20"/>
              </w:rPr>
              <w:t>means the Company and each of the Subsidiary Companies.</w:t>
            </w:r>
            <w:r>
              <w:rPr/>
              <w:t xml:space="preserve"> </w:t>
            </w:r>
          </w:p>
        </w:tc>
      </w:tr>
      <w:tr>
        <w:trPr/>
        <w:tc>
          <w:tcPr>
            <w:tcW w:w="480" w:type="dxa"/>
            <w:tcBorders/>
            <w:shd w:fill="auto" w:val="clear"/>
            <w:vAlign w:val="center"/>
          </w:tcPr>
          <w:p>
            <w:pPr>
              <w:pStyle w:val="TableContents"/>
              <w:spacing w:before="0" w:after="283"/>
              <w:jc w:val="left"/>
              <w:rPr/>
            </w:pPr>
            <w:r>
              <w:rPr/>
              <w:t> </w:t>
            </w:r>
          </w:p>
        </w:tc>
        <w:tc>
          <w:tcPr>
            <w:tcW w:w="480" w:type="dxa"/>
            <w:tcBorders/>
            <w:shd w:fill="auto" w:val="clear"/>
            <w:vAlign w:val="center"/>
          </w:tcPr>
          <w:p>
            <w:pPr>
              <w:pStyle w:val="TableContents"/>
              <w:spacing w:before="0" w:after="283"/>
              <w:jc w:val="left"/>
              <w:rPr/>
            </w:pPr>
            <w:r>
              <w:rPr/>
              <w:t>        </w:t>
            </w:r>
          </w:p>
        </w:tc>
        <w:tc>
          <w:tcPr>
            <w:tcW w:w="9245" w:type="dxa"/>
            <w:tcBorders/>
            <w:shd w:fill="auto" w:val="clear"/>
            <w:vAlign w:val="center"/>
          </w:tcPr>
          <w:p>
            <w:pPr>
              <w:pStyle w:val="TableContents"/>
              <w:spacing w:before="0" w:after="283"/>
              <w:rPr>
                <w:sz w:val="4"/>
                <w:szCs w:val="4"/>
              </w:rPr>
            </w:pPr>
            <w:r>
              <w:rPr>
                <w:sz w:val="4"/>
                <w:szCs w:val="4"/>
              </w:rPr>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(bb)</w:t>
            </w:r>
          </w:p>
        </w:tc>
        <w:tc>
          <w:tcPr>
            <w:tcW w:w="9245" w:type="dxa"/>
            <w:tcBorders/>
            <w:shd w:fill="auto" w:val="clear"/>
            <w:vAlign w:val="center"/>
          </w:tcPr>
          <w:p>
            <w:pPr>
              <w:pStyle w:val="TableContents"/>
              <w:spacing w:before="0" w:after="283"/>
              <w:jc w:val="left"/>
              <w:rPr/>
            </w:pPr>
            <w:r>
              <w:rPr/>
              <w:t>“</w:t>
            </w:r>
            <w:r>
              <w:rPr>
                <w:rFonts w:ascii="Arial" w:hAnsi="Arial"/>
                <w:sz w:val="20"/>
                <w:u w:val="single"/>
              </w:rPr>
              <w:t>Person</w:t>
            </w:r>
            <w:r>
              <w:rPr/>
              <w:t xml:space="preserve">” </w:t>
            </w:r>
            <w:r>
              <w:rPr>
                <w:rFonts w:ascii="Arial" w:hAnsi="Arial"/>
                <w:sz w:val="20"/>
              </w:rPr>
              <w:t>means an individual, a corporation, a partnership, an association, a trust or any other entity or organization.</w:t>
            </w:r>
            <w:r>
              <w:rPr/>
              <w:t xml:space="preserve"> </w:t>
            </w:r>
          </w:p>
        </w:tc>
      </w:tr>
      <w:tr>
        <w:trPr/>
        <w:tc>
          <w:tcPr>
            <w:tcW w:w="480" w:type="dxa"/>
            <w:tcBorders/>
            <w:shd w:fill="auto" w:val="clear"/>
            <w:vAlign w:val="center"/>
          </w:tcPr>
          <w:p>
            <w:pPr>
              <w:pStyle w:val="TableContents"/>
              <w:spacing w:before="0" w:after="283"/>
              <w:jc w:val="left"/>
              <w:rPr/>
            </w:pPr>
            <w:r>
              <w:rPr/>
              <w:t> </w:t>
            </w:r>
          </w:p>
        </w:tc>
        <w:tc>
          <w:tcPr>
            <w:tcW w:w="9725" w:type="dxa"/>
            <w:gridSpan w:val="2"/>
            <w:tcBorders/>
            <w:shd w:fill="auto" w:val="clear"/>
            <w:vAlign w:val="center"/>
          </w:tcPr>
          <w:p>
            <w:pPr>
              <w:pStyle w:val="TableContents"/>
              <w:spacing w:before="0" w:after="283"/>
              <w:jc w:val="left"/>
              <w:rPr/>
            </w:pPr>
            <w:r>
              <w:rPr/>
              <w:t> </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(cc)</w:t>
            </w:r>
          </w:p>
        </w:tc>
        <w:tc>
          <w:tcPr>
            <w:tcW w:w="9245" w:type="dxa"/>
            <w:tcBorders/>
            <w:shd w:fill="auto" w:val="clear"/>
            <w:vAlign w:val="center"/>
          </w:tcPr>
          <w:p>
            <w:pPr>
              <w:pStyle w:val="TableContents"/>
              <w:spacing w:before="0" w:after="283"/>
              <w:jc w:val="left"/>
              <w:rPr/>
            </w:pPr>
            <w:r>
              <w:rPr/>
              <w:t>“</w:t>
            </w:r>
            <w:r>
              <w:rPr>
                <w:rFonts w:ascii="Arial" w:hAnsi="Arial"/>
                <w:sz w:val="20"/>
                <w:u w:val="single"/>
              </w:rPr>
              <w:t>Restricted Stock</w:t>
            </w:r>
            <w:r>
              <w:rPr/>
              <w:t xml:space="preserve">” </w:t>
            </w:r>
            <w:r>
              <w:rPr>
                <w:rFonts w:ascii="Arial" w:hAnsi="Arial"/>
                <w:sz w:val="20"/>
              </w:rPr>
              <w:t>means Shares subject to restrictions as set forth in an Award.</w:t>
            </w:r>
            <w:r>
              <w:rPr/>
              <w:t xml:space="preserve"> </w:t>
            </w:r>
          </w:p>
        </w:tc>
      </w:tr>
      <w:tr>
        <w:trPr/>
        <w:tc>
          <w:tcPr>
            <w:tcW w:w="480" w:type="dxa"/>
            <w:tcBorders/>
            <w:shd w:fill="auto" w:val="clear"/>
            <w:vAlign w:val="center"/>
          </w:tcPr>
          <w:p>
            <w:pPr>
              <w:pStyle w:val="TableContents"/>
              <w:spacing w:before="0" w:after="283"/>
              <w:jc w:val="left"/>
              <w:rPr/>
            </w:pPr>
            <w:r>
              <w:rPr/>
              <w:t> </w:t>
            </w:r>
          </w:p>
        </w:tc>
        <w:tc>
          <w:tcPr>
            <w:tcW w:w="9725" w:type="dxa"/>
            <w:gridSpan w:val="2"/>
            <w:tcBorders/>
            <w:shd w:fill="auto" w:val="clear"/>
            <w:vAlign w:val="center"/>
          </w:tcPr>
          <w:p>
            <w:pPr>
              <w:pStyle w:val="TableContents"/>
              <w:spacing w:before="0" w:after="283"/>
              <w:jc w:val="left"/>
              <w:rPr/>
            </w:pPr>
            <w:r>
              <w:rPr/>
              <w:t> </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(dd)</w:t>
            </w:r>
          </w:p>
        </w:tc>
        <w:tc>
          <w:tcPr>
            <w:tcW w:w="9245" w:type="dxa"/>
            <w:tcBorders/>
            <w:shd w:fill="auto" w:val="clear"/>
            <w:vAlign w:val="center"/>
          </w:tcPr>
          <w:p>
            <w:pPr>
              <w:pStyle w:val="TableContents"/>
              <w:spacing w:before="0" w:after="283"/>
              <w:jc w:val="left"/>
              <w:rPr/>
            </w:pPr>
            <w:r>
              <w:rPr/>
              <w:t>“</w:t>
            </w:r>
            <w:r>
              <w:rPr>
                <w:rFonts w:ascii="Arial" w:hAnsi="Arial"/>
                <w:sz w:val="20"/>
                <w:u w:val="single"/>
              </w:rPr>
              <w:t>Restricted Stock Unit</w:t>
            </w:r>
            <w:r>
              <w:rPr/>
              <w:t xml:space="preserve">” </w:t>
            </w:r>
            <w:r>
              <w:rPr>
                <w:rFonts w:ascii="Arial" w:hAnsi="Arial"/>
                <w:sz w:val="20"/>
              </w:rPr>
              <w:t>means a unit that entitles the Participant, upon the Vesting Date set forth in an Award, to receive one Share.</w:t>
            </w:r>
            <w:r>
              <w:rPr/>
              <w:t xml:space="preserve"> </w:t>
            </w:r>
          </w:p>
        </w:tc>
      </w:tr>
      <w:tr>
        <w:trPr/>
        <w:tc>
          <w:tcPr>
            <w:tcW w:w="480" w:type="dxa"/>
            <w:tcBorders/>
            <w:shd w:fill="auto" w:val="clear"/>
            <w:vAlign w:val="center"/>
          </w:tcPr>
          <w:p>
            <w:pPr>
              <w:pStyle w:val="TableContents"/>
              <w:spacing w:before="0" w:after="283"/>
              <w:jc w:val="left"/>
              <w:rPr/>
            </w:pPr>
            <w:r>
              <w:rPr/>
              <w:t> </w:t>
            </w:r>
          </w:p>
        </w:tc>
        <w:tc>
          <w:tcPr>
            <w:tcW w:w="9725" w:type="dxa"/>
            <w:gridSpan w:val="2"/>
            <w:tcBorders/>
            <w:shd w:fill="auto" w:val="clear"/>
            <w:vAlign w:val="center"/>
          </w:tcPr>
          <w:p>
            <w:pPr>
              <w:pStyle w:val="TableContents"/>
              <w:spacing w:before="0" w:after="283"/>
              <w:jc w:val="left"/>
              <w:rPr/>
            </w:pPr>
            <w:r>
              <w:rPr/>
              <w:t> </w:t>
            </w:r>
          </w:p>
        </w:tc>
      </w:tr>
      <w:tr>
        <w:trPr/>
        <w:tc>
          <w:tcPr>
            <w:tcW w:w="480" w:type="dxa"/>
            <w:tcBorders/>
            <w:shd w:fill="auto" w:val="clear"/>
            <w:vAlign w:val="center"/>
          </w:tcPr>
          <w:p>
            <w:pPr>
              <w:pStyle w:val="TableContents"/>
              <w:spacing w:before="0" w:after="283"/>
              <w:jc w:val="left"/>
              <w:rPr/>
            </w:pPr>
            <w:r>
              <w:rPr/>
              <w:t> </w:t>
            </w:r>
          </w:p>
        </w:tc>
        <w:tc>
          <w:tcPr>
            <w:tcW w:w="9725" w:type="dxa"/>
            <w:gridSpan w:val="2"/>
            <w:tcBorders/>
            <w:shd w:fill="auto" w:val="clear"/>
            <w:vAlign w:val="center"/>
          </w:tcPr>
          <w:p>
            <w:pPr>
              <w:pStyle w:val="TableContents"/>
              <w:spacing w:before="0" w:after="283"/>
              <w:jc w:val="left"/>
              <w:rPr/>
            </w:pPr>
            <w:r>
              <w:rPr/>
              <w:t> </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(ee)</w:t>
            </w:r>
          </w:p>
        </w:tc>
        <w:tc>
          <w:tcPr>
            <w:tcW w:w="9245" w:type="dxa"/>
            <w:tcBorders/>
            <w:shd w:fill="auto" w:val="clear"/>
            <w:vAlign w:val="center"/>
          </w:tcPr>
          <w:p>
            <w:pPr>
              <w:pStyle w:val="TableContents"/>
              <w:spacing w:before="0" w:after="283"/>
              <w:jc w:val="left"/>
              <w:rPr/>
            </w:pPr>
            <w:r>
              <w:rPr/>
              <w:t>“</w:t>
            </w:r>
            <w:r>
              <w:rPr>
                <w:rFonts w:ascii="Arial" w:hAnsi="Arial"/>
                <w:sz w:val="20"/>
                <w:u w:val="single"/>
              </w:rPr>
              <w:t>Rule 16b-3</w:t>
            </w:r>
            <w:r>
              <w:rPr/>
              <w:t xml:space="preserve">” </w:t>
            </w:r>
            <w:r>
              <w:rPr>
                <w:rFonts w:ascii="Arial" w:hAnsi="Arial"/>
                <w:sz w:val="20"/>
              </w:rPr>
              <w:t>means Rule 16b-3 under the 1934 Act.</w:t>
            </w:r>
            <w:r>
              <w:rPr/>
              <w:t xml:space="preserve"> </w:t>
            </w:r>
          </w:p>
        </w:tc>
      </w:tr>
      <w:tr>
        <w:trPr/>
        <w:tc>
          <w:tcPr>
            <w:tcW w:w="480" w:type="dxa"/>
            <w:tcBorders/>
            <w:shd w:fill="auto" w:val="clear"/>
            <w:vAlign w:val="center"/>
          </w:tcPr>
          <w:p>
            <w:pPr>
              <w:pStyle w:val="TableContents"/>
              <w:spacing w:before="0" w:after="283"/>
              <w:jc w:val="left"/>
              <w:rPr/>
            </w:pPr>
            <w:r>
              <w:rPr/>
              <w:t> </w:t>
            </w:r>
          </w:p>
        </w:tc>
        <w:tc>
          <w:tcPr>
            <w:tcW w:w="9725" w:type="dxa"/>
            <w:gridSpan w:val="2"/>
            <w:tcBorders/>
            <w:shd w:fill="auto" w:val="clear"/>
            <w:vAlign w:val="center"/>
          </w:tcPr>
          <w:p>
            <w:pPr>
              <w:pStyle w:val="TableContents"/>
              <w:spacing w:before="0" w:after="283"/>
              <w:jc w:val="left"/>
              <w:rPr/>
            </w:pPr>
            <w:r>
              <w:rPr/>
              <w:t> </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(ff)</w:t>
            </w:r>
          </w:p>
        </w:tc>
        <w:tc>
          <w:tcPr>
            <w:tcW w:w="9245" w:type="dxa"/>
            <w:tcBorders/>
            <w:shd w:fill="auto" w:val="clear"/>
            <w:vAlign w:val="center"/>
          </w:tcPr>
          <w:p>
            <w:pPr>
              <w:pStyle w:val="TableContents"/>
              <w:spacing w:before="0" w:after="283"/>
              <w:jc w:val="left"/>
              <w:rPr/>
            </w:pPr>
            <w:r>
              <w:rPr/>
              <w:t>“</w:t>
            </w:r>
            <w:r>
              <w:rPr>
                <w:rFonts w:ascii="Arial" w:hAnsi="Arial"/>
                <w:sz w:val="20"/>
                <w:u w:val="single"/>
              </w:rPr>
              <w:t>SAR</w:t>
            </w:r>
            <w:r>
              <w:rPr/>
              <w:t xml:space="preserve">” </w:t>
            </w:r>
            <w:r>
              <w:rPr>
                <w:rFonts w:ascii="Arial" w:hAnsi="Arial"/>
                <w:sz w:val="20"/>
              </w:rPr>
              <w:t>means any right granted pursuant to Section 3(e) to receive upon exercise by the Participant or settlement, in cash, Shares or a combination thereof, the excess of (i) the Fair Market Value of one Share on the date of exercise or settlement over (ii) the exercise or hurdle price of the right on the date of grant.</w:t>
            </w:r>
            <w:r>
              <w:rPr/>
              <w:t xml:space="preserve"> </w:t>
            </w:r>
          </w:p>
        </w:tc>
      </w:tr>
      <w:tr>
        <w:trPr/>
        <w:tc>
          <w:tcPr>
            <w:tcW w:w="480" w:type="dxa"/>
            <w:tcBorders/>
            <w:shd w:fill="auto" w:val="clear"/>
            <w:vAlign w:val="center"/>
          </w:tcPr>
          <w:p>
            <w:pPr>
              <w:pStyle w:val="TableContents"/>
              <w:spacing w:before="0" w:after="283"/>
              <w:jc w:val="left"/>
              <w:rPr/>
            </w:pPr>
            <w:r>
              <w:rPr/>
              <w:t> </w:t>
            </w:r>
          </w:p>
        </w:tc>
        <w:tc>
          <w:tcPr>
            <w:tcW w:w="9725" w:type="dxa"/>
            <w:gridSpan w:val="2"/>
            <w:tcBorders/>
            <w:shd w:fill="auto" w:val="clear"/>
            <w:vAlign w:val="center"/>
          </w:tcPr>
          <w:p>
            <w:pPr>
              <w:pStyle w:val="TableContents"/>
              <w:spacing w:before="0" w:after="283"/>
              <w:jc w:val="left"/>
              <w:rPr/>
            </w:pPr>
            <w:r>
              <w:rPr/>
              <w:t> </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(gg)</w:t>
            </w:r>
          </w:p>
        </w:tc>
        <w:tc>
          <w:tcPr>
            <w:tcW w:w="9245" w:type="dxa"/>
            <w:tcBorders/>
            <w:shd w:fill="auto" w:val="clear"/>
            <w:vAlign w:val="center"/>
          </w:tcPr>
          <w:p>
            <w:pPr>
              <w:pStyle w:val="TableContents"/>
              <w:spacing w:before="0" w:after="283"/>
              <w:jc w:val="left"/>
              <w:rPr/>
            </w:pPr>
            <w:r>
              <w:rPr/>
              <w:t>“</w:t>
            </w:r>
            <w:r>
              <w:rPr>
                <w:rFonts w:ascii="Arial" w:hAnsi="Arial"/>
                <w:sz w:val="20"/>
                <w:u w:val="single"/>
              </w:rPr>
              <w:t>Section 16 Officer</w:t>
            </w:r>
            <w:r>
              <w:rPr/>
              <w:t xml:space="preserve">” </w:t>
            </w:r>
            <w:r>
              <w:rPr>
                <w:rFonts w:ascii="Arial" w:hAnsi="Arial"/>
                <w:sz w:val="20"/>
              </w:rPr>
              <w:t>means an “officer” of the Company, as defined pursuant to Rule 16a-1(f) under the 1934 Act.</w:t>
            </w:r>
            <w:r>
              <w:rPr/>
              <w:t xml:space="preserve"> </w:t>
            </w:r>
          </w:p>
        </w:tc>
      </w:tr>
      <w:tr>
        <w:trPr/>
        <w:tc>
          <w:tcPr>
            <w:tcW w:w="480" w:type="dxa"/>
            <w:tcBorders/>
            <w:shd w:fill="auto" w:val="clear"/>
            <w:vAlign w:val="center"/>
          </w:tcPr>
          <w:p>
            <w:pPr>
              <w:pStyle w:val="TableContents"/>
              <w:spacing w:before="0" w:after="283"/>
              <w:jc w:val="left"/>
              <w:rPr/>
            </w:pPr>
            <w:r>
              <w:rPr/>
              <w:t> </w:t>
            </w:r>
          </w:p>
        </w:tc>
        <w:tc>
          <w:tcPr>
            <w:tcW w:w="9725" w:type="dxa"/>
            <w:gridSpan w:val="2"/>
            <w:tcBorders/>
            <w:shd w:fill="auto" w:val="clear"/>
            <w:vAlign w:val="center"/>
          </w:tcPr>
          <w:p>
            <w:pPr>
              <w:pStyle w:val="TableContents"/>
              <w:spacing w:before="0" w:after="283"/>
              <w:jc w:val="left"/>
              <w:rPr/>
            </w:pPr>
            <w:r>
              <w:rPr/>
              <w:t> </w:t>
            </w:r>
          </w:p>
        </w:tc>
      </w:tr>
      <w:tr>
        <w:trPr/>
        <w:tc>
          <w:tcPr>
            <w:tcW w:w="480" w:type="dxa"/>
            <w:tcBorders/>
            <w:shd w:fill="auto" w:val="clear"/>
            <w:vAlign w:val="center"/>
          </w:tcPr>
          <w:p>
            <w:pPr>
              <w:pStyle w:val="TableContents"/>
              <w:spacing w:before="0" w:after="283"/>
              <w:jc w:val="left"/>
              <w:rPr/>
            </w:pPr>
            <w:r>
              <w:rPr/>
              <w:t> </w:t>
            </w:r>
          </w:p>
        </w:tc>
        <w:tc>
          <w:tcPr>
            <w:tcW w:w="9725" w:type="dxa"/>
            <w:gridSpan w:val="2"/>
            <w:tcBorders/>
            <w:shd w:fill="auto" w:val="clear"/>
            <w:vAlign w:val="center"/>
          </w:tcPr>
          <w:p>
            <w:pPr>
              <w:pStyle w:val="TableContents"/>
              <w:spacing w:before="0" w:after="283"/>
              <w:jc w:val="left"/>
              <w:rPr/>
            </w:pPr>
            <w:r>
              <w:rPr/>
              <w:t> </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(hh)</w:t>
            </w:r>
          </w:p>
        </w:tc>
        <w:tc>
          <w:tcPr>
            <w:tcW w:w="9245" w:type="dxa"/>
            <w:tcBorders/>
            <w:shd w:fill="auto" w:val="clear"/>
            <w:vAlign w:val="center"/>
          </w:tcPr>
          <w:p>
            <w:pPr>
              <w:pStyle w:val="TableContents"/>
              <w:spacing w:before="0" w:after="283"/>
              <w:jc w:val="left"/>
              <w:rPr/>
            </w:pPr>
            <w:r>
              <w:rPr/>
              <w:t>“</w:t>
            </w:r>
            <w:r>
              <w:rPr>
                <w:rFonts w:ascii="Arial" w:hAnsi="Arial"/>
                <w:sz w:val="20"/>
                <w:u w:val="single"/>
              </w:rPr>
              <w:t>Share</w:t>
            </w:r>
            <w:r>
              <w:rPr/>
              <w:t xml:space="preserve">” </w:t>
            </w:r>
            <w:r>
              <w:rPr>
                <w:rFonts w:ascii="Arial" w:hAnsi="Arial"/>
                <w:sz w:val="20"/>
              </w:rPr>
              <w:t>or “</w:t>
            </w:r>
            <w:r>
              <w:rPr>
                <w:rFonts w:ascii="Arial" w:hAnsi="Arial"/>
                <w:sz w:val="20"/>
                <w:u w:val="single"/>
              </w:rPr>
              <w:t>Shares</w:t>
            </w:r>
            <w:r>
              <w:rPr/>
              <w:t xml:space="preserve">” </w:t>
            </w:r>
            <w:r>
              <w:rPr>
                <w:rFonts w:ascii="Arial" w:hAnsi="Arial"/>
                <w:sz w:val="20"/>
              </w:rPr>
              <w:t>means a share or shares of Common Stock, except as otherwise provided in this Section 2(hh). The term “Share” or “Shares” also means such other securities issued by the Company as may be the subject of an adjustment under Section 12.</w:t>
            </w:r>
            <w:r>
              <w:rPr/>
              <w:t xml:space="preserve"> </w:t>
            </w:r>
          </w:p>
        </w:tc>
      </w:tr>
      <w:tr>
        <w:trPr/>
        <w:tc>
          <w:tcPr>
            <w:tcW w:w="480" w:type="dxa"/>
            <w:tcBorders/>
            <w:shd w:fill="auto" w:val="clear"/>
            <w:vAlign w:val="center"/>
          </w:tcPr>
          <w:p>
            <w:pPr>
              <w:pStyle w:val="TableContents"/>
              <w:spacing w:before="0" w:after="283"/>
              <w:jc w:val="left"/>
              <w:rPr/>
            </w:pPr>
            <w:r>
              <w:rPr/>
              <w:t> </w:t>
            </w:r>
          </w:p>
        </w:tc>
        <w:tc>
          <w:tcPr>
            <w:tcW w:w="9725" w:type="dxa"/>
            <w:gridSpan w:val="2"/>
            <w:tcBorders/>
            <w:shd w:fill="auto" w:val="clear"/>
            <w:vAlign w:val="center"/>
          </w:tcPr>
          <w:p>
            <w:pPr>
              <w:pStyle w:val="TableContents"/>
              <w:spacing w:before="0" w:after="283"/>
              <w:jc w:val="left"/>
              <w:rPr/>
            </w:pPr>
            <w:r>
              <w:rPr/>
              <w:t> </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(ii)</w:t>
            </w:r>
          </w:p>
        </w:tc>
        <w:tc>
          <w:tcPr>
            <w:tcW w:w="9245" w:type="dxa"/>
            <w:tcBorders/>
            <w:shd w:fill="auto" w:val="clear"/>
            <w:vAlign w:val="center"/>
          </w:tcPr>
          <w:p>
            <w:pPr>
              <w:pStyle w:val="TableContents"/>
              <w:spacing w:before="0" w:after="283"/>
              <w:jc w:val="left"/>
              <w:rPr/>
            </w:pPr>
            <w:r>
              <w:rPr/>
              <w:t>“</w:t>
            </w:r>
            <w:r>
              <w:rPr>
                <w:rFonts w:ascii="Arial" w:hAnsi="Arial"/>
                <w:sz w:val="20"/>
                <w:u w:val="single"/>
              </w:rPr>
              <w:t>Subsidiary Companies</w:t>
            </w:r>
            <w:r>
              <w:rPr/>
              <w:t xml:space="preserve">” </w:t>
            </w:r>
            <w:r>
              <w:rPr>
                <w:rFonts w:ascii="Arial" w:hAnsi="Arial"/>
                <w:sz w:val="20"/>
              </w:rPr>
              <w:t>means all trades or businesses, whether or not incorporated, that, at the time in question, either (i) are in an unbroken chain of trades or businesses beginning with the Company if, each of the trades or businesses other than the Company in the unbroken chain owns equity interests possessing 50 percent or more of the total combined voting power of all classes of equity interests in one of the other trades or businesses in such chain, or (ii) the accounts of which are otherwise consolidated on the financial statements of the Company.</w:t>
            </w:r>
            <w:r>
              <w:rPr/>
              <w:t xml:space="preserve"> </w:t>
            </w:r>
          </w:p>
        </w:tc>
      </w:tr>
      <w:tr>
        <w:trPr/>
        <w:tc>
          <w:tcPr>
            <w:tcW w:w="480" w:type="dxa"/>
            <w:tcBorders/>
            <w:shd w:fill="auto" w:val="clear"/>
            <w:vAlign w:val="center"/>
          </w:tcPr>
          <w:p>
            <w:pPr>
              <w:pStyle w:val="TableContents"/>
              <w:spacing w:before="0" w:after="283"/>
              <w:jc w:val="left"/>
              <w:rPr/>
            </w:pPr>
            <w:r>
              <w:rPr/>
              <w:t> </w:t>
            </w:r>
          </w:p>
        </w:tc>
        <w:tc>
          <w:tcPr>
            <w:tcW w:w="9725" w:type="dxa"/>
            <w:gridSpan w:val="2"/>
            <w:tcBorders/>
            <w:shd w:fill="auto" w:val="clear"/>
            <w:vAlign w:val="center"/>
          </w:tcPr>
          <w:p>
            <w:pPr>
              <w:pStyle w:val="TableContents"/>
              <w:spacing w:before="0" w:after="283"/>
              <w:jc w:val="left"/>
              <w:rPr/>
            </w:pPr>
            <w:r>
              <w:rPr/>
              <w:t> </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(jj)</w:t>
            </w:r>
          </w:p>
        </w:tc>
        <w:tc>
          <w:tcPr>
            <w:tcW w:w="9245" w:type="dxa"/>
            <w:tcBorders/>
            <w:shd w:fill="auto" w:val="clear"/>
            <w:vAlign w:val="center"/>
          </w:tcPr>
          <w:p>
            <w:pPr>
              <w:pStyle w:val="TableContents"/>
              <w:spacing w:before="0" w:after="283"/>
              <w:jc w:val="left"/>
              <w:rPr/>
            </w:pPr>
            <w:r>
              <w:rPr/>
              <w:t>“</w:t>
            </w:r>
            <w:r>
              <w:rPr>
                <w:rFonts w:ascii="Arial" w:hAnsi="Arial"/>
                <w:sz w:val="20"/>
                <w:u w:val="single"/>
              </w:rPr>
              <w:t>Substitute Award</w:t>
            </w:r>
            <w:r>
              <w:rPr/>
              <w:t xml:space="preserve">” </w:t>
            </w:r>
            <w:r>
              <w:rPr>
                <w:rFonts w:ascii="Arial" w:hAnsi="Arial"/>
                <w:sz w:val="20"/>
              </w:rPr>
              <w:t>means an Award granted in assumption of, or in substitution for, an outstanding award previously granted by a company or other business acquired by a Participating Company or with which a  Participating Company combines.</w:t>
            </w:r>
            <w:r>
              <w:rPr/>
              <w:t xml:space="preserve"> </w:t>
            </w:r>
          </w:p>
        </w:tc>
      </w:tr>
      <w:tr>
        <w:trPr/>
        <w:tc>
          <w:tcPr>
            <w:tcW w:w="480" w:type="dxa"/>
            <w:tcBorders/>
            <w:shd w:fill="auto" w:val="clear"/>
            <w:vAlign w:val="center"/>
          </w:tcPr>
          <w:p>
            <w:pPr>
              <w:pStyle w:val="TableContents"/>
              <w:spacing w:before="0" w:after="283"/>
              <w:jc w:val="left"/>
              <w:rPr/>
            </w:pPr>
            <w:r>
              <w:rPr/>
              <w:t> </w:t>
            </w:r>
          </w:p>
        </w:tc>
        <w:tc>
          <w:tcPr>
            <w:tcW w:w="9725" w:type="dxa"/>
            <w:gridSpan w:val="2"/>
            <w:tcBorders/>
            <w:shd w:fill="auto" w:val="clear"/>
            <w:vAlign w:val="center"/>
          </w:tcPr>
          <w:p>
            <w:pPr>
              <w:pStyle w:val="TableContents"/>
              <w:spacing w:before="0" w:after="283"/>
              <w:jc w:val="left"/>
              <w:rPr/>
            </w:pPr>
            <w:r>
              <w:rPr/>
              <w:t> </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(kk)</w:t>
            </w:r>
          </w:p>
        </w:tc>
        <w:tc>
          <w:tcPr>
            <w:tcW w:w="9245" w:type="dxa"/>
            <w:tcBorders/>
            <w:shd w:fill="auto" w:val="clear"/>
            <w:vAlign w:val="center"/>
          </w:tcPr>
          <w:p>
            <w:pPr>
              <w:pStyle w:val="TableContents"/>
              <w:spacing w:before="0" w:after="283"/>
              <w:jc w:val="left"/>
              <w:rPr/>
            </w:pPr>
            <w:r>
              <w:rPr/>
              <w:t>“</w:t>
            </w:r>
            <w:r>
              <w:rPr>
                <w:rFonts w:ascii="Arial" w:hAnsi="Arial"/>
                <w:sz w:val="20"/>
                <w:u w:val="single"/>
              </w:rPr>
              <w:t>Successor-in-Interest</w:t>
            </w:r>
            <w:r>
              <w:rPr/>
              <w:t xml:space="preserve">” </w:t>
            </w:r>
            <w:r>
              <w:rPr>
                <w:rFonts w:ascii="Arial" w:hAnsi="Arial"/>
                <w:sz w:val="20"/>
              </w:rPr>
              <w:t>means the estate or beneficiary to whom the right to payment under the Plan shall have passed by will or the laws of descent and distribution.</w:t>
            </w:r>
            <w:r>
              <w:rPr/>
              <w:t xml:space="preserve"> </w:t>
            </w:r>
          </w:p>
        </w:tc>
      </w:tr>
    </w:tbl>
    <w:p>
      <w:pPr>
        <w:pStyle w:val="TextBody"/>
        <w:spacing w:before="0" w:after="0"/>
        <w:rPr/>
      </w:pPr>
      <w:r>
        <w:rPr/>
      </w:r>
    </w:p>
    <w:tbl>
      <w:tblPr>
        <w:tblW w:w="283" w:type="dxa"/>
        <w:jc w:val="left"/>
        <w:tblInd w:w="0" w:type="dxa"/>
        <w:tblCellMar>
          <w:top w:w="0" w:type="dxa"/>
          <w:left w:w="0" w:type="dxa"/>
          <w:bottom w:w="0" w:type="dxa"/>
          <w:right w:w="0" w:type="dxa"/>
        </w:tblCellMar>
      </w:tblPr>
      <w:tblGrid>
        <w:gridCol w:w="260"/>
        <w:gridCol w:w="23"/>
      </w:tblGrid>
      <w:tr>
        <w:trPr/>
        <w:tc>
          <w:tcPr>
            <w:tcW w:w="260" w:type="dxa"/>
            <w:tcBorders/>
            <w:shd w:fill="auto" w:val="clear"/>
            <w:vAlign w:val="center"/>
          </w:tcPr>
          <w:p>
            <w:pPr>
              <w:pStyle w:val="TableContents"/>
              <w:spacing w:before="0" w:after="283"/>
              <w:jc w:val="left"/>
              <w:rPr>
                <w:rFonts w:ascii="Arial" w:hAnsi="Arial"/>
                <w:b/>
                <w:sz w:val="15"/>
              </w:rPr>
            </w:pPr>
            <w:r>
              <w:rPr>
                <w:rFonts w:ascii="Arial" w:hAnsi="Arial"/>
                <w:b/>
                <w:sz w:val="15"/>
              </w:rPr>
              <w:t>C-3</w:t>
            </w:r>
          </w:p>
        </w:tc>
        <w:tc>
          <w:tcPr>
            <w:tcW w:w="2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10205" w:type="dxa"/>
        <w:jc w:val="left"/>
        <w:tblInd w:w="0" w:type="dxa"/>
        <w:tblCellMar>
          <w:top w:w="0" w:type="dxa"/>
          <w:left w:w="0" w:type="dxa"/>
          <w:bottom w:w="0" w:type="dxa"/>
          <w:right w:w="0" w:type="dxa"/>
        </w:tblCellMar>
      </w:tblPr>
      <w:tblGrid>
        <w:gridCol w:w="480"/>
        <w:gridCol w:w="480"/>
        <w:gridCol w:w="1224"/>
        <w:gridCol w:w="4217"/>
        <w:gridCol w:w="3804"/>
      </w:tblGrid>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(ll)</w:t>
            </w:r>
          </w:p>
        </w:tc>
        <w:tc>
          <w:tcPr>
            <w:tcW w:w="9245" w:type="dxa"/>
            <w:gridSpan w:val="3"/>
            <w:tcBorders/>
            <w:shd w:fill="auto" w:val="clear"/>
            <w:vAlign w:val="center"/>
          </w:tcPr>
          <w:p>
            <w:pPr>
              <w:pStyle w:val="TableContents"/>
              <w:spacing w:before="0" w:after="283"/>
              <w:jc w:val="left"/>
              <w:rPr/>
            </w:pPr>
            <w:r>
              <w:rPr/>
              <w:t>“</w:t>
            </w:r>
            <w:r>
              <w:rPr>
                <w:rFonts w:ascii="Arial" w:hAnsi="Arial"/>
                <w:sz w:val="20"/>
                <w:u w:val="single"/>
              </w:rPr>
              <w:t>Ten Percent Shareholder</w:t>
            </w:r>
            <w:r>
              <w:rPr/>
              <w:t xml:space="preserve">” </w:t>
            </w:r>
            <w:r>
              <w:rPr>
                <w:rFonts w:ascii="Arial" w:hAnsi="Arial"/>
                <w:sz w:val="20"/>
              </w:rPr>
              <w:t xml:space="preserve">means a person who on the Date of Grant owns, either directly or within the meaning of the attribution rules contained in section 424(d) of the Code, stock possessing more than 10% of the total combined voting power of all classes of stock of his employer corporation or of its parent or subsidiary corporations, as defined respectively in sections 424(e) and (f) of the Code; </w:t>
            </w:r>
            <w:r>
              <w:rPr>
                <w:rFonts w:ascii="Arial" w:hAnsi="Arial"/>
                <w:sz w:val="20"/>
                <w:u w:val="single"/>
              </w:rPr>
              <w:t>provided</w:t>
            </w:r>
            <w:r>
              <w:rPr>
                <w:rFonts w:ascii="Arial" w:hAnsi="Arial"/>
                <w:sz w:val="20"/>
              </w:rPr>
              <w:t> that the employer corporation is the Company or a Subsidiary Company.</w:t>
            </w:r>
          </w:p>
        </w:tc>
      </w:tr>
      <w:tr>
        <w:trPr/>
        <w:tc>
          <w:tcPr>
            <w:tcW w:w="480" w:type="dxa"/>
            <w:tcBorders/>
            <w:shd w:fill="auto" w:val="clear"/>
            <w:vAlign w:val="center"/>
          </w:tcPr>
          <w:p>
            <w:pPr>
              <w:pStyle w:val="TableContents"/>
              <w:spacing w:before="0" w:after="283"/>
              <w:jc w:val="left"/>
              <w:rPr/>
            </w:pPr>
            <w:r>
              <w:rPr/>
              <w:t>        </w:t>
            </w:r>
          </w:p>
        </w:tc>
        <w:tc>
          <w:tcPr>
            <w:tcW w:w="480" w:type="dxa"/>
            <w:tcBorders/>
            <w:shd w:fill="auto" w:val="clear"/>
            <w:vAlign w:val="center"/>
          </w:tcPr>
          <w:p>
            <w:pPr>
              <w:pStyle w:val="TableContents"/>
              <w:spacing w:before="0" w:after="283"/>
              <w:jc w:val="left"/>
              <w:rPr/>
            </w:pPr>
            <w:r>
              <w:rPr/>
              <w:t>        </w:t>
            </w:r>
          </w:p>
        </w:tc>
        <w:tc>
          <w:tcPr>
            <w:tcW w:w="1224" w:type="dxa"/>
            <w:tcBorders/>
            <w:shd w:fill="auto" w:val="clear"/>
            <w:vAlign w:val="center"/>
          </w:tcPr>
          <w:p>
            <w:pPr>
              <w:pStyle w:val="TableContents"/>
              <w:spacing w:before="0" w:after="283"/>
              <w:jc w:val="left"/>
              <w:rPr/>
            </w:pPr>
            <w:r>
              <w:rPr/>
              <w:t>        </w:t>
            </w:r>
          </w:p>
        </w:tc>
        <w:tc>
          <w:tcPr>
            <w:tcW w:w="4217" w:type="dxa"/>
            <w:tcBorders/>
            <w:shd w:fill="auto" w:val="clear"/>
            <w:vAlign w:val="center"/>
          </w:tcPr>
          <w:p>
            <w:pPr>
              <w:pStyle w:val="TableContents"/>
              <w:spacing w:before="0" w:after="283"/>
              <w:jc w:val="left"/>
              <w:rPr/>
            </w:pPr>
            <w:r>
              <w:rPr/>
              <w:t>        </w:t>
            </w:r>
          </w:p>
        </w:tc>
        <w:tc>
          <w:tcPr>
            <w:tcW w:w="3804" w:type="dxa"/>
            <w:tcBorders/>
            <w:shd w:fill="auto" w:val="clear"/>
            <w:vAlign w:val="center"/>
          </w:tcPr>
          <w:p>
            <w:pPr>
              <w:pStyle w:val="TableContents"/>
              <w:spacing w:before="0" w:after="283"/>
              <w:jc w:val="left"/>
              <w:rPr/>
            </w:pPr>
            <w:r>
              <w:rPr/>
              <w:t>        </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(mm)</w:t>
            </w:r>
          </w:p>
        </w:tc>
        <w:tc>
          <w:tcPr>
            <w:tcW w:w="9245" w:type="dxa"/>
            <w:gridSpan w:val="3"/>
            <w:tcBorders/>
            <w:shd w:fill="auto" w:val="clear"/>
            <w:vAlign w:val="center"/>
          </w:tcPr>
          <w:p>
            <w:pPr>
              <w:pStyle w:val="TableContents"/>
              <w:spacing w:before="0" w:after="283"/>
              <w:jc w:val="left"/>
              <w:rPr/>
            </w:pPr>
            <w:r>
              <w:rPr/>
              <w:t>“</w:t>
            </w:r>
            <w:r>
              <w:rPr>
                <w:rFonts w:ascii="Arial" w:hAnsi="Arial"/>
                <w:sz w:val="20"/>
                <w:u w:val="single"/>
              </w:rPr>
              <w:t>Termination of Service</w:t>
            </w:r>
            <w:r>
              <w:rPr/>
              <w:t xml:space="preserve">” </w:t>
            </w:r>
            <w:r>
              <w:rPr>
                <w:rFonts w:ascii="Arial" w:hAnsi="Arial"/>
                <w:sz w:val="20"/>
              </w:rPr>
              <w:t>means:</w:t>
            </w:r>
          </w:p>
        </w:tc>
      </w:tr>
      <w:tr>
        <w:trPr/>
        <w:tc>
          <w:tcPr>
            <w:tcW w:w="480" w:type="dxa"/>
            <w:tcBorders/>
            <w:shd w:fill="auto" w:val="clear"/>
            <w:vAlign w:val="center"/>
          </w:tcPr>
          <w:p>
            <w:pPr>
              <w:pStyle w:val="TableContents"/>
              <w:spacing w:before="0" w:after="283"/>
              <w:jc w:val="left"/>
              <w:rPr/>
            </w:pPr>
            <w:r>
              <w:rPr/>
              <w:t> </w:t>
            </w:r>
          </w:p>
        </w:tc>
        <w:tc>
          <w:tcPr>
            <w:tcW w:w="480" w:type="dxa"/>
            <w:tcBorders/>
            <w:shd w:fill="auto" w:val="clear"/>
            <w:vAlign w:val="center"/>
          </w:tcPr>
          <w:p>
            <w:pPr>
              <w:pStyle w:val="TableContents"/>
              <w:spacing w:before="0" w:after="283"/>
              <w:jc w:val="left"/>
              <w:rPr/>
            </w:pPr>
            <w:r>
              <w:rPr/>
              <w:t> </w:t>
            </w:r>
          </w:p>
        </w:tc>
        <w:tc>
          <w:tcPr>
            <w:tcW w:w="9245" w:type="dxa"/>
            <w:gridSpan w:val="3"/>
            <w:tcBorders/>
            <w:shd w:fill="auto" w:val="clear"/>
            <w:vAlign w:val="center"/>
          </w:tcPr>
          <w:p>
            <w:pPr>
              <w:pStyle w:val="TableContents"/>
              <w:spacing w:before="0" w:after="283"/>
              <w:jc w:val="left"/>
              <w:rPr/>
            </w:pPr>
            <w:r>
              <w:rPr/>
              <w:t> </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1224" w:type="dxa"/>
            <w:tcBorders/>
            <w:shd w:fill="auto" w:val="clear"/>
            <w:vAlign w:val="center"/>
          </w:tcPr>
          <w:p>
            <w:pPr>
              <w:pStyle w:val="TableContents"/>
              <w:spacing w:before="0" w:after="283"/>
              <w:jc w:val="left"/>
              <w:rPr>
                <w:rFonts w:ascii="Arial" w:hAnsi="Arial"/>
                <w:sz w:val="20"/>
              </w:rPr>
            </w:pPr>
            <w:r>
              <w:rPr>
                <w:rFonts w:ascii="Arial" w:hAnsi="Arial"/>
                <w:sz w:val="20"/>
              </w:rPr>
              <w:t xml:space="preserve">(i) </w:t>
            </w:r>
          </w:p>
        </w:tc>
        <w:tc>
          <w:tcPr>
            <w:tcW w:w="8021" w:type="dxa"/>
            <w:gridSpan w:val="2"/>
            <w:tcBorders/>
            <w:shd w:fill="auto" w:val="clear"/>
            <w:vAlign w:val="center"/>
          </w:tcPr>
          <w:p>
            <w:pPr>
              <w:pStyle w:val="TableContents"/>
              <w:spacing w:before="0" w:after="283"/>
              <w:jc w:val="left"/>
              <w:rPr>
                <w:rFonts w:ascii="Arial" w:hAnsi="Arial"/>
                <w:sz w:val="20"/>
              </w:rPr>
            </w:pPr>
            <w:r>
              <w:rPr>
                <w:rFonts w:ascii="Arial" w:hAnsi="Arial"/>
                <w:sz w:val="20"/>
              </w:rPr>
              <w:t>in the case of a Participant who is an Eligible Employee, the cessation of the employment relationship such that the Participant is no longer an employee of any Participating Company (without regard to whether such Participant continues on the Company’s payroll for regular, severance or other pay or continues to participate in one or more health and welfare plans maintained by any Participating Company on the same basis as active employees), as determined in the discretion of the Committee; or</w:t>
            </w:r>
          </w:p>
        </w:tc>
      </w:tr>
      <w:tr>
        <w:trPr/>
        <w:tc>
          <w:tcPr>
            <w:tcW w:w="480" w:type="dxa"/>
            <w:tcBorders/>
            <w:shd w:fill="auto" w:val="clear"/>
            <w:vAlign w:val="center"/>
          </w:tcPr>
          <w:p>
            <w:pPr>
              <w:pStyle w:val="TableContents"/>
              <w:spacing w:before="0" w:after="283"/>
              <w:jc w:val="left"/>
              <w:rPr/>
            </w:pPr>
            <w:r>
              <w:rPr/>
              <w:t> </w:t>
            </w:r>
          </w:p>
        </w:tc>
        <w:tc>
          <w:tcPr>
            <w:tcW w:w="480" w:type="dxa"/>
            <w:tcBorders/>
            <w:shd w:fill="auto" w:val="clear"/>
            <w:vAlign w:val="center"/>
          </w:tcPr>
          <w:p>
            <w:pPr>
              <w:pStyle w:val="TableContents"/>
              <w:spacing w:before="0" w:after="283"/>
              <w:jc w:val="left"/>
              <w:rPr/>
            </w:pPr>
            <w:r>
              <w:rPr/>
              <w:t> </w:t>
            </w:r>
          </w:p>
        </w:tc>
        <w:tc>
          <w:tcPr>
            <w:tcW w:w="9245" w:type="dxa"/>
            <w:gridSpan w:val="3"/>
            <w:tcBorders/>
            <w:shd w:fill="auto" w:val="clear"/>
            <w:vAlign w:val="center"/>
          </w:tcPr>
          <w:p>
            <w:pPr>
              <w:pStyle w:val="TableContents"/>
              <w:spacing w:before="0" w:after="283"/>
              <w:jc w:val="left"/>
              <w:rPr/>
            </w:pPr>
            <w:r>
              <w:rPr/>
              <w:t> </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1224" w:type="dxa"/>
            <w:tcBorders/>
            <w:shd w:fill="auto" w:val="clear"/>
            <w:vAlign w:val="center"/>
          </w:tcPr>
          <w:p>
            <w:pPr>
              <w:pStyle w:val="TableContents"/>
              <w:spacing w:before="0" w:after="283"/>
              <w:jc w:val="left"/>
              <w:rPr>
                <w:rFonts w:ascii="Arial" w:hAnsi="Arial"/>
                <w:sz w:val="20"/>
              </w:rPr>
            </w:pPr>
            <w:r>
              <w:rPr>
                <w:rFonts w:ascii="Arial" w:hAnsi="Arial"/>
                <w:sz w:val="20"/>
              </w:rPr>
              <w:t>(ii)</w:t>
            </w:r>
          </w:p>
        </w:tc>
        <w:tc>
          <w:tcPr>
            <w:tcW w:w="8021" w:type="dxa"/>
            <w:gridSpan w:val="2"/>
            <w:tcBorders/>
            <w:shd w:fill="auto" w:val="clear"/>
            <w:vAlign w:val="center"/>
          </w:tcPr>
          <w:p>
            <w:pPr>
              <w:pStyle w:val="TableContents"/>
              <w:spacing w:before="0" w:after="0"/>
              <w:jc w:val="left"/>
              <w:rPr>
                <w:rFonts w:ascii="Arial" w:hAnsi="Arial"/>
                <w:sz w:val="20"/>
              </w:rPr>
            </w:pPr>
            <w:r>
              <w:rPr>
                <w:rFonts w:ascii="Arial" w:hAnsi="Arial"/>
                <w:sz w:val="20"/>
              </w:rPr>
              <w:t>in the case of a Participant who is a Non-Employee Director or Other Eligible Service Provider, the date the performance of services for any Participating Company has ended, in each case as determined in the discretion of the Committee;</w:t>
            </w:r>
          </w:p>
          <w:p>
            <w:pPr>
              <w:pStyle w:val="TableContents"/>
              <w:spacing w:before="120" w:after="283"/>
              <w:jc w:val="left"/>
              <w:rPr>
                <w:rFonts w:ascii="Arial" w:hAnsi="Arial"/>
                <w:sz w:val="20"/>
              </w:rPr>
            </w:pPr>
            <w:r>
              <w:rPr>
                <w:rFonts w:ascii="Arial" w:hAnsi="Arial"/>
                <w:sz w:val="20"/>
              </w:rPr>
              <w:t>Notwithstanding the foregoing, (A) in the case of a Participant who is an Eligible Employee, (1) the transfer of employment between two employers, each of which is a Participating Company, or, unless the Committee determines otherwise, the cessation of employee status but the continuation of the performance of services for a Participating Company as a Non-Employee Director or Other Eligible Service Provider shall not be deemed a cessation of service that would constitute a Termination of Service and (2) a Termination of Service shall be deemed to occur for such Participant if such Participant is employed by, or performing services for, a Subsidiary Company when such Subsidiary Company ceases to be a Subsidiary Company unless otherwise determined in the discretion of the Committee, (B) in the case of a Participant who is a Non-Employee Director, if such a Participant is designated as a Director Emeritus upon cessation of the performance of service as a Non-Employee Director, such Participant shall not be treated as having had a Termination of Service until the Participant’s termination of service as a Director Emeritus, and (C) with respect to any Award subject to Section 409A of the Code (and not exempt therefrom), a Termination of Service occurs when a Participant experiences a “separation of service” (as such term is defined under Section 409A of the Code).</w:t>
            </w:r>
          </w:p>
        </w:tc>
      </w:tr>
      <w:tr>
        <w:trPr/>
        <w:tc>
          <w:tcPr>
            <w:tcW w:w="480" w:type="dxa"/>
            <w:tcBorders/>
            <w:shd w:fill="auto" w:val="clear"/>
            <w:vAlign w:val="center"/>
          </w:tcPr>
          <w:p>
            <w:pPr>
              <w:pStyle w:val="TableContents"/>
              <w:spacing w:before="0" w:after="283"/>
              <w:jc w:val="left"/>
              <w:rPr/>
            </w:pPr>
            <w:r>
              <w:rPr/>
              <w:t> </w:t>
            </w:r>
          </w:p>
        </w:tc>
        <w:tc>
          <w:tcPr>
            <w:tcW w:w="480" w:type="dxa"/>
            <w:tcBorders/>
            <w:shd w:fill="auto" w:val="clear"/>
            <w:vAlign w:val="center"/>
          </w:tcPr>
          <w:p>
            <w:pPr>
              <w:pStyle w:val="TableContents"/>
              <w:spacing w:before="0" w:after="283"/>
              <w:jc w:val="left"/>
              <w:rPr/>
            </w:pPr>
            <w:r>
              <w:rPr/>
              <w:t> </w:t>
            </w:r>
          </w:p>
        </w:tc>
        <w:tc>
          <w:tcPr>
            <w:tcW w:w="9245" w:type="dxa"/>
            <w:gridSpan w:val="3"/>
            <w:tcBorders/>
            <w:shd w:fill="auto" w:val="clear"/>
            <w:vAlign w:val="center"/>
          </w:tcPr>
          <w:p>
            <w:pPr>
              <w:pStyle w:val="TableContents"/>
              <w:spacing w:before="0" w:after="283"/>
              <w:jc w:val="left"/>
              <w:rPr/>
            </w:pPr>
            <w:r>
              <w:rPr/>
              <w:t> </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(nn)</w:t>
            </w:r>
          </w:p>
        </w:tc>
        <w:tc>
          <w:tcPr>
            <w:tcW w:w="9245" w:type="dxa"/>
            <w:gridSpan w:val="3"/>
            <w:tcBorders/>
            <w:shd w:fill="auto" w:val="clear"/>
            <w:vAlign w:val="center"/>
          </w:tcPr>
          <w:p>
            <w:pPr>
              <w:pStyle w:val="TableContents"/>
              <w:spacing w:before="0" w:after="283"/>
              <w:jc w:val="left"/>
              <w:rPr/>
            </w:pPr>
            <w:r>
              <w:rPr/>
              <w:t>“</w:t>
            </w:r>
            <w:r>
              <w:rPr>
                <w:rFonts w:ascii="Arial" w:hAnsi="Arial"/>
                <w:sz w:val="20"/>
                <w:u w:val="single"/>
              </w:rPr>
              <w:t>Third Party</w:t>
            </w:r>
            <w:r>
              <w:rPr/>
              <w:t xml:space="preserve">” </w:t>
            </w:r>
            <w:r>
              <w:rPr>
                <w:rFonts w:ascii="Arial" w:hAnsi="Arial"/>
                <w:sz w:val="20"/>
              </w:rPr>
              <w:t xml:space="preserve">means any Person, together with such Person’s Affiliates; </w:t>
            </w:r>
            <w:r>
              <w:rPr>
                <w:rFonts w:ascii="Arial" w:hAnsi="Arial"/>
                <w:sz w:val="20"/>
                <w:u w:val="single"/>
              </w:rPr>
              <w:t>provided</w:t>
            </w:r>
            <w:r>
              <w:rPr/>
              <w:t> </w:t>
            </w:r>
            <w:r>
              <w:rPr>
                <w:rFonts w:ascii="Arial" w:hAnsi="Arial"/>
                <w:sz w:val="20"/>
              </w:rPr>
              <w:t>that the term “Third Party” shall not include the Company or an Affiliate of the Company.</w:t>
            </w:r>
          </w:p>
        </w:tc>
      </w:tr>
      <w:tr>
        <w:trPr/>
        <w:tc>
          <w:tcPr>
            <w:tcW w:w="480" w:type="dxa"/>
            <w:tcBorders/>
            <w:shd w:fill="auto" w:val="clear"/>
            <w:vAlign w:val="center"/>
          </w:tcPr>
          <w:p>
            <w:pPr>
              <w:pStyle w:val="TableContents"/>
              <w:spacing w:before="0" w:after="283"/>
              <w:jc w:val="left"/>
              <w:rPr/>
            </w:pPr>
            <w:r>
              <w:rPr/>
              <w:t> </w:t>
            </w:r>
          </w:p>
        </w:tc>
        <w:tc>
          <w:tcPr>
            <w:tcW w:w="480" w:type="dxa"/>
            <w:tcBorders/>
            <w:shd w:fill="auto" w:val="clear"/>
            <w:vAlign w:val="center"/>
          </w:tcPr>
          <w:p>
            <w:pPr>
              <w:pStyle w:val="TableContents"/>
              <w:spacing w:before="0" w:after="283"/>
              <w:jc w:val="left"/>
              <w:rPr/>
            </w:pPr>
            <w:r>
              <w:rPr/>
              <w:t> </w:t>
            </w:r>
          </w:p>
        </w:tc>
        <w:tc>
          <w:tcPr>
            <w:tcW w:w="9245" w:type="dxa"/>
            <w:gridSpan w:val="3"/>
            <w:tcBorders/>
            <w:shd w:fill="auto" w:val="clear"/>
            <w:vAlign w:val="center"/>
          </w:tcPr>
          <w:p>
            <w:pPr>
              <w:pStyle w:val="TableContents"/>
              <w:spacing w:before="0" w:after="283"/>
              <w:jc w:val="left"/>
              <w:rPr/>
            </w:pPr>
            <w:r>
              <w:rPr/>
              <w:t> </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(oo)</w:t>
            </w:r>
          </w:p>
        </w:tc>
        <w:tc>
          <w:tcPr>
            <w:tcW w:w="9245" w:type="dxa"/>
            <w:gridSpan w:val="3"/>
            <w:tcBorders/>
            <w:shd w:fill="auto" w:val="clear"/>
            <w:vAlign w:val="center"/>
          </w:tcPr>
          <w:p>
            <w:pPr>
              <w:pStyle w:val="TableContents"/>
              <w:spacing w:before="0" w:after="283"/>
              <w:jc w:val="left"/>
              <w:rPr/>
            </w:pPr>
            <w:r>
              <w:rPr/>
              <w:t>“</w:t>
            </w:r>
            <w:r>
              <w:rPr>
                <w:rFonts w:ascii="Arial" w:hAnsi="Arial"/>
                <w:sz w:val="20"/>
                <w:u w:val="single"/>
              </w:rPr>
              <w:t>Vesting Date</w:t>
            </w:r>
            <w:r>
              <w:rPr/>
              <w:t xml:space="preserve">” </w:t>
            </w:r>
            <w:r>
              <w:rPr>
                <w:rFonts w:ascii="Arial" w:hAnsi="Arial"/>
                <w:sz w:val="20"/>
              </w:rPr>
              <w:t>means, as applicable: (i) the date on which the Participant vests in a Restricted Stock Unit, (ii) the date on which the restrictions imposed on a Share of Restricted Stock lapse or (iii) the date on which the Participant vests in an Option or SAR.</w:t>
            </w:r>
          </w:p>
        </w:tc>
      </w:tr>
      <w:tr>
        <w:trPr/>
        <w:tc>
          <w:tcPr>
            <w:tcW w:w="480" w:type="dxa"/>
            <w:tcBorders/>
            <w:shd w:fill="auto" w:val="clear"/>
            <w:vAlign w:val="center"/>
          </w:tcPr>
          <w:p>
            <w:pPr>
              <w:pStyle w:val="TableContents"/>
              <w:spacing w:before="0" w:after="283"/>
              <w:jc w:val="left"/>
              <w:rPr/>
            </w:pPr>
            <w:r>
              <w:rPr/>
              <w:t> </w:t>
            </w:r>
          </w:p>
        </w:tc>
        <w:tc>
          <w:tcPr>
            <w:tcW w:w="480" w:type="dxa"/>
            <w:tcBorders/>
            <w:shd w:fill="auto" w:val="clear"/>
            <w:vAlign w:val="center"/>
          </w:tcPr>
          <w:p>
            <w:pPr>
              <w:pStyle w:val="TableContents"/>
              <w:spacing w:before="0" w:after="283"/>
              <w:jc w:val="left"/>
              <w:rPr/>
            </w:pPr>
            <w:r>
              <w:rPr/>
              <w:t> </w:t>
            </w:r>
          </w:p>
        </w:tc>
        <w:tc>
          <w:tcPr>
            <w:tcW w:w="9245" w:type="dxa"/>
            <w:gridSpan w:val="3"/>
            <w:tcBorders/>
            <w:shd w:fill="auto" w:val="clear"/>
            <w:vAlign w:val="center"/>
          </w:tcPr>
          <w:p>
            <w:pPr>
              <w:pStyle w:val="TableContents"/>
              <w:spacing w:before="0" w:after="283"/>
              <w:jc w:val="left"/>
              <w:rPr/>
            </w:pPr>
            <w:r>
              <w:rPr/>
              <w:t> </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(pp)</w:t>
            </w:r>
          </w:p>
        </w:tc>
        <w:tc>
          <w:tcPr>
            <w:tcW w:w="9245" w:type="dxa"/>
            <w:gridSpan w:val="3"/>
            <w:tcBorders/>
            <w:shd w:fill="auto" w:val="clear"/>
            <w:vAlign w:val="center"/>
          </w:tcPr>
          <w:p>
            <w:pPr>
              <w:pStyle w:val="TableContents"/>
              <w:spacing w:before="0" w:after="283"/>
              <w:jc w:val="left"/>
              <w:rPr/>
            </w:pPr>
            <w:r>
              <w:rPr/>
              <w:t>“</w:t>
            </w:r>
            <w:r>
              <w:rPr>
                <w:rFonts w:ascii="Arial" w:hAnsi="Arial"/>
                <w:sz w:val="20"/>
                <w:u w:val="single"/>
              </w:rPr>
              <w:t>1933 Act</w:t>
            </w:r>
            <w:r>
              <w:rPr/>
              <w:t xml:space="preserve">” </w:t>
            </w:r>
            <w:r>
              <w:rPr>
                <w:rFonts w:ascii="Arial" w:hAnsi="Arial"/>
                <w:sz w:val="20"/>
              </w:rPr>
              <w:t>means the Securities Act of 1933, as amended.</w:t>
            </w:r>
          </w:p>
        </w:tc>
      </w:tr>
      <w:tr>
        <w:trPr/>
        <w:tc>
          <w:tcPr>
            <w:tcW w:w="480" w:type="dxa"/>
            <w:tcBorders/>
            <w:shd w:fill="auto" w:val="clear"/>
            <w:vAlign w:val="center"/>
          </w:tcPr>
          <w:p>
            <w:pPr>
              <w:pStyle w:val="TableContents"/>
              <w:spacing w:before="0" w:after="283"/>
              <w:jc w:val="left"/>
              <w:rPr/>
            </w:pPr>
            <w:r>
              <w:rPr/>
              <w:t> </w:t>
            </w:r>
          </w:p>
        </w:tc>
        <w:tc>
          <w:tcPr>
            <w:tcW w:w="480" w:type="dxa"/>
            <w:tcBorders/>
            <w:shd w:fill="auto" w:val="clear"/>
            <w:vAlign w:val="center"/>
          </w:tcPr>
          <w:p>
            <w:pPr>
              <w:pStyle w:val="TableContents"/>
              <w:spacing w:before="0" w:after="283"/>
              <w:jc w:val="left"/>
              <w:rPr/>
            </w:pPr>
            <w:r>
              <w:rPr/>
              <w:t> </w:t>
            </w:r>
          </w:p>
        </w:tc>
        <w:tc>
          <w:tcPr>
            <w:tcW w:w="9245" w:type="dxa"/>
            <w:gridSpan w:val="3"/>
            <w:tcBorders/>
            <w:shd w:fill="auto" w:val="clear"/>
            <w:vAlign w:val="center"/>
          </w:tcPr>
          <w:p>
            <w:pPr>
              <w:pStyle w:val="TableContents"/>
              <w:spacing w:before="0" w:after="283"/>
              <w:jc w:val="left"/>
              <w:rPr/>
            </w:pPr>
            <w:r>
              <w:rPr/>
              <w:t> </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(qq)</w:t>
            </w:r>
          </w:p>
        </w:tc>
        <w:tc>
          <w:tcPr>
            <w:tcW w:w="9245" w:type="dxa"/>
            <w:gridSpan w:val="3"/>
            <w:tcBorders/>
            <w:shd w:fill="auto" w:val="clear"/>
            <w:vAlign w:val="center"/>
          </w:tcPr>
          <w:p>
            <w:pPr>
              <w:pStyle w:val="TableContents"/>
              <w:spacing w:before="0" w:after="283"/>
              <w:jc w:val="left"/>
              <w:rPr/>
            </w:pPr>
            <w:r>
              <w:rPr/>
              <w:t>“</w:t>
            </w:r>
            <w:r>
              <w:rPr>
                <w:rFonts w:ascii="Arial" w:hAnsi="Arial"/>
                <w:sz w:val="20"/>
                <w:u w:val="single"/>
              </w:rPr>
              <w:t>1934 Act</w:t>
            </w:r>
            <w:r>
              <w:rPr/>
              <w:t xml:space="preserve">” </w:t>
            </w:r>
            <w:r>
              <w:rPr>
                <w:rFonts w:ascii="Arial" w:hAnsi="Arial"/>
                <w:sz w:val="20"/>
              </w:rPr>
              <w:t>means the Securities Exchange Act of 1934, as amended.</w:t>
            </w:r>
          </w:p>
        </w:tc>
      </w:tr>
      <w:tr>
        <w:trPr/>
        <w:tc>
          <w:tcPr>
            <w:tcW w:w="480" w:type="dxa"/>
            <w:tcBorders/>
            <w:shd w:fill="auto" w:val="clear"/>
            <w:vAlign w:val="center"/>
          </w:tcPr>
          <w:p>
            <w:pPr>
              <w:pStyle w:val="TableContents"/>
              <w:spacing w:before="0" w:after="283"/>
              <w:jc w:val="left"/>
              <w:rPr/>
            </w:pPr>
            <w:r>
              <w:rPr/>
              <w:t> </w:t>
            </w:r>
          </w:p>
        </w:tc>
        <w:tc>
          <w:tcPr>
            <w:tcW w:w="480" w:type="dxa"/>
            <w:tcBorders/>
            <w:shd w:fill="auto" w:val="clear"/>
            <w:vAlign w:val="center"/>
          </w:tcPr>
          <w:p>
            <w:pPr>
              <w:pStyle w:val="TableContents"/>
              <w:spacing w:before="0" w:after="283"/>
              <w:jc w:val="left"/>
              <w:rPr/>
            </w:pPr>
            <w:r>
              <w:rPr/>
              <w:t> </w:t>
            </w:r>
          </w:p>
        </w:tc>
        <w:tc>
          <w:tcPr>
            <w:tcW w:w="9245" w:type="dxa"/>
            <w:gridSpan w:val="3"/>
            <w:tcBorders/>
            <w:shd w:fill="auto" w:val="clear"/>
            <w:vAlign w:val="center"/>
          </w:tcPr>
          <w:p>
            <w:pPr>
              <w:pStyle w:val="TableContents"/>
              <w:spacing w:before="0" w:after="283"/>
              <w:jc w:val="left"/>
              <w:rPr/>
            </w:pPr>
            <w:r>
              <w:rPr/>
              <w:t> </w:t>
            </w:r>
          </w:p>
        </w:tc>
      </w:tr>
      <w:tr>
        <w:trPr/>
        <w:tc>
          <w:tcPr>
            <w:tcW w:w="480" w:type="dxa"/>
            <w:tcBorders/>
            <w:shd w:fill="auto" w:val="clear"/>
            <w:vAlign w:val="center"/>
          </w:tcPr>
          <w:p>
            <w:pPr>
              <w:pStyle w:val="TableContents"/>
              <w:spacing w:before="0" w:after="283"/>
              <w:jc w:val="left"/>
              <w:rPr/>
            </w:pPr>
            <w:r>
              <w:rPr>
                <w:rStyle w:val="StrongEmphasis"/>
                <w:rFonts w:ascii="Arial" w:hAnsi="Arial"/>
                <w:sz w:val="20"/>
              </w:rPr>
              <w:t>3.</w:t>
            </w:r>
          </w:p>
        </w:tc>
        <w:tc>
          <w:tcPr>
            <w:tcW w:w="9725" w:type="dxa"/>
            <w:gridSpan w:val="4"/>
            <w:tcBorders/>
            <w:shd w:fill="auto" w:val="clear"/>
            <w:vAlign w:val="center"/>
          </w:tcPr>
          <w:p>
            <w:pPr>
              <w:pStyle w:val="TableContents"/>
              <w:spacing w:before="0" w:after="283"/>
              <w:jc w:val="left"/>
              <w:rPr/>
            </w:pPr>
            <w:r>
              <w:rPr>
                <w:rStyle w:val="StrongEmphasis"/>
                <w:rFonts w:ascii="Arial" w:hAnsi="Arial"/>
                <w:sz w:val="20"/>
                <w:u w:val="single"/>
              </w:rPr>
              <w:t>RIGHTS TO BE GRANTED</w:t>
            </w:r>
            <w:r>
              <w:rPr>
                <w:rFonts w:ascii="Arial" w:hAnsi="Arial"/>
                <w:sz w:val="20"/>
              </w:rPr>
              <w:t>. Rights that may be granted under the Plan are:</w:t>
            </w:r>
          </w:p>
        </w:tc>
      </w:tr>
      <w:tr>
        <w:trPr/>
        <w:tc>
          <w:tcPr>
            <w:tcW w:w="480" w:type="dxa"/>
            <w:tcBorders/>
            <w:shd w:fill="auto" w:val="clear"/>
            <w:vAlign w:val="center"/>
          </w:tcPr>
          <w:p>
            <w:pPr>
              <w:pStyle w:val="TableContents"/>
              <w:spacing w:before="0" w:after="283"/>
              <w:jc w:val="left"/>
              <w:rPr/>
            </w:pPr>
            <w:r>
              <w:rPr/>
              <w:t> </w:t>
            </w:r>
          </w:p>
        </w:tc>
        <w:tc>
          <w:tcPr>
            <w:tcW w:w="480" w:type="dxa"/>
            <w:tcBorders/>
            <w:shd w:fill="auto" w:val="clear"/>
            <w:vAlign w:val="center"/>
          </w:tcPr>
          <w:p>
            <w:pPr>
              <w:pStyle w:val="TableContents"/>
              <w:spacing w:before="0" w:after="283"/>
              <w:jc w:val="left"/>
              <w:rPr/>
            </w:pPr>
            <w:r>
              <w:rPr/>
              <w:t> </w:t>
            </w:r>
          </w:p>
        </w:tc>
        <w:tc>
          <w:tcPr>
            <w:tcW w:w="9245" w:type="dxa"/>
            <w:gridSpan w:val="3"/>
            <w:tcBorders/>
            <w:shd w:fill="auto" w:val="clear"/>
            <w:vAlign w:val="center"/>
          </w:tcPr>
          <w:p>
            <w:pPr>
              <w:pStyle w:val="TableContents"/>
              <w:spacing w:before="0" w:after="283"/>
              <w:jc w:val="left"/>
              <w:rPr/>
            </w:pPr>
            <w:r>
              <w:rPr/>
              <w:t> </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(a)</w:t>
            </w:r>
          </w:p>
        </w:tc>
        <w:tc>
          <w:tcPr>
            <w:tcW w:w="9245" w:type="dxa"/>
            <w:gridSpan w:val="3"/>
            <w:tcBorders/>
            <w:shd w:fill="auto" w:val="clear"/>
            <w:vAlign w:val="center"/>
          </w:tcPr>
          <w:p>
            <w:pPr>
              <w:pStyle w:val="TableContents"/>
              <w:spacing w:before="0" w:after="283"/>
              <w:jc w:val="left"/>
              <w:rPr>
                <w:rFonts w:ascii="Arial" w:hAnsi="Arial"/>
                <w:sz w:val="20"/>
              </w:rPr>
            </w:pPr>
            <w:r>
              <w:rPr>
                <w:rFonts w:ascii="Arial" w:hAnsi="Arial"/>
                <w:sz w:val="20"/>
              </w:rPr>
              <w:t>Rights to Restricted Stock Units, which give the Participant the right to receive Shares upon a Vesting Date, as set forth in Section 8;</w:t>
            </w:r>
          </w:p>
        </w:tc>
      </w:tr>
      <w:tr>
        <w:trPr/>
        <w:tc>
          <w:tcPr>
            <w:tcW w:w="480" w:type="dxa"/>
            <w:tcBorders/>
            <w:shd w:fill="auto" w:val="clear"/>
            <w:vAlign w:val="center"/>
          </w:tcPr>
          <w:p>
            <w:pPr>
              <w:pStyle w:val="TableContents"/>
              <w:spacing w:before="0" w:after="283"/>
              <w:jc w:val="left"/>
              <w:rPr/>
            </w:pPr>
            <w:r>
              <w:rPr/>
              <w:t> </w:t>
            </w:r>
          </w:p>
        </w:tc>
        <w:tc>
          <w:tcPr>
            <w:tcW w:w="480" w:type="dxa"/>
            <w:tcBorders/>
            <w:shd w:fill="auto" w:val="clear"/>
            <w:vAlign w:val="center"/>
          </w:tcPr>
          <w:p>
            <w:pPr>
              <w:pStyle w:val="TableContents"/>
              <w:spacing w:before="0" w:after="283"/>
              <w:jc w:val="left"/>
              <w:rPr/>
            </w:pPr>
            <w:r>
              <w:rPr/>
              <w:t> </w:t>
            </w:r>
          </w:p>
        </w:tc>
        <w:tc>
          <w:tcPr>
            <w:tcW w:w="9245" w:type="dxa"/>
            <w:gridSpan w:val="3"/>
            <w:tcBorders/>
            <w:shd w:fill="auto" w:val="clear"/>
            <w:vAlign w:val="center"/>
          </w:tcPr>
          <w:p>
            <w:pPr>
              <w:pStyle w:val="TableContents"/>
              <w:spacing w:before="0" w:after="283"/>
              <w:jc w:val="left"/>
              <w:rPr/>
            </w:pPr>
            <w:r>
              <w:rPr/>
              <w:t> </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(b)</w:t>
            </w:r>
          </w:p>
        </w:tc>
        <w:tc>
          <w:tcPr>
            <w:tcW w:w="9245" w:type="dxa"/>
            <w:gridSpan w:val="3"/>
            <w:tcBorders/>
            <w:shd w:fill="auto" w:val="clear"/>
            <w:vAlign w:val="center"/>
          </w:tcPr>
          <w:p>
            <w:pPr>
              <w:pStyle w:val="TableContents"/>
              <w:spacing w:before="0" w:after="283"/>
              <w:jc w:val="left"/>
              <w:rPr>
                <w:rFonts w:ascii="Arial" w:hAnsi="Arial"/>
                <w:sz w:val="20"/>
              </w:rPr>
            </w:pPr>
            <w:r>
              <w:rPr>
                <w:rFonts w:ascii="Arial" w:hAnsi="Arial"/>
                <w:sz w:val="20"/>
              </w:rPr>
              <w:t>Rights to Restricted Stock, which give the Participant ownership rights in the Shares subject to the Award, subject to a substantial risk of forfeiture, as set forth in Section 8;</w:t>
            </w:r>
          </w:p>
        </w:tc>
      </w:tr>
      <w:tr>
        <w:trPr/>
        <w:tc>
          <w:tcPr>
            <w:tcW w:w="480" w:type="dxa"/>
            <w:tcBorders/>
            <w:shd w:fill="auto" w:val="clear"/>
            <w:vAlign w:val="center"/>
          </w:tcPr>
          <w:p>
            <w:pPr>
              <w:pStyle w:val="TableContents"/>
              <w:spacing w:before="0" w:after="283"/>
              <w:jc w:val="left"/>
              <w:rPr/>
            </w:pPr>
            <w:r>
              <w:rPr/>
              <w:t> </w:t>
            </w:r>
          </w:p>
        </w:tc>
        <w:tc>
          <w:tcPr>
            <w:tcW w:w="480" w:type="dxa"/>
            <w:tcBorders/>
            <w:shd w:fill="auto" w:val="clear"/>
            <w:vAlign w:val="center"/>
          </w:tcPr>
          <w:p>
            <w:pPr>
              <w:pStyle w:val="TableContents"/>
              <w:spacing w:before="0" w:after="283"/>
              <w:jc w:val="left"/>
              <w:rPr/>
            </w:pPr>
            <w:r>
              <w:rPr/>
              <w:t> </w:t>
            </w:r>
          </w:p>
        </w:tc>
        <w:tc>
          <w:tcPr>
            <w:tcW w:w="9245" w:type="dxa"/>
            <w:gridSpan w:val="3"/>
            <w:tcBorders/>
            <w:shd w:fill="auto" w:val="clear"/>
            <w:vAlign w:val="center"/>
          </w:tcPr>
          <w:p>
            <w:pPr>
              <w:pStyle w:val="TableContents"/>
              <w:spacing w:before="0" w:after="283"/>
              <w:jc w:val="left"/>
              <w:rPr/>
            </w:pPr>
            <w:r>
              <w:rPr/>
              <w:t> </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(c)</w:t>
            </w:r>
          </w:p>
        </w:tc>
        <w:tc>
          <w:tcPr>
            <w:tcW w:w="9245" w:type="dxa"/>
            <w:gridSpan w:val="3"/>
            <w:tcBorders/>
            <w:shd w:fill="auto" w:val="clear"/>
            <w:vAlign w:val="center"/>
          </w:tcPr>
          <w:p>
            <w:pPr>
              <w:pStyle w:val="TableContents"/>
              <w:spacing w:before="0" w:after="283"/>
              <w:jc w:val="left"/>
              <w:rPr>
                <w:rFonts w:ascii="Arial" w:hAnsi="Arial"/>
                <w:sz w:val="20"/>
              </w:rPr>
            </w:pPr>
            <w:r>
              <w:rPr>
                <w:rFonts w:ascii="Arial" w:hAnsi="Arial"/>
                <w:sz w:val="20"/>
              </w:rPr>
              <w:t>Incentive Stock Options, which give the Participant who is an employee of a Participating Company the right for a specified time period to purchase a specified number of Shares (to the extent of clause (i) of the definition thereof) for a price, except in the case of Substitute Awards that constitute incentive stock options, not less than the Fair Market Value on the Date of Grant;</w:t>
            </w:r>
          </w:p>
        </w:tc>
      </w:tr>
      <w:tr>
        <w:trPr/>
        <w:tc>
          <w:tcPr>
            <w:tcW w:w="480" w:type="dxa"/>
            <w:tcBorders/>
            <w:shd w:fill="auto" w:val="clear"/>
            <w:vAlign w:val="center"/>
          </w:tcPr>
          <w:p>
            <w:pPr>
              <w:pStyle w:val="TableContents"/>
              <w:spacing w:before="0" w:after="283"/>
              <w:jc w:val="left"/>
              <w:rPr/>
            </w:pPr>
            <w:r>
              <w:rPr/>
              <w:t> </w:t>
            </w:r>
          </w:p>
        </w:tc>
        <w:tc>
          <w:tcPr>
            <w:tcW w:w="480" w:type="dxa"/>
            <w:tcBorders/>
            <w:shd w:fill="auto" w:val="clear"/>
            <w:vAlign w:val="center"/>
          </w:tcPr>
          <w:p>
            <w:pPr>
              <w:pStyle w:val="TableContents"/>
              <w:spacing w:before="0" w:after="283"/>
              <w:jc w:val="left"/>
              <w:rPr/>
            </w:pPr>
            <w:r>
              <w:rPr/>
              <w:t> </w:t>
            </w:r>
          </w:p>
        </w:tc>
        <w:tc>
          <w:tcPr>
            <w:tcW w:w="9245" w:type="dxa"/>
            <w:gridSpan w:val="3"/>
            <w:tcBorders/>
            <w:shd w:fill="auto" w:val="clear"/>
            <w:vAlign w:val="center"/>
          </w:tcPr>
          <w:p>
            <w:pPr>
              <w:pStyle w:val="TableContents"/>
              <w:spacing w:before="0" w:after="283"/>
              <w:jc w:val="left"/>
              <w:rPr/>
            </w:pPr>
            <w:r>
              <w:rPr/>
              <w:t> </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(d)</w:t>
            </w:r>
          </w:p>
        </w:tc>
        <w:tc>
          <w:tcPr>
            <w:tcW w:w="9245" w:type="dxa"/>
            <w:gridSpan w:val="3"/>
            <w:tcBorders/>
            <w:shd w:fill="auto" w:val="clear"/>
            <w:vAlign w:val="center"/>
          </w:tcPr>
          <w:p>
            <w:pPr>
              <w:pStyle w:val="TableContents"/>
              <w:spacing w:before="0" w:after="283"/>
              <w:jc w:val="left"/>
              <w:rPr>
                <w:rFonts w:ascii="Arial" w:hAnsi="Arial"/>
                <w:sz w:val="20"/>
              </w:rPr>
            </w:pPr>
            <w:r>
              <w:rPr>
                <w:rFonts w:ascii="Arial" w:hAnsi="Arial"/>
                <w:sz w:val="20"/>
              </w:rPr>
              <w:t>Non-Qualified Options, which give the Participant the right for a specified time period to purchase a specified number of Shares for a price, except in the case of Substitute Awards, not less than the Fair Market Value on the Date of Grant;</w:t>
            </w:r>
          </w:p>
        </w:tc>
      </w:tr>
      <w:tr>
        <w:trPr/>
        <w:tc>
          <w:tcPr>
            <w:tcW w:w="480" w:type="dxa"/>
            <w:tcBorders/>
            <w:shd w:fill="auto" w:val="clear"/>
            <w:vAlign w:val="center"/>
          </w:tcPr>
          <w:p>
            <w:pPr>
              <w:pStyle w:val="TableContents"/>
              <w:spacing w:before="0" w:after="283"/>
              <w:jc w:val="left"/>
              <w:rPr/>
            </w:pPr>
            <w:r>
              <w:rPr/>
              <w:t> </w:t>
            </w:r>
          </w:p>
        </w:tc>
        <w:tc>
          <w:tcPr>
            <w:tcW w:w="480" w:type="dxa"/>
            <w:tcBorders/>
            <w:shd w:fill="auto" w:val="clear"/>
            <w:vAlign w:val="center"/>
          </w:tcPr>
          <w:p>
            <w:pPr>
              <w:pStyle w:val="TableContents"/>
              <w:spacing w:before="0" w:after="283"/>
              <w:jc w:val="left"/>
              <w:rPr/>
            </w:pPr>
            <w:r>
              <w:rPr/>
              <w:t> </w:t>
            </w:r>
          </w:p>
        </w:tc>
        <w:tc>
          <w:tcPr>
            <w:tcW w:w="9245" w:type="dxa"/>
            <w:gridSpan w:val="3"/>
            <w:tcBorders/>
            <w:shd w:fill="auto" w:val="clear"/>
            <w:vAlign w:val="center"/>
          </w:tcPr>
          <w:p>
            <w:pPr>
              <w:pStyle w:val="TableContents"/>
              <w:spacing w:before="0" w:after="283"/>
              <w:jc w:val="left"/>
              <w:rPr/>
            </w:pPr>
            <w:r>
              <w:rPr/>
              <w:t> </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(e)</w:t>
            </w:r>
          </w:p>
        </w:tc>
        <w:tc>
          <w:tcPr>
            <w:tcW w:w="9245" w:type="dxa"/>
            <w:gridSpan w:val="3"/>
            <w:tcBorders/>
            <w:shd w:fill="auto" w:val="clear"/>
            <w:vAlign w:val="center"/>
          </w:tcPr>
          <w:p>
            <w:pPr>
              <w:pStyle w:val="TableContents"/>
              <w:spacing w:before="0" w:after="283"/>
              <w:jc w:val="left"/>
              <w:rPr>
                <w:rFonts w:ascii="Arial" w:hAnsi="Arial"/>
                <w:sz w:val="20"/>
              </w:rPr>
            </w:pPr>
            <w:r>
              <w:rPr>
                <w:rFonts w:ascii="Arial" w:hAnsi="Arial"/>
                <w:sz w:val="20"/>
              </w:rPr>
              <w:t>SARs, which give the Participant the right upon exercise or settlement, to receive in cash, Shares or a combination thereof, the excess of (x) the Fair Market Value of one Share on the date of exercise or settlement over (y) the exercise or hurdle price of the right on the date of grant; and</w:t>
            </w:r>
          </w:p>
        </w:tc>
      </w:tr>
      <w:tr>
        <w:trPr/>
        <w:tc>
          <w:tcPr>
            <w:tcW w:w="480" w:type="dxa"/>
            <w:tcBorders/>
            <w:shd w:fill="auto" w:val="clear"/>
            <w:vAlign w:val="center"/>
          </w:tcPr>
          <w:p>
            <w:pPr>
              <w:pStyle w:val="TableContents"/>
              <w:spacing w:before="0" w:after="283"/>
              <w:jc w:val="left"/>
              <w:rPr/>
            </w:pPr>
            <w:r>
              <w:rPr/>
              <w:t> </w:t>
            </w:r>
          </w:p>
        </w:tc>
        <w:tc>
          <w:tcPr>
            <w:tcW w:w="480" w:type="dxa"/>
            <w:tcBorders/>
            <w:shd w:fill="auto" w:val="clear"/>
            <w:vAlign w:val="center"/>
          </w:tcPr>
          <w:p>
            <w:pPr>
              <w:pStyle w:val="TableContents"/>
              <w:spacing w:before="0" w:after="283"/>
              <w:jc w:val="left"/>
              <w:rPr/>
            </w:pPr>
            <w:r>
              <w:rPr/>
              <w:t> </w:t>
            </w:r>
          </w:p>
        </w:tc>
        <w:tc>
          <w:tcPr>
            <w:tcW w:w="9245" w:type="dxa"/>
            <w:gridSpan w:val="3"/>
            <w:tcBorders/>
            <w:shd w:fill="auto" w:val="clear"/>
            <w:vAlign w:val="center"/>
          </w:tcPr>
          <w:p>
            <w:pPr>
              <w:pStyle w:val="TableContents"/>
              <w:spacing w:before="0" w:after="283"/>
              <w:jc w:val="left"/>
              <w:rPr/>
            </w:pPr>
            <w:r>
              <w:rPr/>
              <w:t> </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(f)</w:t>
            </w:r>
          </w:p>
        </w:tc>
        <w:tc>
          <w:tcPr>
            <w:tcW w:w="9245" w:type="dxa"/>
            <w:gridSpan w:val="3"/>
            <w:tcBorders/>
            <w:shd w:fill="auto" w:val="clear"/>
            <w:vAlign w:val="center"/>
          </w:tcPr>
          <w:p>
            <w:pPr>
              <w:pStyle w:val="TableContents"/>
              <w:spacing w:before="0" w:after="283"/>
              <w:jc w:val="left"/>
              <w:rPr>
                <w:rFonts w:ascii="Arial" w:hAnsi="Arial"/>
                <w:sz w:val="20"/>
              </w:rPr>
            </w:pPr>
            <w:r>
              <w:rPr>
                <w:rFonts w:ascii="Arial" w:hAnsi="Arial"/>
                <w:sz w:val="20"/>
              </w:rPr>
              <w:t>Other Share-Based Awards as set forth in Section 10.</w:t>
            </w:r>
          </w:p>
        </w:tc>
      </w:tr>
    </w:tbl>
    <w:p>
      <w:pPr>
        <w:pStyle w:val="TextBody"/>
        <w:spacing w:before="0" w:after="0"/>
        <w:rPr/>
      </w:pPr>
      <w:r>
        <w:rPr/>
      </w:r>
    </w:p>
    <w:tbl>
      <w:tblPr>
        <w:tblW w:w="2260" w:type="dxa"/>
        <w:jc w:val="left"/>
        <w:tblInd w:w="0" w:type="dxa"/>
        <w:tblCellMar>
          <w:top w:w="0" w:type="dxa"/>
          <w:left w:w="0" w:type="dxa"/>
          <w:bottom w:w="0" w:type="dxa"/>
          <w:right w:w="0" w:type="dxa"/>
        </w:tblCellMar>
      </w:tblPr>
      <w:tblGrid>
        <w:gridCol w:w="1580"/>
        <w:gridCol w:w="680"/>
      </w:tblGrid>
      <w:tr>
        <w:trPr/>
        <w:tc>
          <w:tcPr>
            <w:tcW w:w="1580" w:type="dxa"/>
            <w:tcBorders/>
            <w:shd w:fill="auto" w:val="clear"/>
            <w:vAlign w:val="center"/>
          </w:tcPr>
          <w:p>
            <w:pPr>
              <w:pStyle w:val="TableContents"/>
              <w:spacing w:before="0" w:after="283"/>
              <w:jc w:val="right"/>
              <w:rPr>
                <w:rFonts w:ascii="Arial" w:hAnsi="Arial"/>
                <w:sz w:val="15"/>
              </w:rPr>
            </w:pPr>
            <w:r>
              <w:rPr>
                <w:rFonts w:ascii="Arial" w:hAnsi="Arial"/>
                <w:sz w:val="15"/>
              </w:rPr>
              <w:t>2023 Proxy Statement</w:t>
            </w:r>
          </w:p>
        </w:tc>
        <w:tc>
          <w:tcPr>
            <w:tcW w:w="680" w:type="dxa"/>
            <w:tcBorders/>
            <w:shd w:fill="auto" w:val="clear"/>
            <w:vAlign w:val="center"/>
          </w:tcPr>
          <w:p>
            <w:pPr>
              <w:pStyle w:val="TableContents"/>
              <w:spacing w:before="0" w:after="283"/>
              <w:jc w:val="right"/>
              <w:rPr/>
            </w:pPr>
            <w:r>
              <w:rPr/>
              <w:t>       </w:t>
            </w:r>
            <w:r>
              <w:rPr>
                <w:rFonts w:ascii="Arial" w:hAnsi="Arial"/>
                <w:b/>
                <w:sz w:val="15"/>
              </w:rPr>
              <w:t>C-4</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10205" w:type="dxa"/>
        <w:jc w:val="left"/>
        <w:tblInd w:w="0" w:type="dxa"/>
        <w:tblCellMar>
          <w:top w:w="0" w:type="dxa"/>
          <w:left w:w="0" w:type="dxa"/>
          <w:bottom w:w="0" w:type="dxa"/>
          <w:right w:w="0" w:type="dxa"/>
        </w:tblCellMar>
      </w:tblPr>
      <w:tblGrid>
        <w:gridCol w:w="480"/>
        <w:gridCol w:w="480"/>
        <w:gridCol w:w="480"/>
        <w:gridCol w:w="8765"/>
      </w:tblGrid>
      <w:tr>
        <w:trPr/>
        <w:tc>
          <w:tcPr>
            <w:tcW w:w="480" w:type="dxa"/>
            <w:tcBorders/>
            <w:shd w:fill="auto" w:val="clear"/>
            <w:vAlign w:val="center"/>
          </w:tcPr>
          <w:p>
            <w:pPr>
              <w:pStyle w:val="TableContents"/>
              <w:spacing w:before="0" w:after="283"/>
              <w:jc w:val="left"/>
              <w:rPr/>
            </w:pPr>
            <w:r>
              <w:rPr>
                <w:rStyle w:val="StrongEmphasis"/>
                <w:rFonts w:ascii="Arial" w:hAnsi="Arial"/>
                <w:sz w:val="20"/>
              </w:rPr>
              <w:t>4.</w:t>
            </w:r>
          </w:p>
        </w:tc>
        <w:tc>
          <w:tcPr>
            <w:tcW w:w="9725" w:type="dxa"/>
            <w:gridSpan w:val="3"/>
            <w:tcBorders/>
            <w:shd w:fill="auto" w:val="clear"/>
            <w:vAlign w:val="center"/>
          </w:tcPr>
          <w:p>
            <w:pPr>
              <w:pStyle w:val="TableContents"/>
              <w:spacing w:before="0" w:after="283"/>
              <w:jc w:val="left"/>
              <w:rPr/>
            </w:pPr>
            <w:r>
              <w:rPr>
                <w:rStyle w:val="StrongEmphasis"/>
                <w:rFonts w:ascii="Arial" w:hAnsi="Arial"/>
                <w:sz w:val="20"/>
                <w:u w:val="single"/>
              </w:rPr>
              <w:t>SHARES SUBJECT TO THE PLAN</w:t>
            </w:r>
            <w:r>
              <w:rPr>
                <w:rStyle w:val="StrongEmphasis"/>
                <w:rFonts w:ascii="Arial" w:hAnsi="Arial"/>
                <w:sz w:val="20"/>
              </w:rPr>
              <w:t>.</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(a)</w:t>
            </w:r>
          </w:p>
        </w:tc>
        <w:tc>
          <w:tcPr>
            <w:tcW w:w="9245" w:type="dxa"/>
            <w:gridSpan w:val="2"/>
            <w:tcBorders/>
            <w:shd w:fill="auto" w:val="clear"/>
            <w:vAlign w:val="center"/>
          </w:tcPr>
          <w:p>
            <w:pPr>
              <w:pStyle w:val="TableContents"/>
              <w:spacing w:before="0" w:after="283"/>
              <w:jc w:val="left"/>
              <w:rPr>
                <w:rFonts w:ascii="Arial" w:hAnsi="Arial"/>
                <w:sz w:val="20"/>
              </w:rPr>
            </w:pPr>
            <w:r>
              <w:rPr>
                <w:rFonts w:ascii="Arial" w:hAnsi="Arial"/>
                <w:sz w:val="20"/>
                <w:u w:val="single"/>
              </w:rPr>
              <w:t>Shares Available for Grant</w:t>
            </w:r>
            <w:r>
              <w:rPr>
                <w:rFonts w:ascii="Arial" w:hAnsi="Arial"/>
                <w:sz w:val="20"/>
              </w:rPr>
              <w:t>.</w:t>
            </w:r>
          </w:p>
        </w:tc>
      </w:tr>
      <w:tr>
        <w:trPr/>
        <w:tc>
          <w:tcPr>
            <w:tcW w:w="480" w:type="dxa"/>
            <w:tcBorders/>
            <w:shd w:fill="auto" w:val="clear"/>
            <w:vAlign w:val="center"/>
          </w:tcPr>
          <w:p>
            <w:pPr>
              <w:pStyle w:val="TableContents"/>
              <w:spacing w:before="0" w:after="283"/>
              <w:jc w:val="left"/>
              <w:rPr/>
            </w:pPr>
            <w:r>
              <w:rPr/>
              <w:t>        </w:t>
            </w:r>
          </w:p>
        </w:tc>
        <w:tc>
          <w:tcPr>
            <w:tcW w:w="480" w:type="dxa"/>
            <w:tcBorders/>
            <w:shd w:fill="auto" w:val="clear"/>
            <w:vAlign w:val="center"/>
          </w:tcPr>
          <w:p>
            <w:pPr>
              <w:pStyle w:val="TableContents"/>
              <w:spacing w:before="0" w:after="283"/>
              <w:jc w:val="left"/>
              <w:rPr/>
            </w:pPr>
            <w:r>
              <w:rPr/>
              <w:t>        </w:t>
            </w:r>
          </w:p>
        </w:tc>
        <w:tc>
          <w:tcPr>
            <w:tcW w:w="480" w:type="dxa"/>
            <w:tcBorders/>
            <w:shd w:fill="auto" w:val="clear"/>
            <w:vAlign w:val="center"/>
          </w:tcPr>
          <w:p>
            <w:pPr>
              <w:pStyle w:val="TableContents"/>
              <w:spacing w:before="0" w:after="283"/>
              <w:jc w:val="left"/>
              <w:rPr/>
            </w:pPr>
            <w:r>
              <w:rPr/>
              <w:t>        </w:t>
            </w:r>
          </w:p>
        </w:tc>
        <w:tc>
          <w:tcPr>
            <w:tcW w:w="8765" w:type="dxa"/>
            <w:tcBorders/>
            <w:shd w:fill="auto" w:val="clear"/>
            <w:vAlign w:val="center"/>
          </w:tcPr>
          <w:p>
            <w:pPr>
              <w:pStyle w:val="TableContents"/>
              <w:spacing w:before="0" w:after="283"/>
              <w:rPr>
                <w:sz w:val="4"/>
                <w:szCs w:val="4"/>
              </w:rPr>
            </w:pPr>
            <w:r>
              <w:rPr>
                <w:sz w:val="4"/>
                <w:szCs w:val="4"/>
              </w:rPr>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(i)</w:t>
            </w:r>
          </w:p>
        </w:tc>
        <w:tc>
          <w:tcPr>
            <w:tcW w:w="8765" w:type="dxa"/>
            <w:tcBorders/>
            <w:shd w:fill="auto" w:val="clear"/>
            <w:vAlign w:val="center"/>
          </w:tcPr>
          <w:p>
            <w:pPr>
              <w:pStyle w:val="TableContents"/>
              <w:spacing w:before="0" w:after="283"/>
              <w:jc w:val="left"/>
              <w:rPr>
                <w:rFonts w:ascii="Arial" w:hAnsi="Arial"/>
                <w:sz w:val="20"/>
              </w:rPr>
            </w:pPr>
            <w:r>
              <w:rPr>
                <w:rFonts w:ascii="Arial" w:hAnsi="Arial"/>
                <w:sz w:val="20"/>
                <w:u w:val="single"/>
              </w:rPr>
              <w:t>Shares Available for Issuance</w:t>
            </w:r>
            <w:r>
              <w:rPr>
                <w:rFonts w:ascii="Arial" w:hAnsi="Arial"/>
                <w:sz w:val="20"/>
              </w:rPr>
              <w:t>. Subject to adjustment as provided in Section 12 and except for Substitute Awards, not more than 275 million Shares, minus the number of Shares subject to any award granted under the RS Plan or the Stock Option Plan after March 31, 2023 and prior to the Effective Date, in the aggregate may be issued under the Plan pursuant to Awards, which shall also be the maximum number of Shares available for issuance pursuant to Incentive Stock Options. Subject to Section 4(a)(ii) and (iii), Shares subject to an Award shall be counted as used only to the extent that they are actually issued; provided that (A) any Shares withheld to satisfy the Participant’s applicable tax withholding obligations or the option price of an Award pursuant to a cashless exercise and (B) any Shares subject to a SAR that are not issued in connection with the settlement of the SAR upon its exercise, shall be considered actually issued for purposes of this Section 4(a)(i) and will not again become available for issuance under the Plan.</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(ii)</w:t>
            </w:r>
          </w:p>
        </w:tc>
        <w:tc>
          <w:tcPr>
            <w:tcW w:w="8765" w:type="dxa"/>
            <w:tcBorders/>
            <w:shd w:fill="auto" w:val="clear"/>
            <w:vAlign w:val="center"/>
          </w:tcPr>
          <w:p>
            <w:pPr>
              <w:pStyle w:val="TableContents"/>
              <w:spacing w:before="0" w:after="283"/>
              <w:jc w:val="left"/>
              <w:rPr>
                <w:rFonts w:ascii="Arial" w:hAnsi="Arial"/>
                <w:sz w:val="20"/>
              </w:rPr>
            </w:pPr>
            <w:r>
              <w:rPr>
                <w:rFonts w:ascii="Arial" w:hAnsi="Arial"/>
                <w:sz w:val="20"/>
                <w:u w:val="single"/>
              </w:rPr>
              <w:t>Shares Returned to the Reserve</w:t>
            </w:r>
            <w:r>
              <w:rPr>
                <w:rFonts w:ascii="Arial" w:hAnsi="Arial"/>
                <w:sz w:val="20"/>
              </w:rPr>
              <w:t>. If an Award is forfeited, canceled, terminates or expires (including an Option that has not been exercised in full), the Shares underlying such forfeited, canceled, terminated or expired Award shall return to the pool of Shares available for issuance under Section 4(a)(i).</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(iii)</w:t>
            </w:r>
          </w:p>
        </w:tc>
        <w:tc>
          <w:tcPr>
            <w:tcW w:w="8765" w:type="dxa"/>
            <w:tcBorders/>
            <w:shd w:fill="auto" w:val="clear"/>
            <w:vAlign w:val="center"/>
          </w:tcPr>
          <w:p>
            <w:pPr>
              <w:pStyle w:val="TableContents"/>
              <w:spacing w:before="0" w:after="283"/>
              <w:jc w:val="left"/>
              <w:rPr>
                <w:rFonts w:ascii="Arial" w:hAnsi="Arial"/>
                <w:sz w:val="20"/>
              </w:rPr>
            </w:pPr>
            <w:r>
              <w:rPr>
                <w:rFonts w:ascii="Arial" w:hAnsi="Arial"/>
                <w:sz w:val="20"/>
                <w:u w:val="single"/>
              </w:rPr>
              <w:t>Share Recycling Prohibitions</w:t>
            </w:r>
            <w:r>
              <w:rPr>
                <w:rFonts w:ascii="Arial" w:hAnsi="Arial"/>
                <w:sz w:val="20"/>
              </w:rPr>
              <w:t>. If (A) the Company withholds Shares to satisfy the Participant’s applicable tax withholding obligations in accordance with Section 11 or (B) an Option or SAR covering Shares is exercised pursuant to the cashless exercise provisions of Section 9(b)(iv), such withheld Shares described in clauses (A) and (B), shall not again become available for issuance under the Plan or increase the number of Shares available for issuance under the Plan. In addition, for the avoidance of doubt, no Options or SARs may be granted covering Shares repurchased by the Company on the open market with proceeds, if any, received by the Company on account of payment of the option price for an Option or SAR by Participants.</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(b)</w:t>
            </w:r>
          </w:p>
        </w:tc>
        <w:tc>
          <w:tcPr>
            <w:tcW w:w="9245" w:type="dxa"/>
            <w:gridSpan w:val="2"/>
            <w:tcBorders/>
            <w:shd w:fill="auto" w:val="clear"/>
            <w:vAlign w:val="center"/>
          </w:tcPr>
          <w:p>
            <w:pPr>
              <w:pStyle w:val="TableContents"/>
              <w:spacing w:before="0" w:after="283"/>
              <w:jc w:val="left"/>
              <w:rPr>
                <w:rFonts w:ascii="Arial" w:hAnsi="Arial"/>
                <w:sz w:val="20"/>
              </w:rPr>
            </w:pPr>
            <w:r>
              <w:rPr>
                <w:rFonts w:ascii="Arial" w:hAnsi="Arial"/>
                <w:sz w:val="20"/>
                <w:u w:val="single"/>
              </w:rPr>
              <w:t>Source of Shares</w:t>
            </w:r>
            <w:r>
              <w:rPr>
                <w:rFonts w:ascii="Arial" w:hAnsi="Arial"/>
                <w:sz w:val="20"/>
              </w:rPr>
              <w:t>. The Shares issued under the Plan may, at the Company’s option, be either Shares held in treasury or Shares originally issued for such purpose. Shares underlying Substitute Awards and Shares remaining available for grant under a plan of an acquired company or of a company with which a Participating Company combines (whether by way of amalgamation, merger, sale and purchase of shares or other securities or otherwise), appropriately adjusted to reflect the acquisition or combination transaction, shall not reduce the number of Shares remaining available for grant under this Section 4.</w:t>
            </w:r>
          </w:p>
        </w:tc>
      </w:tr>
      <w:tr>
        <w:trPr/>
        <w:tc>
          <w:tcPr>
            <w:tcW w:w="480" w:type="dxa"/>
            <w:tcBorders/>
            <w:shd w:fill="auto" w:val="clear"/>
            <w:vAlign w:val="center"/>
          </w:tcPr>
          <w:p>
            <w:pPr>
              <w:pStyle w:val="TableContents"/>
              <w:spacing w:before="0" w:after="283"/>
              <w:jc w:val="left"/>
              <w:rPr/>
            </w:pPr>
            <w:r>
              <w:rPr>
                <w:rStyle w:val="StrongEmphasis"/>
                <w:rFonts w:ascii="Arial" w:hAnsi="Arial"/>
                <w:sz w:val="20"/>
              </w:rPr>
              <w:t>5.</w:t>
            </w:r>
          </w:p>
        </w:tc>
        <w:tc>
          <w:tcPr>
            <w:tcW w:w="9725" w:type="dxa"/>
            <w:gridSpan w:val="3"/>
            <w:tcBorders/>
            <w:shd w:fill="auto" w:val="clear"/>
            <w:vAlign w:val="center"/>
          </w:tcPr>
          <w:p>
            <w:pPr>
              <w:pStyle w:val="TableContents"/>
              <w:spacing w:before="0" w:after="283"/>
              <w:jc w:val="left"/>
              <w:rPr/>
            </w:pPr>
            <w:r>
              <w:rPr>
                <w:rStyle w:val="StrongEmphasis"/>
                <w:rFonts w:ascii="Arial" w:hAnsi="Arial"/>
                <w:sz w:val="20"/>
                <w:u w:val="single"/>
              </w:rPr>
              <w:t>ADMINISTRATION AND INTERPRETATION OF THE PLAN</w:t>
            </w:r>
            <w:r>
              <w:rPr>
                <w:rStyle w:val="StrongEmphasis"/>
                <w:rFonts w:ascii="Arial" w:hAnsi="Arial"/>
                <w:sz w:val="20"/>
              </w:rPr>
              <w:t>.</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(a)</w:t>
            </w:r>
          </w:p>
        </w:tc>
        <w:tc>
          <w:tcPr>
            <w:tcW w:w="9245" w:type="dxa"/>
            <w:gridSpan w:val="2"/>
            <w:tcBorders/>
            <w:shd w:fill="auto" w:val="clear"/>
            <w:vAlign w:val="center"/>
          </w:tcPr>
          <w:p>
            <w:pPr>
              <w:pStyle w:val="TableContents"/>
              <w:spacing w:before="0" w:after="283"/>
              <w:jc w:val="left"/>
              <w:rPr>
                <w:rFonts w:ascii="Arial" w:hAnsi="Arial"/>
                <w:sz w:val="20"/>
              </w:rPr>
            </w:pPr>
            <w:r>
              <w:rPr>
                <w:rFonts w:ascii="Arial" w:hAnsi="Arial"/>
                <w:sz w:val="20"/>
                <w:u w:val="single"/>
              </w:rPr>
              <w:t>Administration</w:t>
            </w:r>
            <w:r>
              <w:rPr>
                <w:rFonts w:ascii="Arial" w:hAnsi="Arial"/>
                <w:sz w:val="20"/>
              </w:rPr>
              <w:t xml:space="preserve">. The Plan shall be administered by the Committee; </w:t>
            </w:r>
            <w:r>
              <w:rPr>
                <w:rFonts w:ascii="Arial" w:hAnsi="Arial"/>
                <w:sz w:val="20"/>
                <w:u w:val="single"/>
              </w:rPr>
              <w:t>provided that</w:t>
            </w:r>
            <w:r>
              <w:rPr>
                <w:rFonts w:ascii="Arial" w:hAnsi="Arial"/>
                <w:sz w:val="20"/>
              </w:rPr>
              <w:t>, the rules of the Plan shall apply so that all references in the Plan to the Committee shall be treated as references to either the Board or the Committee acting alone.</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(b)</w:t>
            </w:r>
          </w:p>
        </w:tc>
        <w:tc>
          <w:tcPr>
            <w:tcW w:w="9245" w:type="dxa"/>
            <w:gridSpan w:val="2"/>
            <w:tcBorders/>
            <w:shd w:fill="auto" w:val="clear"/>
            <w:vAlign w:val="center"/>
          </w:tcPr>
          <w:p>
            <w:pPr>
              <w:pStyle w:val="TableContents"/>
              <w:spacing w:before="0" w:after="283"/>
              <w:jc w:val="left"/>
              <w:rPr>
                <w:rFonts w:ascii="Arial" w:hAnsi="Arial"/>
                <w:sz w:val="20"/>
              </w:rPr>
            </w:pPr>
            <w:r>
              <w:rPr>
                <w:rFonts w:ascii="Arial" w:hAnsi="Arial"/>
                <w:sz w:val="20"/>
                <w:u w:val="single"/>
              </w:rPr>
              <w:t>Authority</w:t>
            </w:r>
            <w:r>
              <w:rPr>
                <w:rFonts w:ascii="Arial" w:hAnsi="Arial"/>
                <w:sz w:val="20"/>
              </w:rPr>
              <w:t>. Subject to the express terms and conditions set forth in the Plan and applicable law, the Committee (or its delegate) shall have full power, authority and discretion to, from time to time:</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(i)</w:t>
            </w:r>
          </w:p>
        </w:tc>
        <w:tc>
          <w:tcPr>
            <w:tcW w:w="8765" w:type="dxa"/>
            <w:tcBorders/>
            <w:shd w:fill="auto" w:val="clear"/>
            <w:vAlign w:val="center"/>
          </w:tcPr>
          <w:p>
            <w:pPr>
              <w:pStyle w:val="TableContents"/>
              <w:spacing w:before="0" w:after="283"/>
              <w:jc w:val="left"/>
              <w:rPr>
                <w:rFonts w:ascii="Arial" w:hAnsi="Arial"/>
                <w:sz w:val="20"/>
              </w:rPr>
            </w:pPr>
            <w:r>
              <w:rPr>
                <w:rFonts w:ascii="Arial" w:hAnsi="Arial"/>
                <w:sz w:val="20"/>
              </w:rPr>
              <w:t>select those Employees, Non-Employee Directors and Other Service Providers to whom Awards shall be granted under the Plan;</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(ii)</w:t>
            </w:r>
          </w:p>
        </w:tc>
        <w:tc>
          <w:tcPr>
            <w:tcW w:w="8765" w:type="dxa"/>
            <w:tcBorders/>
            <w:shd w:fill="auto" w:val="clear"/>
            <w:vAlign w:val="center"/>
          </w:tcPr>
          <w:p>
            <w:pPr>
              <w:pStyle w:val="TableContents"/>
              <w:spacing w:before="0" w:after="283"/>
              <w:jc w:val="left"/>
              <w:rPr>
                <w:rFonts w:ascii="Arial" w:hAnsi="Arial"/>
                <w:sz w:val="20"/>
              </w:rPr>
            </w:pPr>
            <w:r>
              <w:rPr>
                <w:rFonts w:ascii="Arial" w:hAnsi="Arial"/>
                <w:sz w:val="20"/>
              </w:rPr>
              <w:t>determine the type or types of Awards (including Substitute Awards) to be granted to each Participant under the Plan;</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(iii)</w:t>
            </w:r>
          </w:p>
        </w:tc>
        <w:tc>
          <w:tcPr>
            <w:tcW w:w="8765" w:type="dxa"/>
            <w:tcBorders/>
            <w:shd w:fill="auto" w:val="clear"/>
            <w:vAlign w:val="center"/>
          </w:tcPr>
          <w:p>
            <w:pPr>
              <w:pStyle w:val="TableContents"/>
              <w:spacing w:before="0" w:after="283"/>
              <w:jc w:val="left"/>
              <w:rPr>
                <w:rFonts w:ascii="Arial" w:hAnsi="Arial"/>
                <w:sz w:val="20"/>
              </w:rPr>
            </w:pPr>
            <w:r>
              <w:rPr>
                <w:rFonts w:ascii="Arial" w:hAnsi="Arial"/>
                <w:sz w:val="20"/>
              </w:rPr>
              <w:t>determine the number of Shares to be covered by Awards;</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(iv)</w:t>
            </w:r>
          </w:p>
        </w:tc>
        <w:tc>
          <w:tcPr>
            <w:tcW w:w="8765" w:type="dxa"/>
            <w:tcBorders/>
            <w:shd w:fill="auto" w:val="clear"/>
            <w:vAlign w:val="center"/>
          </w:tcPr>
          <w:p>
            <w:pPr>
              <w:pStyle w:val="TableContents"/>
              <w:spacing w:before="0" w:after="283"/>
              <w:jc w:val="left"/>
              <w:rPr>
                <w:rFonts w:ascii="Arial" w:hAnsi="Arial"/>
                <w:sz w:val="20"/>
              </w:rPr>
            </w:pPr>
            <w:r>
              <w:rPr>
                <w:rFonts w:ascii="Arial" w:hAnsi="Arial"/>
                <w:sz w:val="20"/>
              </w:rPr>
              <w:t>determine the terms and conditions of any Award (including the restrictions applicable to such Award and the conditions upon which a Vesting Date shall occur or upon which any Options shall become exercisable) and prescribe the form of each Award Agreement, which need not be identical for each Participant;</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(v)</w:t>
            </w:r>
          </w:p>
        </w:tc>
        <w:tc>
          <w:tcPr>
            <w:tcW w:w="8765" w:type="dxa"/>
            <w:tcBorders/>
            <w:shd w:fill="auto" w:val="clear"/>
            <w:vAlign w:val="center"/>
          </w:tcPr>
          <w:p>
            <w:pPr>
              <w:pStyle w:val="TableContents"/>
              <w:spacing w:before="0" w:after="283"/>
              <w:jc w:val="left"/>
              <w:rPr>
                <w:rFonts w:ascii="Arial" w:hAnsi="Arial"/>
                <w:sz w:val="20"/>
              </w:rPr>
            </w:pPr>
            <w:r>
              <w:rPr>
                <w:rFonts w:ascii="Arial" w:hAnsi="Arial"/>
                <w:sz w:val="20"/>
              </w:rPr>
              <w:t>determine whether, to what extent, under what circumstances and by which methods Awards may be settled or exercised in cash, Shares, other Awards, other property, net settlement, or any combination thereof, or canceled, forfeited or suspended;</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(vi)</w:t>
            </w:r>
          </w:p>
        </w:tc>
        <w:tc>
          <w:tcPr>
            <w:tcW w:w="8765" w:type="dxa"/>
            <w:tcBorders/>
            <w:shd w:fill="auto" w:val="clear"/>
            <w:vAlign w:val="center"/>
          </w:tcPr>
          <w:p>
            <w:pPr>
              <w:pStyle w:val="TableContents"/>
              <w:spacing w:before="0" w:after="283"/>
              <w:jc w:val="left"/>
              <w:rPr>
                <w:rFonts w:ascii="Arial" w:hAnsi="Arial"/>
                <w:sz w:val="20"/>
              </w:rPr>
            </w:pPr>
            <w:r>
              <w:rPr>
                <w:rFonts w:ascii="Arial" w:hAnsi="Arial"/>
                <w:sz w:val="20"/>
              </w:rPr>
              <w:t>amend terms or conditions of any outstanding Awards;</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(vii)</w:t>
            </w:r>
          </w:p>
        </w:tc>
        <w:tc>
          <w:tcPr>
            <w:tcW w:w="8765" w:type="dxa"/>
            <w:tcBorders/>
            <w:shd w:fill="auto" w:val="clear"/>
            <w:vAlign w:val="center"/>
          </w:tcPr>
          <w:p>
            <w:pPr>
              <w:pStyle w:val="TableContents"/>
              <w:spacing w:before="0" w:after="283"/>
              <w:jc w:val="left"/>
              <w:rPr>
                <w:rFonts w:ascii="Arial" w:hAnsi="Arial"/>
                <w:sz w:val="20"/>
              </w:rPr>
            </w:pPr>
            <w:r>
              <w:rPr>
                <w:rFonts w:ascii="Arial" w:hAnsi="Arial"/>
                <w:sz w:val="20"/>
              </w:rPr>
              <w:t>correct any defect, supply any omission and reconcile any inconsistency in the Plan or any Award, in the manner and to the extent it shall deem desirable to carry the Plan into effect;</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(viii)</w:t>
            </w:r>
          </w:p>
        </w:tc>
        <w:tc>
          <w:tcPr>
            <w:tcW w:w="8765" w:type="dxa"/>
            <w:tcBorders/>
            <w:shd w:fill="auto" w:val="clear"/>
            <w:vAlign w:val="center"/>
          </w:tcPr>
          <w:p>
            <w:pPr>
              <w:pStyle w:val="TableContents"/>
              <w:spacing w:before="0" w:after="283"/>
              <w:jc w:val="left"/>
              <w:rPr>
                <w:rFonts w:ascii="Arial" w:hAnsi="Arial"/>
                <w:sz w:val="20"/>
              </w:rPr>
            </w:pPr>
            <w:r>
              <w:rPr>
                <w:rFonts w:ascii="Arial" w:hAnsi="Arial"/>
                <w:sz w:val="20"/>
              </w:rPr>
              <w:t>interpret and administer the Plan and any instrument or agreement relating to, or Award made under, the Plan;</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(ix)</w:t>
            </w:r>
          </w:p>
        </w:tc>
        <w:tc>
          <w:tcPr>
            <w:tcW w:w="8765" w:type="dxa"/>
            <w:tcBorders/>
            <w:shd w:fill="auto" w:val="clear"/>
            <w:vAlign w:val="center"/>
          </w:tcPr>
          <w:p>
            <w:pPr>
              <w:pStyle w:val="TableContents"/>
              <w:spacing w:before="0" w:after="283"/>
              <w:jc w:val="left"/>
              <w:rPr>
                <w:rFonts w:ascii="Arial" w:hAnsi="Arial"/>
                <w:sz w:val="20"/>
              </w:rPr>
            </w:pPr>
            <w:r>
              <w:rPr>
                <w:rFonts w:ascii="Arial" w:hAnsi="Arial"/>
                <w:sz w:val="20"/>
              </w:rPr>
              <w:t>establish, prescribe, amend, suspend or waive such rules and regulations and appoint such agents, trustees, brokers, depositories and advisors and determine such terms of their engagement as it shall deem appropriate for the proper administration of the Plan and due compliance with applicable law, stock market or exchange rules and regulations or accounting or tax rules and regulations; and</w:t>
            </w:r>
          </w:p>
        </w:tc>
      </w:tr>
    </w:tbl>
    <w:p>
      <w:pPr>
        <w:pStyle w:val="TextBody"/>
        <w:spacing w:before="0" w:after="0"/>
        <w:rPr/>
      </w:pPr>
      <w:r>
        <w:rPr/>
      </w:r>
    </w:p>
    <w:tbl>
      <w:tblPr>
        <w:tblW w:w="283" w:type="dxa"/>
        <w:jc w:val="left"/>
        <w:tblInd w:w="0" w:type="dxa"/>
        <w:tblCellMar>
          <w:top w:w="0" w:type="dxa"/>
          <w:left w:w="0" w:type="dxa"/>
          <w:bottom w:w="0" w:type="dxa"/>
          <w:right w:w="0" w:type="dxa"/>
        </w:tblCellMar>
      </w:tblPr>
      <w:tblGrid>
        <w:gridCol w:w="260"/>
        <w:gridCol w:w="23"/>
      </w:tblGrid>
      <w:tr>
        <w:trPr/>
        <w:tc>
          <w:tcPr>
            <w:tcW w:w="260" w:type="dxa"/>
            <w:tcBorders/>
            <w:shd w:fill="auto" w:val="clear"/>
            <w:vAlign w:val="center"/>
          </w:tcPr>
          <w:p>
            <w:pPr>
              <w:pStyle w:val="TableContents"/>
              <w:spacing w:before="0" w:after="283"/>
              <w:jc w:val="left"/>
              <w:rPr>
                <w:rFonts w:ascii="Arial" w:hAnsi="Arial"/>
                <w:b/>
                <w:sz w:val="15"/>
              </w:rPr>
            </w:pPr>
            <w:r>
              <w:rPr>
                <w:rFonts w:ascii="Arial" w:hAnsi="Arial"/>
                <w:b/>
                <w:sz w:val="15"/>
              </w:rPr>
              <w:t>C-5</w:t>
            </w:r>
          </w:p>
        </w:tc>
        <w:tc>
          <w:tcPr>
            <w:tcW w:w="2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10205" w:type="dxa"/>
        <w:jc w:val="left"/>
        <w:tblInd w:w="0" w:type="dxa"/>
        <w:tblCellMar>
          <w:top w:w="0" w:type="dxa"/>
          <w:left w:w="0" w:type="dxa"/>
          <w:bottom w:w="0" w:type="dxa"/>
          <w:right w:w="0" w:type="dxa"/>
        </w:tblCellMar>
      </w:tblPr>
      <w:tblGrid>
        <w:gridCol w:w="480"/>
        <w:gridCol w:w="480"/>
        <w:gridCol w:w="548"/>
        <w:gridCol w:w="8697"/>
      </w:tblGrid>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jc w:val="left"/>
              <w:rPr>
                <w:rFonts w:ascii="Arial" w:hAnsi="Arial"/>
                <w:sz w:val="20"/>
              </w:rPr>
            </w:pPr>
            <w:r>
              <w:rPr>
                <w:rFonts w:ascii="Arial" w:hAnsi="Arial"/>
                <w:sz w:val="20"/>
              </w:rPr>
              <w:t>(x)</w:t>
            </w:r>
          </w:p>
        </w:tc>
        <w:tc>
          <w:tcPr>
            <w:tcW w:w="8697" w:type="dxa"/>
            <w:tcBorders/>
            <w:shd w:fill="auto" w:val="clear"/>
            <w:vAlign w:val="center"/>
          </w:tcPr>
          <w:p>
            <w:pPr>
              <w:pStyle w:val="TableContents"/>
              <w:spacing w:before="0" w:after="283"/>
              <w:jc w:val="left"/>
              <w:rPr>
                <w:rFonts w:ascii="Arial" w:hAnsi="Arial"/>
                <w:sz w:val="20"/>
              </w:rPr>
            </w:pPr>
            <w:r>
              <w:rPr>
                <w:rFonts w:ascii="Arial" w:hAnsi="Arial"/>
                <w:sz w:val="20"/>
              </w:rPr>
              <w:t>make any other determination and take any other action that the Committee deems necessary or desirable for the administration of the Plan and due compliance with applicable law, stock market or exchange rules and regulations or accounting or tax rules and regulations.</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8697" w:type="dxa"/>
            <w:tcBorders/>
            <w:shd w:fill="auto" w:val="clear"/>
            <w:vAlign w:val="center"/>
          </w:tcPr>
          <w:p>
            <w:pPr>
              <w:pStyle w:val="TableContents"/>
              <w:spacing w:before="0" w:after="283"/>
              <w:jc w:val="left"/>
              <w:rPr>
                <w:rFonts w:ascii="Arial" w:hAnsi="Arial"/>
                <w:sz w:val="20"/>
              </w:rPr>
            </w:pPr>
            <w:r>
              <w:rPr>
                <w:rFonts w:ascii="Arial" w:hAnsi="Arial"/>
                <w:sz w:val="20"/>
              </w:rPr>
              <w:t>All determinations by the Committee shall be final, conclusive and binding on all Persons, including the Participants and their beneficiaries. For the avoidance of doubt, the Board may, in its sole discretion, at any time and from time to time, grant Awards and administer the Plan. In any such case, the Board shall have all of the authority and responsibility granted to the Committee herein.</w:t>
            </w:r>
          </w:p>
        </w:tc>
      </w:tr>
      <w:tr>
        <w:trPr/>
        <w:tc>
          <w:tcPr>
            <w:tcW w:w="480" w:type="dxa"/>
            <w:tcBorders/>
            <w:shd w:fill="auto" w:val="clear"/>
            <w:vAlign w:val="center"/>
          </w:tcPr>
          <w:p>
            <w:pPr>
              <w:pStyle w:val="TableContents"/>
              <w:spacing w:before="0" w:after="283"/>
              <w:jc w:val="left"/>
              <w:rPr/>
            </w:pPr>
            <w:r>
              <w:rPr/>
              <w:t>        </w:t>
            </w:r>
          </w:p>
        </w:tc>
        <w:tc>
          <w:tcPr>
            <w:tcW w:w="480" w:type="dxa"/>
            <w:tcBorders/>
            <w:shd w:fill="auto" w:val="clear"/>
            <w:vAlign w:val="center"/>
          </w:tcPr>
          <w:p>
            <w:pPr>
              <w:pStyle w:val="TableContents"/>
              <w:spacing w:before="0" w:after="283"/>
              <w:jc w:val="left"/>
              <w:rPr/>
            </w:pPr>
            <w:r>
              <w:rPr/>
              <w:t>        </w:t>
            </w:r>
          </w:p>
        </w:tc>
        <w:tc>
          <w:tcPr>
            <w:tcW w:w="548" w:type="dxa"/>
            <w:tcBorders/>
            <w:shd w:fill="auto" w:val="clear"/>
            <w:vAlign w:val="center"/>
          </w:tcPr>
          <w:p>
            <w:pPr>
              <w:pStyle w:val="TableContents"/>
              <w:spacing w:before="0" w:after="283"/>
              <w:jc w:val="left"/>
              <w:rPr/>
            </w:pPr>
            <w:r>
              <w:rPr/>
              <w:t>        </w:t>
            </w:r>
          </w:p>
        </w:tc>
        <w:tc>
          <w:tcPr>
            <w:tcW w:w="8697" w:type="dxa"/>
            <w:tcBorders/>
            <w:shd w:fill="auto" w:val="clear"/>
            <w:vAlign w:val="center"/>
          </w:tcPr>
          <w:p>
            <w:pPr>
              <w:pStyle w:val="TableContents"/>
              <w:spacing w:before="0" w:after="283"/>
              <w:rPr>
                <w:sz w:val="4"/>
                <w:szCs w:val="4"/>
              </w:rPr>
            </w:pPr>
            <w:r>
              <w:rPr>
                <w:sz w:val="4"/>
                <w:szCs w:val="4"/>
              </w:rPr>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(c)</w:t>
            </w:r>
          </w:p>
        </w:tc>
        <w:tc>
          <w:tcPr>
            <w:tcW w:w="9245" w:type="dxa"/>
            <w:gridSpan w:val="2"/>
            <w:tcBorders/>
            <w:shd w:fill="auto" w:val="clear"/>
            <w:vAlign w:val="center"/>
          </w:tcPr>
          <w:p>
            <w:pPr>
              <w:pStyle w:val="TableContents"/>
              <w:spacing w:before="0" w:after="283"/>
              <w:jc w:val="left"/>
              <w:rPr>
                <w:rFonts w:ascii="Arial" w:hAnsi="Arial"/>
                <w:sz w:val="20"/>
              </w:rPr>
            </w:pPr>
            <w:r>
              <w:rPr>
                <w:rFonts w:ascii="Arial" w:hAnsi="Arial"/>
                <w:sz w:val="20"/>
                <w:u w:val="single"/>
              </w:rPr>
              <w:t>Delegation of Authority</w:t>
            </w:r>
            <w:r>
              <w:rPr>
                <w:rFonts w:ascii="Arial" w:hAnsi="Arial"/>
                <w:sz w:val="20"/>
              </w:rPr>
              <w:t>. To the extent permitted by applicable law, the Committee may delegate its authority with respect to the grant, amendment, interpretation and administration of Awards to a person, persons or committee, in its sole and absolute discretion. Actions taken by the Committee’s duly-authorized delegate shall have the same force and effect as actions taken by the Committee. Any delegation of authority pursuant to this Section 5(c) shall continue in effect until the earliest of:</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jc w:val="left"/>
              <w:rPr>
                <w:rFonts w:ascii="Arial" w:hAnsi="Arial"/>
                <w:sz w:val="20"/>
              </w:rPr>
            </w:pPr>
            <w:r>
              <w:rPr>
                <w:rFonts w:ascii="Arial" w:hAnsi="Arial"/>
                <w:sz w:val="20"/>
              </w:rPr>
              <w:t>(i)</w:t>
            </w:r>
          </w:p>
        </w:tc>
        <w:tc>
          <w:tcPr>
            <w:tcW w:w="8697" w:type="dxa"/>
            <w:tcBorders/>
            <w:shd w:fill="auto" w:val="clear"/>
            <w:vAlign w:val="center"/>
          </w:tcPr>
          <w:p>
            <w:pPr>
              <w:pStyle w:val="TableContents"/>
              <w:spacing w:before="0" w:after="283"/>
              <w:jc w:val="left"/>
              <w:rPr>
                <w:rFonts w:ascii="Arial" w:hAnsi="Arial"/>
                <w:sz w:val="20"/>
              </w:rPr>
            </w:pPr>
            <w:r>
              <w:rPr>
                <w:rFonts w:ascii="Arial" w:hAnsi="Arial"/>
                <w:sz w:val="20"/>
              </w:rPr>
              <w:t>such time as the Committee shall, in its sole and absolute discretion, revoke such delegation of authority;</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jc w:val="left"/>
              <w:rPr>
                <w:rFonts w:ascii="Arial" w:hAnsi="Arial"/>
                <w:sz w:val="20"/>
              </w:rPr>
            </w:pPr>
            <w:r>
              <w:rPr>
                <w:rFonts w:ascii="Arial" w:hAnsi="Arial"/>
                <w:sz w:val="20"/>
              </w:rPr>
              <w:t>(ii)</w:t>
            </w:r>
          </w:p>
        </w:tc>
        <w:tc>
          <w:tcPr>
            <w:tcW w:w="8697" w:type="dxa"/>
            <w:tcBorders/>
            <w:shd w:fill="auto" w:val="clear"/>
            <w:vAlign w:val="center"/>
          </w:tcPr>
          <w:p>
            <w:pPr>
              <w:pStyle w:val="TableContents"/>
              <w:spacing w:before="0" w:after="283"/>
              <w:jc w:val="left"/>
              <w:rPr>
                <w:rFonts w:ascii="Arial" w:hAnsi="Arial"/>
                <w:sz w:val="20"/>
              </w:rPr>
            </w:pPr>
            <w:r>
              <w:rPr>
                <w:rFonts w:ascii="Arial" w:hAnsi="Arial"/>
                <w:sz w:val="20"/>
              </w:rPr>
              <w:t>in the case of delegation to a person that is conditioned on such person’s continued service as an employee of the Company or as a member of the Board, the date such delegate shall cease to serve in such capacity for any reason; or</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jc w:val="left"/>
              <w:rPr>
                <w:rFonts w:ascii="Arial" w:hAnsi="Arial"/>
                <w:sz w:val="20"/>
              </w:rPr>
            </w:pPr>
            <w:r>
              <w:rPr>
                <w:rFonts w:ascii="Arial" w:hAnsi="Arial"/>
                <w:sz w:val="20"/>
              </w:rPr>
              <w:t>(iii)</w:t>
            </w:r>
          </w:p>
        </w:tc>
        <w:tc>
          <w:tcPr>
            <w:tcW w:w="8697" w:type="dxa"/>
            <w:tcBorders/>
            <w:shd w:fill="auto" w:val="clear"/>
            <w:vAlign w:val="center"/>
          </w:tcPr>
          <w:p>
            <w:pPr>
              <w:pStyle w:val="TableContents"/>
              <w:spacing w:before="0" w:after="283"/>
              <w:jc w:val="left"/>
              <w:rPr>
                <w:rFonts w:ascii="Arial" w:hAnsi="Arial"/>
                <w:sz w:val="20"/>
              </w:rPr>
            </w:pPr>
            <w:r>
              <w:rPr>
                <w:rFonts w:ascii="Arial" w:hAnsi="Arial"/>
                <w:sz w:val="20"/>
              </w:rPr>
              <w:t>the delegate shall notify the Committee that he or she declines to continue to exercise such authority.</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8697" w:type="dxa"/>
            <w:tcBorders/>
            <w:shd w:fill="auto" w:val="clear"/>
            <w:vAlign w:val="center"/>
          </w:tcPr>
          <w:p>
            <w:pPr>
              <w:pStyle w:val="TableContents"/>
              <w:spacing w:before="0" w:after="283"/>
              <w:jc w:val="left"/>
              <w:rPr>
                <w:rFonts w:ascii="Arial" w:hAnsi="Arial"/>
                <w:sz w:val="20"/>
              </w:rPr>
            </w:pPr>
            <w:r>
              <w:rPr>
                <w:rFonts w:ascii="Arial" w:hAnsi="Arial"/>
                <w:sz w:val="20"/>
              </w:rPr>
              <w:t>Notwithstanding anything to the contrary herein, the Committee may not delegate to any Person or committee (other than the Board) the authority to grant Awards or amend the terms of any Awards to any Participant then covered by Section 16 of the 1934 Act.</w:t>
            </w:r>
          </w:p>
        </w:tc>
      </w:tr>
      <w:tr>
        <w:trPr/>
        <w:tc>
          <w:tcPr>
            <w:tcW w:w="480" w:type="dxa"/>
            <w:tcBorders/>
            <w:shd w:fill="auto" w:val="clear"/>
            <w:vAlign w:val="center"/>
          </w:tcPr>
          <w:p>
            <w:pPr>
              <w:pStyle w:val="TableContents"/>
              <w:spacing w:before="0" w:after="283"/>
              <w:jc w:val="left"/>
              <w:rPr/>
            </w:pPr>
            <w:r>
              <w:rPr>
                <w:rStyle w:val="StrongEmphasis"/>
                <w:rFonts w:ascii="Arial" w:hAnsi="Arial"/>
                <w:sz w:val="20"/>
              </w:rPr>
              <w:t>6.</w:t>
            </w:r>
          </w:p>
        </w:tc>
        <w:tc>
          <w:tcPr>
            <w:tcW w:w="9725" w:type="dxa"/>
            <w:gridSpan w:val="3"/>
            <w:tcBorders/>
            <w:shd w:fill="auto" w:val="clear"/>
            <w:vAlign w:val="center"/>
          </w:tcPr>
          <w:p>
            <w:pPr>
              <w:pStyle w:val="TableContents"/>
              <w:spacing w:before="0" w:after="283"/>
              <w:jc w:val="left"/>
              <w:rPr/>
            </w:pPr>
            <w:r>
              <w:rPr>
                <w:rStyle w:val="StrongEmphasis"/>
                <w:rFonts w:ascii="Arial" w:hAnsi="Arial"/>
                <w:sz w:val="20"/>
                <w:u w:val="single"/>
              </w:rPr>
              <w:t>ELIGIBILITY FOR AWARDS</w:t>
            </w:r>
            <w:r>
              <w:rPr>
                <w:rStyle w:val="StrongEmphasis"/>
                <w:rFonts w:ascii="Arial" w:hAnsi="Arial"/>
                <w:sz w:val="20"/>
              </w:rPr>
              <w:t>.</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(a)</w:t>
            </w:r>
          </w:p>
        </w:tc>
        <w:tc>
          <w:tcPr>
            <w:tcW w:w="9245" w:type="dxa"/>
            <w:gridSpan w:val="2"/>
            <w:tcBorders/>
            <w:shd w:fill="auto" w:val="clear"/>
            <w:vAlign w:val="center"/>
          </w:tcPr>
          <w:p>
            <w:pPr>
              <w:pStyle w:val="TableContents"/>
              <w:spacing w:before="0" w:after="283"/>
              <w:jc w:val="left"/>
              <w:rPr>
                <w:rFonts w:ascii="Arial" w:hAnsi="Arial"/>
                <w:sz w:val="20"/>
              </w:rPr>
            </w:pPr>
            <w:r>
              <w:rPr>
                <w:rFonts w:ascii="Arial" w:hAnsi="Arial"/>
                <w:sz w:val="20"/>
                <w:u w:val="single"/>
              </w:rPr>
              <w:t>Eligibility</w:t>
            </w:r>
            <w:r>
              <w:rPr>
                <w:rFonts w:ascii="Arial" w:hAnsi="Arial"/>
                <w:sz w:val="20"/>
              </w:rPr>
              <w:t>. Except as set forth under Section 6(b), Awards may be granted to Eligible Employees, Other Eligible Service Providers and Non-Employee Directors who are selected by the Committee for the grant of Awards in its sole discretion. The terms and conditions of (i) Restricted Stock and Restricted Stock Units, (ii) Options and SARs, and (iii) Other Share-Based Awards shall be determined by the Committee, subject to Sections 8, 9 and 10, respectively.</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(b)</w:t>
            </w:r>
          </w:p>
        </w:tc>
        <w:tc>
          <w:tcPr>
            <w:tcW w:w="9245" w:type="dxa"/>
            <w:gridSpan w:val="2"/>
            <w:tcBorders/>
            <w:shd w:fill="auto" w:val="clear"/>
            <w:vAlign w:val="center"/>
          </w:tcPr>
          <w:p>
            <w:pPr>
              <w:pStyle w:val="TableContents"/>
              <w:spacing w:before="0" w:after="283"/>
              <w:jc w:val="left"/>
              <w:rPr>
                <w:rFonts w:ascii="Arial" w:hAnsi="Arial"/>
                <w:sz w:val="20"/>
              </w:rPr>
            </w:pPr>
            <w:r>
              <w:rPr>
                <w:rFonts w:ascii="Arial" w:hAnsi="Arial"/>
                <w:sz w:val="20"/>
                <w:u w:val="single"/>
              </w:rPr>
              <w:t>Incentive Stock Options</w:t>
            </w:r>
            <w:r>
              <w:rPr>
                <w:rFonts w:ascii="Arial" w:hAnsi="Arial"/>
                <w:sz w:val="20"/>
              </w:rPr>
              <w:t>. An Incentive Stock Option may be granted only to an Eligible Employee of the Company or of a parent or subsidiary corporation (as defined in Section 424 of the Code). An Incentive Stock Option shall not be granted to a Ten Percent Shareholder except on such terms concerning the option price and term as are provided in Section 9(a) and Section 9(e) with respect to such a person. An Option designated as Incentive Stock Option granted to a Ten Percent Shareholder but which does not comply with the requirements of the preceding sentence shall be treated as a Non-Qualified Option. An Option designated as an Incentive Stock Option shall be treated as a Non-Qualified Option if the Participant is not an employee of a Company on the Date of Grant.</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(c)</w:t>
            </w:r>
          </w:p>
        </w:tc>
        <w:tc>
          <w:tcPr>
            <w:tcW w:w="9245" w:type="dxa"/>
            <w:gridSpan w:val="2"/>
            <w:tcBorders/>
            <w:shd w:fill="auto" w:val="clear"/>
            <w:vAlign w:val="center"/>
          </w:tcPr>
          <w:p>
            <w:pPr>
              <w:pStyle w:val="TableContents"/>
              <w:spacing w:before="0" w:after="283"/>
              <w:jc w:val="left"/>
              <w:rPr>
                <w:rFonts w:ascii="Arial" w:hAnsi="Arial"/>
                <w:sz w:val="20"/>
              </w:rPr>
            </w:pPr>
            <w:r>
              <w:rPr>
                <w:rFonts w:ascii="Arial" w:hAnsi="Arial"/>
                <w:sz w:val="20"/>
                <w:u w:val="single"/>
              </w:rPr>
              <w:t>Substitute Awards</w:t>
            </w:r>
            <w:r>
              <w:rPr>
                <w:rFonts w:ascii="Arial" w:hAnsi="Arial"/>
                <w:sz w:val="20"/>
              </w:rPr>
              <w:t>. Holders of equity compensation awards granted by a company that is acquired by a Participating Company (or whose business is acquired by a Participating Company) or with which a Participating Company combines are eligible for grants of Substitute Awards under the Plan to the extent permitted under applicable regulations of any stock exchange on which the Company is listed.</w:t>
            </w:r>
          </w:p>
        </w:tc>
      </w:tr>
      <w:tr>
        <w:trPr/>
        <w:tc>
          <w:tcPr>
            <w:tcW w:w="480" w:type="dxa"/>
            <w:tcBorders/>
            <w:shd w:fill="auto" w:val="clear"/>
            <w:vAlign w:val="center"/>
          </w:tcPr>
          <w:p>
            <w:pPr>
              <w:pStyle w:val="TableContents"/>
              <w:spacing w:before="0" w:after="283"/>
              <w:jc w:val="left"/>
              <w:rPr/>
            </w:pPr>
            <w:r>
              <w:rPr>
                <w:rStyle w:val="StrongEmphasis"/>
                <w:rFonts w:ascii="Arial" w:hAnsi="Arial"/>
                <w:sz w:val="20"/>
              </w:rPr>
              <w:t>7.</w:t>
            </w:r>
          </w:p>
        </w:tc>
        <w:tc>
          <w:tcPr>
            <w:tcW w:w="9725" w:type="dxa"/>
            <w:gridSpan w:val="3"/>
            <w:tcBorders/>
            <w:shd w:fill="auto" w:val="clear"/>
            <w:vAlign w:val="center"/>
          </w:tcPr>
          <w:p>
            <w:pPr>
              <w:pStyle w:val="TableContents"/>
              <w:spacing w:before="0" w:after="283"/>
              <w:jc w:val="left"/>
              <w:rPr/>
            </w:pPr>
            <w:r>
              <w:rPr>
                <w:rStyle w:val="StrongEmphasis"/>
                <w:rFonts w:ascii="Arial" w:hAnsi="Arial"/>
                <w:sz w:val="20"/>
                <w:u w:val="single"/>
              </w:rPr>
              <w:t>AWARDS—IN GENERAL</w:t>
            </w:r>
            <w:r>
              <w:rPr>
                <w:rStyle w:val="StrongEmphasis"/>
                <w:rFonts w:ascii="Arial" w:hAnsi="Arial"/>
                <w:sz w:val="20"/>
              </w:rPr>
              <w:t>.</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(a)</w:t>
            </w:r>
          </w:p>
        </w:tc>
        <w:tc>
          <w:tcPr>
            <w:tcW w:w="9245" w:type="dxa"/>
            <w:gridSpan w:val="2"/>
            <w:tcBorders/>
            <w:shd w:fill="auto" w:val="clear"/>
            <w:vAlign w:val="center"/>
          </w:tcPr>
          <w:p>
            <w:pPr>
              <w:pStyle w:val="TableContents"/>
              <w:spacing w:before="0" w:after="283"/>
              <w:jc w:val="left"/>
              <w:rPr>
                <w:rFonts w:ascii="Arial" w:hAnsi="Arial"/>
                <w:sz w:val="20"/>
              </w:rPr>
            </w:pPr>
            <w:r>
              <w:rPr>
                <w:rFonts w:ascii="Arial" w:hAnsi="Arial"/>
                <w:sz w:val="20"/>
                <w:u w:val="single"/>
              </w:rPr>
              <w:t>Time of Grant</w:t>
            </w:r>
            <w:r>
              <w:rPr>
                <w:rFonts w:ascii="Arial" w:hAnsi="Arial"/>
                <w:sz w:val="20"/>
              </w:rPr>
              <w:t>. All Awards shall be granted on or before the tenth (10</w:t>
            </w:r>
            <w:r>
              <w:rPr>
                <w:rFonts w:ascii="Arial" w:hAnsi="Arial"/>
                <w:position w:val="7"/>
                <w:sz w:val="16"/>
                <w:sz w:val="20"/>
              </w:rPr>
              <w:t>th</w:t>
            </w:r>
            <w:r>
              <w:rPr>
                <w:rFonts w:ascii="Arial" w:hAnsi="Arial"/>
                <w:sz w:val="20"/>
              </w:rPr>
              <w:t>) anniversary of the Effective Date. However, unless otherwise expressly provided in the Plan or in an applicable Award Agreement, any Award theretofore granted may extend beyond such date, and the authority of the Committee to amend, alter, adjust, suspend, discontinue or terminate any such Award, or to waive any conditions or rights under any such Award, and the authority of the Committee to amend the Plan, shall extend beyond such date.</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(b)</w:t>
            </w:r>
          </w:p>
        </w:tc>
        <w:tc>
          <w:tcPr>
            <w:tcW w:w="9245" w:type="dxa"/>
            <w:gridSpan w:val="2"/>
            <w:tcBorders/>
            <w:shd w:fill="auto" w:val="clear"/>
            <w:vAlign w:val="center"/>
          </w:tcPr>
          <w:p>
            <w:pPr>
              <w:pStyle w:val="TableContents"/>
              <w:spacing w:before="0" w:after="283"/>
              <w:jc w:val="left"/>
              <w:rPr>
                <w:rFonts w:ascii="Arial" w:hAnsi="Arial"/>
                <w:sz w:val="20"/>
              </w:rPr>
            </w:pPr>
            <w:r>
              <w:rPr>
                <w:rFonts w:ascii="Arial" w:hAnsi="Arial"/>
                <w:sz w:val="20"/>
                <w:u w:val="single"/>
              </w:rPr>
              <w:t>Terms of Awards</w:t>
            </w:r>
            <w:r>
              <w:rPr>
                <w:rFonts w:ascii="Arial" w:hAnsi="Arial"/>
                <w:sz w:val="20"/>
              </w:rPr>
              <w:t xml:space="preserve">. Each Participant shall be provided with an Award Agreement specifying the terms of such Award, which such terms shall be determined in the discretion of the Committee and in no case inconsistent with the provisions of the Plan. The provisions of Awards need not be the same with respect to each Participant. The Committee shall determine in its discretion and specify in an applicable Award Agreement the vesting schedule (including any service and/or performance-vesting conditions applicable to any Award). Awards shall be granted for such cash or other consideration, if any, as the Committee determines; </w:t>
            </w:r>
            <w:r>
              <w:rPr>
                <w:rFonts w:ascii="Arial" w:hAnsi="Arial"/>
                <w:sz w:val="20"/>
                <w:u w:val="single"/>
              </w:rPr>
              <w:t>provided</w:t>
            </w:r>
            <w:r>
              <w:rPr>
                <w:rFonts w:ascii="Arial" w:hAnsi="Arial"/>
                <w:sz w:val="20"/>
              </w:rPr>
              <w:t xml:space="preserve"> that in no event shall Awards be issued for less than such minimal consideration as may be required by applicable law. The Committee may impose restrictions on any Award with respect to non-competition, non-solicitation, confidentiality and other restrictive covenants, or requirements to comply with minimum share ownership requirements, as it deems necessary or appropriate in its sole discretion, which such restrictions may be set forth in any applicable Award Agreement or otherwise.</w:t>
            </w:r>
          </w:p>
        </w:tc>
      </w:tr>
    </w:tbl>
    <w:p>
      <w:pPr>
        <w:pStyle w:val="TextBody"/>
        <w:spacing w:before="0" w:after="0"/>
        <w:rPr/>
      </w:pPr>
      <w:r>
        <w:rPr/>
      </w:r>
    </w:p>
    <w:tbl>
      <w:tblPr>
        <w:tblW w:w="2260" w:type="dxa"/>
        <w:jc w:val="left"/>
        <w:tblInd w:w="0" w:type="dxa"/>
        <w:tblCellMar>
          <w:top w:w="0" w:type="dxa"/>
          <w:left w:w="0" w:type="dxa"/>
          <w:bottom w:w="0" w:type="dxa"/>
          <w:right w:w="0" w:type="dxa"/>
        </w:tblCellMar>
      </w:tblPr>
      <w:tblGrid>
        <w:gridCol w:w="1580"/>
        <w:gridCol w:w="680"/>
      </w:tblGrid>
      <w:tr>
        <w:trPr/>
        <w:tc>
          <w:tcPr>
            <w:tcW w:w="1580" w:type="dxa"/>
            <w:tcBorders/>
            <w:shd w:fill="auto" w:val="clear"/>
            <w:vAlign w:val="center"/>
          </w:tcPr>
          <w:p>
            <w:pPr>
              <w:pStyle w:val="TableContents"/>
              <w:spacing w:before="0" w:after="283"/>
              <w:jc w:val="right"/>
              <w:rPr>
                <w:rFonts w:ascii="Arial" w:hAnsi="Arial"/>
                <w:sz w:val="15"/>
              </w:rPr>
            </w:pPr>
            <w:r>
              <w:rPr>
                <w:rFonts w:ascii="Arial" w:hAnsi="Arial"/>
                <w:sz w:val="15"/>
              </w:rPr>
              <w:t>2023 Proxy Statement</w:t>
            </w:r>
          </w:p>
        </w:tc>
        <w:tc>
          <w:tcPr>
            <w:tcW w:w="680" w:type="dxa"/>
            <w:tcBorders/>
            <w:shd w:fill="auto" w:val="clear"/>
            <w:vAlign w:val="center"/>
          </w:tcPr>
          <w:p>
            <w:pPr>
              <w:pStyle w:val="TableContents"/>
              <w:spacing w:before="0" w:after="283"/>
              <w:jc w:val="right"/>
              <w:rPr/>
            </w:pPr>
            <w:r>
              <w:rPr/>
              <w:t>       </w:t>
            </w:r>
            <w:r>
              <w:rPr>
                <w:rFonts w:ascii="Arial" w:hAnsi="Arial"/>
                <w:b/>
                <w:sz w:val="15"/>
              </w:rPr>
              <w:t>C-6</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10205" w:type="dxa"/>
        <w:jc w:val="left"/>
        <w:tblInd w:w="0" w:type="dxa"/>
        <w:tblCellMar>
          <w:top w:w="0" w:type="dxa"/>
          <w:left w:w="0" w:type="dxa"/>
          <w:bottom w:w="0" w:type="dxa"/>
          <w:right w:w="0" w:type="dxa"/>
        </w:tblCellMar>
      </w:tblPr>
      <w:tblGrid>
        <w:gridCol w:w="480"/>
        <w:gridCol w:w="480"/>
        <w:gridCol w:w="9245"/>
      </w:tblGrid>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(c)</w:t>
            </w:r>
          </w:p>
        </w:tc>
        <w:tc>
          <w:tcPr>
            <w:tcW w:w="9245" w:type="dxa"/>
            <w:tcBorders/>
            <w:shd w:fill="auto" w:val="clear"/>
            <w:vAlign w:val="center"/>
          </w:tcPr>
          <w:p>
            <w:pPr>
              <w:pStyle w:val="TableContents"/>
              <w:spacing w:before="0" w:after="283"/>
              <w:jc w:val="left"/>
              <w:rPr>
                <w:rFonts w:ascii="Arial" w:hAnsi="Arial"/>
                <w:sz w:val="20"/>
              </w:rPr>
            </w:pPr>
            <w:r>
              <w:rPr>
                <w:rFonts w:ascii="Arial" w:hAnsi="Arial"/>
                <w:sz w:val="20"/>
                <w:u w:val="single"/>
              </w:rPr>
              <w:t>Restrictions on Transferability</w:t>
            </w:r>
            <w:r>
              <w:rPr>
                <w:rFonts w:ascii="Arial" w:hAnsi="Arial"/>
                <w:sz w:val="20"/>
              </w:rPr>
              <w:t xml:space="preserve">. No Award shall be transferable other than by will or the laws of descent and distribution and, during the lifetime of the Participant, shall be exercisable only by him or for his benefit by his attorney-in-fact or guardian; </w:t>
            </w:r>
            <w:r>
              <w:rPr>
                <w:rFonts w:ascii="Arial" w:hAnsi="Arial"/>
                <w:sz w:val="20"/>
                <w:u w:val="single"/>
              </w:rPr>
              <w:t xml:space="preserve">provided </w:t>
            </w:r>
            <w:r>
              <w:rPr>
                <w:rFonts w:ascii="Arial" w:hAnsi="Arial"/>
                <w:sz w:val="20"/>
              </w:rPr>
              <w:t xml:space="preserve">that the Committee may, in its discretion, at the time of grant of an Award or by amendment of an Award Agreement, provide that the Award granted to or held by a Participant may be transferred, in whole or in part, to one or more transferees and exercised by any such transferee; </w:t>
            </w:r>
            <w:r>
              <w:rPr>
                <w:rFonts w:ascii="Arial" w:hAnsi="Arial"/>
                <w:sz w:val="20"/>
                <w:u w:val="single"/>
              </w:rPr>
              <w:t xml:space="preserve">provided </w:t>
            </w:r>
            <w:r>
              <w:rPr>
                <w:rFonts w:ascii="Arial" w:hAnsi="Arial"/>
                <w:sz w:val="20"/>
              </w:rPr>
              <w:t xml:space="preserve">further that (i) any such transfer is without consideration and (ii) each transferee is a Family Member with respect to the Participant; and </w:t>
            </w:r>
            <w:r>
              <w:rPr>
                <w:rFonts w:ascii="Arial" w:hAnsi="Arial"/>
                <w:sz w:val="20"/>
                <w:u w:val="single"/>
              </w:rPr>
              <w:t xml:space="preserve">provided </w:t>
            </w:r>
            <w:r>
              <w:rPr>
                <w:rFonts w:ascii="Arial" w:hAnsi="Arial"/>
                <w:sz w:val="20"/>
              </w:rPr>
              <w:t>further that any Incentive Stock Option granted pursuant to an Award Agreement which is amended to permit transfers during the lifetime of the Participant shall, upon the effectiveness of such amendment, be treated thereafter as a Non-Qualified Option. No transfer of an Award shall be effective unless the Committee is notified of the terms and conditions of the transfer and the Committee determines that the transfer complies with the requirements for transfers of Awards under the Plan and the Award Agreement. Any person to whom an Award is transferred shall be subject to the terms and conditions of the Plan and the applicable Award Agreement and, in the case of Options, such Person may exercise any such Options only in accordance with the provisions of Section 9(f) and this Section 7(c).</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(d)</w:t>
            </w:r>
          </w:p>
        </w:tc>
        <w:tc>
          <w:tcPr>
            <w:tcW w:w="9245" w:type="dxa"/>
            <w:tcBorders/>
            <w:shd w:fill="auto" w:val="clear"/>
            <w:vAlign w:val="center"/>
          </w:tcPr>
          <w:p>
            <w:pPr>
              <w:pStyle w:val="TableContents"/>
              <w:spacing w:before="0" w:after="283"/>
              <w:jc w:val="left"/>
              <w:rPr>
                <w:rFonts w:ascii="Arial" w:hAnsi="Arial"/>
                <w:sz w:val="20"/>
              </w:rPr>
            </w:pPr>
            <w:r>
              <w:rPr>
                <w:rFonts w:ascii="Arial" w:hAnsi="Arial"/>
                <w:sz w:val="20"/>
                <w:u w:val="single"/>
              </w:rPr>
              <w:t>No Fractional Shares</w:t>
            </w:r>
            <w:r>
              <w:rPr>
                <w:rFonts w:ascii="Arial" w:hAnsi="Arial"/>
                <w:sz w:val="20"/>
              </w:rPr>
              <w:t>. No fractional Shares shall be issued or delivered pursuant to the Plan or any Award, and the Committee shall determine whether cash or other securities shall be paid or transferred in lieu of any fractional Shares, or whether such fractional Shares or any rights thereto shall be canceled, terminated or otherwise eliminated.</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(e)</w:t>
            </w:r>
          </w:p>
        </w:tc>
        <w:tc>
          <w:tcPr>
            <w:tcW w:w="9245" w:type="dxa"/>
            <w:tcBorders/>
            <w:shd w:fill="auto" w:val="clear"/>
            <w:vAlign w:val="center"/>
          </w:tcPr>
          <w:p>
            <w:pPr>
              <w:pStyle w:val="TableContents"/>
              <w:spacing w:before="0" w:after="283"/>
              <w:jc w:val="left"/>
              <w:rPr>
                <w:rFonts w:ascii="Arial" w:hAnsi="Arial"/>
                <w:sz w:val="20"/>
              </w:rPr>
            </w:pPr>
            <w:r>
              <w:rPr>
                <w:rFonts w:ascii="Arial" w:hAnsi="Arial"/>
                <w:sz w:val="20"/>
                <w:u w:val="single"/>
              </w:rPr>
              <w:t>Rights as Shareholders</w:t>
            </w:r>
            <w:r>
              <w:rPr>
                <w:rFonts w:ascii="Arial" w:hAnsi="Arial"/>
                <w:sz w:val="20"/>
              </w:rPr>
              <w:t>. A Participant shall not have any rights as a shareholder with respect to any Shares subject to such Participant’s Awards until (i) the applicable Award shall have been vested or exercised, as applicable, in accordance with the terms of the Plan and the applicable Award Agreement, (ii) as determined by the Committee, all other legal matters regarding the issuance and delivery of such Shares have been satisfied, including any applicable securities laws, stock market or exchange rules and regulations or accounting or tax rules and regulations, (iii) the Participant has executed and delivered to the Company such representations or agreements as the Committee deems necessary or appropriate to satisfy any applicable laws, (iv) in the case of Options, the Participant shall have paid the full purchase price for the number of Shares in respect of which the Option was exercised and (v) the Participant shall have made arrangements acceptable to the Company for the payment of applicable taxes consistent with Section 11. The inability of either the Company or a Participant, as applicable, to obtain authority from any regulatory body having jurisdiction, which the Committee determines is necessary to the lawful issuance and sale of any Shares, will relieve the Company of any liability for failing to issue or sell such Shares as to which such requisite authority has not been obtained.</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(f)</w:t>
            </w:r>
          </w:p>
        </w:tc>
        <w:tc>
          <w:tcPr>
            <w:tcW w:w="9245" w:type="dxa"/>
            <w:tcBorders/>
            <w:shd w:fill="auto" w:val="clear"/>
            <w:vAlign w:val="center"/>
          </w:tcPr>
          <w:p>
            <w:pPr>
              <w:pStyle w:val="TableContents"/>
              <w:spacing w:before="0" w:after="283"/>
              <w:jc w:val="left"/>
              <w:rPr>
                <w:rFonts w:ascii="Arial" w:hAnsi="Arial"/>
                <w:sz w:val="20"/>
              </w:rPr>
            </w:pPr>
            <w:r>
              <w:rPr>
                <w:rFonts w:ascii="Arial" w:hAnsi="Arial"/>
                <w:sz w:val="20"/>
                <w:u w:val="single"/>
              </w:rPr>
              <w:t>Additional Restrictions</w:t>
            </w:r>
            <w:r>
              <w:rPr>
                <w:rFonts w:ascii="Arial" w:hAnsi="Arial"/>
                <w:sz w:val="20"/>
              </w:rPr>
              <w:t>. All certificates, if any, for Shares and/or other securities delivered under the Plan pursuant to any Award or the exercise or settlement thereof shall be subject to such stop transfer orders and other restrictions as the Committee may deem advisable under the Plan or the rules, regulations and other requirements of the Securities and Exchange Commission, any stock market or exchange upon which such Shares or other securities are then quoted, traded or listed, and any applicable securities laws (including as set forth in Section 15), and the Committee may cause a legend or legends to be put on any such certificates to make appropriate reference to such restrictions.</w:t>
            </w:r>
          </w:p>
        </w:tc>
      </w:tr>
      <w:tr>
        <w:trPr/>
        <w:tc>
          <w:tcPr>
            <w:tcW w:w="480" w:type="dxa"/>
            <w:tcBorders/>
            <w:shd w:fill="auto" w:val="clear"/>
            <w:vAlign w:val="center"/>
          </w:tcPr>
          <w:p>
            <w:pPr>
              <w:pStyle w:val="TableContents"/>
              <w:spacing w:before="0" w:after="283"/>
              <w:jc w:val="left"/>
              <w:rPr/>
            </w:pPr>
            <w:r>
              <w:rPr/>
              <w:t>        </w:t>
            </w:r>
          </w:p>
        </w:tc>
        <w:tc>
          <w:tcPr>
            <w:tcW w:w="480" w:type="dxa"/>
            <w:tcBorders/>
            <w:shd w:fill="auto" w:val="clear"/>
            <w:vAlign w:val="center"/>
          </w:tcPr>
          <w:p>
            <w:pPr>
              <w:pStyle w:val="TableContents"/>
              <w:spacing w:before="0" w:after="283"/>
              <w:jc w:val="left"/>
              <w:rPr/>
            </w:pPr>
            <w:r>
              <w:rPr/>
              <w:t>        </w:t>
            </w:r>
          </w:p>
        </w:tc>
        <w:tc>
          <w:tcPr>
            <w:tcW w:w="9245" w:type="dxa"/>
            <w:tcBorders/>
            <w:shd w:fill="auto" w:val="clear"/>
            <w:vAlign w:val="center"/>
          </w:tcPr>
          <w:p>
            <w:pPr>
              <w:pStyle w:val="TableContents"/>
              <w:spacing w:before="0" w:after="283"/>
              <w:rPr>
                <w:sz w:val="4"/>
                <w:szCs w:val="4"/>
              </w:rPr>
            </w:pPr>
            <w:r>
              <w:rPr>
                <w:sz w:val="4"/>
                <w:szCs w:val="4"/>
              </w:rPr>
            </w:r>
          </w:p>
        </w:tc>
      </w:tr>
      <w:tr>
        <w:trPr/>
        <w:tc>
          <w:tcPr>
            <w:tcW w:w="480" w:type="dxa"/>
            <w:tcBorders/>
            <w:shd w:fill="auto" w:val="clear"/>
            <w:vAlign w:val="center"/>
          </w:tcPr>
          <w:p>
            <w:pPr>
              <w:pStyle w:val="TableContents"/>
              <w:spacing w:before="0" w:after="283"/>
              <w:jc w:val="left"/>
              <w:rPr/>
            </w:pPr>
            <w:r>
              <w:rPr>
                <w:rStyle w:val="StrongEmphasis"/>
                <w:rFonts w:ascii="Arial" w:hAnsi="Arial"/>
                <w:sz w:val="20"/>
              </w:rPr>
              <w:t>8.</w:t>
            </w:r>
          </w:p>
        </w:tc>
        <w:tc>
          <w:tcPr>
            <w:tcW w:w="9725" w:type="dxa"/>
            <w:gridSpan w:val="2"/>
            <w:tcBorders/>
            <w:shd w:fill="auto" w:val="clear"/>
            <w:vAlign w:val="center"/>
          </w:tcPr>
          <w:p>
            <w:pPr>
              <w:pStyle w:val="TableContents"/>
              <w:spacing w:before="0" w:after="283"/>
              <w:jc w:val="left"/>
              <w:rPr/>
            </w:pPr>
            <w:r>
              <w:rPr>
                <w:rStyle w:val="StrongEmphasis"/>
                <w:rFonts w:ascii="Arial" w:hAnsi="Arial"/>
                <w:sz w:val="20"/>
                <w:u w:val="single"/>
              </w:rPr>
              <w:t>RESTRICTED STOCK AND RESTRICTED STOCK UNIT AWARDS</w:t>
            </w:r>
            <w:r>
              <w:rPr>
                <w:rFonts w:ascii="Arial" w:hAnsi="Arial"/>
                <w:sz w:val="20"/>
              </w:rPr>
              <w:t>. The Committee may grant Awards of Restricted Stock and Restricted Stock Units in accordance with the Plan; provided that the Committee may also grant Awards of Restricted Stock and Restricted Stock Units to Non-Employee Directors authorized by the Comcast Corporation Non-Employee Director Compensation Plan, or otherwise. The terms and conditions of Awards of Restricted Stock and Restricted Stock Units shall be set forth in an Award Agreement as determined from time to time by the Committee, consistent, however, with the following and Section 8:</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(a)</w:t>
            </w:r>
          </w:p>
        </w:tc>
        <w:tc>
          <w:tcPr>
            <w:tcW w:w="9245" w:type="dxa"/>
            <w:tcBorders/>
            <w:shd w:fill="auto" w:val="clear"/>
            <w:vAlign w:val="center"/>
          </w:tcPr>
          <w:p>
            <w:pPr>
              <w:pStyle w:val="TableContents"/>
              <w:spacing w:before="0" w:after="283"/>
              <w:jc w:val="left"/>
              <w:rPr>
                <w:rFonts w:ascii="Arial" w:hAnsi="Arial"/>
                <w:sz w:val="20"/>
              </w:rPr>
            </w:pPr>
            <w:r>
              <w:rPr>
                <w:rFonts w:ascii="Arial" w:hAnsi="Arial"/>
                <w:sz w:val="20"/>
                <w:u w:val="single"/>
              </w:rPr>
              <w:t>Vesting/Lapse of Restrictions</w:t>
            </w:r>
            <w:r>
              <w:rPr>
                <w:rFonts w:ascii="Arial" w:hAnsi="Arial"/>
                <w:sz w:val="20"/>
              </w:rPr>
              <w:t xml:space="preserve">. Subject to the provisions of the Plan and the applicable Award Agreement, (i) an Award of Restricted Stock or Restricted Stock Units shall be subject to such vesting terms and conditions (including service and/or performance-related vesting conditions) as determined in the discretion of the Committee and (ii) a Vesting Date for Restricted Stock or Restricted Stock Units subject to an Award shall occur at such time or times and on such terms and conditions as the Committee may determine and as are set forth in an applicable Award Agreement; </w:t>
            </w:r>
            <w:r>
              <w:rPr>
                <w:rFonts w:ascii="Arial" w:hAnsi="Arial"/>
                <w:sz w:val="20"/>
                <w:u w:val="single"/>
              </w:rPr>
              <w:t>provided</w:t>
            </w:r>
            <w:r>
              <w:rPr>
                <w:rFonts w:ascii="Arial" w:hAnsi="Arial"/>
                <w:sz w:val="20"/>
              </w:rPr>
              <w:t>, however, that except as otherwise provided by the Committee, a Vesting Date shall occur only if the Participant is an employee of the Participating Company as of such Vesting Date and has been an employee of a Participating Company continuously from the Date of Grant. The Award may provide for Restricted Stock or Restricted Stock Units to vest in installments, as determined by the Committee. Unless otherwise determined in the discretion of the Committee or provided in an applicable Award Agreement, in the event of a Participant’s Termination of Service, all Restricted Shares and/or Restricted Stock Units as to which a Vesting Date has not occurred shall be forfeited by the Participant and deemed canceled by the Company. The Committee may, in its sole discretion, waive, in whole or in part, any remaining conditions to vesting with respect to such Participant’s Restricted Stock or Restricted Stock Units.</w:t>
            </w:r>
          </w:p>
        </w:tc>
      </w:tr>
    </w:tbl>
    <w:p>
      <w:pPr>
        <w:pStyle w:val="TextBody"/>
        <w:spacing w:before="0" w:after="0"/>
        <w:rPr/>
      </w:pPr>
      <w:r>
        <w:rPr/>
      </w:r>
    </w:p>
    <w:tbl>
      <w:tblPr>
        <w:tblW w:w="283" w:type="dxa"/>
        <w:jc w:val="left"/>
        <w:tblInd w:w="0" w:type="dxa"/>
        <w:tblCellMar>
          <w:top w:w="0" w:type="dxa"/>
          <w:left w:w="0" w:type="dxa"/>
          <w:bottom w:w="0" w:type="dxa"/>
          <w:right w:w="0" w:type="dxa"/>
        </w:tblCellMar>
      </w:tblPr>
      <w:tblGrid>
        <w:gridCol w:w="260"/>
        <w:gridCol w:w="23"/>
      </w:tblGrid>
      <w:tr>
        <w:trPr/>
        <w:tc>
          <w:tcPr>
            <w:tcW w:w="260" w:type="dxa"/>
            <w:tcBorders/>
            <w:shd w:fill="auto" w:val="clear"/>
            <w:vAlign w:val="center"/>
          </w:tcPr>
          <w:p>
            <w:pPr>
              <w:pStyle w:val="TableContents"/>
              <w:spacing w:before="0" w:after="283"/>
              <w:jc w:val="left"/>
              <w:rPr>
                <w:rFonts w:ascii="Arial" w:hAnsi="Arial"/>
                <w:b/>
                <w:sz w:val="15"/>
              </w:rPr>
            </w:pPr>
            <w:r>
              <w:rPr>
                <w:rFonts w:ascii="Arial" w:hAnsi="Arial"/>
                <w:b/>
                <w:sz w:val="15"/>
              </w:rPr>
              <w:t>C-7</w:t>
            </w:r>
          </w:p>
        </w:tc>
        <w:tc>
          <w:tcPr>
            <w:tcW w:w="2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10205" w:type="dxa"/>
        <w:jc w:val="left"/>
        <w:tblInd w:w="0" w:type="dxa"/>
        <w:tblCellMar>
          <w:top w:w="0" w:type="dxa"/>
          <w:left w:w="0" w:type="dxa"/>
          <w:bottom w:w="0" w:type="dxa"/>
          <w:right w:w="0" w:type="dxa"/>
        </w:tblCellMar>
      </w:tblPr>
      <w:tblGrid>
        <w:gridCol w:w="480"/>
        <w:gridCol w:w="480"/>
        <w:gridCol w:w="480"/>
        <w:gridCol w:w="8765"/>
      </w:tblGrid>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(b)</w:t>
            </w:r>
          </w:p>
        </w:tc>
        <w:tc>
          <w:tcPr>
            <w:tcW w:w="9245" w:type="dxa"/>
            <w:gridSpan w:val="2"/>
            <w:tcBorders/>
            <w:shd w:fill="auto" w:val="clear"/>
            <w:vAlign w:val="center"/>
          </w:tcPr>
          <w:p>
            <w:pPr>
              <w:pStyle w:val="TableContents"/>
              <w:spacing w:before="0" w:after="283"/>
              <w:jc w:val="left"/>
              <w:rPr>
                <w:rFonts w:ascii="Arial" w:hAnsi="Arial"/>
                <w:sz w:val="20"/>
              </w:rPr>
            </w:pPr>
            <w:r>
              <w:rPr>
                <w:rFonts w:ascii="Arial" w:hAnsi="Arial"/>
                <w:sz w:val="20"/>
                <w:u w:val="single"/>
              </w:rPr>
              <w:t>Rights of the Participant</w:t>
            </w:r>
            <w:r>
              <w:rPr>
                <w:rFonts w:ascii="Arial" w:hAnsi="Arial"/>
                <w:sz w:val="20"/>
              </w:rPr>
              <w:t>. Participants may have such rights with respect to Shares of Restricted Stock subject to an Award as may be determined by the Committee and set forth in the applicable Award Agreement, including the right to vote such Shares, and the right to receive dividends paid with respect to such Shares. A Participant whose Award consists of Restricted Stock Units shall not have the right to vote with respect to such Restricted Stock Units. An Award of Restricted Stock Units may provide that the Participant shall have the right to defer the receipt of Restricted Stock Units granted under such Award pursuant to the DCP, and as provided in the DCP.</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(c)</w:t>
            </w:r>
          </w:p>
        </w:tc>
        <w:tc>
          <w:tcPr>
            <w:tcW w:w="9245" w:type="dxa"/>
            <w:gridSpan w:val="2"/>
            <w:tcBorders/>
            <w:shd w:fill="auto" w:val="clear"/>
            <w:vAlign w:val="center"/>
          </w:tcPr>
          <w:p>
            <w:pPr>
              <w:pStyle w:val="TableContents"/>
              <w:spacing w:before="0" w:after="283"/>
              <w:jc w:val="left"/>
              <w:rPr>
                <w:rFonts w:ascii="Arial" w:hAnsi="Arial"/>
                <w:sz w:val="20"/>
              </w:rPr>
            </w:pPr>
            <w:r>
              <w:rPr>
                <w:rFonts w:ascii="Arial" w:hAnsi="Arial"/>
                <w:sz w:val="20"/>
                <w:u w:val="single"/>
              </w:rPr>
              <w:t>Dividends and Dividend Equivalents</w:t>
            </w:r>
            <w:r>
              <w:rPr>
                <w:rFonts w:ascii="Arial" w:hAnsi="Arial"/>
                <w:sz w:val="20"/>
              </w:rPr>
              <w:t xml:space="preserve">. The Committee may, in its discretion, provide for the payment of dividends or dividend equivalents with respect to Shares of Restricted Stock or Restricted Stock Units, which may be paid directly to the Participant, accrued and paid by the Company at such time or times specified in the applicable agreement specifying the terms of an Award, or treated as reinvested in additional Shares of Restricted Stock or additional Restricted Stock Units, or a combination thereof, as determined by the Committee in its sole discretion; </w:t>
            </w:r>
            <w:r>
              <w:rPr>
                <w:rFonts w:ascii="Arial" w:hAnsi="Arial"/>
                <w:sz w:val="20"/>
                <w:u w:val="single"/>
              </w:rPr>
              <w:t xml:space="preserve">provided </w:t>
            </w:r>
            <w:r>
              <w:rPr>
                <w:rFonts w:ascii="Arial" w:hAnsi="Arial"/>
                <w:sz w:val="20"/>
              </w:rPr>
              <w:t>that such dividends or dividend equivalents shall be subject to any performance or other vesting conditions that apply to the underlying Award, and Participants shall not be paid dividends or dividend equivalents with respect to any Shares of Restricted Stock or any Restricted Stock Units that have not vested.</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(d)</w:t>
            </w:r>
          </w:p>
        </w:tc>
        <w:tc>
          <w:tcPr>
            <w:tcW w:w="9245" w:type="dxa"/>
            <w:gridSpan w:val="2"/>
            <w:tcBorders/>
            <w:shd w:fill="auto" w:val="clear"/>
            <w:vAlign w:val="center"/>
          </w:tcPr>
          <w:p>
            <w:pPr>
              <w:pStyle w:val="TableContents"/>
              <w:spacing w:before="0" w:after="283"/>
              <w:jc w:val="left"/>
              <w:rPr>
                <w:rFonts w:ascii="Arial" w:hAnsi="Arial"/>
                <w:sz w:val="20"/>
              </w:rPr>
            </w:pPr>
            <w:r>
              <w:rPr>
                <w:rFonts w:ascii="Arial" w:hAnsi="Arial"/>
                <w:sz w:val="20"/>
                <w:u w:val="single"/>
              </w:rPr>
              <w:t>Delivery of Shares</w:t>
            </w:r>
            <w:r>
              <w:rPr>
                <w:rFonts w:ascii="Arial" w:hAnsi="Arial"/>
                <w:sz w:val="20"/>
              </w:rPr>
              <w:t>. For purposes of an Award of Restricted Stock or Restricted Stock Units, the Company may satisfy its obligation to deliver Shares issuable under such Award by arranging for the recording of the Participant’s ownership of Shares issuable under such Award on a book entry recordkeeping system maintained on behalf of the Company. When a Vesting Date occurs with respect to all or a portion of an Award of Restricted Stock or Restricted Stock Units, the Company shall notify the Participant that a Vesting Date has occurred, and shall deliver to the Participant (or the Participant’s Successor-in-Interest) Shares as to which a Vesting Date has occurred (or in the case of Restricted Stock Units, the number of Shares represented by such Restricted Stock Units) without any legend or restrictions (except those that may be imposed by the Committee, in its sole judgment, under Sections 7(f) or 15). The right to payment of any fractional Shares that may have accrued shall be satisfied in cash, measured by the product of the fractional amount times the Fair Market Value of a Share at the Vesting Date, as determined by the Committee.</w:t>
            </w:r>
          </w:p>
        </w:tc>
      </w:tr>
      <w:tr>
        <w:trPr/>
        <w:tc>
          <w:tcPr>
            <w:tcW w:w="480" w:type="dxa"/>
            <w:tcBorders/>
            <w:shd w:fill="auto" w:val="clear"/>
            <w:vAlign w:val="center"/>
          </w:tcPr>
          <w:p>
            <w:pPr>
              <w:pStyle w:val="TableContents"/>
              <w:spacing w:before="0" w:after="283"/>
              <w:jc w:val="left"/>
              <w:rPr/>
            </w:pPr>
            <w:r>
              <w:rPr>
                <w:rStyle w:val="StrongEmphasis"/>
                <w:rFonts w:ascii="Arial" w:hAnsi="Arial"/>
                <w:sz w:val="20"/>
              </w:rPr>
              <w:t>9.</w:t>
            </w:r>
          </w:p>
        </w:tc>
        <w:tc>
          <w:tcPr>
            <w:tcW w:w="9725" w:type="dxa"/>
            <w:gridSpan w:val="3"/>
            <w:tcBorders/>
            <w:shd w:fill="auto" w:val="clear"/>
            <w:vAlign w:val="center"/>
          </w:tcPr>
          <w:p>
            <w:pPr>
              <w:pStyle w:val="TableContents"/>
              <w:spacing w:before="0" w:after="283"/>
              <w:jc w:val="left"/>
              <w:rPr/>
            </w:pPr>
            <w:r>
              <w:rPr>
                <w:rStyle w:val="StrongEmphasis"/>
                <w:rFonts w:ascii="Arial" w:hAnsi="Arial"/>
                <w:sz w:val="20"/>
                <w:u w:val="single"/>
              </w:rPr>
              <w:t>OPTIONS AND SARS</w:t>
            </w:r>
            <w:r>
              <w:rPr>
                <w:rFonts w:ascii="Arial" w:hAnsi="Arial"/>
                <w:sz w:val="20"/>
              </w:rPr>
              <w:t>. All Options and SARs granted to Participants shall be evidenced by an applicable Award Agreement. The terms of each such Award Agreement for any Participant shall be determined from time to time by the Committee, consistent, however, with the following and Section 7:</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(a)</w:t>
            </w:r>
          </w:p>
        </w:tc>
        <w:tc>
          <w:tcPr>
            <w:tcW w:w="9245" w:type="dxa"/>
            <w:gridSpan w:val="2"/>
            <w:tcBorders/>
            <w:shd w:fill="auto" w:val="clear"/>
            <w:vAlign w:val="center"/>
          </w:tcPr>
          <w:p>
            <w:pPr>
              <w:pStyle w:val="TableContents"/>
              <w:spacing w:before="0" w:after="283"/>
              <w:jc w:val="left"/>
              <w:rPr>
                <w:rFonts w:ascii="Arial" w:hAnsi="Arial"/>
                <w:sz w:val="20"/>
              </w:rPr>
            </w:pPr>
            <w:r>
              <w:rPr>
                <w:rFonts w:ascii="Arial" w:hAnsi="Arial"/>
                <w:sz w:val="20"/>
                <w:u w:val="single"/>
              </w:rPr>
              <w:t>Option Price</w:t>
            </w:r>
            <w:r>
              <w:rPr>
                <w:rFonts w:ascii="Arial" w:hAnsi="Arial"/>
                <w:sz w:val="20"/>
              </w:rPr>
              <w:t xml:space="preserve">. Except as otherwise provided in Section 16(c), the option price per Share with respect to any Option shall be determined by the Committee, </w:t>
            </w:r>
            <w:r>
              <w:rPr>
                <w:rFonts w:ascii="Arial" w:hAnsi="Arial"/>
                <w:sz w:val="20"/>
                <w:u w:val="single"/>
              </w:rPr>
              <w:t>provided, however</w:t>
            </w:r>
            <w:r>
              <w:rPr>
                <w:rFonts w:ascii="Arial" w:hAnsi="Arial"/>
                <w:sz w:val="20"/>
              </w:rPr>
              <w:t xml:space="preserve">, that with respect to any Options, except in the case of Substitute Awards, the option price per share shall not be less than 100% of the Fair Market Value of such Share on the Date of Grant, and </w:t>
            </w:r>
            <w:r>
              <w:rPr>
                <w:rFonts w:ascii="Arial" w:hAnsi="Arial"/>
                <w:sz w:val="20"/>
                <w:u w:val="single"/>
              </w:rPr>
              <w:t xml:space="preserve">provided further </w:t>
            </w:r>
            <w:r>
              <w:rPr>
                <w:rFonts w:ascii="Arial" w:hAnsi="Arial"/>
                <w:sz w:val="20"/>
              </w:rPr>
              <w:t>that, with respect to any Incentive Stock Options granted to a Ten Percent Shareholder, the option price per Share shall not be less than 110% of the Fair Market Value of such Share on the Date of Grant.</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(b)</w:t>
            </w:r>
          </w:p>
        </w:tc>
        <w:tc>
          <w:tcPr>
            <w:tcW w:w="9245" w:type="dxa"/>
            <w:gridSpan w:val="2"/>
            <w:tcBorders/>
            <w:shd w:fill="auto" w:val="clear"/>
            <w:vAlign w:val="center"/>
          </w:tcPr>
          <w:p>
            <w:pPr>
              <w:pStyle w:val="TableContents"/>
              <w:spacing w:before="0" w:after="283"/>
              <w:jc w:val="left"/>
              <w:rPr>
                <w:rFonts w:ascii="Arial" w:hAnsi="Arial"/>
                <w:sz w:val="20"/>
              </w:rPr>
            </w:pPr>
            <w:r>
              <w:rPr>
                <w:rFonts w:ascii="Arial" w:hAnsi="Arial"/>
                <w:sz w:val="20"/>
                <w:u w:val="single"/>
              </w:rPr>
              <w:t>Payment Upon Exercise of Options</w:t>
            </w:r>
            <w:r>
              <w:rPr>
                <w:rFonts w:ascii="Arial" w:hAnsi="Arial"/>
                <w:sz w:val="20"/>
              </w:rPr>
              <w:t>. Full payment for Shares purchased upon the exercise of an Option shall be made pursuant to one or more of the following methods as determined by the Committee and set forth in the applicable Award Agreement:</w:t>
            </w:r>
          </w:p>
        </w:tc>
      </w:tr>
      <w:tr>
        <w:trPr/>
        <w:tc>
          <w:tcPr>
            <w:tcW w:w="480" w:type="dxa"/>
            <w:tcBorders/>
            <w:shd w:fill="auto" w:val="clear"/>
            <w:vAlign w:val="center"/>
          </w:tcPr>
          <w:p>
            <w:pPr>
              <w:pStyle w:val="TableContents"/>
              <w:spacing w:before="0" w:after="283"/>
              <w:jc w:val="left"/>
              <w:rPr/>
            </w:pPr>
            <w:r>
              <w:rPr/>
              <w:t>        </w:t>
            </w:r>
          </w:p>
        </w:tc>
        <w:tc>
          <w:tcPr>
            <w:tcW w:w="480" w:type="dxa"/>
            <w:tcBorders/>
            <w:shd w:fill="auto" w:val="clear"/>
            <w:vAlign w:val="center"/>
          </w:tcPr>
          <w:p>
            <w:pPr>
              <w:pStyle w:val="TableContents"/>
              <w:spacing w:before="0" w:after="283"/>
              <w:jc w:val="left"/>
              <w:rPr/>
            </w:pPr>
            <w:r>
              <w:rPr/>
              <w:t>        </w:t>
            </w:r>
          </w:p>
        </w:tc>
        <w:tc>
          <w:tcPr>
            <w:tcW w:w="480" w:type="dxa"/>
            <w:tcBorders/>
            <w:shd w:fill="auto" w:val="clear"/>
            <w:vAlign w:val="center"/>
          </w:tcPr>
          <w:p>
            <w:pPr>
              <w:pStyle w:val="TableContents"/>
              <w:spacing w:before="0" w:after="283"/>
              <w:jc w:val="left"/>
              <w:rPr/>
            </w:pPr>
            <w:r>
              <w:rPr/>
              <w:t>        </w:t>
            </w:r>
          </w:p>
        </w:tc>
        <w:tc>
          <w:tcPr>
            <w:tcW w:w="8765" w:type="dxa"/>
            <w:tcBorders/>
            <w:shd w:fill="auto" w:val="clear"/>
            <w:vAlign w:val="center"/>
          </w:tcPr>
          <w:p>
            <w:pPr>
              <w:pStyle w:val="TableContents"/>
              <w:spacing w:before="0" w:after="283"/>
              <w:rPr>
                <w:sz w:val="4"/>
                <w:szCs w:val="4"/>
              </w:rPr>
            </w:pPr>
            <w:r>
              <w:rPr>
                <w:sz w:val="4"/>
                <w:szCs w:val="4"/>
              </w:rPr>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(i)</w:t>
            </w:r>
          </w:p>
        </w:tc>
        <w:tc>
          <w:tcPr>
            <w:tcW w:w="8765" w:type="dxa"/>
            <w:tcBorders/>
            <w:shd w:fill="auto" w:val="clear"/>
            <w:vAlign w:val="center"/>
          </w:tcPr>
          <w:p>
            <w:pPr>
              <w:pStyle w:val="TableContents"/>
              <w:spacing w:before="0" w:after="283"/>
              <w:jc w:val="left"/>
              <w:rPr>
                <w:rFonts w:ascii="Arial" w:hAnsi="Arial"/>
                <w:sz w:val="20"/>
              </w:rPr>
            </w:pPr>
            <w:r>
              <w:rPr>
                <w:rFonts w:ascii="Arial" w:hAnsi="Arial"/>
                <w:sz w:val="20"/>
              </w:rPr>
              <w:t>In cash;</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(ii)</w:t>
            </w:r>
          </w:p>
        </w:tc>
        <w:tc>
          <w:tcPr>
            <w:tcW w:w="8765" w:type="dxa"/>
            <w:tcBorders/>
            <w:shd w:fill="auto" w:val="clear"/>
            <w:vAlign w:val="center"/>
          </w:tcPr>
          <w:p>
            <w:pPr>
              <w:pStyle w:val="TableContents"/>
              <w:spacing w:before="0" w:after="283"/>
              <w:jc w:val="left"/>
              <w:rPr>
                <w:rFonts w:ascii="Arial" w:hAnsi="Arial"/>
                <w:sz w:val="20"/>
              </w:rPr>
            </w:pPr>
            <w:r>
              <w:rPr>
                <w:rFonts w:ascii="Arial" w:hAnsi="Arial"/>
                <w:sz w:val="20"/>
              </w:rPr>
              <w:t>By certified check payable to the order of the Company;</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(iii)</w:t>
            </w:r>
          </w:p>
        </w:tc>
        <w:tc>
          <w:tcPr>
            <w:tcW w:w="8765" w:type="dxa"/>
            <w:tcBorders/>
            <w:shd w:fill="auto" w:val="clear"/>
            <w:vAlign w:val="center"/>
          </w:tcPr>
          <w:p>
            <w:pPr>
              <w:pStyle w:val="TableContents"/>
              <w:spacing w:before="0" w:after="283"/>
              <w:jc w:val="left"/>
              <w:rPr>
                <w:rFonts w:ascii="Arial" w:hAnsi="Arial"/>
                <w:sz w:val="20"/>
              </w:rPr>
            </w:pPr>
            <w:r>
              <w:rPr>
                <w:rFonts w:ascii="Arial" w:hAnsi="Arial"/>
                <w:sz w:val="20"/>
              </w:rPr>
              <w:t xml:space="preserve">By surrendering or attesting to ownership of Shares with an aggregate Fair Market Value equal to the aggregate option price; </w:t>
            </w:r>
            <w:r>
              <w:rPr>
                <w:rFonts w:ascii="Arial" w:hAnsi="Arial"/>
                <w:sz w:val="20"/>
                <w:u w:val="single"/>
              </w:rPr>
              <w:t xml:space="preserve">provided </w:t>
            </w:r>
            <w:r>
              <w:rPr>
                <w:rFonts w:ascii="Arial" w:hAnsi="Arial"/>
                <w:sz w:val="20"/>
              </w:rPr>
              <w:t>that the option price may not be paid in Shares if the Committee determines that such method of payment would result in liability under Section 16(b) of the 1934 Act to a Participant. Except as otherwise provided by the Committee, if payment is made in whole or in part by surrendering Shares, the Participant shall deliver to the Company certificates registered in the name of such Participant (or record the equivalent thereof on a book entry recordkeeping system maintained by the Company) representing Shares legally and beneficially owned by such Participant, free of all liens, claims and encumbrances of every kind and having a Fair Market Value on the date of delivery that is equal to or greater than the aggregate option price for the applicable Shares underlying the Option subject to payment by the surrender of Shares, accompanied by any necessary stock powers duly endorsed in blank by the record holder of such Shares; and if payment is made in whole or in part by attestation of ownership, the Participant shall attest to ownership of Shares representing Shares legally and beneficially owned by such Participant, free of all liens, claims and encumbrances of every kind and having a Fair Market Value on the date of attestation that is equal to or greater than the aggregate option price for the Shares underlying the Option subject to payment by attestation of Share ownership. The Committee may impose such limitations and prohibitions on attestation of ownership of Shares and the use of Shares to exercise an Option as it deems appropriate; or</w:t>
            </w:r>
          </w:p>
        </w:tc>
      </w:tr>
    </w:tbl>
    <w:p>
      <w:pPr>
        <w:pStyle w:val="TextBody"/>
        <w:spacing w:before="0" w:after="0"/>
        <w:rPr/>
      </w:pPr>
      <w:r>
        <w:rPr/>
      </w:r>
    </w:p>
    <w:tbl>
      <w:tblPr>
        <w:tblW w:w="2260" w:type="dxa"/>
        <w:jc w:val="left"/>
        <w:tblInd w:w="0" w:type="dxa"/>
        <w:tblCellMar>
          <w:top w:w="0" w:type="dxa"/>
          <w:left w:w="0" w:type="dxa"/>
          <w:bottom w:w="0" w:type="dxa"/>
          <w:right w:w="0" w:type="dxa"/>
        </w:tblCellMar>
      </w:tblPr>
      <w:tblGrid>
        <w:gridCol w:w="1580"/>
        <w:gridCol w:w="680"/>
      </w:tblGrid>
      <w:tr>
        <w:trPr/>
        <w:tc>
          <w:tcPr>
            <w:tcW w:w="1580" w:type="dxa"/>
            <w:tcBorders/>
            <w:shd w:fill="auto" w:val="clear"/>
            <w:vAlign w:val="center"/>
          </w:tcPr>
          <w:p>
            <w:pPr>
              <w:pStyle w:val="TableContents"/>
              <w:spacing w:before="0" w:after="283"/>
              <w:jc w:val="right"/>
              <w:rPr>
                <w:rFonts w:ascii="Arial" w:hAnsi="Arial"/>
                <w:sz w:val="15"/>
              </w:rPr>
            </w:pPr>
            <w:r>
              <w:rPr>
                <w:rFonts w:ascii="Arial" w:hAnsi="Arial"/>
                <w:sz w:val="15"/>
              </w:rPr>
              <w:t>2023 Proxy Statement</w:t>
            </w:r>
          </w:p>
        </w:tc>
        <w:tc>
          <w:tcPr>
            <w:tcW w:w="680" w:type="dxa"/>
            <w:tcBorders/>
            <w:shd w:fill="auto" w:val="clear"/>
            <w:vAlign w:val="center"/>
          </w:tcPr>
          <w:p>
            <w:pPr>
              <w:pStyle w:val="TableContents"/>
              <w:spacing w:before="0" w:after="283"/>
              <w:jc w:val="right"/>
              <w:rPr/>
            </w:pPr>
            <w:r>
              <w:rPr/>
              <w:t>       </w:t>
            </w:r>
            <w:r>
              <w:rPr>
                <w:rFonts w:ascii="Arial" w:hAnsi="Arial"/>
                <w:b/>
                <w:sz w:val="15"/>
              </w:rPr>
              <w:t>C-8</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10205" w:type="dxa"/>
        <w:jc w:val="left"/>
        <w:tblInd w:w="0" w:type="dxa"/>
        <w:tblCellMar>
          <w:top w:w="0" w:type="dxa"/>
          <w:left w:w="0" w:type="dxa"/>
          <w:bottom w:w="0" w:type="dxa"/>
          <w:right w:w="0" w:type="dxa"/>
        </w:tblCellMar>
      </w:tblPr>
      <w:tblGrid>
        <w:gridCol w:w="480"/>
        <w:gridCol w:w="480"/>
        <w:gridCol w:w="480"/>
        <w:gridCol w:w="8765"/>
      </w:tblGrid>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(iv)</w:t>
            </w:r>
          </w:p>
        </w:tc>
        <w:tc>
          <w:tcPr>
            <w:tcW w:w="8765" w:type="dxa"/>
            <w:tcBorders/>
            <w:shd w:fill="auto" w:val="clear"/>
            <w:vAlign w:val="center"/>
          </w:tcPr>
          <w:p>
            <w:pPr>
              <w:pStyle w:val="TableContents"/>
              <w:spacing w:before="0" w:after="283"/>
              <w:jc w:val="left"/>
              <w:rPr>
                <w:rFonts w:ascii="Arial" w:hAnsi="Arial"/>
                <w:sz w:val="20"/>
              </w:rPr>
            </w:pPr>
            <w:r>
              <w:rPr>
                <w:rFonts w:ascii="Arial" w:hAnsi="Arial"/>
                <w:sz w:val="20"/>
              </w:rPr>
              <w:t xml:space="preserve">Via cashless exercise, such that, subject to the other terms and conditions of the Plan, following the date of exercise, the Company shall deliver to the Participant Shares having a Fair Market Value at the time of exercise, equal to the excess, if any, of (A) the Fair Market Value of such Shares at the time of exercise of the Option over (B) the sum of (1) the aggregate option price for such Shares, plus (2) the applicable tax withholding amounts (as determined pursuant to Section 11) for such exercise; </w:t>
            </w:r>
            <w:r>
              <w:rPr>
                <w:rFonts w:ascii="Arial" w:hAnsi="Arial"/>
                <w:sz w:val="20"/>
                <w:u w:val="single"/>
              </w:rPr>
              <w:t>provided</w:t>
            </w:r>
            <w:r>
              <w:rPr>
                <w:rFonts w:ascii="Arial" w:hAnsi="Arial"/>
                <w:sz w:val="20"/>
              </w:rPr>
              <w:t xml:space="preserve"> that, in connection with such cashless exercise that would not result in the issuance of a whole number of Shares, the Company shall withhold cash that would otherwise be payable to the Participant from its regular payroll or the Participant shall deliver cash or a certified check payable to the order of the Company for the balance of the option price for a whole Share to the extent necessary to avoid the issuance of a fractional Share or the payment of cash by the Company (as provided in Section 9(c)).</w:t>
            </w:r>
          </w:p>
        </w:tc>
      </w:tr>
      <w:tr>
        <w:trPr/>
        <w:tc>
          <w:tcPr>
            <w:tcW w:w="480" w:type="dxa"/>
            <w:tcBorders/>
            <w:shd w:fill="auto" w:val="clear"/>
            <w:vAlign w:val="center"/>
          </w:tcPr>
          <w:p>
            <w:pPr>
              <w:pStyle w:val="TableContents"/>
              <w:spacing w:before="0" w:after="283"/>
              <w:jc w:val="left"/>
              <w:rPr/>
            </w:pPr>
            <w:r>
              <w:rPr/>
              <w:t>        </w:t>
            </w:r>
          </w:p>
        </w:tc>
        <w:tc>
          <w:tcPr>
            <w:tcW w:w="480" w:type="dxa"/>
            <w:tcBorders/>
            <w:shd w:fill="auto" w:val="clear"/>
            <w:vAlign w:val="center"/>
          </w:tcPr>
          <w:p>
            <w:pPr>
              <w:pStyle w:val="TableContents"/>
              <w:spacing w:before="0" w:after="283"/>
              <w:jc w:val="left"/>
              <w:rPr/>
            </w:pPr>
            <w:r>
              <w:rPr/>
              <w:t>        </w:t>
            </w:r>
          </w:p>
        </w:tc>
        <w:tc>
          <w:tcPr>
            <w:tcW w:w="480" w:type="dxa"/>
            <w:tcBorders/>
            <w:shd w:fill="auto" w:val="clear"/>
            <w:vAlign w:val="center"/>
          </w:tcPr>
          <w:p>
            <w:pPr>
              <w:pStyle w:val="TableContents"/>
              <w:spacing w:before="0" w:after="283"/>
              <w:jc w:val="left"/>
              <w:rPr/>
            </w:pPr>
            <w:r>
              <w:rPr/>
              <w:t>        </w:t>
            </w:r>
          </w:p>
        </w:tc>
        <w:tc>
          <w:tcPr>
            <w:tcW w:w="8765" w:type="dxa"/>
            <w:tcBorders/>
            <w:shd w:fill="auto" w:val="clear"/>
            <w:vAlign w:val="center"/>
          </w:tcPr>
          <w:p>
            <w:pPr>
              <w:pStyle w:val="TableContents"/>
              <w:spacing w:before="0" w:after="283"/>
              <w:rPr>
                <w:sz w:val="4"/>
                <w:szCs w:val="4"/>
              </w:rPr>
            </w:pPr>
            <w:r>
              <w:rPr>
                <w:sz w:val="4"/>
                <w:szCs w:val="4"/>
              </w:rPr>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(c)</w:t>
            </w:r>
          </w:p>
        </w:tc>
        <w:tc>
          <w:tcPr>
            <w:tcW w:w="9245" w:type="dxa"/>
            <w:gridSpan w:val="2"/>
            <w:tcBorders/>
            <w:shd w:fill="auto" w:val="clear"/>
            <w:vAlign w:val="center"/>
          </w:tcPr>
          <w:p>
            <w:pPr>
              <w:pStyle w:val="TableContents"/>
              <w:spacing w:before="0" w:after="283"/>
              <w:jc w:val="left"/>
              <w:rPr>
                <w:rFonts w:ascii="Arial" w:hAnsi="Arial"/>
                <w:sz w:val="20"/>
              </w:rPr>
            </w:pPr>
            <w:r>
              <w:rPr>
                <w:rFonts w:ascii="Arial" w:hAnsi="Arial"/>
                <w:sz w:val="20"/>
                <w:u w:val="single"/>
              </w:rPr>
              <w:t>Recording of Shares Upon Exercise of Options; Payment of Cash</w:t>
            </w:r>
            <w:r>
              <w:rPr>
                <w:rFonts w:ascii="Arial" w:hAnsi="Arial"/>
                <w:sz w:val="20"/>
              </w:rPr>
              <w:t>. For purposes of the Plan, the Company may satisfy its obligation to deliver Shares following the exercise of Options by arranging for the recording of Participant’s ownership of Shares issuable on the exercise of Options on a book entry recordkeeping system maintained by the Company. Following the exercise of an Option and the satisfaction of the conditions thereof, the Company shall deliver to the Participant the number of whole Shares issuable on the exercise of an Option and a check for the Fair Market Value on the date of exercise of any fractional Share to which the Participant is entitled.</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(d)</w:t>
            </w:r>
          </w:p>
        </w:tc>
        <w:tc>
          <w:tcPr>
            <w:tcW w:w="9245" w:type="dxa"/>
            <w:gridSpan w:val="2"/>
            <w:tcBorders/>
            <w:shd w:fill="auto" w:val="clear"/>
            <w:vAlign w:val="center"/>
          </w:tcPr>
          <w:p>
            <w:pPr>
              <w:pStyle w:val="TableContents"/>
              <w:spacing w:before="0" w:after="283"/>
              <w:jc w:val="left"/>
              <w:rPr>
                <w:rFonts w:ascii="Arial" w:hAnsi="Arial"/>
                <w:sz w:val="20"/>
              </w:rPr>
            </w:pPr>
            <w:r>
              <w:rPr>
                <w:rFonts w:ascii="Arial" w:hAnsi="Arial"/>
                <w:sz w:val="20"/>
                <w:u w:val="single"/>
              </w:rPr>
              <w:t>Periods of Exercise of Options</w:t>
            </w:r>
            <w:r>
              <w:rPr>
                <w:rFonts w:ascii="Arial" w:hAnsi="Arial"/>
                <w:sz w:val="20"/>
              </w:rPr>
              <w:t xml:space="preserve">. An Option shall be exercisable in whole or in part at such time or times as may be determined by the Committee and stated in the Award Agreement or as described in Section 9(g)(v)(B). Except as otherwise provided by the Committee in its discretion, no Option shall first become exercisable following a Participant’s Termination of Service for any reason; </w:t>
            </w:r>
            <w:r>
              <w:rPr>
                <w:rFonts w:ascii="Arial" w:hAnsi="Arial"/>
                <w:sz w:val="20"/>
                <w:u w:val="single"/>
              </w:rPr>
              <w:t>provided</w:t>
            </w:r>
            <w:r>
              <w:rPr>
                <w:rFonts w:ascii="Arial" w:hAnsi="Arial"/>
                <w:sz w:val="20"/>
              </w:rPr>
              <w:t xml:space="preserve"> that:</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(i)</w:t>
            </w:r>
          </w:p>
        </w:tc>
        <w:tc>
          <w:tcPr>
            <w:tcW w:w="8765" w:type="dxa"/>
            <w:tcBorders/>
            <w:shd w:fill="auto" w:val="clear"/>
            <w:vAlign w:val="center"/>
          </w:tcPr>
          <w:p>
            <w:pPr>
              <w:pStyle w:val="TableContents"/>
              <w:spacing w:before="0" w:after="283"/>
              <w:jc w:val="left"/>
              <w:rPr>
                <w:rFonts w:ascii="Arial" w:hAnsi="Arial"/>
                <w:sz w:val="20"/>
              </w:rPr>
            </w:pPr>
            <w:r>
              <w:rPr>
                <w:rFonts w:ascii="Arial" w:hAnsi="Arial"/>
                <w:sz w:val="20"/>
              </w:rPr>
              <w:t>In the event of a Participant’s Termination of Service for any reason other than (x) due to death or Disability or (y) for Cause, any Option held by such Participant and which is then exercisable shall be exercisable for a period of 90 days following the date of such Participant’s Termination of Service (unless a longer period is established by the Committee or set forth in an Award Agreement);</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(ii)</w:t>
            </w:r>
          </w:p>
        </w:tc>
        <w:tc>
          <w:tcPr>
            <w:tcW w:w="8765" w:type="dxa"/>
            <w:tcBorders/>
            <w:shd w:fill="auto" w:val="clear"/>
            <w:vAlign w:val="center"/>
          </w:tcPr>
          <w:p>
            <w:pPr>
              <w:pStyle w:val="TableContents"/>
              <w:spacing w:before="0" w:after="283"/>
              <w:jc w:val="left"/>
              <w:rPr>
                <w:rFonts w:ascii="Arial" w:hAnsi="Arial"/>
                <w:sz w:val="20"/>
              </w:rPr>
            </w:pPr>
            <w:r>
              <w:rPr>
                <w:rFonts w:ascii="Arial" w:hAnsi="Arial"/>
                <w:sz w:val="20"/>
              </w:rPr>
              <w:t>In the event of a Participant’s Termination of Service due to Disability, any Option held by such Participant and which is then exercisable shall be exercisable for a period of one year following the date of such Participant’s Termination of Service (unless a longer period is established by the Committee or set forth in an Award Agreement);</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(iii)</w:t>
            </w:r>
          </w:p>
        </w:tc>
        <w:tc>
          <w:tcPr>
            <w:tcW w:w="8765" w:type="dxa"/>
            <w:tcBorders/>
            <w:shd w:fill="auto" w:val="clear"/>
            <w:vAlign w:val="center"/>
          </w:tcPr>
          <w:p>
            <w:pPr>
              <w:pStyle w:val="TableContents"/>
              <w:spacing w:before="0" w:after="283"/>
              <w:jc w:val="left"/>
              <w:rPr>
                <w:rFonts w:ascii="Arial" w:hAnsi="Arial"/>
                <w:sz w:val="20"/>
              </w:rPr>
            </w:pPr>
            <w:r>
              <w:rPr>
                <w:rFonts w:ascii="Arial" w:hAnsi="Arial"/>
                <w:sz w:val="20"/>
              </w:rPr>
              <w:t>In the event of a Participant’s Termination of Service by reason of such Participant’s death, any Option held at death by such Participant which is then exercisable shall be exercisable for a period of one year from the date of death (unless a longer period is established by the Committee or set forth in an Award Agreement) by the person to whom the rights of the Participant shall have passed by will or by the laws of descent and distribution.</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(iv)</w:t>
            </w:r>
          </w:p>
        </w:tc>
        <w:tc>
          <w:tcPr>
            <w:tcW w:w="8765" w:type="dxa"/>
            <w:tcBorders/>
            <w:shd w:fill="auto" w:val="clear"/>
            <w:vAlign w:val="center"/>
          </w:tcPr>
          <w:p>
            <w:pPr>
              <w:pStyle w:val="TableContents"/>
              <w:spacing w:before="0" w:after="283"/>
              <w:jc w:val="left"/>
              <w:rPr>
                <w:rFonts w:ascii="Arial" w:hAnsi="Arial"/>
                <w:sz w:val="20"/>
              </w:rPr>
            </w:pPr>
            <w:r>
              <w:rPr>
                <w:rFonts w:ascii="Arial" w:hAnsi="Arial"/>
                <w:sz w:val="20"/>
              </w:rPr>
              <w:t xml:space="preserve">In the event that a Participant’s Termination of Service for Cause, each unexercised Option held by such Participant shall automatically terminate and cease to be exercisable as of immediately prior to such Termination of Service; </w:t>
            </w:r>
            <w:r>
              <w:rPr>
                <w:rFonts w:ascii="Arial" w:hAnsi="Arial"/>
                <w:sz w:val="20"/>
                <w:u w:val="single"/>
              </w:rPr>
              <w:t>provided</w:t>
            </w:r>
            <w:r>
              <w:rPr>
                <w:rFonts w:ascii="Arial" w:hAnsi="Arial"/>
                <w:sz w:val="20"/>
              </w:rPr>
              <w:t xml:space="preserve"> </w:t>
            </w:r>
            <w:r>
              <w:rPr>
                <w:rFonts w:ascii="Arial" w:hAnsi="Arial"/>
                <w:sz w:val="20"/>
                <w:u w:val="single"/>
              </w:rPr>
              <w:t>further</w:t>
            </w:r>
            <w:r>
              <w:rPr>
                <w:rFonts w:ascii="Arial" w:hAnsi="Arial"/>
                <w:sz w:val="20"/>
              </w:rPr>
              <w:t>, that in such event, in addition to immediate termination of the Option, the Participant, upon a determination by the Committee, shall automatically forfeit all Shares otherwise subject to delivery upon exercise of an Option but for which the Company has not yet delivered such Shares, upon refund by the Company of the applicable option price.</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8765" w:type="dxa"/>
            <w:tcBorders/>
            <w:shd w:fill="auto" w:val="clear"/>
            <w:vAlign w:val="center"/>
          </w:tcPr>
          <w:p>
            <w:pPr>
              <w:pStyle w:val="TableContents"/>
              <w:spacing w:before="0" w:after="283"/>
              <w:jc w:val="left"/>
              <w:rPr>
                <w:rFonts w:ascii="Arial" w:hAnsi="Arial"/>
                <w:sz w:val="20"/>
              </w:rPr>
            </w:pPr>
            <w:r>
              <w:rPr>
                <w:rFonts w:ascii="Arial" w:hAnsi="Arial"/>
                <w:sz w:val="20"/>
              </w:rPr>
              <w:t>Notwithstanding anything to the contrary in this Section 9(c), in no event shall an Incentive Stock Option be exercisable after five years from the Date of Grant in the case of a grant to a Ten Percent Shareholder, nor shall any other Option be exercisable after ten years from the Date of Grant.</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(e)</w:t>
            </w:r>
          </w:p>
        </w:tc>
        <w:tc>
          <w:tcPr>
            <w:tcW w:w="9245" w:type="dxa"/>
            <w:gridSpan w:val="2"/>
            <w:tcBorders/>
            <w:shd w:fill="auto" w:val="clear"/>
            <w:vAlign w:val="center"/>
          </w:tcPr>
          <w:p>
            <w:pPr>
              <w:pStyle w:val="TableContents"/>
              <w:spacing w:before="0" w:after="283"/>
              <w:jc w:val="left"/>
              <w:rPr>
                <w:rFonts w:ascii="Arial" w:hAnsi="Arial"/>
                <w:sz w:val="20"/>
              </w:rPr>
            </w:pPr>
            <w:r>
              <w:rPr>
                <w:rFonts w:ascii="Arial" w:hAnsi="Arial"/>
                <w:sz w:val="20"/>
                <w:u w:val="single"/>
              </w:rPr>
              <w:t>Date of Exercise</w:t>
            </w:r>
            <w:r>
              <w:rPr>
                <w:rFonts w:ascii="Arial" w:hAnsi="Arial"/>
                <w:sz w:val="20"/>
              </w:rPr>
              <w:t>.</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(i)</w:t>
            </w:r>
          </w:p>
        </w:tc>
        <w:tc>
          <w:tcPr>
            <w:tcW w:w="8765" w:type="dxa"/>
            <w:tcBorders/>
            <w:shd w:fill="auto" w:val="clear"/>
            <w:vAlign w:val="center"/>
          </w:tcPr>
          <w:p>
            <w:pPr>
              <w:pStyle w:val="TableContents"/>
              <w:spacing w:before="0" w:after="283"/>
              <w:jc w:val="left"/>
              <w:rPr>
                <w:rFonts w:ascii="Arial" w:hAnsi="Arial"/>
                <w:sz w:val="20"/>
              </w:rPr>
            </w:pPr>
            <w:r>
              <w:rPr>
                <w:rFonts w:ascii="Arial" w:hAnsi="Arial"/>
                <w:sz w:val="20"/>
                <w:u w:val="single"/>
              </w:rPr>
              <w:t>In General</w:t>
            </w:r>
            <w:r>
              <w:rPr>
                <w:rFonts w:ascii="Arial" w:hAnsi="Arial"/>
                <w:sz w:val="20"/>
              </w:rPr>
              <w:t xml:space="preserve">. The date of exercise of an Option shall be the date on which notice of exercise is delivered to the Company, in the form and in such manner as provided by the Committee from time to time; </w:t>
            </w:r>
            <w:r>
              <w:rPr>
                <w:rFonts w:ascii="Arial" w:hAnsi="Arial"/>
                <w:sz w:val="20"/>
                <w:u w:val="single"/>
              </w:rPr>
              <w:t>provided, however</w:t>
            </w:r>
            <w:r>
              <w:rPr>
                <w:rFonts w:ascii="Arial" w:hAnsi="Arial"/>
                <w:sz w:val="20"/>
              </w:rPr>
              <w:t>, that the Company shall not be obligated to deliver any Shares pursuant to the exercise of an Option until the Participant shall have made payment in full of the option price for such Shares. Each such exercise shall be irrevocable when given. Each notice of exercise shall also comply with the requirements of Section 11.</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(ii)</w:t>
            </w:r>
          </w:p>
        </w:tc>
        <w:tc>
          <w:tcPr>
            <w:tcW w:w="8765" w:type="dxa"/>
            <w:tcBorders/>
            <w:shd w:fill="auto" w:val="clear"/>
            <w:vAlign w:val="center"/>
          </w:tcPr>
          <w:p>
            <w:pPr>
              <w:pStyle w:val="TableContents"/>
              <w:spacing w:before="0" w:after="283"/>
              <w:jc w:val="left"/>
              <w:rPr>
                <w:rFonts w:ascii="Arial" w:hAnsi="Arial"/>
                <w:sz w:val="20"/>
              </w:rPr>
            </w:pPr>
            <w:r>
              <w:rPr>
                <w:rFonts w:ascii="Arial" w:hAnsi="Arial"/>
                <w:sz w:val="20"/>
                <w:u w:val="single"/>
              </w:rPr>
              <w:t>Automatic Exercise</w:t>
            </w:r>
            <w:r>
              <w:rPr>
                <w:rFonts w:ascii="Arial" w:hAnsi="Arial"/>
                <w:sz w:val="20"/>
              </w:rPr>
              <w:t>. Immediately before the time at which any such Option is scheduled to expire in accordance with the terms and conditions of the Plan and the applicable Award Agreement, such Option shall be deemed automatically exercised, if such Option satisfies each of the following conditions:</w:t>
            </w:r>
          </w:p>
        </w:tc>
      </w:tr>
    </w:tbl>
    <w:tbl>
      <w:tblPr>
        <w:tblW w:w="10205" w:type="dxa"/>
        <w:jc w:val="left"/>
        <w:tblInd w:w="0" w:type="dxa"/>
        <w:tblCellMar>
          <w:top w:w="0" w:type="dxa"/>
          <w:left w:w="0" w:type="dxa"/>
          <w:bottom w:w="0" w:type="dxa"/>
          <w:right w:w="0" w:type="dxa"/>
        </w:tblCellMar>
      </w:tblPr>
      <w:tblGrid>
        <w:gridCol w:w="480"/>
        <w:gridCol w:w="960"/>
        <w:gridCol w:w="262"/>
        <w:gridCol w:w="8503"/>
      </w:tblGrid>
      <w:tr>
        <w:trPr/>
        <w:tc>
          <w:tcPr>
            <w:tcW w:w="480" w:type="dxa"/>
            <w:tcBorders/>
            <w:shd w:fill="auto" w:val="clear"/>
            <w:vAlign w:val="center"/>
          </w:tcPr>
          <w:p>
            <w:pPr>
              <w:pStyle w:val="TableContents"/>
              <w:spacing w:before="0" w:after="283"/>
              <w:jc w:val="left"/>
              <w:rPr/>
            </w:pPr>
            <w:r>
              <w:rPr/>
              <w:t>        </w:t>
            </w:r>
          </w:p>
        </w:tc>
        <w:tc>
          <w:tcPr>
            <w:tcW w:w="960" w:type="dxa"/>
            <w:tcBorders/>
            <w:shd w:fill="auto" w:val="clear"/>
            <w:vAlign w:val="center"/>
          </w:tcPr>
          <w:p>
            <w:pPr>
              <w:pStyle w:val="TableContents"/>
              <w:spacing w:before="0" w:after="283"/>
              <w:jc w:val="left"/>
              <w:rPr/>
            </w:pPr>
            <w:r>
              <w:rPr/>
              <w:t>                </w:t>
            </w:r>
          </w:p>
        </w:tc>
        <w:tc>
          <w:tcPr>
            <w:tcW w:w="262" w:type="dxa"/>
            <w:tcBorders/>
            <w:shd w:fill="auto" w:val="clear"/>
            <w:vAlign w:val="center"/>
          </w:tcPr>
          <w:p>
            <w:pPr>
              <w:pStyle w:val="TableContents"/>
              <w:spacing w:before="0" w:after="283"/>
              <w:jc w:val="left"/>
              <w:rPr>
                <w:rFonts w:ascii="Arial" w:hAnsi="Arial"/>
                <w:sz w:val="20"/>
              </w:rPr>
            </w:pPr>
            <w:r>
              <w:rPr>
                <w:rFonts w:ascii="Arial" w:hAnsi="Arial"/>
                <w:sz w:val="20"/>
              </w:rPr>
              <w:t>(A)</w:t>
            </w:r>
          </w:p>
        </w:tc>
        <w:tc>
          <w:tcPr>
            <w:tcW w:w="8503" w:type="dxa"/>
            <w:tcBorders/>
            <w:shd w:fill="auto" w:val="clear"/>
            <w:vAlign w:val="center"/>
          </w:tcPr>
          <w:p>
            <w:pPr>
              <w:pStyle w:val="TableContents"/>
              <w:spacing w:before="0" w:after="283"/>
              <w:jc w:val="left"/>
              <w:rPr>
                <w:rFonts w:ascii="Arial" w:hAnsi="Arial"/>
                <w:sz w:val="20"/>
              </w:rPr>
            </w:pPr>
            <w:r>
              <w:rPr>
                <w:rFonts w:ascii="Arial" w:hAnsi="Arial"/>
                <w:sz w:val="20"/>
              </w:rPr>
              <w:t>such Option is covered by a then current registration statement or a Notification under Regulation A under the 1933 Act,</w:t>
            </w:r>
          </w:p>
        </w:tc>
      </w:tr>
    </w:tbl>
    <w:p>
      <w:pPr>
        <w:pStyle w:val="TextBody"/>
        <w:spacing w:before="0" w:after="0"/>
        <w:rPr/>
      </w:pPr>
      <w:r>
        <w:rPr/>
      </w:r>
    </w:p>
    <w:tbl>
      <w:tblPr>
        <w:tblW w:w="283" w:type="dxa"/>
        <w:jc w:val="left"/>
        <w:tblInd w:w="0" w:type="dxa"/>
        <w:tblCellMar>
          <w:top w:w="0" w:type="dxa"/>
          <w:left w:w="0" w:type="dxa"/>
          <w:bottom w:w="0" w:type="dxa"/>
          <w:right w:w="0" w:type="dxa"/>
        </w:tblCellMar>
      </w:tblPr>
      <w:tblGrid>
        <w:gridCol w:w="260"/>
        <w:gridCol w:w="23"/>
      </w:tblGrid>
      <w:tr>
        <w:trPr/>
        <w:tc>
          <w:tcPr>
            <w:tcW w:w="260" w:type="dxa"/>
            <w:tcBorders/>
            <w:shd w:fill="auto" w:val="clear"/>
            <w:vAlign w:val="center"/>
          </w:tcPr>
          <w:p>
            <w:pPr>
              <w:pStyle w:val="TableContents"/>
              <w:spacing w:before="0" w:after="283"/>
              <w:jc w:val="left"/>
              <w:rPr>
                <w:rFonts w:ascii="Arial" w:hAnsi="Arial"/>
                <w:b/>
                <w:sz w:val="15"/>
              </w:rPr>
            </w:pPr>
            <w:r>
              <w:rPr>
                <w:rFonts w:ascii="Arial" w:hAnsi="Arial"/>
                <w:b/>
                <w:sz w:val="15"/>
              </w:rPr>
              <w:t>C-9</w:t>
            </w:r>
          </w:p>
        </w:tc>
        <w:tc>
          <w:tcPr>
            <w:tcW w:w="2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10205" w:type="dxa"/>
        <w:jc w:val="left"/>
        <w:tblInd w:w="0" w:type="dxa"/>
        <w:tblCellMar>
          <w:top w:w="0" w:type="dxa"/>
          <w:left w:w="0" w:type="dxa"/>
          <w:bottom w:w="0" w:type="dxa"/>
          <w:right w:w="0" w:type="dxa"/>
        </w:tblCellMar>
      </w:tblPr>
      <w:tblGrid>
        <w:gridCol w:w="480"/>
        <w:gridCol w:w="960"/>
        <w:gridCol w:w="480"/>
        <w:gridCol w:w="8285"/>
      </w:tblGrid>
      <w:tr>
        <w:trPr/>
        <w:tc>
          <w:tcPr>
            <w:tcW w:w="480"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(B)</w:t>
            </w:r>
          </w:p>
        </w:tc>
        <w:tc>
          <w:tcPr>
            <w:tcW w:w="8285" w:type="dxa"/>
            <w:tcBorders/>
            <w:shd w:fill="auto" w:val="clear"/>
            <w:vAlign w:val="center"/>
          </w:tcPr>
          <w:p>
            <w:pPr>
              <w:pStyle w:val="TableContents"/>
              <w:spacing w:before="0" w:after="283"/>
              <w:jc w:val="left"/>
              <w:rPr>
                <w:rFonts w:ascii="Arial" w:hAnsi="Arial"/>
                <w:sz w:val="20"/>
              </w:rPr>
            </w:pPr>
            <w:r>
              <w:rPr>
                <w:rFonts w:ascii="Arial" w:hAnsi="Arial"/>
                <w:sz w:val="20"/>
              </w:rPr>
              <w:t>the last reported sale price of a Share on the principal exchange on which Shares are listed on the date of determination, or if such date is not a trading day, the last preceding trading day, exceeds the option price per Share by such amount as may be determined by the Committee or its delegate from time to time. Absent a contrary determination, such excess per Share shall be $0.01, and</w:t>
            </w:r>
          </w:p>
        </w:tc>
      </w:tr>
      <w:tr>
        <w:trPr/>
        <w:tc>
          <w:tcPr>
            <w:tcW w:w="480" w:type="dxa"/>
            <w:tcBorders/>
            <w:shd w:fill="auto" w:val="clear"/>
            <w:vAlign w:val="center"/>
          </w:tcPr>
          <w:p>
            <w:pPr>
              <w:pStyle w:val="TableContents"/>
              <w:spacing w:before="0" w:after="283"/>
              <w:jc w:val="left"/>
              <w:rPr/>
            </w:pPr>
            <w:r>
              <w:rPr/>
              <w:t>        </w:t>
            </w:r>
          </w:p>
        </w:tc>
        <w:tc>
          <w:tcPr>
            <w:tcW w:w="960" w:type="dxa"/>
            <w:tcBorders/>
            <w:shd w:fill="auto" w:val="clear"/>
            <w:vAlign w:val="center"/>
          </w:tcPr>
          <w:p>
            <w:pPr>
              <w:pStyle w:val="TableContents"/>
              <w:spacing w:before="0" w:after="283"/>
              <w:jc w:val="left"/>
              <w:rPr/>
            </w:pPr>
            <w:r>
              <w:rPr/>
              <w:t>                </w:t>
            </w:r>
          </w:p>
        </w:tc>
        <w:tc>
          <w:tcPr>
            <w:tcW w:w="480" w:type="dxa"/>
            <w:tcBorders/>
            <w:shd w:fill="auto" w:val="clear"/>
            <w:vAlign w:val="center"/>
          </w:tcPr>
          <w:p>
            <w:pPr>
              <w:pStyle w:val="TableContents"/>
              <w:spacing w:before="0" w:after="283"/>
              <w:jc w:val="left"/>
              <w:rPr/>
            </w:pPr>
            <w:r>
              <w:rPr/>
              <w:t>        </w:t>
            </w:r>
          </w:p>
        </w:tc>
        <w:tc>
          <w:tcPr>
            <w:tcW w:w="8285" w:type="dxa"/>
            <w:tcBorders/>
            <w:shd w:fill="auto" w:val="clear"/>
            <w:vAlign w:val="center"/>
          </w:tcPr>
          <w:p>
            <w:pPr>
              <w:pStyle w:val="TableContents"/>
              <w:spacing w:before="0" w:after="283"/>
              <w:rPr>
                <w:sz w:val="4"/>
                <w:szCs w:val="4"/>
              </w:rPr>
            </w:pPr>
            <w:r>
              <w:rPr>
                <w:sz w:val="4"/>
                <w:szCs w:val="4"/>
              </w:rPr>
            </w:r>
          </w:p>
        </w:tc>
      </w:tr>
      <w:tr>
        <w:trPr/>
        <w:tc>
          <w:tcPr>
            <w:tcW w:w="480"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(C)</w:t>
            </w:r>
          </w:p>
        </w:tc>
        <w:tc>
          <w:tcPr>
            <w:tcW w:w="8285" w:type="dxa"/>
            <w:tcBorders/>
            <w:shd w:fill="auto" w:val="clear"/>
            <w:vAlign w:val="center"/>
          </w:tcPr>
          <w:p>
            <w:pPr>
              <w:pStyle w:val="TableContents"/>
              <w:spacing w:before="0" w:after="283"/>
              <w:jc w:val="left"/>
              <w:rPr>
                <w:rFonts w:ascii="Arial" w:hAnsi="Arial"/>
                <w:sz w:val="20"/>
              </w:rPr>
            </w:pPr>
            <w:r>
              <w:rPr>
                <w:rFonts w:ascii="Arial" w:hAnsi="Arial"/>
                <w:sz w:val="20"/>
              </w:rPr>
              <w:t xml:space="preserve">an Option subject to this Section 9(e)(ii) shall be exercised via cashless exercise, such that subject to the other terms and conditions of the Plan, following the date of exercise, the Company shall deliver to the Participant the number of Shares having a value, at the time of exercise, equal to the excess, if any, of (A) the value of such Shares based on the last reported sale price of such Shares on the principal exchange on which Shares are listed on the date of determination, or if such date is not a trading day, the last preceding trading date, over (B) the sum of (1) the aggregate option price for such Shares, plus (2) the applicable tax withholding amounts (as determined pursuant to Section 11) for such exercise; </w:t>
            </w:r>
            <w:r>
              <w:rPr>
                <w:rFonts w:ascii="Arial" w:hAnsi="Arial"/>
                <w:sz w:val="20"/>
                <w:u w:val="single"/>
              </w:rPr>
              <w:t>provided</w:t>
            </w:r>
            <w:r>
              <w:rPr>
                <w:rFonts w:ascii="Arial" w:hAnsi="Arial"/>
                <w:sz w:val="20"/>
              </w:rPr>
              <w:t xml:space="preserve"> that, in connection with such cashless exercise that would not result in the issuance of a whole number of Shares, the Company shall pay cash in lieu of any fractional Share.</w:t>
            </w:r>
          </w:p>
        </w:tc>
      </w:tr>
    </w:tbl>
    <w:tbl>
      <w:tblPr>
        <w:tblW w:w="10205" w:type="dxa"/>
        <w:jc w:val="left"/>
        <w:tblInd w:w="0" w:type="dxa"/>
        <w:tblCellMar>
          <w:top w:w="0" w:type="dxa"/>
          <w:left w:w="0" w:type="dxa"/>
          <w:bottom w:w="0" w:type="dxa"/>
          <w:right w:w="0" w:type="dxa"/>
        </w:tblCellMar>
      </w:tblPr>
      <w:tblGrid>
        <w:gridCol w:w="480"/>
        <w:gridCol w:w="480"/>
        <w:gridCol w:w="262"/>
        <w:gridCol w:w="8983"/>
      </w:tblGrid>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(f)</w:t>
            </w:r>
          </w:p>
        </w:tc>
        <w:tc>
          <w:tcPr>
            <w:tcW w:w="9245" w:type="dxa"/>
            <w:gridSpan w:val="2"/>
            <w:tcBorders/>
            <w:shd w:fill="auto" w:val="clear"/>
            <w:vAlign w:val="center"/>
          </w:tcPr>
          <w:p>
            <w:pPr>
              <w:pStyle w:val="TableContents"/>
              <w:spacing w:before="0" w:after="283"/>
              <w:jc w:val="left"/>
              <w:rPr>
                <w:rFonts w:ascii="Arial" w:hAnsi="Arial"/>
                <w:sz w:val="20"/>
              </w:rPr>
            </w:pPr>
            <w:r>
              <w:rPr>
                <w:rFonts w:ascii="Arial" w:hAnsi="Arial"/>
                <w:sz w:val="20"/>
                <w:u w:val="single"/>
              </w:rPr>
              <w:t>Limitation on Exercise of Incentive Stock Options</w:t>
            </w:r>
            <w:r>
              <w:rPr>
                <w:rFonts w:ascii="Arial" w:hAnsi="Arial"/>
                <w:sz w:val="20"/>
              </w:rPr>
              <w:t>. The aggregate Fair Market Value (determined as of the time Options are granted) of the Shares with respect to which Incentive Stock Options may first become exercisable by a Participant in any one calendar year under the Plan and any other plan of the Company shall not exceed $100,000. The limitations imposed by this Section 9(f) shall apply only to Incentive Stock Options granted under the Plan, and not to any other Options. In the event an Eligible Employee receives an Option intended to be an Incentive Stock Option which is subsequently determined to have exceeded the limitation set forth above, or if an Eligible Employee receives Options that first become exercisable in a calendar year (whether pursuant to the terms of an Award Agreement, acceleration of exercisability or other change in the terms and conditions of exercise or any other reason) that have an aggregate Fair Market Value (determined as of the time the Options are granted) that exceeds the limitations set forth above, the Options in excess of the limitation shall be treated as Non-Qualified Options.</w:t>
            </w:r>
          </w:p>
        </w:tc>
      </w:tr>
      <w:tr>
        <w:trPr/>
        <w:tc>
          <w:tcPr>
            <w:tcW w:w="480" w:type="dxa"/>
            <w:tcBorders/>
            <w:shd w:fill="auto" w:val="clear"/>
            <w:vAlign w:val="center"/>
          </w:tcPr>
          <w:p>
            <w:pPr>
              <w:pStyle w:val="TableContents"/>
              <w:spacing w:before="0" w:after="283"/>
              <w:jc w:val="left"/>
              <w:rPr/>
            </w:pPr>
            <w:r>
              <w:rPr/>
              <w:t>        </w:t>
            </w:r>
          </w:p>
        </w:tc>
        <w:tc>
          <w:tcPr>
            <w:tcW w:w="480" w:type="dxa"/>
            <w:tcBorders/>
            <w:shd w:fill="auto" w:val="clear"/>
            <w:vAlign w:val="center"/>
          </w:tcPr>
          <w:p>
            <w:pPr>
              <w:pStyle w:val="TableContents"/>
              <w:spacing w:before="0" w:after="283"/>
              <w:jc w:val="left"/>
              <w:rPr/>
            </w:pPr>
            <w:r>
              <w:rPr/>
              <w:t>        </w:t>
            </w:r>
          </w:p>
        </w:tc>
        <w:tc>
          <w:tcPr>
            <w:tcW w:w="9245" w:type="dxa"/>
            <w:gridSpan w:val="2"/>
            <w:tcBorders/>
            <w:shd w:fill="auto" w:val="clear"/>
            <w:vAlign w:val="center"/>
          </w:tcPr>
          <w:p>
            <w:pPr>
              <w:pStyle w:val="TableContents"/>
              <w:spacing w:before="0" w:after="283"/>
              <w:jc w:val="left"/>
              <w:rPr/>
            </w:pPr>
            <w:r>
              <w:rPr/>
              <w:t>        </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(g)</w:t>
            </w:r>
          </w:p>
        </w:tc>
        <w:tc>
          <w:tcPr>
            <w:tcW w:w="9245" w:type="dxa"/>
            <w:gridSpan w:val="2"/>
            <w:tcBorders/>
            <w:shd w:fill="auto" w:val="clear"/>
            <w:vAlign w:val="center"/>
          </w:tcPr>
          <w:p>
            <w:pPr>
              <w:pStyle w:val="TableContents"/>
              <w:spacing w:before="0" w:after="283"/>
              <w:jc w:val="left"/>
              <w:rPr>
                <w:rFonts w:ascii="Arial" w:hAnsi="Arial"/>
                <w:sz w:val="20"/>
              </w:rPr>
            </w:pPr>
            <w:r>
              <w:rPr>
                <w:rFonts w:ascii="Arial" w:hAnsi="Arial"/>
                <w:sz w:val="20"/>
                <w:u w:val="single"/>
              </w:rPr>
              <w:t>SARs</w:t>
            </w:r>
            <w:r>
              <w:rPr>
                <w:rFonts w:ascii="Arial" w:hAnsi="Arial"/>
                <w:sz w:val="20"/>
              </w:rPr>
              <w:t>.</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jc w:val="left"/>
              <w:rPr>
                <w:rFonts w:ascii="Arial" w:hAnsi="Arial"/>
                <w:sz w:val="20"/>
              </w:rPr>
            </w:pPr>
            <w:r>
              <w:rPr>
                <w:rFonts w:ascii="Arial" w:hAnsi="Arial"/>
                <w:sz w:val="20"/>
              </w:rPr>
              <w:t>(i)</w:t>
            </w:r>
          </w:p>
        </w:tc>
        <w:tc>
          <w:tcPr>
            <w:tcW w:w="8983" w:type="dxa"/>
            <w:tcBorders/>
            <w:shd w:fill="auto" w:val="clear"/>
            <w:vAlign w:val="center"/>
          </w:tcPr>
          <w:p>
            <w:pPr>
              <w:pStyle w:val="TableContents"/>
              <w:spacing w:before="0" w:after="283"/>
              <w:jc w:val="left"/>
              <w:rPr>
                <w:rFonts w:ascii="Arial" w:hAnsi="Arial"/>
                <w:sz w:val="20"/>
              </w:rPr>
            </w:pPr>
            <w:r>
              <w:rPr>
                <w:rFonts w:ascii="Arial" w:hAnsi="Arial"/>
                <w:sz w:val="20"/>
              </w:rPr>
              <w:t>SARs may be granted under the Plan to Participants either alone (“freestanding”) or in addition to other Awards granted under the Plan (“tandem”) and may, but need not, relate to a specific Option granted under Section 9.</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jc w:val="left"/>
              <w:rPr>
                <w:rFonts w:ascii="Arial" w:hAnsi="Arial"/>
                <w:sz w:val="20"/>
              </w:rPr>
            </w:pPr>
            <w:r>
              <w:rPr>
                <w:rFonts w:ascii="Arial" w:hAnsi="Arial"/>
                <w:sz w:val="20"/>
              </w:rPr>
              <w:t>(ii)</w:t>
            </w:r>
          </w:p>
        </w:tc>
        <w:tc>
          <w:tcPr>
            <w:tcW w:w="8983" w:type="dxa"/>
            <w:tcBorders/>
            <w:shd w:fill="auto" w:val="clear"/>
            <w:vAlign w:val="center"/>
          </w:tcPr>
          <w:p>
            <w:pPr>
              <w:pStyle w:val="TableContents"/>
              <w:spacing w:before="0" w:after="283"/>
              <w:jc w:val="left"/>
              <w:rPr>
                <w:rFonts w:ascii="Arial" w:hAnsi="Arial"/>
                <w:sz w:val="20"/>
              </w:rPr>
            </w:pPr>
            <w:r>
              <w:rPr>
                <w:rFonts w:ascii="Arial" w:hAnsi="Arial"/>
                <w:sz w:val="20"/>
              </w:rPr>
              <w:t xml:space="preserve">The exercise or hurdle price per Share under a SAR shall be determined by the Committee; </w:t>
            </w:r>
            <w:r>
              <w:rPr>
                <w:rFonts w:ascii="Arial" w:hAnsi="Arial"/>
                <w:sz w:val="20"/>
                <w:u w:val="single"/>
              </w:rPr>
              <w:t>provided,</w:t>
            </w:r>
            <w:r>
              <w:rPr>
                <w:rFonts w:ascii="Arial" w:hAnsi="Arial"/>
                <w:sz w:val="20"/>
              </w:rPr>
              <w:t xml:space="preserve"> however, that, except in the case of Substitute Awards, such exercise or hurdle price shall not be less than the Fair Market Value of a Share on the date of grant of such SAR. The term of each SAR shall be fixed by the Committee but shall not exceed 10 years from the date of grant of such SAR. The Committee shall determine the time or times at which a SAR may be exercised or settled in whole or in part.</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jc w:val="left"/>
              <w:rPr>
                <w:rFonts w:ascii="Arial" w:hAnsi="Arial"/>
                <w:sz w:val="20"/>
              </w:rPr>
            </w:pPr>
            <w:r>
              <w:rPr>
                <w:rFonts w:ascii="Arial" w:hAnsi="Arial"/>
                <w:sz w:val="20"/>
              </w:rPr>
              <w:t>(iii)</w:t>
            </w:r>
          </w:p>
        </w:tc>
        <w:tc>
          <w:tcPr>
            <w:tcW w:w="8983" w:type="dxa"/>
            <w:tcBorders/>
            <w:shd w:fill="auto" w:val="clear"/>
            <w:vAlign w:val="center"/>
          </w:tcPr>
          <w:p>
            <w:pPr>
              <w:pStyle w:val="TableContents"/>
              <w:spacing w:before="0" w:after="283"/>
              <w:jc w:val="left"/>
              <w:rPr>
                <w:rFonts w:ascii="Arial" w:hAnsi="Arial"/>
                <w:sz w:val="20"/>
              </w:rPr>
            </w:pPr>
            <w:r>
              <w:rPr>
                <w:rFonts w:ascii="Arial" w:hAnsi="Arial"/>
                <w:sz w:val="20"/>
              </w:rPr>
              <w:t>Upon the exercise of a SAR, the Company shall pay to the Participant an amount equal to the number of Shares subject to the SAR multiplied by the excess, if any, of the Fair Market Value of one Share on the exercise date over the exercise or hurdle price of such SAR. The Company shall pay such excess in cash, in Shares valued at Fair Market Value, or any combination thereof, as determined by the Committee.</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jc w:val="left"/>
              <w:rPr>
                <w:rFonts w:ascii="Arial" w:hAnsi="Arial"/>
                <w:sz w:val="20"/>
              </w:rPr>
            </w:pPr>
            <w:r>
              <w:rPr>
                <w:rFonts w:ascii="Arial" w:hAnsi="Arial"/>
                <w:sz w:val="20"/>
              </w:rPr>
              <w:t>(iv)</w:t>
            </w:r>
          </w:p>
        </w:tc>
        <w:tc>
          <w:tcPr>
            <w:tcW w:w="8983" w:type="dxa"/>
            <w:tcBorders/>
            <w:shd w:fill="auto" w:val="clear"/>
            <w:vAlign w:val="center"/>
          </w:tcPr>
          <w:p>
            <w:pPr>
              <w:pStyle w:val="TableContents"/>
              <w:spacing w:before="0" w:after="283"/>
              <w:jc w:val="left"/>
              <w:rPr>
                <w:rFonts w:ascii="Arial" w:hAnsi="Arial"/>
                <w:sz w:val="20"/>
              </w:rPr>
            </w:pPr>
            <w:r>
              <w:rPr>
                <w:rFonts w:ascii="Arial" w:hAnsi="Arial"/>
                <w:sz w:val="20"/>
                <w:u w:val="single"/>
              </w:rPr>
              <w:t>Automatic Exercise</w:t>
            </w:r>
            <w:r>
              <w:rPr>
                <w:rFonts w:ascii="Arial" w:hAnsi="Arial"/>
                <w:sz w:val="20"/>
              </w:rPr>
              <w:t>. Immediately before the time at which any SAR is scheduled to expire in accordance with the terms and conditions of the Plan and the applicable Award Agreement, such SAR shall be deemed automatically exercised, if such SAR satisfies each of the following conditions:</w:t>
            </w:r>
          </w:p>
        </w:tc>
      </w:tr>
    </w:tbl>
    <w:tbl>
      <w:tblPr>
        <w:tblW w:w="10205" w:type="dxa"/>
        <w:jc w:val="left"/>
        <w:tblInd w:w="0" w:type="dxa"/>
        <w:tblCellMar>
          <w:top w:w="0" w:type="dxa"/>
          <w:left w:w="0" w:type="dxa"/>
          <w:bottom w:w="0" w:type="dxa"/>
          <w:right w:w="0" w:type="dxa"/>
        </w:tblCellMar>
      </w:tblPr>
      <w:tblGrid>
        <w:gridCol w:w="480"/>
        <w:gridCol w:w="960"/>
        <w:gridCol w:w="480"/>
        <w:gridCol w:w="8285"/>
      </w:tblGrid>
      <w:tr>
        <w:trPr/>
        <w:tc>
          <w:tcPr>
            <w:tcW w:w="480"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(A)</w:t>
            </w:r>
          </w:p>
        </w:tc>
        <w:tc>
          <w:tcPr>
            <w:tcW w:w="8285" w:type="dxa"/>
            <w:tcBorders/>
            <w:shd w:fill="auto" w:val="clear"/>
            <w:vAlign w:val="center"/>
          </w:tcPr>
          <w:p>
            <w:pPr>
              <w:pStyle w:val="TableContents"/>
              <w:spacing w:before="0" w:after="283"/>
              <w:jc w:val="left"/>
              <w:rPr>
                <w:rFonts w:ascii="Arial" w:hAnsi="Arial"/>
                <w:sz w:val="20"/>
              </w:rPr>
            </w:pPr>
            <w:r>
              <w:rPr>
                <w:rFonts w:ascii="Arial" w:hAnsi="Arial"/>
                <w:sz w:val="20"/>
              </w:rPr>
              <w:t>such SAR is covered by a then current registration statement or a Notification under Regulation A under the 1933 Act, and</w:t>
            </w:r>
          </w:p>
        </w:tc>
      </w:tr>
      <w:tr>
        <w:trPr/>
        <w:tc>
          <w:tcPr>
            <w:tcW w:w="480" w:type="dxa"/>
            <w:tcBorders/>
            <w:shd w:fill="auto" w:val="clear"/>
            <w:vAlign w:val="center"/>
          </w:tcPr>
          <w:p>
            <w:pPr>
              <w:pStyle w:val="TableContents"/>
              <w:spacing w:before="0" w:after="283"/>
              <w:jc w:val="left"/>
              <w:rPr/>
            </w:pPr>
            <w:r>
              <w:rPr/>
              <w:t>        </w:t>
            </w:r>
          </w:p>
        </w:tc>
        <w:tc>
          <w:tcPr>
            <w:tcW w:w="960" w:type="dxa"/>
            <w:tcBorders/>
            <w:shd w:fill="auto" w:val="clear"/>
            <w:vAlign w:val="center"/>
          </w:tcPr>
          <w:p>
            <w:pPr>
              <w:pStyle w:val="TableContents"/>
              <w:spacing w:before="0" w:after="283"/>
              <w:jc w:val="left"/>
              <w:rPr/>
            </w:pPr>
            <w:r>
              <w:rPr/>
              <w:t>                </w:t>
            </w:r>
          </w:p>
        </w:tc>
        <w:tc>
          <w:tcPr>
            <w:tcW w:w="480" w:type="dxa"/>
            <w:tcBorders/>
            <w:shd w:fill="auto" w:val="clear"/>
            <w:vAlign w:val="center"/>
          </w:tcPr>
          <w:p>
            <w:pPr>
              <w:pStyle w:val="TableContents"/>
              <w:spacing w:before="0" w:after="283"/>
              <w:jc w:val="left"/>
              <w:rPr/>
            </w:pPr>
            <w:r>
              <w:rPr/>
              <w:t>        </w:t>
            </w:r>
          </w:p>
        </w:tc>
        <w:tc>
          <w:tcPr>
            <w:tcW w:w="8285" w:type="dxa"/>
            <w:tcBorders/>
            <w:shd w:fill="auto" w:val="clear"/>
            <w:vAlign w:val="center"/>
          </w:tcPr>
          <w:p>
            <w:pPr>
              <w:pStyle w:val="TableContents"/>
              <w:spacing w:before="0" w:after="283"/>
              <w:rPr>
                <w:sz w:val="4"/>
                <w:szCs w:val="4"/>
              </w:rPr>
            </w:pPr>
            <w:r>
              <w:rPr>
                <w:sz w:val="4"/>
                <w:szCs w:val="4"/>
              </w:rPr>
            </w:r>
          </w:p>
        </w:tc>
      </w:tr>
      <w:tr>
        <w:trPr/>
        <w:tc>
          <w:tcPr>
            <w:tcW w:w="480"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(B)</w:t>
            </w:r>
          </w:p>
        </w:tc>
        <w:tc>
          <w:tcPr>
            <w:tcW w:w="8285" w:type="dxa"/>
            <w:tcBorders/>
            <w:shd w:fill="auto" w:val="clear"/>
            <w:vAlign w:val="center"/>
          </w:tcPr>
          <w:p>
            <w:pPr>
              <w:pStyle w:val="TableContents"/>
              <w:spacing w:before="0" w:after="283"/>
              <w:jc w:val="left"/>
              <w:rPr>
                <w:rFonts w:ascii="Arial" w:hAnsi="Arial"/>
                <w:sz w:val="20"/>
              </w:rPr>
            </w:pPr>
            <w:r>
              <w:rPr>
                <w:rFonts w:ascii="Arial" w:hAnsi="Arial"/>
                <w:sz w:val="20"/>
              </w:rPr>
              <w:t>the last reported sale price of a Share on the principal exchange on which Shares are listed on the date of determination, or if such date is not a trading day, the last preceding trading day, exceeds the exercise price per Share by such amount as may be determined by the Committee or its delegate from time to time. Absent a contrary determination, such excess per Share shall be $0.01.</w:t>
            </w:r>
          </w:p>
        </w:tc>
      </w:tr>
    </w:tbl>
    <w:tbl>
      <w:tblPr>
        <w:tblW w:w="10205" w:type="dxa"/>
        <w:jc w:val="left"/>
        <w:tblInd w:w="0" w:type="dxa"/>
        <w:tblCellMar>
          <w:top w:w="0" w:type="dxa"/>
          <w:left w:w="0" w:type="dxa"/>
          <w:bottom w:w="0" w:type="dxa"/>
          <w:right w:w="0" w:type="dxa"/>
        </w:tblCellMar>
      </w:tblPr>
      <w:tblGrid>
        <w:gridCol w:w="480"/>
        <w:gridCol w:w="480"/>
        <w:gridCol w:w="608"/>
        <w:gridCol w:w="8637"/>
      </w:tblGrid>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608" w:type="dxa"/>
            <w:tcBorders/>
            <w:shd w:fill="auto" w:val="clear"/>
            <w:vAlign w:val="center"/>
          </w:tcPr>
          <w:p>
            <w:pPr>
              <w:pStyle w:val="TableContents"/>
              <w:spacing w:before="0" w:after="283"/>
              <w:jc w:val="left"/>
              <w:rPr>
                <w:rFonts w:ascii="Arial" w:hAnsi="Arial"/>
                <w:sz w:val="20"/>
              </w:rPr>
            </w:pPr>
            <w:r>
              <w:rPr>
                <w:rFonts w:ascii="Arial" w:hAnsi="Arial"/>
                <w:sz w:val="20"/>
              </w:rPr>
              <w:t>(v)</w:t>
            </w:r>
          </w:p>
        </w:tc>
        <w:tc>
          <w:tcPr>
            <w:tcW w:w="8637" w:type="dxa"/>
            <w:tcBorders/>
            <w:shd w:fill="auto" w:val="clear"/>
            <w:vAlign w:val="center"/>
          </w:tcPr>
          <w:p>
            <w:pPr>
              <w:pStyle w:val="TableContents"/>
              <w:spacing w:before="0" w:after="283"/>
              <w:jc w:val="left"/>
              <w:rPr>
                <w:rFonts w:ascii="Arial" w:hAnsi="Arial"/>
                <w:sz w:val="20"/>
              </w:rPr>
            </w:pPr>
            <w:r>
              <w:rPr>
                <w:rFonts w:ascii="Arial" w:hAnsi="Arial"/>
                <w:sz w:val="20"/>
              </w:rPr>
              <w:t>All SARs that are attached to Non-Qualified Options (“tandem”) shall be subject to the same terms and restrictions as the Non-Qualified Option to which it is attached.</w:t>
            </w:r>
          </w:p>
        </w:tc>
      </w:tr>
      <w:tr>
        <w:trPr/>
        <w:tc>
          <w:tcPr>
            <w:tcW w:w="480" w:type="dxa"/>
            <w:tcBorders/>
            <w:shd w:fill="auto" w:val="clear"/>
            <w:vAlign w:val="center"/>
          </w:tcPr>
          <w:p>
            <w:pPr>
              <w:pStyle w:val="TableContents"/>
              <w:spacing w:before="0" w:after="283"/>
              <w:jc w:val="left"/>
              <w:rPr/>
            </w:pPr>
            <w:r>
              <w:rPr/>
              <w:t>        </w:t>
            </w:r>
          </w:p>
        </w:tc>
        <w:tc>
          <w:tcPr>
            <w:tcW w:w="480" w:type="dxa"/>
            <w:tcBorders/>
            <w:shd w:fill="auto" w:val="clear"/>
            <w:vAlign w:val="center"/>
          </w:tcPr>
          <w:p>
            <w:pPr>
              <w:pStyle w:val="TableContents"/>
              <w:spacing w:before="0" w:after="283"/>
              <w:jc w:val="left"/>
              <w:rPr/>
            </w:pPr>
            <w:r>
              <w:rPr/>
              <w:t>        </w:t>
            </w:r>
          </w:p>
        </w:tc>
        <w:tc>
          <w:tcPr>
            <w:tcW w:w="608" w:type="dxa"/>
            <w:tcBorders/>
            <w:shd w:fill="auto" w:val="clear"/>
            <w:vAlign w:val="center"/>
          </w:tcPr>
          <w:p>
            <w:pPr>
              <w:pStyle w:val="TableContents"/>
              <w:spacing w:before="0" w:after="283"/>
              <w:jc w:val="left"/>
              <w:rPr/>
            </w:pPr>
            <w:r>
              <w:rPr/>
              <w:t>        </w:t>
            </w:r>
          </w:p>
        </w:tc>
        <w:tc>
          <w:tcPr>
            <w:tcW w:w="8637" w:type="dxa"/>
            <w:tcBorders/>
            <w:shd w:fill="auto" w:val="clear"/>
            <w:vAlign w:val="center"/>
          </w:tcPr>
          <w:p>
            <w:pPr>
              <w:pStyle w:val="TableContents"/>
              <w:spacing w:before="0" w:after="283"/>
              <w:jc w:val="left"/>
              <w:rPr/>
            </w:pPr>
            <w:r>
              <w:rPr/>
              <w:t>        </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(h)</w:t>
            </w:r>
          </w:p>
        </w:tc>
        <w:tc>
          <w:tcPr>
            <w:tcW w:w="9245" w:type="dxa"/>
            <w:gridSpan w:val="2"/>
            <w:tcBorders/>
            <w:shd w:fill="auto" w:val="clear"/>
            <w:vAlign w:val="center"/>
          </w:tcPr>
          <w:p>
            <w:pPr>
              <w:pStyle w:val="TableContents"/>
              <w:spacing w:before="0" w:after="283"/>
              <w:jc w:val="left"/>
              <w:rPr>
                <w:rFonts w:ascii="Arial" w:hAnsi="Arial"/>
                <w:sz w:val="20"/>
              </w:rPr>
            </w:pPr>
            <w:r>
              <w:rPr>
                <w:rFonts w:ascii="Arial" w:hAnsi="Arial"/>
                <w:sz w:val="20"/>
                <w:u w:val="single"/>
              </w:rPr>
              <w:t>Dividends and Dividend Equivalents</w:t>
            </w:r>
            <w:r>
              <w:rPr>
                <w:rFonts w:ascii="Arial" w:hAnsi="Arial"/>
                <w:sz w:val="20"/>
              </w:rPr>
              <w:t>. No grant of Options or SARs may be accompanied by a tandem award of dividend equivalents or provide for dividends, dividend equivalents or other distributions to be paid on such Award.</w:t>
            </w:r>
          </w:p>
        </w:tc>
      </w:tr>
      <w:tr>
        <w:trPr/>
        <w:tc>
          <w:tcPr>
            <w:tcW w:w="480" w:type="dxa"/>
            <w:tcBorders/>
            <w:shd w:fill="auto" w:val="clear"/>
            <w:vAlign w:val="center"/>
          </w:tcPr>
          <w:p>
            <w:pPr>
              <w:pStyle w:val="TableContents"/>
              <w:spacing w:before="0" w:after="283"/>
              <w:jc w:val="left"/>
              <w:rPr/>
            </w:pPr>
            <w:r>
              <w:rPr>
                <w:rStyle w:val="StrongEmphasis"/>
                <w:rFonts w:ascii="Arial" w:hAnsi="Arial"/>
                <w:sz w:val="20"/>
              </w:rPr>
              <w:t>10.</w:t>
            </w:r>
          </w:p>
        </w:tc>
        <w:tc>
          <w:tcPr>
            <w:tcW w:w="9725" w:type="dxa"/>
            <w:gridSpan w:val="3"/>
            <w:tcBorders/>
            <w:shd w:fill="auto" w:val="clear"/>
            <w:vAlign w:val="center"/>
          </w:tcPr>
          <w:p>
            <w:pPr>
              <w:pStyle w:val="TableContents"/>
              <w:spacing w:before="0" w:after="283"/>
              <w:jc w:val="left"/>
              <w:rPr/>
            </w:pPr>
            <w:r>
              <w:rPr>
                <w:rStyle w:val="StrongEmphasis"/>
                <w:rFonts w:ascii="Arial" w:hAnsi="Arial"/>
                <w:sz w:val="20"/>
                <w:u w:val="single"/>
              </w:rPr>
              <w:t>OTHER STOCK-BASED AWARDS</w:t>
            </w:r>
            <w:r>
              <w:rPr>
                <w:rStyle w:val="StrongEmphasis"/>
                <w:rFonts w:ascii="Arial" w:hAnsi="Arial"/>
                <w:sz w:val="20"/>
              </w:rPr>
              <w:t>.</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(a)</w:t>
            </w:r>
          </w:p>
        </w:tc>
        <w:tc>
          <w:tcPr>
            <w:tcW w:w="9245" w:type="dxa"/>
            <w:gridSpan w:val="2"/>
            <w:tcBorders/>
            <w:shd w:fill="auto" w:val="clear"/>
            <w:vAlign w:val="center"/>
          </w:tcPr>
          <w:p>
            <w:pPr>
              <w:pStyle w:val="TableContents"/>
              <w:spacing w:before="0" w:after="283"/>
              <w:jc w:val="left"/>
              <w:rPr>
                <w:rFonts w:ascii="Arial" w:hAnsi="Arial"/>
                <w:sz w:val="20"/>
              </w:rPr>
            </w:pPr>
            <w:r>
              <w:rPr>
                <w:rFonts w:ascii="Arial" w:hAnsi="Arial"/>
                <w:sz w:val="20"/>
              </w:rPr>
              <w:t>The Committee is authorized, subject to limitations under applicable law, to grant Other Share-Based Awards. The Committee shall determine the terms and conditions of such Awards. Shares delivered pursuant to an Award in the nature of a purchase right granted under this Section 10 shall be purchased for such consideration, and paid for at</w:t>
            </w:r>
          </w:p>
        </w:tc>
      </w:tr>
    </w:tbl>
    <w:p>
      <w:pPr>
        <w:pStyle w:val="TextBody"/>
        <w:spacing w:before="0" w:after="0"/>
        <w:rPr/>
      </w:pPr>
      <w:r>
        <w:rPr/>
      </w:r>
    </w:p>
    <w:tbl>
      <w:tblPr>
        <w:tblW w:w="2350" w:type="dxa"/>
        <w:jc w:val="left"/>
        <w:tblInd w:w="0" w:type="dxa"/>
        <w:tblCellMar>
          <w:top w:w="0" w:type="dxa"/>
          <w:left w:w="0" w:type="dxa"/>
          <w:bottom w:w="0" w:type="dxa"/>
          <w:right w:w="0" w:type="dxa"/>
        </w:tblCellMar>
      </w:tblPr>
      <w:tblGrid>
        <w:gridCol w:w="1580"/>
        <w:gridCol w:w="770"/>
      </w:tblGrid>
      <w:tr>
        <w:trPr/>
        <w:tc>
          <w:tcPr>
            <w:tcW w:w="1580" w:type="dxa"/>
            <w:tcBorders/>
            <w:shd w:fill="auto" w:val="clear"/>
            <w:vAlign w:val="center"/>
          </w:tcPr>
          <w:p>
            <w:pPr>
              <w:pStyle w:val="TableContents"/>
              <w:spacing w:before="0" w:after="283"/>
              <w:jc w:val="right"/>
              <w:rPr>
                <w:rFonts w:ascii="Arial" w:hAnsi="Arial"/>
                <w:sz w:val="15"/>
              </w:rPr>
            </w:pPr>
            <w:r>
              <w:rPr>
                <w:rFonts w:ascii="Arial" w:hAnsi="Arial"/>
                <w:sz w:val="15"/>
              </w:rPr>
              <w:t>2023 Proxy Statement</w:t>
            </w:r>
          </w:p>
        </w:tc>
        <w:tc>
          <w:tcPr>
            <w:tcW w:w="770" w:type="dxa"/>
            <w:tcBorders/>
            <w:shd w:fill="auto" w:val="clear"/>
            <w:vAlign w:val="center"/>
          </w:tcPr>
          <w:p>
            <w:pPr>
              <w:pStyle w:val="TableContents"/>
              <w:spacing w:before="0" w:after="283"/>
              <w:jc w:val="right"/>
              <w:rPr/>
            </w:pPr>
            <w:r>
              <w:rPr/>
              <w:t>       </w:t>
            </w:r>
            <w:r>
              <w:rPr>
                <w:rFonts w:ascii="Arial" w:hAnsi="Arial"/>
                <w:b/>
                <w:sz w:val="15"/>
              </w:rPr>
              <w:t>C-10</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10205" w:type="dxa"/>
        <w:jc w:val="left"/>
        <w:tblInd w:w="0" w:type="dxa"/>
        <w:tblCellMar>
          <w:top w:w="0" w:type="dxa"/>
          <w:left w:w="0" w:type="dxa"/>
          <w:bottom w:w="0" w:type="dxa"/>
          <w:right w:w="0" w:type="dxa"/>
        </w:tblCellMar>
      </w:tblPr>
      <w:tblGrid>
        <w:gridCol w:w="480"/>
        <w:gridCol w:w="480"/>
        <w:gridCol w:w="499"/>
        <w:gridCol w:w="8746"/>
      </w:tblGrid>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9245" w:type="dxa"/>
            <w:gridSpan w:val="2"/>
            <w:tcBorders/>
            <w:shd w:fill="auto" w:val="clear"/>
            <w:vAlign w:val="center"/>
          </w:tcPr>
          <w:p>
            <w:pPr>
              <w:pStyle w:val="TableContents"/>
              <w:spacing w:before="0" w:after="283"/>
              <w:jc w:val="left"/>
              <w:rPr>
                <w:rFonts w:ascii="Arial" w:hAnsi="Arial"/>
                <w:sz w:val="20"/>
              </w:rPr>
            </w:pPr>
            <w:r>
              <w:rPr>
                <w:rFonts w:ascii="Arial" w:hAnsi="Arial"/>
                <w:sz w:val="20"/>
              </w:rPr>
              <w:t>such times, by such methods and in such forms, including cash, Shares, other Awards, other property, net settlement, broker-assisted cashless exercise or any combination thereof, as the Committee shall determine; provided that the purchase price therefor shall not be less than the Fair Market Value of such Shares on the date of grant of such right.</w:t>
            </w:r>
          </w:p>
        </w:tc>
      </w:tr>
      <w:tr>
        <w:trPr/>
        <w:tc>
          <w:tcPr>
            <w:tcW w:w="480" w:type="dxa"/>
            <w:tcBorders/>
            <w:shd w:fill="auto" w:val="clear"/>
            <w:vAlign w:val="center"/>
          </w:tcPr>
          <w:p>
            <w:pPr>
              <w:pStyle w:val="TableContents"/>
              <w:spacing w:before="0" w:after="283"/>
              <w:jc w:val="left"/>
              <w:rPr/>
            </w:pPr>
            <w:r>
              <w:rPr/>
              <w:t>        </w:t>
            </w:r>
          </w:p>
        </w:tc>
        <w:tc>
          <w:tcPr>
            <w:tcW w:w="480" w:type="dxa"/>
            <w:tcBorders/>
            <w:shd w:fill="auto" w:val="clear"/>
            <w:vAlign w:val="center"/>
          </w:tcPr>
          <w:p>
            <w:pPr>
              <w:pStyle w:val="TableContents"/>
              <w:spacing w:before="0" w:after="283"/>
              <w:jc w:val="left"/>
              <w:rPr/>
            </w:pPr>
            <w:r>
              <w:rPr/>
              <w:t>        </w:t>
            </w:r>
          </w:p>
        </w:tc>
        <w:tc>
          <w:tcPr>
            <w:tcW w:w="499" w:type="dxa"/>
            <w:tcBorders/>
            <w:shd w:fill="auto" w:val="clear"/>
            <w:vAlign w:val="center"/>
          </w:tcPr>
          <w:p>
            <w:pPr>
              <w:pStyle w:val="TableContents"/>
              <w:spacing w:before="0" w:after="283"/>
              <w:jc w:val="left"/>
              <w:rPr/>
            </w:pPr>
            <w:r>
              <w:rPr/>
              <w:t>        </w:t>
            </w:r>
          </w:p>
        </w:tc>
        <w:tc>
          <w:tcPr>
            <w:tcW w:w="8746" w:type="dxa"/>
            <w:tcBorders/>
            <w:shd w:fill="auto" w:val="clear"/>
            <w:vAlign w:val="center"/>
          </w:tcPr>
          <w:p>
            <w:pPr>
              <w:pStyle w:val="TableContents"/>
              <w:spacing w:before="0" w:after="283"/>
              <w:rPr>
                <w:sz w:val="4"/>
                <w:szCs w:val="4"/>
              </w:rPr>
            </w:pPr>
            <w:r>
              <w:rPr>
                <w:sz w:val="4"/>
                <w:szCs w:val="4"/>
              </w:rPr>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(b)</w:t>
            </w:r>
          </w:p>
        </w:tc>
        <w:tc>
          <w:tcPr>
            <w:tcW w:w="9245" w:type="dxa"/>
            <w:gridSpan w:val="2"/>
            <w:tcBorders/>
            <w:shd w:fill="auto" w:val="clear"/>
            <w:vAlign w:val="center"/>
          </w:tcPr>
          <w:p>
            <w:pPr>
              <w:pStyle w:val="TableContents"/>
              <w:spacing w:before="0" w:after="283"/>
              <w:jc w:val="left"/>
              <w:rPr>
                <w:rFonts w:ascii="Arial" w:hAnsi="Arial"/>
                <w:sz w:val="20"/>
              </w:rPr>
            </w:pPr>
            <w:r>
              <w:rPr>
                <w:rFonts w:ascii="Arial" w:hAnsi="Arial"/>
                <w:sz w:val="20"/>
              </w:rPr>
              <w:t>The grant of Other Share-Based Awards may be accompanied by a tandem award of dividend equivalents or provide for dividends, dividend equivalents or other distributions to be paid on such Award; provided that such dividends, dividend equivalents or other distributions shall be subject to any performance or other vesting conditions that apply to the underlying Award, and Participants shall not be paid dividends or dividend equivalents or any other distributions with respect to any Other Share-Based Awards that have not vested.</w:t>
            </w:r>
          </w:p>
        </w:tc>
      </w:tr>
      <w:tr>
        <w:trPr/>
        <w:tc>
          <w:tcPr>
            <w:tcW w:w="480" w:type="dxa"/>
            <w:tcBorders/>
            <w:shd w:fill="auto" w:val="clear"/>
            <w:vAlign w:val="center"/>
          </w:tcPr>
          <w:p>
            <w:pPr>
              <w:pStyle w:val="TableContents"/>
              <w:spacing w:before="0" w:after="283"/>
              <w:jc w:val="left"/>
              <w:rPr/>
            </w:pPr>
            <w:r>
              <w:rPr>
                <w:rStyle w:val="StrongEmphasis"/>
                <w:rFonts w:ascii="Arial" w:hAnsi="Arial"/>
                <w:sz w:val="20"/>
              </w:rPr>
              <w:t>11.</w:t>
            </w:r>
          </w:p>
        </w:tc>
        <w:tc>
          <w:tcPr>
            <w:tcW w:w="9725" w:type="dxa"/>
            <w:gridSpan w:val="3"/>
            <w:tcBorders/>
            <w:shd w:fill="auto" w:val="clear"/>
            <w:vAlign w:val="center"/>
          </w:tcPr>
          <w:p>
            <w:pPr>
              <w:pStyle w:val="TableContents"/>
              <w:spacing w:before="0" w:after="283"/>
              <w:jc w:val="left"/>
              <w:rPr/>
            </w:pPr>
            <w:r>
              <w:rPr>
                <w:rStyle w:val="StrongEmphasis"/>
                <w:rFonts w:ascii="Arial" w:hAnsi="Arial"/>
                <w:sz w:val="20"/>
                <w:u w:val="single"/>
              </w:rPr>
              <w:t>TAXES</w:t>
            </w:r>
            <w:r>
              <w:rPr>
                <w:rStyle w:val="StrongEmphasis"/>
                <w:rFonts w:ascii="Arial" w:hAnsi="Arial"/>
                <w:sz w:val="20"/>
              </w:rPr>
              <w:t>.</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(a)</w:t>
            </w:r>
          </w:p>
        </w:tc>
        <w:tc>
          <w:tcPr>
            <w:tcW w:w="9245" w:type="dxa"/>
            <w:gridSpan w:val="2"/>
            <w:tcBorders/>
            <w:shd w:fill="auto" w:val="clear"/>
            <w:vAlign w:val="center"/>
          </w:tcPr>
          <w:p>
            <w:pPr>
              <w:pStyle w:val="TableContents"/>
              <w:spacing w:before="0" w:after="283"/>
              <w:jc w:val="left"/>
              <w:rPr>
                <w:rFonts w:ascii="Arial" w:hAnsi="Arial"/>
                <w:sz w:val="20"/>
              </w:rPr>
            </w:pPr>
            <w:r>
              <w:rPr>
                <w:rFonts w:ascii="Arial" w:hAnsi="Arial"/>
                <w:sz w:val="20"/>
              </w:rPr>
              <w:t>The Company shall be entitled, if necessary or desirable, to withhold the amount of any tax, charge or assessment attributable to the grant of any Award, the occurrence of a Vesting Date with respect to any Award or the exercise of any Option. The Company shall not be required to deliver Shares pursuant to any Award until it has been indemnified to its satisfaction for any such tax, charge or assessment.</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(b)</w:t>
            </w:r>
          </w:p>
        </w:tc>
        <w:tc>
          <w:tcPr>
            <w:tcW w:w="9245" w:type="dxa"/>
            <w:gridSpan w:val="2"/>
            <w:tcBorders/>
            <w:shd w:fill="auto" w:val="clear"/>
            <w:vAlign w:val="center"/>
          </w:tcPr>
          <w:p>
            <w:pPr>
              <w:pStyle w:val="TableContents"/>
              <w:spacing w:before="0" w:after="283"/>
              <w:jc w:val="left"/>
              <w:rPr>
                <w:rFonts w:ascii="Arial" w:hAnsi="Arial"/>
                <w:sz w:val="20"/>
              </w:rPr>
            </w:pPr>
            <w:r>
              <w:rPr>
                <w:rFonts w:ascii="Arial" w:hAnsi="Arial"/>
                <w:sz w:val="20"/>
              </w:rPr>
              <w:t>In connection with the grant of any Award, the occurrence of a Vesting Date with respect to any Award, the exercise of any Option, or if, under the terms of an Award, a Participant’s rights with respect to Restricted Stock Units become free of a substantial risk of forfeiture as the result of the Participant’s satisfaction of the age and service conditions for retirement eligibility, and, as a result thereof, employment tax liabilities arise, the Company shall have the right to (i) require the Participant to remit to the Company an amount sufficient to satisfy any federal, state and/ or local withholding tax requirements prior to the delivery or transfer of any Shares, or (ii) take any action that it deems necessary, in its discretion, to protect its interests with respect to tax liabilities or withholding obligations. The Company’s obligation to make any delivery or transfer of Shares shall be conditioned on the Participant’s compliance, to the Company’s satisfaction, with any withholding requirement. In addition, if the Committee grants Awards or amends any Award Agreement to permit any Award to be transferred during the life of the Participant, the Committee may include in such applicable Award Agreement such provisions as it determines are necessary or appropriate to permit the Company to deduct compensation expenses recognized upon the vesting, settlement or exercise of such Award for federal, state or local income tax purposes.</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(c)</w:t>
            </w:r>
          </w:p>
        </w:tc>
        <w:tc>
          <w:tcPr>
            <w:tcW w:w="9245" w:type="dxa"/>
            <w:gridSpan w:val="2"/>
            <w:tcBorders/>
            <w:shd w:fill="auto" w:val="clear"/>
            <w:vAlign w:val="center"/>
          </w:tcPr>
          <w:p>
            <w:pPr>
              <w:pStyle w:val="TableContents"/>
              <w:spacing w:before="0" w:after="283"/>
              <w:jc w:val="left"/>
              <w:rPr>
                <w:rFonts w:ascii="Arial" w:hAnsi="Arial"/>
                <w:sz w:val="20"/>
              </w:rPr>
            </w:pPr>
            <w:r>
              <w:rPr>
                <w:rFonts w:ascii="Arial" w:hAnsi="Arial"/>
                <w:sz w:val="20"/>
              </w:rPr>
              <w:t>Except as otherwise provided in this Section 11(c), any tax withholding obligations or liabilities incurred in connection with the grant of any Award, the occurrence of a Vesting Date applicable to an Award, the settlement of any Award or the exercise of any Option shall be satisfied by the Company’s withholding of a portion of the Shares subject to such Award having a Fair Market Value approximately equal to the minimum amount of taxes required to be withheld by the Company under applicable law, unless otherwise determined by the Committee with respect to any Participant or any Award. Notwithstanding the foregoing, the Committee may, in its discretion, permit a Participant to elect one or more of the following:</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jc w:val="left"/>
              <w:rPr>
                <w:rFonts w:ascii="Arial" w:hAnsi="Arial"/>
                <w:sz w:val="20"/>
              </w:rPr>
            </w:pPr>
            <w:r>
              <w:rPr>
                <w:rFonts w:ascii="Arial" w:hAnsi="Arial"/>
                <w:sz w:val="20"/>
              </w:rPr>
              <w:t>(i)</w:t>
            </w:r>
          </w:p>
        </w:tc>
        <w:tc>
          <w:tcPr>
            <w:tcW w:w="8746" w:type="dxa"/>
            <w:tcBorders/>
            <w:shd w:fill="auto" w:val="clear"/>
            <w:vAlign w:val="center"/>
          </w:tcPr>
          <w:p>
            <w:pPr>
              <w:pStyle w:val="TableContents"/>
              <w:spacing w:before="0" w:after="283"/>
              <w:jc w:val="left"/>
              <w:rPr>
                <w:rFonts w:ascii="Arial" w:hAnsi="Arial"/>
                <w:sz w:val="20"/>
              </w:rPr>
            </w:pPr>
            <w:r>
              <w:rPr>
                <w:rFonts w:ascii="Arial" w:hAnsi="Arial"/>
                <w:sz w:val="20"/>
              </w:rPr>
              <w:t xml:space="preserve">To the extent permitted by applicable law, to have taxes withheld in excess of the minimum amount required to be withheld by the Company under applicable law; </w:t>
            </w:r>
            <w:r>
              <w:rPr>
                <w:rFonts w:ascii="Arial" w:hAnsi="Arial"/>
                <w:sz w:val="20"/>
                <w:u w:val="single"/>
              </w:rPr>
              <w:t>provided</w:t>
            </w:r>
            <w:r>
              <w:rPr>
                <w:rFonts w:ascii="Arial" w:hAnsi="Arial"/>
                <w:sz w:val="20"/>
              </w:rPr>
              <w:t xml:space="preserve"> that the Participant certifies in writing to the Company at the time of such election that the Participant owns Other Available Shares having a Fair Market Value that is at least equal to the Fair Market Value of the Shares to be withheld by the Company in payment of withholding taxes in excess of such minimum amount;</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jc w:val="left"/>
              <w:rPr>
                <w:rFonts w:ascii="Arial" w:hAnsi="Arial"/>
                <w:sz w:val="20"/>
              </w:rPr>
            </w:pPr>
            <w:r>
              <w:rPr>
                <w:rFonts w:ascii="Arial" w:hAnsi="Arial"/>
                <w:sz w:val="20"/>
              </w:rPr>
              <w:t>(ii)</w:t>
            </w:r>
          </w:p>
        </w:tc>
        <w:tc>
          <w:tcPr>
            <w:tcW w:w="8746" w:type="dxa"/>
            <w:tcBorders/>
            <w:shd w:fill="auto" w:val="clear"/>
            <w:vAlign w:val="center"/>
          </w:tcPr>
          <w:p>
            <w:pPr>
              <w:pStyle w:val="TableContents"/>
              <w:spacing w:before="0" w:after="283"/>
              <w:jc w:val="left"/>
              <w:rPr>
                <w:rFonts w:ascii="Arial" w:hAnsi="Arial"/>
                <w:sz w:val="20"/>
              </w:rPr>
            </w:pPr>
            <w:r>
              <w:rPr>
                <w:rFonts w:ascii="Arial" w:hAnsi="Arial"/>
                <w:sz w:val="20"/>
              </w:rPr>
              <w:t xml:space="preserve">To have Shares otherwise deliverable to the Participant after the application of the other provisions of this Section 11(c)(ii) redeemed by the Company for the Fair Market Value of such Shares on the date vesting, settlement, exercise or other time of delivery of Shares, as applicable, and have the cash proceeds of such redemption remitted by the Company to the Participant to facilitate one or more estimated tax payments to the Internal Revenue Service or other taxing authority for the taxable year in which such vesting, settlement, exercise or other delivery of Shares, as applicable, occurs; </w:t>
            </w:r>
            <w:r>
              <w:rPr>
                <w:rFonts w:ascii="Arial" w:hAnsi="Arial"/>
                <w:sz w:val="20"/>
                <w:u w:val="single"/>
              </w:rPr>
              <w:t>provided</w:t>
            </w:r>
            <w:r>
              <w:rPr>
                <w:rFonts w:ascii="Arial" w:hAnsi="Arial"/>
                <w:sz w:val="20"/>
              </w:rPr>
              <w:t xml:space="preserve"> that the Participant certifies in writing to the Company at the time of such election that the Participant owns Other Available Shares having a Fair Market Value that is at least equal to the Fair Market Value of such Shares to be redeemed by the Company; and</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jc w:val="left"/>
              <w:rPr>
                <w:rFonts w:ascii="Arial" w:hAnsi="Arial"/>
                <w:sz w:val="20"/>
              </w:rPr>
            </w:pPr>
            <w:r>
              <w:rPr>
                <w:rFonts w:ascii="Arial" w:hAnsi="Arial"/>
                <w:sz w:val="20"/>
              </w:rPr>
              <w:t>(iii)</w:t>
            </w:r>
          </w:p>
        </w:tc>
        <w:tc>
          <w:tcPr>
            <w:tcW w:w="8746" w:type="dxa"/>
            <w:tcBorders/>
            <w:shd w:fill="auto" w:val="clear"/>
            <w:vAlign w:val="center"/>
          </w:tcPr>
          <w:p>
            <w:pPr>
              <w:pStyle w:val="TableContents"/>
              <w:spacing w:before="0" w:after="283"/>
              <w:jc w:val="left"/>
              <w:rPr>
                <w:rFonts w:ascii="Arial" w:hAnsi="Arial"/>
                <w:sz w:val="20"/>
              </w:rPr>
            </w:pPr>
            <w:r>
              <w:rPr>
                <w:rFonts w:ascii="Arial" w:hAnsi="Arial"/>
                <w:sz w:val="20"/>
              </w:rPr>
              <w:t>To pay to the Company in cash all or a portion of the taxes to be withheld in connection with such grant, Vesting Date, settlement or exercise, as applicable.</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8746" w:type="dxa"/>
            <w:tcBorders/>
            <w:shd w:fill="auto" w:val="clear"/>
            <w:vAlign w:val="center"/>
          </w:tcPr>
          <w:p>
            <w:pPr>
              <w:pStyle w:val="TableContents"/>
              <w:spacing w:before="0" w:after="283"/>
              <w:jc w:val="left"/>
              <w:rPr>
                <w:rFonts w:ascii="Arial" w:hAnsi="Arial"/>
                <w:sz w:val="20"/>
              </w:rPr>
            </w:pPr>
            <w:r>
              <w:rPr>
                <w:rFonts w:ascii="Arial" w:hAnsi="Arial"/>
                <w:sz w:val="20"/>
              </w:rPr>
              <w:t xml:space="preserve">In all cases, the Shares so withheld or redeemed by the Company, as applicable, shall have a Fair Market Value that does not exceed the amount of taxes to be withheld or remitted via estimated tax payments minus the cash payment, if any, made by the Participant. To the extent permitted by the Committee in its discretion, any election pursuant to Sections 11(c)(i)-(iii) must be in writing made prior to the date specified by the Committee, and in any </w:t>
            </w:r>
          </w:p>
        </w:tc>
      </w:tr>
    </w:tbl>
    <w:p>
      <w:pPr>
        <w:pStyle w:val="TextBody"/>
        <w:spacing w:before="0" w:after="0"/>
        <w:rPr/>
      </w:pPr>
      <w:r>
        <w:rPr/>
      </w:r>
    </w:p>
    <w:tbl>
      <w:tblPr>
        <w:tblW w:w="373" w:type="dxa"/>
        <w:jc w:val="left"/>
        <w:tblInd w:w="0" w:type="dxa"/>
        <w:tblCellMar>
          <w:top w:w="0" w:type="dxa"/>
          <w:left w:w="0" w:type="dxa"/>
          <w:bottom w:w="0" w:type="dxa"/>
          <w:right w:w="0" w:type="dxa"/>
        </w:tblCellMar>
      </w:tblPr>
      <w:tblGrid>
        <w:gridCol w:w="350"/>
        <w:gridCol w:w="23"/>
      </w:tblGrid>
      <w:tr>
        <w:trPr/>
        <w:tc>
          <w:tcPr>
            <w:tcW w:w="350" w:type="dxa"/>
            <w:tcBorders/>
            <w:shd w:fill="auto" w:val="clear"/>
            <w:vAlign w:val="center"/>
          </w:tcPr>
          <w:p>
            <w:pPr>
              <w:pStyle w:val="TableContents"/>
              <w:spacing w:before="0" w:after="283"/>
              <w:jc w:val="left"/>
              <w:rPr>
                <w:rFonts w:ascii="Arial" w:hAnsi="Arial"/>
                <w:b/>
                <w:sz w:val="15"/>
              </w:rPr>
            </w:pPr>
            <w:r>
              <w:rPr>
                <w:rFonts w:ascii="Arial" w:hAnsi="Arial"/>
                <w:b/>
                <w:sz w:val="15"/>
              </w:rPr>
              <w:t>C-11</w:t>
            </w:r>
          </w:p>
        </w:tc>
        <w:tc>
          <w:tcPr>
            <w:tcW w:w="2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10205" w:type="dxa"/>
        <w:jc w:val="left"/>
        <w:tblInd w:w="0" w:type="dxa"/>
        <w:tblCellMar>
          <w:top w:w="0" w:type="dxa"/>
          <w:left w:w="0" w:type="dxa"/>
          <w:bottom w:w="0" w:type="dxa"/>
          <w:right w:w="0" w:type="dxa"/>
        </w:tblCellMar>
      </w:tblPr>
      <w:tblGrid>
        <w:gridCol w:w="480"/>
        <w:gridCol w:w="480"/>
        <w:gridCol w:w="536"/>
        <w:gridCol w:w="8709"/>
      </w:tblGrid>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8709" w:type="dxa"/>
            <w:tcBorders/>
            <w:shd w:fill="auto" w:val="clear"/>
            <w:vAlign w:val="center"/>
          </w:tcPr>
          <w:p>
            <w:pPr>
              <w:pStyle w:val="TableContents"/>
              <w:spacing w:before="0" w:after="283"/>
              <w:jc w:val="left"/>
              <w:rPr>
                <w:rFonts w:ascii="Arial" w:hAnsi="Arial"/>
                <w:sz w:val="20"/>
              </w:rPr>
            </w:pPr>
            <w:r>
              <w:rPr>
                <w:rFonts w:ascii="Arial" w:hAnsi="Arial"/>
                <w:sz w:val="20"/>
              </w:rPr>
              <w:t>event prior to the date the amount of tax to be withheld or paid is determined. An election pursuant to Sections 11(c)(i)-(iii) may be made only by a Participant or, in the event of the Participant’s death, by the Participant’s legal representative. Shares withheld or redeemed, as applicable, pursuant to Sections 11(c)(i)-(iii) shall not be available for subsequent grants under the Plan. The Committee may add such other requirements and limitations regarding elections pursuant to Sections 11(c)(i)-(iii) as it deems appropriate.</w:t>
            </w:r>
          </w:p>
        </w:tc>
      </w:tr>
      <w:tr>
        <w:trPr/>
        <w:tc>
          <w:tcPr>
            <w:tcW w:w="480" w:type="dxa"/>
            <w:tcBorders/>
            <w:shd w:fill="auto" w:val="clear"/>
            <w:vAlign w:val="center"/>
          </w:tcPr>
          <w:p>
            <w:pPr>
              <w:pStyle w:val="TableContents"/>
              <w:spacing w:before="0" w:after="283"/>
              <w:jc w:val="left"/>
              <w:rPr/>
            </w:pPr>
            <w:r>
              <w:rPr/>
              <w:t>        </w:t>
            </w:r>
          </w:p>
        </w:tc>
        <w:tc>
          <w:tcPr>
            <w:tcW w:w="480" w:type="dxa"/>
            <w:tcBorders/>
            <w:shd w:fill="auto" w:val="clear"/>
            <w:vAlign w:val="center"/>
          </w:tcPr>
          <w:p>
            <w:pPr>
              <w:pStyle w:val="TableContents"/>
              <w:spacing w:before="0" w:after="283"/>
              <w:jc w:val="left"/>
              <w:rPr/>
            </w:pPr>
            <w:r>
              <w:rPr/>
              <w:t>        </w:t>
            </w:r>
          </w:p>
        </w:tc>
        <w:tc>
          <w:tcPr>
            <w:tcW w:w="536" w:type="dxa"/>
            <w:tcBorders/>
            <w:shd w:fill="auto" w:val="clear"/>
            <w:vAlign w:val="center"/>
          </w:tcPr>
          <w:p>
            <w:pPr>
              <w:pStyle w:val="TableContents"/>
              <w:spacing w:before="0" w:after="283"/>
              <w:jc w:val="left"/>
              <w:rPr/>
            </w:pPr>
            <w:r>
              <w:rPr/>
              <w:t>        </w:t>
            </w:r>
          </w:p>
        </w:tc>
        <w:tc>
          <w:tcPr>
            <w:tcW w:w="8709" w:type="dxa"/>
            <w:tcBorders/>
            <w:shd w:fill="auto" w:val="clear"/>
            <w:vAlign w:val="center"/>
          </w:tcPr>
          <w:p>
            <w:pPr>
              <w:pStyle w:val="TableContents"/>
              <w:spacing w:before="0" w:after="283"/>
              <w:rPr>
                <w:sz w:val="4"/>
                <w:szCs w:val="4"/>
              </w:rPr>
            </w:pPr>
            <w:r>
              <w:rPr>
                <w:sz w:val="4"/>
                <w:szCs w:val="4"/>
              </w:rPr>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(d)</w:t>
            </w:r>
          </w:p>
        </w:tc>
        <w:tc>
          <w:tcPr>
            <w:tcW w:w="9245" w:type="dxa"/>
            <w:gridSpan w:val="2"/>
            <w:tcBorders/>
            <w:shd w:fill="auto" w:val="clear"/>
            <w:vAlign w:val="center"/>
          </w:tcPr>
          <w:p>
            <w:pPr>
              <w:pStyle w:val="TableContents"/>
              <w:spacing w:before="0" w:after="283"/>
              <w:jc w:val="left"/>
              <w:rPr>
                <w:rFonts w:ascii="Arial" w:hAnsi="Arial"/>
                <w:sz w:val="20"/>
              </w:rPr>
            </w:pPr>
            <w:r>
              <w:rPr>
                <w:rFonts w:ascii="Arial" w:hAnsi="Arial"/>
                <w:sz w:val="20"/>
              </w:rPr>
              <w:t>Except as otherwise provided in this Section 11(d), any tax liabilities incurred in connection with the exercise of an Incentive Stock Option under the Plan (other than an Incentive Stock Option that is subject to the automatic exercise provisions described in Section 9(e)(ii)), shall be satisfied by the Participant’s payment to the Company in cash all of the taxes to be withheld upon exercise of the Incentive Stock Option. Notwithstanding the foregoing, the Committee may permit a Participant to elect to have the Company withhold a portion of the Shares underlying the Incentive Stock Option exercised having a Fair Market Value approximately equal to the minimum amount of taxes required to be withheld by the Company under applicable law. Any tax liabilities incurred in connection with the automatic exercise of an Incentive Stock Option that is subject to the automatic exercise provisions described in Section 9(e)(ii) shall be satisfied by the Company’s withholding of a portion of the Shares underlying the Incentive Stock Option exercised having a Fair Market Value approximately equal to the minimum amount of taxes required to be withheld by the Company under applicable law. Any election pursuant to this Section 11(d) must be in writing made prior to the date specified by the Committee, and in any event prior to the date the amount of tax to be withheld or paid is determined. An election pursuant to this Section 11(d) may be made only by a Participant or, in the event of the death, by the Participant’s legal representative. Shares withheld pursuant to this Section 11(d) shall not continue to be available for subsequent grants under the Plan. The Committee may add such other requirements and limitations regarding elections pursuant to this Section 11(d) as it deems appropriate.</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(e)</w:t>
            </w:r>
          </w:p>
        </w:tc>
        <w:tc>
          <w:tcPr>
            <w:tcW w:w="9245" w:type="dxa"/>
            <w:gridSpan w:val="2"/>
            <w:tcBorders/>
            <w:shd w:fill="auto" w:val="clear"/>
            <w:vAlign w:val="center"/>
          </w:tcPr>
          <w:p>
            <w:pPr>
              <w:pStyle w:val="TableContents"/>
              <w:spacing w:before="0" w:after="283"/>
              <w:jc w:val="left"/>
              <w:rPr>
                <w:rFonts w:ascii="Arial" w:hAnsi="Arial"/>
                <w:sz w:val="20"/>
              </w:rPr>
            </w:pPr>
            <w:r>
              <w:rPr>
                <w:rFonts w:ascii="Arial" w:hAnsi="Arial"/>
                <w:sz w:val="20"/>
                <w:u w:val="single"/>
              </w:rPr>
              <w:t>Interpretation</w:t>
            </w:r>
            <w:r>
              <w:rPr>
                <w:rFonts w:ascii="Arial" w:hAnsi="Arial"/>
                <w:sz w:val="20"/>
              </w:rPr>
              <w:t>. It is intended that the Incentive Stock Options granted under the Plan shall constitute incentive stock options within the meaning of Section 422 of the Code, and that Shares transferred pursuant to the exercise of Non-Qualified Options shall constitute property subject to federal income tax pursuant to the provisions of Section 83 of the Code. The provisions of the Plan shall be interpreted and applied insofar as possible to carry out such intent.</w:t>
            </w:r>
          </w:p>
        </w:tc>
      </w:tr>
      <w:tr>
        <w:trPr/>
        <w:tc>
          <w:tcPr>
            <w:tcW w:w="480" w:type="dxa"/>
            <w:tcBorders/>
            <w:shd w:fill="auto" w:val="clear"/>
            <w:vAlign w:val="center"/>
          </w:tcPr>
          <w:p>
            <w:pPr>
              <w:pStyle w:val="TableContents"/>
              <w:spacing w:before="0" w:after="283"/>
              <w:jc w:val="left"/>
              <w:rPr/>
            </w:pPr>
            <w:r>
              <w:rPr>
                <w:rStyle w:val="StrongEmphasis"/>
                <w:rFonts w:ascii="Arial" w:hAnsi="Arial"/>
                <w:sz w:val="20"/>
              </w:rPr>
              <w:t>12.</w:t>
            </w:r>
          </w:p>
        </w:tc>
        <w:tc>
          <w:tcPr>
            <w:tcW w:w="9725" w:type="dxa"/>
            <w:gridSpan w:val="3"/>
            <w:tcBorders/>
            <w:shd w:fill="auto" w:val="clear"/>
            <w:vAlign w:val="center"/>
          </w:tcPr>
          <w:p>
            <w:pPr>
              <w:pStyle w:val="TableContents"/>
              <w:spacing w:before="0" w:after="283"/>
              <w:jc w:val="left"/>
              <w:rPr/>
            </w:pPr>
            <w:r>
              <w:rPr>
                <w:rStyle w:val="StrongEmphasis"/>
                <w:rFonts w:ascii="Arial" w:hAnsi="Arial"/>
                <w:sz w:val="20"/>
                <w:u w:val="single"/>
              </w:rPr>
              <w:t>CHANGES IN CAPITALIZATION</w:t>
            </w:r>
            <w:r>
              <w:rPr>
                <w:rStyle w:val="StrongEmphasis"/>
                <w:rFonts w:ascii="Arial" w:hAnsi="Arial"/>
                <w:sz w:val="20"/>
              </w:rPr>
              <w:t>.</w:t>
            </w:r>
            <w:r>
              <w:rPr>
                <w:rFonts w:ascii="Arial" w:hAnsi="Arial"/>
                <w:sz w:val="20"/>
              </w:rPr>
              <w:t xml:space="preserve"> In the event that the Committee determines that, as a result of any dividend or other distribution (other than an ordinary dividend or distribution), recapitalization, stock split, reverse stock split, reorganization, merger, amalgamation, consolidation, separation, rights offering, split-up, spin-off, combination, repurchase or exchange of Shares or other securities of the Company, issuance of warrants or other rights to acquire Shares or other securities of the Company, issuance of Shares pursuant to the anti-dilution provisions of securities of the Company, or other similar corporate transaction or event affecting the Shares, or of changes in applicable laws, regulations or accounting principles, an adjustment is necessary in order to prevent dilution or enlargement of the benefits or potential benefits intended to be made available under the Plan, then the Committee shall, subject to the requirements of Section 409A of the Code and applicable law, appropriately and equitably adjust so as to ensure no undue enrichment or harm (including by payment of cash), any or all of:</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(a)</w:t>
            </w:r>
          </w:p>
        </w:tc>
        <w:tc>
          <w:tcPr>
            <w:tcW w:w="9245" w:type="dxa"/>
            <w:gridSpan w:val="2"/>
            <w:tcBorders/>
            <w:shd w:fill="auto" w:val="clear"/>
            <w:vAlign w:val="center"/>
          </w:tcPr>
          <w:p>
            <w:pPr>
              <w:pStyle w:val="TableContents"/>
              <w:spacing w:before="0" w:after="283"/>
              <w:jc w:val="left"/>
              <w:rPr>
                <w:rFonts w:ascii="Arial" w:hAnsi="Arial"/>
                <w:sz w:val="20"/>
              </w:rPr>
            </w:pPr>
            <w:r>
              <w:rPr>
                <w:rFonts w:ascii="Arial" w:hAnsi="Arial"/>
                <w:sz w:val="20"/>
              </w:rPr>
              <w:t>the number and type of Shares (or other securities) which thereafter may be made the subject of Awards, including the limits specified in Sections 4(a) and 4(b);</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(b)</w:t>
            </w:r>
          </w:p>
        </w:tc>
        <w:tc>
          <w:tcPr>
            <w:tcW w:w="9245" w:type="dxa"/>
            <w:gridSpan w:val="2"/>
            <w:tcBorders/>
            <w:shd w:fill="auto" w:val="clear"/>
            <w:vAlign w:val="center"/>
          </w:tcPr>
          <w:p>
            <w:pPr>
              <w:pStyle w:val="TableContents"/>
              <w:spacing w:before="0" w:after="283"/>
              <w:jc w:val="left"/>
              <w:rPr>
                <w:rFonts w:ascii="Arial" w:hAnsi="Arial"/>
                <w:sz w:val="20"/>
              </w:rPr>
            </w:pPr>
            <w:r>
              <w:rPr>
                <w:rFonts w:ascii="Arial" w:hAnsi="Arial"/>
                <w:sz w:val="20"/>
              </w:rPr>
              <w:t>the number and type of Shares (or other securities) subject to outstanding Awards;</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(c)</w:t>
            </w:r>
          </w:p>
        </w:tc>
        <w:tc>
          <w:tcPr>
            <w:tcW w:w="9245" w:type="dxa"/>
            <w:gridSpan w:val="2"/>
            <w:tcBorders/>
            <w:shd w:fill="auto" w:val="clear"/>
            <w:vAlign w:val="center"/>
          </w:tcPr>
          <w:p>
            <w:pPr>
              <w:pStyle w:val="TableContents"/>
              <w:spacing w:before="0" w:after="283"/>
              <w:jc w:val="left"/>
              <w:rPr>
                <w:rFonts w:ascii="Arial" w:hAnsi="Arial"/>
                <w:sz w:val="20"/>
              </w:rPr>
            </w:pPr>
            <w:r>
              <w:rPr>
                <w:rFonts w:ascii="Arial" w:hAnsi="Arial"/>
                <w:sz w:val="20"/>
              </w:rPr>
              <w:t>the option price with respect to any Option or, if deemed appropriate, make provision for a cash payment to the holder of an outstanding Award, and the amounts payable pursuant to any SARs; and</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(d)</w:t>
            </w:r>
          </w:p>
        </w:tc>
        <w:tc>
          <w:tcPr>
            <w:tcW w:w="9245" w:type="dxa"/>
            <w:gridSpan w:val="2"/>
            <w:tcBorders/>
            <w:shd w:fill="auto" w:val="clear"/>
            <w:vAlign w:val="center"/>
          </w:tcPr>
          <w:p>
            <w:pPr>
              <w:pStyle w:val="TableContents"/>
              <w:spacing w:before="0" w:after="283"/>
              <w:jc w:val="left"/>
              <w:rPr>
                <w:rFonts w:ascii="Arial" w:hAnsi="Arial"/>
                <w:sz w:val="20"/>
              </w:rPr>
            </w:pPr>
            <w:r>
              <w:rPr>
                <w:rFonts w:ascii="Arial" w:hAnsi="Arial"/>
                <w:sz w:val="20"/>
              </w:rPr>
              <w:t>the terms and conditions of any outstanding Awards, including any applicable performance conditions applicable to any Awards.</w:t>
            </w:r>
          </w:p>
        </w:tc>
      </w:tr>
      <w:tr>
        <w:trPr/>
        <w:tc>
          <w:tcPr>
            <w:tcW w:w="480" w:type="dxa"/>
            <w:tcBorders/>
            <w:shd w:fill="auto" w:val="clear"/>
            <w:vAlign w:val="center"/>
          </w:tcPr>
          <w:p>
            <w:pPr>
              <w:pStyle w:val="TableContents"/>
              <w:spacing w:before="0" w:after="283"/>
              <w:rPr>
                <w:sz w:val="4"/>
                <w:szCs w:val="4"/>
              </w:rPr>
            </w:pPr>
            <w:r>
              <w:rPr>
                <w:sz w:val="4"/>
                <w:szCs w:val="4"/>
              </w:rPr>
            </w:r>
          </w:p>
        </w:tc>
        <w:tc>
          <w:tcPr>
            <w:tcW w:w="9725" w:type="dxa"/>
            <w:gridSpan w:val="3"/>
            <w:tcBorders/>
            <w:shd w:fill="auto" w:val="clear"/>
            <w:vAlign w:val="center"/>
          </w:tcPr>
          <w:p>
            <w:pPr>
              <w:pStyle w:val="TableContents"/>
              <w:spacing w:before="0" w:after="283"/>
              <w:jc w:val="left"/>
              <w:rPr>
                <w:rFonts w:ascii="Arial" w:hAnsi="Arial"/>
                <w:sz w:val="20"/>
              </w:rPr>
            </w:pPr>
            <w:r>
              <w:rPr>
                <w:rFonts w:ascii="Arial" w:hAnsi="Arial"/>
                <w:sz w:val="20"/>
              </w:rPr>
              <w:t>The Committee shall have authority to determine the adjustments to be made under this Section 12 and any such determination by the Committee shall be final, binding and conclusive. Following any such adjustment under this Section 12, any reference to the term “Shares” or option price, as applicable, in the Plan and in any applicable Award Agreement shall be a reference to the appropriate number and class of shares of stock available for issuance under the Plan, as adjusted pursuant to this Section 12.</w:t>
            </w:r>
          </w:p>
        </w:tc>
      </w:tr>
      <w:tr>
        <w:trPr/>
        <w:tc>
          <w:tcPr>
            <w:tcW w:w="480" w:type="dxa"/>
            <w:tcBorders/>
            <w:shd w:fill="auto" w:val="clear"/>
            <w:vAlign w:val="center"/>
          </w:tcPr>
          <w:p>
            <w:pPr>
              <w:pStyle w:val="TableContents"/>
              <w:spacing w:before="0" w:after="283"/>
              <w:jc w:val="left"/>
              <w:rPr/>
            </w:pPr>
            <w:r>
              <w:rPr>
                <w:rStyle w:val="StrongEmphasis"/>
                <w:rFonts w:ascii="Arial" w:hAnsi="Arial"/>
                <w:sz w:val="20"/>
              </w:rPr>
              <w:t>13.</w:t>
            </w:r>
          </w:p>
        </w:tc>
        <w:tc>
          <w:tcPr>
            <w:tcW w:w="9725" w:type="dxa"/>
            <w:gridSpan w:val="3"/>
            <w:tcBorders/>
            <w:shd w:fill="auto" w:val="clear"/>
            <w:vAlign w:val="center"/>
          </w:tcPr>
          <w:p>
            <w:pPr>
              <w:pStyle w:val="TableContents"/>
              <w:spacing w:before="0" w:after="283"/>
              <w:jc w:val="left"/>
              <w:rPr/>
            </w:pPr>
            <w:r>
              <w:rPr>
                <w:rStyle w:val="StrongEmphasis"/>
                <w:rFonts w:ascii="Arial" w:hAnsi="Arial"/>
                <w:sz w:val="20"/>
                <w:u w:val="single"/>
              </w:rPr>
              <w:t>CHANGE IN CONTROL</w:t>
            </w:r>
            <w:r>
              <w:rPr>
                <w:rStyle w:val="StrongEmphasis"/>
                <w:rFonts w:ascii="Arial" w:hAnsi="Arial"/>
                <w:sz w:val="20"/>
              </w:rPr>
              <w:t>.</w:t>
            </w:r>
            <w:r>
              <w:rPr>
                <w:rFonts w:ascii="Arial" w:hAnsi="Arial"/>
                <w:sz w:val="20"/>
              </w:rPr>
              <w:t xml:space="preserve"> In the event of a Change in Control, the Committee may, in its sole discretion, and on such terms and conditions as it deems appropriate, take any one or more of the following actions with respect to any outstanding Award, which need not be uniform with respect to all Participants and/or Awards:</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(a)</w:t>
            </w:r>
          </w:p>
        </w:tc>
        <w:tc>
          <w:tcPr>
            <w:tcW w:w="9245" w:type="dxa"/>
            <w:gridSpan w:val="2"/>
            <w:tcBorders/>
            <w:shd w:fill="auto" w:val="clear"/>
            <w:vAlign w:val="center"/>
          </w:tcPr>
          <w:p>
            <w:pPr>
              <w:pStyle w:val="TableContents"/>
              <w:spacing w:before="0" w:after="283"/>
              <w:jc w:val="left"/>
              <w:rPr>
                <w:rFonts w:ascii="Arial" w:hAnsi="Arial"/>
                <w:sz w:val="20"/>
              </w:rPr>
            </w:pPr>
            <w:r>
              <w:rPr>
                <w:rFonts w:ascii="Arial" w:hAnsi="Arial"/>
                <w:sz w:val="20"/>
              </w:rPr>
              <w:t>continuation or assumption of such Award by the Company (if it is the surviving corporation) or by the successor or surviving entity or its parent;</w:t>
            </w:r>
          </w:p>
        </w:tc>
      </w:tr>
    </w:tbl>
    <w:p>
      <w:pPr>
        <w:pStyle w:val="TextBody"/>
        <w:spacing w:before="0" w:after="0"/>
        <w:rPr/>
      </w:pPr>
      <w:r>
        <w:rPr/>
      </w:r>
    </w:p>
    <w:tbl>
      <w:tblPr>
        <w:tblW w:w="2350" w:type="dxa"/>
        <w:jc w:val="left"/>
        <w:tblInd w:w="0" w:type="dxa"/>
        <w:tblCellMar>
          <w:top w:w="0" w:type="dxa"/>
          <w:left w:w="0" w:type="dxa"/>
          <w:bottom w:w="0" w:type="dxa"/>
          <w:right w:w="0" w:type="dxa"/>
        </w:tblCellMar>
      </w:tblPr>
      <w:tblGrid>
        <w:gridCol w:w="1580"/>
        <w:gridCol w:w="770"/>
      </w:tblGrid>
      <w:tr>
        <w:trPr/>
        <w:tc>
          <w:tcPr>
            <w:tcW w:w="1580" w:type="dxa"/>
            <w:tcBorders/>
            <w:shd w:fill="auto" w:val="clear"/>
            <w:vAlign w:val="center"/>
          </w:tcPr>
          <w:p>
            <w:pPr>
              <w:pStyle w:val="TableContents"/>
              <w:spacing w:before="0" w:after="283"/>
              <w:jc w:val="right"/>
              <w:rPr>
                <w:rFonts w:ascii="Arial" w:hAnsi="Arial"/>
                <w:sz w:val="15"/>
              </w:rPr>
            </w:pPr>
            <w:r>
              <w:rPr>
                <w:rFonts w:ascii="Arial" w:hAnsi="Arial"/>
                <w:sz w:val="15"/>
              </w:rPr>
              <w:t>2023 Proxy Statement</w:t>
            </w:r>
          </w:p>
        </w:tc>
        <w:tc>
          <w:tcPr>
            <w:tcW w:w="770" w:type="dxa"/>
            <w:tcBorders/>
            <w:shd w:fill="auto" w:val="clear"/>
            <w:vAlign w:val="center"/>
          </w:tcPr>
          <w:p>
            <w:pPr>
              <w:pStyle w:val="TableContents"/>
              <w:spacing w:before="0" w:after="283"/>
              <w:jc w:val="right"/>
              <w:rPr/>
            </w:pPr>
            <w:r>
              <w:rPr/>
              <w:t>       </w:t>
            </w:r>
            <w:r>
              <w:rPr>
                <w:rFonts w:ascii="Arial" w:hAnsi="Arial"/>
                <w:b/>
                <w:sz w:val="15"/>
              </w:rPr>
              <w:t>C-12</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10205" w:type="dxa"/>
        <w:jc w:val="left"/>
        <w:tblInd w:w="0" w:type="dxa"/>
        <w:tblCellMar>
          <w:top w:w="0" w:type="dxa"/>
          <w:left w:w="0" w:type="dxa"/>
          <w:bottom w:w="0" w:type="dxa"/>
          <w:right w:w="0" w:type="dxa"/>
        </w:tblCellMar>
      </w:tblPr>
      <w:tblGrid>
        <w:gridCol w:w="480"/>
        <w:gridCol w:w="480"/>
        <w:gridCol w:w="812"/>
        <w:gridCol w:w="8433"/>
      </w:tblGrid>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(b)</w:t>
            </w:r>
          </w:p>
        </w:tc>
        <w:tc>
          <w:tcPr>
            <w:tcW w:w="9245" w:type="dxa"/>
            <w:gridSpan w:val="2"/>
            <w:tcBorders/>
            <w:shd w:fill="auto" w:val="clear"/>
            <w:vAlign w:val="center"/>
          </w:tcPr>
          <w:p>
            <w:pPr>
              <w:pStyle w:val="TableContents"/>
              <w:spacing w:before="0" w:after="283"/>
              <w:jc w:val="left"/>
              <w:rPr>
                <w:rFonts w:ascii="Arial" w:hAnsi="Arial"/>
                <w:sz w:val="20"/>
              </w:rPr>
            </w:pPr>
            <w:r>
              <w:rPr>
                <w:rFonts w:ascii="Arial" w:hAnsi="Arial"/>
                <w:sz w:val="20"/>
              </w:rPr>
              <w:t>substitution or replacement of such Award by the successor or surviving entity or its parent with cash, securities, rights or other property to be paid or issued, as the case may be, by the successor or surviving entity (or a parent or subsidiary thereof), with substantially the same terms and value as such Award (including any applicable performance targets or criteria with respect thereto);</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(c)</w:t>
            </w:r>
          </w:p>
        </w:tc>
        <w:tc>
          <w:tcPr>
            <w:tcW w:w="9245" w:type="dxa"/>
            <w:gridSpan w:val="2"/>
            <w:tcBorders/>
            <w:shd w:fill="auto" w:val="clear"/>
            <w:vAlign w:val="center"/>
          </w:tcPr>
          <w:p>
            <w:pPr>
              <w:pStyle w:val="TableContents"/>
              <w:spacing w:before="0" w:after="283"/>
              <w:jc w:val="left"/>
              <w:rPr>
                <w:rFonts w:ascii="Arial" w:hAnsi="Arial"/>
                <w:sz w:val="20"/>
              </w:rPr>
            </w:pPr>
            <w:r>
              <w:rPr>
                <w:rFonts w:ascii="Arial" w:hAnsi="Arial"/>
                <w:sz w:val="20"/>
              </w:rPr>
              <w:t>acceleration of the vesting of such Award and the lapse of any restrictions thereon and, in the case of an Option or SAR, acceleration of the right to exercise such Award during a specified period (and the termination of such Option or SAR without payment of any consideration therefor to the extent such Award is not timely exercised), in each case, either (A) immediately prior to or as of the date of the Change in Control, (B) upon a Participants involuntary Termination of Service (including upon a termination of the Participants employment by a Participating Company (or a successor corporation or its parent) without Cause, by a Participant for good reason and/or due to a Participants death or disability, as such terms may be defined in the applicable Award Agreement and/or a Participants applicable employment, severance, consulting or similar agreement, as the case may be) on or within a specified period following the Change in Control or (C) upon the failure of the successor or surviving entity (or its parent) to continue or assume such Award;</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(d)</w:t>
            </w:r>
          </w:p>
        </w:tc>
        <w:tc>
          <w:tcPr>
            <w:tcW w:w="9245" w:type="dxa"/>
            <w:gridSpan w:val="2"/>
            <w:tcBorders/>
            <w:shd w:fill="auto" w:val="clear"/>
            <w:vAlign w:val="center"/>
          </w:tcPr>
          <w:p>
            <w:pPr>
              <w:pStyle w:val="TableContents"/>
              <w:spacing w:before="0" w:after="283"/>
              <w:jc w:val="left"/>
              <w:rPr>
                <w:rFonts w:ascii="Arial" w:hAnsi="Arial"/>
                <w:sz w:val="20"/>
              </w:rPr>
            </w:pPr>
            <w:r>
              <w:rPr>
                <w:rFonts w:ascii="Arial" w:hAnsi="Arial"/>
                <w:sz w:val="20"/>
              </w:rPr>
              <w:t>in the case of an Award subject to performance-related vesting conditions, determination of the level of attainment of the applicable performance condition(s); and</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(e)</w:t>
            </w:r>
          </w:p>
        </w:tc>
        <w:tc>
          <w:tcPr>
            <w:tcW w:w="9245" w:type="dxa"/>
            <w:gridSpan w:val="2"/>
            <w:tcBorders/>
            <w:shd w:fill="auto" w:val="clear"/>
            <w:vAlign w:val="center"/>
          </w:tcPr>
          <w:p>
            <w:pPr>
              <w:pStyle w:val="TableContents"/>
              <w:spacing w:before="0" w:after="283"/>
              <w:jc w:val="left"/>
              <w:rPr>
                <w:rFonts w:ascii="Arial" w:hAnsi="Arial"/>
                <w:sz w:val="20"/>
              </w:rPr>
            </w:pPr>
            <w:r>
              <w:rPr>
                <w:rFonts w:ascii="Arial" w:hAnsi="Arial"/>
                <w:sz w:val="20"/>
              </w:rPr>
              <w:t xml:space="preserve">cancellation of such Award in consideration of a payment, with the form, amount and timing of such payment determined by the Committee in its sole discretion, subject to the following: (A) such payment shall be made in cash, securities, rights and/or other property; (B) the amount of such payment shall equal the value of such Award, as determined by the Committee in its sole discretion; </w:t>
            </w:r>
            <w:r>
              <w:rPr>
                <w:rFonts w:ascii="Arial" w:hAnsi="Arial"/>
                <w:sz w:val="20"/>
                <w:u w:val="single"/>
              </w:rPr>
              <w:t>provided</w:t>
            </w:r>
            <w:r>
              <w:rPr>
                <w:rFonts w:ascii="Arial" w:hAnsi="Arial"/>
                <w:sz w:val="20"/>
              </w:rPr>
              <w:t xml:space="preserve"> that, in the case of an Option or SAR, if such value equals the Intrinsic Value of such Award, such value shall be deemed to be valid; </w:t>
            </w:r>
            <w:r>
              <w:rPr>
                <w:rFonts w:ascii="Arial" w:hAnsi="Arial"/>
                <w:sz w:val="20"/>
                <w:u w:val="single"/>
              </w:rPr>
              <w:t>provided</w:t>
            </w:r>
            <w:r>
              <w:rPr>
                <w:rFonts w:ascii="Arial" w:hAnsi="Arial"/>
                <w:sz w:val="20"/>
              </w:rPr>
              <w:t xml:space="preserve"> further that, if the Intrinsic Value of an Option or SAR is equal to or less than zero, the Committee may, in its sole discretion, provide for the cancellation of such Award without payment of any consideration therefor (for the avoidance of doubt, in the event of a Change in Control, the Committee may, in its sole discretion, terminate any Option or SAR for which the exercise or hurdle price is equal to or exceeds the per Share value of the consideration to be paid in the Change in Control transaction without payment of consideration therefor); and (C) such payment shall be made promptly following such Change in Control or on a specified date or dates following such Change in Control; </w:t>
            </w:r>
            <w:r>
              <w:rPr>
                <w:rFonts w:ascii="Arial" w:hAnsi="Arial"/>
                <w:sz w:val="20"/>
                <w:u w:val="single"/>
              </w:rPr>
              <w:t>provided</w:t>
            </w:r>
            <w:r>
              <w:rPr>
                <w:rFonts w:ascii="Arial" w:hAnsi="Arial"/>
                <w:sz w:val="20"/>
              </w:rPr>
              <w:t> that the timing of such payment shall comply with Section 409A of the Code.</w:t>
            </w:r>
          </w:p>
        </w:tc>
      </w:tr>
      <w:tr>
        <w:trPr/>
        <w:tc>
          <w:tcPr>
            <w:tcW w:w="480" w:type="dxa"/>
            <w:tcBorders/>
            <w:shd w:fill="auto" w:val="clear"/>
            <w:vAlign w:val="center"/>
          </w:tcPr>
          <w:p>
            <w:pPr>
              <w:pStyle w:val="TableContents"/>
              <w:spacing w:before="0" w:after="283"/>
              <w:jc w:val="left"/>
              <w:rPr>
                <w:rFonts w:ascii="Arial" w:hAnsi="Arial"/>
                <w:b/>
                <w:sz w:val="20"/>
              </w:rPr>
            </w:pPr>
            <w:r>
              <w:rPr>
                <w:rFonts w:ascii="Arial" w:hAnsi="Arial"/>
                <w:b/>
                <w:sz w:val="20"/>
              </w:rPr>
              <w:t>14.</w:t>
            </w:r>
          </w:p>
        </w:tc>
        <w:tc>
          <w:tcPr>
            <w:tcW w:w="9725" w:type="dxa"/>
            <w:gridSpan w:val="3"/>
            <w:tcBorders/>
            <w:shd w:fill="auto" w:val="clear"/>
            <w:vAlign w:val="center"/>
          </w:tcPr>
          <w:p>
            <w:pPr>
              <w:pStyle w:val="TableContents"/>
              <w:spacing w:before="0" w:after="283"/>
              <w:jc w:val="left"/>
              <w:rPr>
                <w:rFonts w:ascii="Arial" w:hAnsi="Arial"/>
                <w:sz w:val="20"/>
              </w:rPr>
            </w:pPr>
            <w:r>
              <w:rPr>
                <w:rFonts w:ascii="Arial" w:hAnsi="Arial"/>
                <w:b/>
                <w:sz w:val="20"/>
                <w:u w:val="single"/>
              </w:rPr>
              <w:t>REPAYMENT</w:t>
            </w:r>
            <w:r>
              <w:rPr>
                <w:rFonts w:ascii="Arial" w:hAnsi="Arial"/>
                <w:b/>
                <w:sz w:val="20"/>
              </w:rPr>
              <w:t xml:space="preserve">. </w:t>
            </w:r>
            <w:r>
              <w:rPr>
                <w:rFonts w:ascii="Arial" w:hAnsi="Arial"/>
                <w:sz w:val="20"/>
              </w:rPr>
              <w:t>Notwithstanding anything to the contrary contained herein, any Awards granted under the Plan (including any amounts or benefits arising therefrom) shall be subject to any clawback or recoupment arrangements or policies the Company has in place from time to time (including, without limitation, any policy adopted to comply with Rule 10D-1 of the 1934 Act or any related stock exchange rules), and the Committee may, to the extent permitted or shall, to the extent required, by applicable law and stock exchange rules or by any applicable Company policy or arrangement, cancel or require reimbursement of such Award or any Shares issued or cash received upon vesting, exercise or settlement of the Award or sale of Shares underlying the Award. In addition, to the extent that the receipt of an Award subject to repayment under this Section 14 has been deferred (including pursuant to any other plan, program or arrangement that permits the deferral of receipt of an Award) such Award (and any earnings credited with respect thereto) shall be forfeited in lieu of repayment.</w:t>
            </w:r>
          </w:p>
        </w:tc>
      </w:tr>
      <w:tr>
        <w:trPr/>
        <w:tc>
          <w:tcPr>
            <w:tcW w:w="480" w:type="dxa"/>
            <w:tcBorders/>
            <w:shd w:fill="auto" w:val="clear"/>
            <w:vAlign w:val="center"/>
          </w:tcPr>
          <w:p>
            <w:pPr>
              <w:pStyle w:val="TableContents"/>
              <w:spacing w:before="0" w:after="283"/>
              <w:jc w:val="left"/>
              <w:rPr>
                <w:rFonts w:ascii="Arial" w:hAnsi="Arial"/>
                <w:b/>
                <w:sz w:val="20"/>
              </w:rPr>
            </w:pPr>
            <w:r>
              <w:rPr>
                <w:rFonts w:ascii="Arial" w:hAnsi="Arial"/>
                <w:b/>
                <w:sz w:val="20"/>
              </w:rPr>
              <w:t>15.</w:t>
            </w:r>
          </w:p>
        </w:tc>
        <w:tc>
          <w:tcPr>
            <w:tcW w:w="9725" w:type="dxa"/>
            <w:gridSpan w:val="3"/>
            <w:tcBorders/>
            <w:shd w:fill="auto" w:val="clear"/>
            <w:vAlign w:val="center"/>
          </w:tcPr>
          <w:p>
            <w:pPr>
              <w:pStyle w:val="TableContents"/>
              <w:spacing w:before="0" w:after="283"/>
              <w:jc w:val="left"/>
              <w:rPr>
                <w:rFonts w:ascii="Arial" w:hAnsi="Arial"/>
                <w:sz w:val="20"/>
              </w:rPr>
            </w:pPr>
            <w:r>
              <w:rPr>
                <w:rFonts w:ascii="Arial" w:hAnsi="Arial"/>
                <w:b/>
                <w:sz w:val="20"/>
                <w:u w:val="single"/>
              </w:rPr>
              <w:t>SECURITIES LAW</w:t>
            </w:r>
            <w:r>
              <w:rPr>
                <w:rFonts w:ascii="Arial" w:hAnsi="Arial"/>
                <w:b/>
                <w:sz w:val="20"/>
              </w:rPr>
              <w:t>.</w:t>
            </w:r>
            <w:r>
              <w:rPr>
                <w:rFonts w:ascii="Arial" w:hAnsi="Arial"/>
                <w:sz w:val="20"/>
              </w:rPr>
              <w:t xml:space="preserve"> The Committee shall have the power to make each grant of Awards under the Plan subject to such conditions as it deems necessary or appropriate to comply with the then-existing requirements of the 1933 Act and the 1934 Act. Such conditions may include:</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(a)</w:t>
            </w:r>
          </w:p>
        </w:tc>
        <w:tc>
          <w:tcPr>
            <w:tcW w:w="9245" w:type="dxa"/>
            <w:gridSpan w:val="2"/>
            <w:tcBorders/>
            <w:shd w:fill="auto" w:val="clear"/>
            <w:vAlign w:val="center"/>
          </w:tcPr>
          <w:p>
            <w:pPr>
              <w:pStyle w:val="TableContents"/>
              <w:spacing w:before="0" w:after="283"/>
              <w:jc w:val="left"/>
              <w:rPr>
                <w:rFonts w:ascii="Arial" w:hAnsi="Arial"/>
                <w:sz w:val="20"/>
              </w:rPr>
            </w:pPr>
            <w:r>
              <w:rPr>
                <w:rFonts w:ascii="Arial" w:hAnsi="Arial"/>
                <w:sz w:val="20"/>
              </w:rPr>
              <w:t>the delivery by the Participant of an investment representation to the Company in connection with the occurrence of a Vesting Date (in the case of Restricted Stock and Restricted Stock Units) or exercise (in the case of an Option) occurring with respect to Shares subject to such Award; and</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(b)</w:t>
            </w:r>
          </w:p>
        </w:tc>
        <w:tc>
          <w:tcPr>
            <w:tcW w:w="9245" w:type="dxa"/>
            <w:gridSpan w:val="2"/>
            <w:tcBorders/>
            <w:shd w:fill="auto" w:val="clear"/>
            <w:vAlign w:val="center"/>
          </w:tcPr>
          <w:p>
            <w:pPr>
              <w:pStyle w:val="TableContents"/>
              <w:spacing w:before="0" w:after="283"/>
              <w:jc w:val="left"/>
              <w:rPr>
                <w:rFonts w:ascii="Arial" w:hAnsi="Arial"/>
                <w:sz w:val="20"/>
              </w:rPr>
            </w:pPr>
            <w:r>
              <w:rPr>
                <w:rFonts w:ascii="Arial" w:hAnsi="Arial"/>
                <w:sz w:val="20"/>
              </w:rPr>
              <w:t>the execution of an agreement by the Participant to refrain from selling or otherwise disposing of the Shares received upon the vesting, settlement or exercise, as applicable, of such Award for a specified period of time or on specified terms.</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(c)</w:t>
            </w:r>
          </w:p>
        </w:tc>
        <w:tc>
          <w:tcPr>
            <w:tcW w:w="9245" w:type="dxa"/>
            <w:gridSpan w:val="2"/>
            <w:tcBorders/>
            <w:shd w:fill="auto" w:val="clear"/>
            <w:vAlign w:val="center"/>
          </w:tcPr>
          <w:p>
            <w:pPr>
              <w:pStyle w:val="TableContents"/>
              <w:spacing w:before="0" w:after="283"/>
              <w:jc w:val="left"/>
              <w:rPr>
                <w:rFonts w:ascii="Arial" w:hAnsi="Arial"/>
                <w:sz w:val="20"/>
              </w:rPr>
            </w:pPr>
            <w:r>
              <w:rPr>
                <w:rFonts w:ascii="Arial" w:hAnsi="Arial"/>
                <w:sz w:val="20"/>
              </w:rPr>
              <w:t>With respect to Options, to the extent required by the Committee, unless the Shares subject to the Option are covered by a then current registration statement or a Notification under Regulation A under the 1933 Act, each notice of exercise of an Option shall contain the Participants acknowledgment in form and substance satisfactory to the Committee that:</w:t>
            </w:r>
          </w:p>
        </w:tc>
      </w:tr>
      <w:tr>
        <w:trPr/>
        <w:tc>
          <w:tcPr>
            <w:tcW w:w="480" w:type="dxa"/>
            <w:tcBorders/>
            <w:shd w:fill="auto" w:val="clear"/>
            <w:vAlign w:val="center"/>
          </w:tcPr>
          <w:p>
            <w:pPr>
              <w:pStyle w:val="TableContents"/>
              <w:spacing w:before="0" w:after="283"/>
              <w:jc w:val="left"/>
              <w:rPr/>
            </w:pPr>
            <w:r>
              <w:rPr/>
              <w:t>        </w:t>
            </w:r>
          </w:p>
        </w:tc>
        <w:tc>
          <w:tcPr>
            <w:tcW w:w="480" w:type="dxa"/>
            <w:tcBorders/>
            <w:shd w:fill="auto" w:val="clear"/>
            <w:vAlign w:val="center"/>
          </w:tcPr>
          <w:p>
            <w:pPr>
              <w:pStyle w:val="TableContents"/>
              <w:spacing w:before="0" w:after="283"/>
              <w:jc w:val="left"/>
              <w:rPr/>
            </w:pPr>
            <w:r>
              <w:rPr/>
              <w:t>        </w:t>
            </w:r>
          </w:p>
        </w:tc>
        <w:tc>
          <w:tcPr>
            <w:tcW w:w="812" w:type="dxa"/>
            <w:tcBorders/>
            <w:shd w:fill="auto" w:val="clear"/>
            <w:vAlign w:val="center"/>
          </w:tcPr>
          <w:p>
            <w:pPr>
              <w:pStyle w:val="TableContents"/>
              <w:spacing w:before="0" w:after="283"/>
              <w:jc w:val="left"/>
              <w:rPr/>
            </w:pPr>
            <w:r>
              <w:rPr/>
              <w:t>        </w:t>
            </w:r>
          </w:p>
        </w:tc>
        <w:tc>
          <w:tcPr>
            <w:tcW w:w="8433" w:type="dxa"/>
            <w:tcBorders/>
            <w:shd w:fill="auto" w:val="clear"/>
            <w:vAlign w:val="center"/>
          </w:tcPr>
          <w:p>
            <w:pPr>
              <w:pStyle w:val="TableContents"/>
              <w:spacing w:before="0" w:after="283"/>
              <w:rPr>
                <w:sz w:val="4"/>
                <w:szCs w:val="4"/>
              </w:rPr>
            </w:pPr>
            <w:r>
              <w:rPr>
                <w:sz w:val="4"/>
                <w:szCs w:val="4"/>
              </w:rPr>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jc w:val="left"/>
              <w:rPr>
                <w:rFonts w:ascii="Arial" w:hAnsi="Arial"/>
                <w:sz w:val="20"/>
              </w:rPr>
            </w:pPr>
            <w:r>
              <w:rPr>
                <w:rFonts w:ascii="Arial" w:hAnsi="Arial"/>
                <w:sz w:val="20"/>
              </w:rPr>
              <w:t>(i)</w:t>
            </w:r>
          </w:p>
        </w:tc>
        <w:tc>
          <w:tcPr>
            <w:tcW w:w="8433" w:type="dxa"/>
            <w:tcBorders/>
            <w:shd w:fill="auto" w:val="clear"/>
            <w:vAlign w:val="center"/>
          </w:tcPr>
          <w:p>
            <w:pPr>
              <w:pStyle w:val="TableContents"/>
              <w:spacing w:before="0" w:after="283"/>
              <w:jc w:val="left"/>
              <w:rPr>
                <w:rFonts w:ascii="Arial" w:hAnsi="Arial"/>
                <w:sz w:val="20"/>
              </w:rPr>
            </w:pPr>
            <w:r>
              <w:rPr>
                <w:rFonts w:ascii="Arial" w:hAnsi="Arial"/>
                <w:sz w:val="20"/>
              </w:rPr>
              <w:t>the Shares subject to the Option are being purchased for investment and not for distribution or resale (other than a distribution or resale which, in the opinion of counsel satisfactory to the Company, may be made without violating the registration provisions of the Act);</w:t>
            </w:r>
          </w:p>
        </w:tc>
      </w:tr>
    </w:tbl>
    <w:p>
      <w:pPr>
        <w:pStyle w:val="TextBody"/>
        <w:spacing w:before="0" w:after="0"/>
        <w:rPr/>
      </w:pPr>
      <w:r>
        <w:rPr/>
      </w:r>
    </w:p>
    <w:tbl>
      <w:tblPr>
        <w:tblW w:w="373" w:type="dxa"/>
        <w:jc w:val="left"/>
        <w:tblInd w:w="0" w:type="dxa"/>
        <w:tblCellMar>
          <w:top w:w="0" w:type="dxa"/>
          <w:left w:w="0" w:type="dxa"/>
          <w:bottom w:w="0" w:type="dxa"/>
          <w:right w:w="0" w:type="dxa"/>
        </w:tblCellMar>
      </w:tblPr>
      <w:tblGrid>
        <w:gridCol w:w="350"/>
        <w:gridCol w:w="23"/>
      </w:tblGrid>
      <w:tr>
        <w:trPr/>
        <w:tc>
          <w:tcPr>
            <w:tcW w:w="350" w:type="dxa"/>
            <w:tcBorders/>
            <w:shd w:fill="auto" w:val="clear"/>
            <w:vAlign w:val="center"/>
          </w:tcPr>
          <w:p>
            <w:pPr>
              <w:pStyle w:val="TableContents"/>
              <w:spacing w:before="0" w:after="283"/>
              <w:jc w:val="left"/>
              <w:rPr>
                <w:rFonts w:ascii="Arial" w:hAnsi="Arial"/>
                <w:b/>
                <w:sz w:val="15"/>
              </w:rPr>
            </w:pPr>
            <w:r>
              <w:rPr>
                <w:rFonts w:ascii="Arial" w:hAnsi="Arial"/>
                <w:b/>
                <w:sz w:val="15"/>
              </w:rPr>
              <w:t>C-13</w:t>
            </w:r>
          </w:p>
        </w:tc>
        <w:tc>
          <w:tcPr>
            <w:tcW w:w="2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10205" w:type="dxa"/>
        <w:jc w:val="left"/>
        <w:tblInd w:w="0" w:type="dxa"/>
        <w:tblCellMar>
          <w:top w:w="0" w:type="dxa"/>
          <w:left w:w="0" w:type="dxa"/>
          <w:bottom w:w="0" w:type="dxa"/>
          <w:right w:w="0" w:type="dxa"/>
        </w:tblCellMar>
      </w:tblPr>
      <w:tblGrid>
        <w:gridCol w:w="480"/>
        <w:gridCol w:w="480"/>
        <w:gridCol w:w="539"/>
        <w:gridCol w:w="8706"/>
      </w:tblGrid>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jc w:val="left"/>
              <w:rPr>
                <w:rFonts w:ascii="Arial" w:hAnsi="Arial"/>
                <w:sz w:val="20"/>
              </w:rPr>
            </w:pPr>
            <w:r>
              <w:rPr>
                <w:rFonts w:ascii="Arial" w:hAnsi="Arial"/>
                <w:sz w:val="20"/>
              </w:rPr>
              <w:t>(ii)</w:t>
            </w:r>
          </w:p>
        </w:tc>
        <w:tc>
          <w:tcPr>
            <w:tcW w:w="8706" w:type="dxa"/>
            <w:tcBorders/>
            <w:shd w:fill="auto" w:val="clear"/>
            <w:vAlign w:val="center"/>
          </w:tcPr>
          <w:p>
            <w:pPr>
              <w:pStyle w:val="TableContents"/>
              <w:spacing w:before="0" w:after="283"/>
              <w:jc w:val="left"/>
              <w:rPr>
                <w:rFonts w:ascii="Arial" w:hAnsi="Arial"/>
                <w:sz w:val="20"/>
              </w:rPr>
            </w:pPr>
            <w:r>
              <w:rPr>
                <w:rFonts w:ascii="Arial" w:hAnsi="Arial"/>
                <w:sz w:val="20"/>
              </w:rPr>
              <w:t>the Participant has been advised and understands that (A) the Shares subject to the Option have not been registered under the 1933 Act and are restricted securities within the meaning of Rule 144 under the 1933 Act and are subject to restrictions on transfer and (B) the Company is under no obligation to register the Shares subject to the Option under the 1933 Act or to take any action which would make available to the Participant any exemption from such registration;</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jc w:val="left"/>
              <w:rPr>
                <w:rFonts w:ascii="Arial" w:hAnsi="Arial"/>
                <w:sz w:val="20"/>
              </w:rPr>
            </w:pPr>
            <w:r>
              <w:rPr>
                <w:rFonts w:ascii="Arial" w:hAnsi="Arial"/>
                <w:sz w:val="20"/>
              </w:rPr>
              <w:t>(iii)</w:t>
            </w:r>
          </w:p>
        </w:tc>
        <w:tc>
          <w:tcPr>
            <w:tcW w:w="8706" w:type="dxa"/>
            <w:tcBorders/>
            <w:shd w:fill="auto" w:val="clear"/>
            <w:vAlign w:val="center"/>
          </w:tcPr>
          <w:p>
            <w:pPr>
              <w:pStyle w:val="TableContents"/>
              <w:spacing w:before="0" w:after="283"/>
              <w:jc w:val="left"/>
              <w:rPr>
                <w:rFonts w:ascii="Arial" w:hAnsi="Arial"/>
                <w:sz w:val="20"/>
              </w:rPr>
            </w:pPr>
            <w:r>
              <w:rPr>
                <w:rFonts w:ascii="Arial" w:hAnsi="Arial"/>
                <w:sz w:val="20"/>
              </w:rPr>
              <w:t>the book entry recordkeeping system maintained by the Company evidencing the Shares may bear a restrictive legend; and</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jc w:val="left"/>
              <w:rPr>
                <w:rFonts w:ascii="Arial" w:hAnsi="Arial"/>
                <w:sz w:val="20"/>
              </w:rPr>
            </w:pPr>
            <w:r>
              <w:rPr>
                <w:rFonts w:ascii="Arial" w:hAnsi="Arial"/>
                <w:sz w:val="20"/>
              </w:rPr>
              <w:t>(iv)</w:t>
            </w:r>
          </w:p>
        </w:tc>
        <w:tc>
          <w:tcPr>
            <w:tcW w:w="8706" w:type="dxa"/>
            <w:tcBorders/>
            <w:shd w:fill="auto" w:val="clear"/>
            <w:vAlign w:val="center"/>
          </w:tcPr>
          <w:p>
            <w:pPr>
              <w:pStyle w:val="TableContents"/>
              <w:spacing w:before="0" w:after="283"/>
              <w:jc w:val="left"/>
              <w:rPr>
                <w:rFonts w:ascii="Arial" w:hAnsi="Arial"/>
                <w:sz w:val="20"/>
              </w:rPr>
            </w:pPr>
            <w:r>
              <w:rPr>
                <w:rFonts w:ascii="Arial" w:hAnsi="Arial"/>
                <w:sz w:val="20"/>
              </w:rPr>
              <w:t>the Shares subject to the Option may not be transferred without compliance with all applicable federal and state securities laws.</w:t>
            </w:r>
          </w:p>
        </w:tc>
      </w:tr>
      <w:tr>
        <w:trPr/>
        <w:tc>
          <w:tcPr>
            <w:tcW w:w="480" w:type="dxa"/>
            <w:tcBorders/>
            <w:shd w:fill="auto" w:val="clear"/>
            <w:vAlign w:val="center"/>
          </w:tcPr>
          <w:p>
            <w:pPr>
              <w:pStyle w:val="TableContents"/>
              <w:spacing w:before="0" w:after="283"/>
              <w:jc w:val="left"/>
              <w:rPr/>
            </w:pPr>
            <w:r>
              <w:rPr/>
              <w:t>        </w:t>
            </w:r>
          </w:p>
        </w:tc>
        <w:tc>
          <w:tcPr>
            <w:tcW w:w="480" w:type="dxa"/>
            <w:tcBorders/>
            <w:shd w:fill="auto" w:val="clear"/>
            <w:vAlign w:val="center"/>
          </w:tcPr>
          <w:p>
            <w:pPr>
              <w:pStyle w:val="TableContents"/>
              <w:spacing w:before="0" w:after="283"/>
              <w:jc w:val="left"/>
              <w:rPr/>
            </w:pPr>
            <w:r>
              <w:rPr/>
              <w:t>        </w:t>
            </w:r>
          </w:p>
        </w:tc>
        <w:tc>
          <w:tcPr>
            <w:tcW w:w="539" w:type="dxa"/>
            <w:tcBorders/>
            <w:shd w:fill="auto" w:val="clear"/>
            <w:vAlign w:val="center"/>
          </w:tcPr>
          <w:p>
            <w:pPr>
              <w:pStyle w:val="TableContents"/>
              <w:spacing w:before="0" w:after="283"/>
              <w:jc w:val="left"/>
              <w:rPr/>
            </w:pPr>
            <w:r>
              <w:rPr/>
              <w:t>        </w:t>
            </w:r>
          </w:p>
        </w:tc>
        <w:tc>
          <w:tcPr>
            <w:tcW w:w="8706" w:type="dxa"/>
            <w:tcBorders/>
            <w:shd w:fill="auto" w:val="clear"/>
            <w:vAlign w:val="center"/>
          </w:tcPr>
          <w:p>
            <w:pPr>
              <w:pStyle w:val="TableContents"/>
              <w:spacing w:before="0" w:after="283"/>
              <w:rPr>
                <w:sz w:val="4"/>
                <w:szCs w:val="4"/>
              </w:rPr>
            </w:pPr>
            <w:r>
              <w:rPr>
                <w:sz w:val="4"/>
                <w:szCs w:val="4"/>
              </w:rPr>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(d)</w:t>
            </w:r>
          </w:p>
        </w:tc>
        <w:tc>
          <w:tcPr>
            <w:tcW w:w="9245" w:type="dxa"/>
            <w:gridSpan w:val="2"/>
            <w:tcBorders/>
            <w:shd w:fill="auto" w:val="clear"/>
            <w:vAlign w:val="center"/>
          </w:tcPr>
          <w:p>
            <w:pPr>
              <w:pStyle w:val="TableContents"/>
              <w:spacing w:before="0" w:after="283"/>
              <w:jc w:val="left"/>
              <w:rPr>
                <w:rFonts w:ascii="Arial" w:hAnsi="Arial"/>
                <w:sz w:val="20"/>
              </w:rPr>
            </w:pPr>
            <w:r>
              <w:rPr>
                <w:rFonts w:ascii="Arial" w:hAnsi="Arial"/>
                <w:sz w:val="20"/>
                <w:u w:val="single"/>
              </w:rPr>
              <w:t>Delay of Exercise Pending Registration of Securities</w:t>
            </w:r>
            <w:r>
              <w:rPr>
                <w:rFonts w:ascii="Arial" w:hAnsi="Arial"/>
                <w:sz w:val="20"/>
              </w:rPr>
              <w:t>. Notwithstanding any provision in the Plan or an applicable Award Agreement to the contrary, if the Committee determines, in its sole discretion, that issuance of Shares pursuant to the settlement of Restricted Stock Units or the exercise of an Option should be delayed pending registration or qualification under federal or state securities laws or the receipt of a legal opinion that an appropriate exemption from the application of federal or state securities laws is available, the Committee may defer the settlement of any Restricted Stock Units and/ or exercise of any Option until such Shares are appropriately registered or qualified or an appropriate legal opinion has been received, as applicable.</w:t>
            </w:r>
          </w:p>
        </w:tc>
      </w:tr>
      <w:tr>
        <w:trPr/>
        <w:tc>
          <w:tcPr>
            <w:tcW w:w="480" w:type="dxa"/>
            <w:tcBorders/>
            <w:shd w:fill="auto" w:val="clear"/>
            <w:vAlign w:val="center"/>
          </w:tcPr>
          <w:p>
            <w:pPr>
              <w:pStyle w:val="TableContents"/>
              <w:spacing w:before="0" w:after="283"/>
              <w:jc w:val="left"/>
              <w:rPr>
                <w:rFonts w:ascii="Arial" w:hAnsi="Arial"/>
                <w:b/>
                <w:sz w:val="20"/>
              </w:rPr>
            </w:pPr>
            <w:r>
              <w:rPr>
                <w:rFonts w:ascii="Arial" w:hAnsi="Arial"/>
                <w:b/>
                <w:sz w:val="20"/>
              </w:rPr>
              <w:t>16.</w:t>
            </w:r>
          </w:p>
        </w:tc>
        <w:tc>
          <w:tcPr>
            <w:tcW w:w="9725" w:type="dxa"/>
            <w:gridSpan w:val="3"/>
            <w:tcBorders/>
            <w:shd w:fill="auto" w:val="clear"/>
            <w:vAlign w:val="center"/>
          </w:tcPr>
          <w:p>
            <w:pPr>
              <w:pStyle w:val="TableContents"/>
              <w:spacing w:before="0" w:after="283"/>
              <w:jc w:val="left"/>
              <w:rPr>
                <w:rFonts w:ascii="Arial" w:hAnsi="Arial"/>
                <w:b/>
                <w:sz w:val="20"/>
              </w:rPr>
            </w:pPr>
            <w:r>
              <w:rPr>
                <w:rFonts w:ascii="Arial" w:hAnsi="Arial"/>
                <w:b/>
                <w:sz w:val="20"/>
                <w:u w:val="single"/>
              </w:rPr>
              <w:t>AMENDMENT AND TERMINATION</w:t>
            </w:r>
            <w:r>
              <w:rPr>
                <w:rFonts w:ascii="Arial" w:hAnsi="Arial"/>
                <w:b/>
                <w:sz w:val="20"/>
              </w:rPr>
              <w:t>.</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(a)</w:t>
            </w:r>
          </w:p>
        </w:tc>
        <w:tc>
          <w:tcPr>
            <w:tcW w:w="9245" w:type="dxa"/>
            <w:gridSpan w:val="2"/>
            <w:tcBorders/>
            <w:shd w:fill="auto" w:val="clear"/>
            <w:vAlign w:val="center"/>
          </w:tcPr>
          <w:p>
            <w:pPr>
              <w:pStyle w:val="TableContents"/>
              <w:spacing w:before="0" w:after="283"/>
              <w:jc w:val="left"/>
              <w:rPr>
                <w:rFonts w:ascii="Arial" w:hAnsi="Arial"/>
                <w:sz w:val="20"/>
              </w:rPr>
            </w:pPr>
            <w:r>
              <w:rPr>
                <w:rFonts w:ascii="Arial" w:hAnsi="Arial"/>
                <w:sz w:val="20"/>
                <w:u w:val="single"/>
              </w:rPr>
              <w:t>Termination or Amendment of the Plan</w:t>
            </w:r>
            <w:r>
              <w:rPr>
                <w:rFonts w:ascii="Arial" w:hAnsi="Arial"/>
                <w:sz w:val="20"/>
              </w:rPr>
              <w:t xml:space="preserve">. Except to the extent prohibited by applicable law or otherwise expressly provided in the Plan or an Award Agreement, the Committee may amend, alter, or suspend, and the Board may discontinue or terminate, the Plan or any portion thereof at any time; </w:t>
            </w:r>
            <w:r>
              <w:rPr>
                <w:rFonts w:ascii="Arial" w:hAnsi="Arial"/>
                <w:sz w:val="20"/>
                <w:u w:val="single"/>
              </w:rPr>
              <w:t>provided, however,</w:t>
            </w:r>
            <w:r>
              <w:rPr>
                <w:rFonts w:ascii="Arial" w:hAnsi="Arial"/>
                <w:sz w:val="20"/>
              </w:rPr>
              <w:t> that no such amendment, alteration, suspension, discontinuation or termination shall be made without (i) shareholder approval if such approval is required by applicable law or the rules of the stock market or exchange, if any, on which the Shares are principally quoted or traded or (ii) subject to Section 12 and Section 13, the consent of the affected Participant, if such action would materially adversely affect the rights of such Participant under any outstanding Award, except (x) to the extent any such amendment, alteration, suspension, discontinuance or termination is made to cause the Plan to comply with applicable law, stock market or exchange rules and regulations or accounting or tax rules and regulations or (y) to impose any clawback or recoupment provisions on any Awards (including any amounts or benefits arising from such Awards) in accordance with Section 14. Notwithstanding anything to the contrary in the Plan, the Committee may amend the Plan, or create sub-plans, in such manner as may be necessary or desirable to enable the Plan to achieve its stated purposes in any jurisdiction in a tax-efficient manner and in compliance with local rules and regulations.</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(b)</w:t>
            </w:r>
          </w:p>
        </w:tc>
        <w:tc>
          <w:tcPr>
            <w:tcW w:w="9245" w:type="dxa"/>
            <w:gridSpan w:val="2"/>
            <w:tcBorders/>
            <w:shd w:fill="auto" w:val="clear"/>
            <w:vAlign w:val="center"/>
          </w:tcPr>
          <w:p>
            <w:pPr>
              <w:pStyle w:val="TableContents"/>
              <w:spacing w:before="0" w:after="283"/>
              <w:jc w:val="left"/>
              <w:rPr>
                <w:rFonts w:ascii="Arial" w:hAnsi="Arial"/>
                <w:sz w:val="20"/>
              </w:rPr>
            </w:pPr>
            <w:r>
              <w:rPr>
                <w:rFonts w:ascii="Arial" w:hAnsi="Arial"/>
                <w:sz w:val="20"/>
                <w:u w:val="single"/>
              </w:rPr>
              <w:t>Terms of Awards</w:t>
            </w:r>
            <w:r>
              <w:rPr>
                <w:rFonts w:ascii="Arial" w:hAnsi="Arial"/>
                <w:sz w:val="20"/>
              </w:rPr>
              <w:t xml:space="preserve">. The Committee may waive any conditions or rights under, amend any terms of, or amend, alter, suspend, discontinue or terminate any Award (including by substituting another Award of the same or a different type), prospectively or retroactively, without the consent of any relevant Participant or holder or beneficiary of an Award; </w:t>
            </w:r>
            <w:r>
              <w:rPr>
                <w:rFonts w:ascii="Arial" w:hAnsi="Arial"/>
                <w:sz w:val="20"/>
                <w:u w:val="single"/>
              </w:rPr>
              <w:t>provided, however,</w:t>
            </w:r>
            <w:r>
              <w:rPr>
                <w:rFonts w:ascii="Arial" w:hAnsi="Arial"/>
                <w:sz w:val="20"/>
              </w:rPr>
              <w:t> that, subject to Section 12 and Section 13, no such action shall materially adversely affect the rights of any affected Participant or holder or beneficiary under any Award, except (x) to the extent any such action is made to cause the Plan or Award to comply with applicable law, stock market or exchange rules and regulations or accounting or tax rules and regulations, or (y) to impose any clawback or recoupment provisions on any Awards (including any amounts or benefits arising from such Awards) in accordance with Section 14. The Committee shall be authorized to make adjustments in the terms and conditions of, and the criteria included in, Awards in recognition of events (including the events described in Section 12) affecting the Company, or the financial statements of the Company, or of changes in applicable laws, regulations or accounting principles, whenever the Committee determines that such adjustments are appropriate in order to prevent dilution or enlargement of the benefits or potential benefits intended to be made available under the Plan.</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(c)</w:t>
            </w:r>
          </w:p>
        </w:tc>
        <w:tc>
          <w:tcPr>
            <w:tcW w:w="9245" w:type="dxa"/>
            <w:gridSpan w:val="2"/>
            <w:tcBorders/>
            <w:shd w:fill="auto" w:val="clear"/>
            <w:vAlign w:val="center"/>
          </w:tcPr>
          <w:p>
            <w:pPr>
              <w:pStyle w:val="TableContents"/>
              <w:spacing w:before="0" w:after="283"/>
              <w:jc w:val="left"/>
              <w:rPr>
                <w:rFonts w:ascii="Arial" w:hAnsi="Arial"/>
                <w:sz w:val="20"/>
              </w:rPr>
            </w:pPr>
            <w:r>
              <w:rPr>
                <w:rFonts w:ascii="Arial" w:hAnsi="Arial"/>
                <w:sz w:val="20"/>
                <w:u w:val="single"/>
              </w:rPr>
              <w:t>No Repricing of Options and SARs</w:t>
            </w:r>
            <w:r>
              <w:rPr>
                <w:rFonts w:ascii="Arial" w:hAnsi="Arial"/>
                <w:sz w:val="20"/>
              </w:rPr>
              <w:t>. Notwithstanding any provision in the Plan to the contrary, neither the Board nor the Committee may, without obtaining prior approval by the Companys shareholders, reduce the option or exercise price of any issued and outstanding Option or SAR granted under the Plan, including through cancellation and regrant or any other method (including the repurchase of an Option or SAR that is out of the money in exchange for an Option, SAR, cash and/or other property), at any time during the term of such Option or SAR (other than by adjustment pursuant to Section 12). This Section 16(c) may not be repealed, modified or amended without the prior approval of the Companys shareholders.</w:t>
            </w:r>
          </w:p>
        </w:tc>
      </w:tr>
      <w:tr>
        <w:trPr/>
        <w:tc>
          <w:tcPr>
            <w:tcW w:w="480" w:type="dxa"/>
            <w:tcBorders/>
            <w:shd w:fill="auto" w:val="clear"/>
            <w:vAlign w:val="center"/>
          </w:tcPr>
          <w:p>
            <w:pPr>
              <w:pStyle w:val="TableContents"/>
              <w:spacing w:before="0" w:after="283"/>
              <w:jc w:val="left"/>
              <w:rPr>
                <w:rFonts w:ascii="Arial" w:hAnsi="Arial"/>
                <w:b/>
                <w:sz w:val="20"/>
              </w:rPr>
            </w:pPr>
            <w:r>
              <w:rPr>
                <w:rFonts w:ascii="Arial" w:hAnsi="Arial"/>
                <w:b/>
                <w:sz w:val="20"/>
              </w:rPr>
              <w:t>17.</w:t>
            </w:r>
          </w:p>
        </w:tc>
        <w:tc>
          <w:tcPr>
            <w:tcW w:w="9725" w:type="dxa"/>
            <w:gridSpan w:val="3"/>
            <w:tcBorders/>
            <w:shd w:fill="auto" w:val="clear"/>
            <w:vAlign w:val="center"/>
          </w:tcPr>
          <w:p>
            <w:pPr>
              <w:pStyle w:val="TableContents"/>
              <w:spacing w:before="0" w:after="283"/>
              <w:jc w:val="left"/>
              <w:rPr>
                <w:rFonts w:ascii="Arial" w:hAnsi="Arial"/>
                <w:b/>
                <w:sz w:val="20"/>
              </w:rPr>
            </w:pPr>
            <w:r>
              <w:rPr>
                <w:rFonts w:ascii="Arial" w:hAnsi="Arial"/>
                <w:b/>
                <w:sz w:val="20"/>
                <w:u w:val="single"/>
              </w:rPr>
              <w:t>MISCELLANEOUS</w:t>
            </w:r>
            <w:r>
              <w:rPr>
                <w:rFonts w:ascii="Arial" w:hAnsi="Arial"/>
                <w:b/>
                <w:sz w:val="20"/>
              </w:rPr>
              <w:t>.</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(a)</w:t>
            </w:r>
          </w:p>
        </w:tc>
        <w:tc>
          <w:tcPr>
            <w:tcW w:w="9245" w:type="dxa"/>
            <w:gridSpan w:val="2"/>
            <w:tcBorders/>
            <w:shd w:fill="auto" w:val="clear"/>
            <w:vAlign w:val="center"/>
          </w:tcPr>
          <w:p>
            <w:pPr>
              <w:pStyle w:val="TableContents"/>
              <w:spacing w:before="0" w:after="283"/>
              <w:jc w:val="left"/>
              <w:rPr>
                <w:rFonts w:ascii="Arial" w:hAnsi="Arial"/>
                <w:sz w:val="20"/>
              </w:rPr>
            </w:pPr>
            <w:r>
              <w:rPr>
                <w:rFonts w:ascii="Arial" w:hAnsi="Arial"/>
                <w:sz w:val="20"/>
              </w:rPr>
              <w:t>No Participant, or other Person shall have any claim to be granted any Award under the Plan, and there is no obligation for uniformity of treatment of Participants or holders or beneficiaries of Awards under the Plan. The terms and conditions of Awards need not be the same with respect to each recipient. Any Award granted under the Plan</w:t>
            </w:r>
          </w:p>
        </w:tc>
      </w:tr>
    </w:tbl>
    <w:p>
      <w:pPr>
        <w:pStyle w:val="TextBody"/>
        <w:spacing w:before="0" w:after="0"/>
        <w:rPr/>
      </w:pPr>
      <w:r>
        <w:rPr/>
      </w:r>
    </w:p>
    <w:tbl>
      <w:tblPr>
        <w:tblW w:w="2350" w:type="dxa"/>
        <w:jc w:val="left"/>
        <w:tblInd w:w="0" w:type="dxa"/>
        <w:tblCellMar>
          <w:top w:w="0" w:type="dxa"/>
          <w:left w:w="0" w:type="dxa"/>
          <w:bottom w:w="0" w:type="dxa"/>
          <w:right w:w="0" w:type="dxa"/>
        </w:tblCellMar>
      </w:tblPr>
      <w:tblGrid>
        <w:gridCol w:w="1580"/>
        <w:gridCol w:w="770"/>
      </w:tblGrid>
      <w:tr>
        <w:trPr/>
        <w:tc>
          <w:tcPr>
            <w:tcW w:w="1580" w:type="dxa"/>
            <w:tcBorders/>
            <w:shd w:fill="auto" w:val="clear"/>
            <w:vAlign w:val="center"/>
          </w:tcPr>
          <w:p>
            <w:pPr>
              <w:pStyle w:val="TableContents"/>
              <w:spacing w:before="0" w:after="283"/>
              <w:jc w:val="right"/>
              <w:rPr>
                <w:rFonts w:ascii="Arial" w:hAnsi="Arial"/>
                <w:sz w:val="15"/>
              </w:rPr>
            </w:pPr>
            <w:r>
              <w:rPr>
                <w:rFonts w:ascii="Arial" w:hAnsi="Arial"/>
                <w:sz w:val="15"/>
              </w:rPr>
              <w:t>2023 Proxy Statement</w:t>
            </w:r>
          </w:p>
        </w:tc>
        <w:tc>
          <w:tcPr>
            <w:tcW w:w="770" w:type="dxa"/>
            <w:tcBorders/>
            <w:shd w:fill="auto" w:val="clear"/>
            <w:vAlign w:val="center"/>
          </w:tcPr>
          <w:p>
            <w:pPr>
              <w:pStyle w:val="TableContents"/>
              <w:spacing w:before="0" w:after="283"/>
              <w:jc w:val="right"/>
              <w:rPr/>
            </w:pPr>
            <w:r>
              <w:rPr/>
              <w:t>       </w:t>
            </w:r>
            <w:r>
              <w:rPr>
                <w:rFonts w:ascii="Arial" w:hAnsi="Arial"/>
                <w:b/>
                <w:sz w:val="15"/>
              </w:rPr>
              <w:t>C-14</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10205" w:type="dxa"/>
        <w:jc w:val="left"/>
        <w:tblInd w:w="0" w:type="dxa"/>
        <w:tblCellMar>
          <w:top w:w="0" w:type="dxa"/>
          <w:left w:w="0" w:type="dxa"/>
          <w:bottom w:w="0" w:type="dxa"/>
          <w:right w:w="0" w:type="dxa"/>
        </w:tblCellMar>
      </w:tblPr>
      <w:tblGrid>
        <w:gridCol w:w="480"/>
        <w:gridCol w:w="524"/>
        <w:gridCol w:w="8789"/>
        <w:gridCol w:w="412"/>
      </w:tblGrid>
      <w:tr>
        <w:trPr/>
        <w:tc>
          <w:tcPr>
            <w:tcW w:w="480"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9201" w:type="dxa"/>
            <w:gridSpan w:val="2"/>
            <w:tcBorders/>
            <w:shd w:fill="auto" w:val="clear"/>
            <w:vAlign w:val="center"/>
          </w:tcPr>
          <w:p>
            <w:pPr>
              <w:pStyle w:val="TableContents"/>
              <w:spacing w:before="0" w:after="283"/>
              <w:jc w:val="left"/>
              <w:rPr>
                <w:rFonts w:ascii="Arial" w:hAnsi="Arial"/>
                <w:sz w:val="20"/>
              </w:rPr>
            </w:pPr>
            <w:r>
              <w:rPr>
                <w:rFonts w:ascii="Arial" w:hAnsi="Arial"/>
                <w:sz w:val="20"/>
              </w:rPr>
              <w:t>shall be a one-time grant that does not constitute a promise of future grants. The Committee, in its sole discretion, maintains the right to make available future grants under the Plan.</w:t>
            </w:r>
          </w:p>
        </w:tc>
      </w:tr>
      <w:tr>
        <w:trPr/>
        <w:tc>
          <w:tcPr>
            <w:tcW w:w="480"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jc w:val="left"/>
              <w:rPr>
                <w:rFonts w:ascii="Arial" w:hAnsi="Arial"/>
                <w:sz w:val="20"/>
              </w:rPr>
            </w:pPr>
            <w:r>
              <w:rPr>
                <w:rFonts w:ascii="Arial" w:hAnsi="Arial"/>
                <w:sz w:val="20"/>
              </w:rPr>
              <w:t>(b)</w:t>
            </w:r>
          </w:p>
        </w:tc>
        <w:tc>
          <w:tcPr>
            <w:tcW w:w="9201" w:type="dxa"/>
            <w:gridSpan w:val="2"/>
            <w:tcBorders/>
            <w:shd w:fill="auto" w:val="clear"/>
            <w:vAlign w:val="center"/>
          </w:tcPr>
          <w:p>
            <w:pPr>
              <w:pStyle w:val="TableContents"/>
              <w:spacing w:before="0" w:after="283"/>
              <w:jc w:val="left"/>
              <w:rPr>
                <w:rFonts w:ascii="Arial" w:hAnsi="Arial"/>
                <w:sz w:val="20"/>
              </w:rPr>
            </w:pPr>
            <w:r>
              <w:rPr>
                <w:rFonts w:ascii="Arial" w:hAnsi="Arial"/>
                <w:sz w:val="20"/>
              </w:rPr>
              <w:t>The grant of an Award shall not be construed as giving a Participant the right to be retained in the employ of, or to continue to provide services to, the Company or any Affiliate. Further, the Company or any applicable Affiliate may at any time dismiss a Participant, free from any liability, or any claim under the Plan, unless otherwise expressly provided in the Plan or in any Award Agreement or in any other agreement binding on the parties. The receipt of any Award a under the Plan is not intended to confer any rights on the receiving Participant except as set forth in the applicable Award Agreement and the Plan.</w:t>
            </w:r>
          </w:p>
        </w:tc>
      </w:tr>
      <w:tr>
        <w:trPr/>
        <w:tc>
          <w:tcPr>
            <w:tcW w:w="480"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jc w:val="left"/>
              <w:rPr>
                <w:rFonts w:ascii="Arial" w:hAnsi="Arial"/>
                <w:sz w:val="20"/>
              </w:rPr>
            </w:pPr>
            <w:r>
              <w:rPr>
                <w:rFonts w:ascii="Arial" w:hAnsi="Arial"/>
                <w:sz w:val="20"/>
              </w:rPr>
              <w:t>(c)</w:t>
            </w:r>
          </w:p>
        </w:tc>
        <w:tc>
          <w:tcPr>
            <w:tcW w:w="9201" w:type="dxa"/>
            <w:gridSpan w:val="2"/>
            <w:tcBorders/>
            <w:shd w:fill="auto" w:val="clear"/>
            <w:vAlign w:val="center"/>
          </w:tcPr>
          <w:p>
            <w:pPr>
              <w:pStyle w:val="TableContents"/>
              <w:spacing w:before="0" w:after="283"/>
              <w:jc w:val="left"/>
              <w:rPr>
                <w:rFonts w:ascii="Arial" w:hAnsi="Arial"/>
                <w:sz w:val="20"/>
              </w:rPr>
            </w:pPr>
            <w:r>
              <w:rPr>
                <w:rFonts w:ascii="Arial" w:hAnsi="Arial"/>
                <w:sz w:val="20"/>
              </w:rPr>
              <w:t>No payment pursuant to the Plan shall be taken into account in determining any benefits under any severance, pension, retirement, savings, profit sharing, group insurance, welfare or other benefit plan of the Company or any Affiliate, except to the extent otherwise expressly provided in writing in such other plan or an agreement thereunder.</w:t>
            </w:r>
          </w:p>
        </w:tc>
      </w:tr>
      <w:tr>
        <w:trPr/>
        <w:tc>
          <w:tcPr>
            <w:tcW w:w="480"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jc w:val="left"/>
              <w:rPr>
                <w:rFonts w:ascii="Arial" w:hAnsi="Arial"/>
                <w:sz w:val="20"/>
              </w:rPr>
            </w:pPr>
            <w:r>
              <w:rPr>
                <w:rFonts w:ascii="Arial" w:hAnsi="Arial"/>
                <w:sz w:val="20"/>
              </w:rPr>
              <w:t>(d)</w:t>
            </w:r>
          </w:p>
        </w:tc>
        <w:tc>
          <w:tcPr>
            <w:tcW w:w="9201" w:type="dxa"/>
            <w:gridSpan w:val="2"/>
            <w:tcBorders/>
            <w:shd w:fill="auto" w:val="clear"/>
            <w:vAlign w:val="center"/>
          </w:tcPr>
          <w:p>
            <w:pPr>
              <w:pStyle w:val="TableContents"/>
              <w:spacing w:before="0" w:after="283"/>
              <w:jc w:val="left"/>
              <w:rPr>
                <w:rFonts w:ascii="Arial" w:hAnsi="Arial"/>
                <w:sz w:val="20"/>
              </w:rPr>
            </w:pPr>
            <w:r>
              <w:rPr>
                <w:rFonts w:ascii="Arial" w:hAnsi="Arial"/>
                <w:sz w:val="20"/>
              </w:rPr>
              <w:t>Nothing contained in the Plan shall prevent the Company from adopting or continuing in effect other or additional compensation arrangements, and such arrangements may be either generally applicable or applicable only in specific cases.</w:t>
            </w:r>
          </w:p>
        </w:tc>
      </w:tr>
      <w:tr>
        <w:trPr/>
        <w:tc>
          <w:tcPr>
            <w:tcW w:w="480"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jc w:val="left"/>
              <w:rPr>
                <w:rFonts w:ascii="Arial" w:hAnsi="Arial"/>
                <w:sz w:val="20"/>
              </w:rPr>
            </w:pPr>
            <w:r>
              <w:rPr>
                <w:rFonts w:ascii="Arial" w:hAnsi="Arial"/>
                <w:sz w:val="20"/>
              </w:rPr>
              <w:t>(e)</w:t>
            </w:r>
          </w:p>
        </w:tc>
        <w:tc>
          <w:tcPr>
            <w:tcW w:w="9201" w:type="dxa"/>
            <w:gridSpan w:val="2"/>
            <w:tcBorders/>
            <w:shd w:fill="auto" w:val="clear"/>
            <w:vAlign w:val="center"/>
          </w:tcPr>
          <w:p>
            <w:pPr>
              <w:pStyle w:val="TableContents"/>
              <w:spacing w:before="0" w:after="283"/>
              <w:jc w:val="left"/>
              <w:rPr>
                <w:rFonts w:ascii="Arial" w:hAnsi="Arial"/>
                <w:sz w:val="20"/>
              </w:rPr>
            </w:pPr>
            <w:r>
              <w:rPr>
                <w:rFonts w:ascii="Arial" w:hAnsi="Arial"/>
                <w:sz w:val="20"/>
              </w:rPr>
              <w:t>If any provision of the Plan or any Award Agreement is or becomes or is deemed to be invalid, illegal or unenforceable in any jurisdiction, or as to any Person or Award, or would disqualify the Plan or any Award under any law deemed applicable by the Committee, such provision shall be construed or deemed amended to conform to applicable laws, or if it cannot be so construed or deemed amended without, in the determination of the Committee, materially altering the intent of the Plan or the Award Agreement, such provision shall be stricken as to such jurisdiction, Person or Award, and the remainder of the Plan and any such Award Agreement shall remain in full force and effect.</w:t>
            </w:r>
          </w:p>
        </w:tc>
      </w:tr>
      <w:tr>
        <w:trPr/>
        <w:tc>
          <w:tcPr>
            <w:tcW w:w="480"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jc w:val="left"/>
              <w:rPr>
                <w:rFonts w:ascii="Arial" w:hAnsi="Arial"/>
                <w:sz w:val="20"/>
              </w:rPr>
            </w:pPr>
            <w:r>
              <w:rPr>
                <w:rFonts w:ascii="Arial" w:hAnsi="Arial"/>
                <w:sz w:val="20"/>
              </w:rPr>
              <w:t>(f)</w:t>
            </w:r>
          </w:p>
        </w:tc>
        <w:tc>
          <w:tcPr>
            <w:tcW w:w="9201" w:type="dxa"/>
            <w:gridSpan w:val="2"/>
            <w:tcBorders/>
            <w:shd w:fill="auto" w:val="clear"/>
            <w:vAlign w:val="center"/>
          </w:tcPr>
          <w:p>
            <w:pPr>
              <w:pStyle w:val="TableContents"/>
              <w:spacing w:before="0" w:after="283"/>
              <w:jc w:val="left"/>
              <w:rPr>
                <w:rFonts w:ascii="Arial" w:hAnsi="Arial"/>
                <w:sz w:val="20"/>
              </w:rPr>
            </w:pPr>
            <w:r>
              <w:rPr>
                <w:rFonts w:ascii="Arial" w:hAnsi="Arial"/>
                <w:sz w:val="20"/>
              </w:rPr>
              <w:t>Neither the Plan nor any Award shall create or be construed to create a trust or separate fund of any kind or a fiduciary relationship between the Company and a Participant or any other Person. To the extent that any Person acquires a right to receive payments from the Company pursuant to an Award, such right shall be no greater than the right of any unsecured general creditor of the Company.</w:t>
            </w:r>
          </w:p>
        </w:tc>
      </w:tr>
      <w:tr>
        <w:trPr/>
        <w:tc>
          <w:tcPr>
            <w:tcW w:w="480"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jc w:val="left"/>
              <w:rPr>
                <w:rFonts w:ascii="Arial" w:hAnsi="Arial"/>
                <w:sz w:val="20"/>
              </w:rPr>
            </w:pPr>
            <w:r>
              <w:rPr>
                <w:rFonts w:ascii="Arial" w:hAnsi="Arial"/>
                <w:sz w:val="20"/>
              </w:rPr>
              <w:t>(g)</w:t>
            </w:r>
          </w:p>
        </w:tc>
        <w:tc>
          <w:tcPr>
            <w:tcW w:w="9201" w:type="dxa"/>
            <w:gridSpan w:val="2"/>
            <w:tcBorders/>
            <w:shd w:fill="auto" w:val="clear"/>
            <w:vAlign w:val="center"/>
          </w:tcPr>
          <w:p>
            <w:pPr>
              <w:pStyle w:val="TableContents"/>
              <w:spacing w:before="0" w:after="283"/>
              <w:jc w:val="left"/>
              <w:rPr>
                <w:rFonts w:ascii="Arial" w:hAnsi="Arial"/>
                <w:sz w:val="20"/>
              </w:rPr>
            </w:pPr>
            <w:r>
              <w:rPr>
                <w:rFonts w:ascii="Arial" w:hAnsi="Arial"/>
                <w:sz w:val="20"/>
              </w:rPr>
              <w:t>Awards may be granted to Participants who are non-United States nationals or employed or providing services outside the United States, or both, on such terms and conditions different from those applicable to Awards to Participants who are employed or providing services in the United States as may, in the judgment of the Committee, be necessary or desirable to recognize differences in local law, tax policy or custom. The Committee also may impose conditions on the exercise or vesting of Awards in order to minimize the Companys obligation with respect to tax equalization for Participants on assignments outside their home country.</w:t>
            </w:r>
          </w:p>
        </w:tc>
      </w:tr>
      <w:tr>
        <w:trPr/>
        <w:tc>
          <w:tcPr>
            <w:tcW w:w="480" w:type="dxa"/>
            <w:tcBorders/>
            <w:shd w:fill="auto" w:val="clear"/>
            <w:vAlign w:val="center"/>
          </w:tcPr>
          <w:p>
            <w:pPr>
              <w:pStyle w:val="TableContents"/>
              <w:spacing w:before="0" w:after="283"/>
              <w:jc w:val="left"/>
              <w:rPr/>
            </w:pPr>
            <w:r>
              <w:rPr/>
              <w:t>        </w:t>
            </w:r>
          </w:p>
        </w:tc>
        <w:tc>
          <w:tcPr>
            <w:tcW w:w="524" w:type="dxa"/>
            <w:tcBorders/>
            <w:shd w:fill="auto" w:val="clear"/>
            <w:vAlign w:val="center"/>
          </w:tcPr>
          <w:p>
            <w:pPr>
              <w:pStyle w:val="TableContents"/>
              <w:spacing w:before="0" w:after="283"/>
              <w:jc w:val="left"/>
              <w:rPr/>
            </w:pPr>
            <w:r>
              <w:rPr/>
              <w:t>        </w:t>
            </w:r>
          </w:p>
        </w:tc>
        <w:tc>
          <w:tcPr>
            <w:tcW w:w="8789" w:type="dxa"/>
            <w:tcBorders/>
            <w:shd w:fill="auto" w:val="clear"/>
            <w:vAlign w:val="center"/>
          </w:tcPr>
          <w:p>
            <w:pPr>
              <w:pStyle w:val="TableContents"/>
              <w:spacing w:before="0" w:after="283"/>
              <w:jc w:val="left"/>
              <w:rPr/>
            </w:pPr>
            <w:r>
              <w:rPr/>
              <w:t>        </w:t>
            </w:r>
          </w:p>
        </w:tc>
        <w:tc>
          <w:tcPr>
            <w:tcW w:w="412" w:type="dxa"/>
            <w:tcBorders/>
            <w:shd w:fill="auto" w:val="clear"/>
            <w:vAlign w:val="center"/>
          </w:tcPr>
          <w:p>
            <w:pPr>
              <w:pStyle w:val="TableContents"/>
              <w:spacing w:before="0" w:after="283"/>
              <w:rPr>
                <w:sz w:val="4"/>
                <w:szCs w:val="4"/>
              </w:rPr>
            </w:pPr>
            <w:r>
              <w:rPr>
                <w:sz w:val="4"/>
                <w:szCs w:val="4"/>
              </w:rPr>
            </w:r>
          </w:p>
        </w:tc>
      </w:tr>
      <w:tr>
        <w:trPr/>
        <w:tc>
          <w:tcPr>
            <w:tcW w:w="480" w:type="dxa"/>
            <w:tcBorders/>
            <w:shd w:fill="auto" w:val="clear"/>
            <w:vAlign w:val="center"/>
          </w:tcPr>
          <w:p>
            <w:pPr>
              <w:pStyle w:val="TableContents"/>
              <w:spacing w:before="0" w:after="283"/>
              <w:jc w:val="left"/>
              <w:rPr>
                <w:rFonts w:ascii="Arial" w:hAnsi="Arial"/>
                <w:b/>
                <w:sz w:val="20"/>
              </w:rPr>
            </w:pPr>
            <w:r>
              <w:rPr>
                <w:rFonts w:ascii="Arial" w:hAnsi="Arial"/>
                <w:b/>
                <w:sz w:val="20"/>
              </w:rPr>
              <w:t>18.</w:t>
            </w:r>
          </w:p>
        </w:tc>
        <w:tc>
          <w:tcPr>
            <w:tcW w:w="9725" w:type="dxa"/>
            <w:gridSpan w:val="3"/>
            <w:tcBorders/>
            <w:shd w:fill="auto" w:val="clear"/>
            <w:vAlign w:val="center"/>
          </w:tcPr>
          <w:p>
            <w:pPr>
              <w:pStyle w:val="TableContents"/>
              <w:spacing w:before="0" w:after="283"/>
              <w:jc w:val="left"/>
              <w:rPr>
                <w:rFonts w:ascii="Arial" w:hAnsi="Arial"/>
                <w:sz w:val="20"/>
              </w:rPr>
            </w:pPr>
            <w:r>
              <w:rPr>
                <w:rFonts w:ascii="Arial" w:hAnsi="Arial"/>
                <w:b/>
                <w:sz w:val="20"/>
                <w:u w:val="single"/>
              </w:rPr>
              <w:t>SECTION 409A OF THE CODE</w:t>
            </w:r>
            <w:r>
              <w:rPr>
                <w:rFonts w:ascii="Arial" w:hAnsi="Arial"/>
                <w:b/>
                <w:sz w:val="20"/>
              </w:rPr>
              <w:t>.</w:t>
            </w:r>
            <w:r>
              <w:rPr>
                <w:rFonts w:ascii="Arial" w:hAnsi="Arial"/>
                <w:sz w:val="20"/>
              </w:rPr>
              <w:t xml:space="preserve"> With respect to Awards subject to Section 409A of the Code, the Plan is intended to comply with the requirements of Section 409A of the Code, and the provisions of the Plan and any Award Agreement shall be interpreted in a manner that satisfies the requirements of Section 409A of the Code, and the Plan shall be operated accordingly. If any provision of the Plan or any term or condition of any Award would otherwise frustrate or conflict with this intent, the provision, term or condition shall be interpreted and deemed amended so as to avoid this conflict. Notwithstanding anything in the Plan to the contrary, if the Committee considers a Participant to be a specified employee under Section 409A of the Code at the time of such Participants separation from service (as defined in Section 409A of the Code), and any amount hereunder is deferred compensation subject to Section 409A of the Code, any distribution of such amount that otherwise would be made to such Participant with respect to an Award as a result of such separation from service shall not be made until the date that is six months after such separation from service, except to the extent that earlier distribution would not result in such Participants incurring interest or additional tax under Section 409A of the Code. If an Award includes a series of installment payments (within the meaning of Treasury Regulations § 1.409A-2(b)(2)(iii)), a Participants right to such series of installment payments shall be treated as a right to a series of separate payments and not as a right to a single payment, and if an Award includes dividend equivalents (within the meaning of Treasury Regulations § 1.409A-3(e)), a Participants right to such dividend equivalents shall be treated separately from the right to other amounts under the Award. Notwithstanding the foregoing, the tax treatment of the benefits provided under the Plan or any applicable Award Agreement is not warranted or guaranteed, and in no event shall the Company be liable for all or any portion of any taxes, penalties, interest or other expenses that may be incurred by a Participant on account of non-compliance with Section 409A of the Code.</w:t>
            </w:r>
          </w:p>
        </w:tc>
      </w:tr>
      <w:tr>
        <w:trPr/>
        <w:tc>
          <w:tcPr>
            <w:tcW w:w="480" w:type="dxa"/>
            <w:tcBorders/>
            <w:shd w:fill="auto" w:val="clear"/>
            <w:vAlign w:val="center"/>
          </w:tcPr>
          <w:p>
            <w:pPr>
              <w:pStyle w:val="TableContents"/>
              <w:spacing w:before="0" w:after="283"/>
              <w:jc w:val="left"/>
              <w:rPr>
                <w:rFonts w:ascii="Arial" w:hAnsi="Arial"/>
                <w:b/>
                <w:sz w:val="20"/>
              </w:rPr>
            </w:pPr>
            <w:r>
              <w:rPr>
                <w:rFonts w:ascii="Arial" w:hAnsi="Arial"/>
                <w:b/>
                <w:sz w:val="20"/>
              </w:rPr>
              <w:t>19.</w:t>
            </w:r>
          </w:p>
        </w:tc>
        <w:tc>
          <w:tcPr>
            <w:tcW w:w="9725" w:type="dxa"/>
            <w:gridSpan w:val="3"/>
            <w:tcBorders/>
            <w:shd w:fill="auto" w:val="clear"/>
            <w:vAlign w:val="center"/>
          </w:tcPr>
          <w:p>
            <w:pPr>
              <w:pStyle w:val="TableContents"/>
              <w:spacing w:before="0" w:after="283"/>
              <w:jc w:val="left"/>
              <w:rPr>
                <w:rFonts w:ascii="Arial" w:hAnsi="Arial"/>
                <w:sz w:val="20"/>
              </w:rPr>
            </w:pPr>
            <w:r>
              <w:rPr>
                <w:rFonts w:ascii="Arial" w:hAnsi="Arial"/>
                <w:b/>
                <w:sz w:val="20"/>
                <w:u w:val="single"/>
              </w:rPr>
              <w:t>TERM OF PLAN</w:t>
            </w:r>
            <w:r>
              <w:rPr>
                <w:rFonts w:ascii="Arial" w:hAnsi="Arial"/>
                <w:b/>
                <w:sz w:val="20"/>
              </w:rPr>
              <w:t>.</w:t>
            </w:r>
            <w:r>
              <w:rPr>
                <w:rFonts w:ascii="Arial" w:hAnsi="Arial"/>
                <w:sz w:val="20"/>
              </w:rPr>
              <w:t xml:space="preserve"> The Plan shall become effective on the Effective Date and shall expire on the tenth anniversary of the Effective Date, unless sooner terminated by the Committee.</w:t>
            </w:r>
          </w:p>
        </w:tc>
      </w:tr>
      <w:tr>
        <w:trPr/>
        <w:tc>
          <w:tcPr>
            <w:tcW w:w="480" w:type="dxa"/>
            <w:tcBorders/>
            <w:shd w:fill="auto" w:val="clear"/>
            <w:vAlign w:val="center"/>
          </w:tcPr>
          <w:p>
            <w:pPr>
              <w:pStyle w:val="TableContents"/>
              <w:spacing w:before="0" w:after="283"/>
              <w:jc w:val="left"/>
              <w:rPr>
                <w:rFonts w:ascii="Arial" w:hAnsi="Arial"/>
                <w:b/>
                <w:sz w:val="20"/>
              </w:rPr>
            </w:pPr>
            <w:r>
              <w:rPr>
                <w:rFonts w:ascii="Arial" w:hAnsi="Arial"/>
                <w:b/>
                <w:sz w:val="20"/>
              </w:rPr>
              <w:t>20.</w:t>
            </w:r>
          </w:p>
        </w:tc>
        <w:tc>
          <w:tcPr>
            <w:tcW w:w="9725" w:type="dxa"/>
            <w:gridSpan w:val="3"/>
            <w:tcBorders/>
            <w:shd w:fill="auto" w:val="clear"/>
            <w:vAlign w:val="center"/>
          </w:tcPr>
          <w:p>
            <w:pPr>
              <w:pStyle w:val="TableContents"/>
              <w:spacing w:before="0" w:after="283"/>
              <w:jc w:val="left"/>
              <w:rPr>
                <w:rFonts w:ascii="Arial" w:hAnsi="Arial"/>
                <w:sz w:val="20"/>
              </w:rPr>
            </w:pPr>
            <w:r>
              <w:rPr>
                <w:rFonts w:ascii="Arial" w:hAnsi="Arial"/>
                <w:b/>
                <w:sz w:val="20"/>
                <w:u w:val="single"/>
              </w:rPr>
              <w:t>GOVERNING LAW</w:t>
            </w:r>
            <w:r>
              <w:rPr>
                <w:rFonts w:ascii="Arial" w:hAnsi="Arial"/>
                <w:b/>
                <w:sz w:val="20"/>
              </w:rPr>
              <w:t>.</w:t>
            </w:r>
            <w:r>
              <w:rPr>
                <w:rFonts w:ascii="Arial" w:hAnsi="Arial"/>
                <w:sz w:val="20"/>
              </w:rPr>
              <w:t xml:space="preserve"> The Plan and all determinations made and actions taken pursuant to the Plan shall be governed in accordance with Pennsylvania law.</w:t>
            </w:r>
          </w:p>
        </w:tc>
      </w:tr>
    </w:tbl>
    <w:p>
      <w:pPr>
        <w:pStyle w:val="TextBody"/>
        <w:spacing w:before="0" w:after="0"/>
        <w:rPr/>
      </w:pPr>
      <w:r>
        <w:rPr/>
      </w:r>
    </w:p>
    <w:tbl>
      <w:tblPr>
        <w:tblW w:w="373" w:type="dxa"/>
        <w:jc w:val="left"/>
        <w:tblInd w:w="0" w:type="dxa"/>
        <w:tblCellMar>
          <w:top w:w="0" w:type="dxa"/>
          <w:left w:w="0" w:type="dxa"/>
          <w:bottom w:w="0" w:type="dxa"/>
          <w:right w:w="0" w:type="dxa"/>
        </w:tblCellMar>
      </w:tblPr>
      <w:tblGrid>
        <w:gridCol w:w="350"/>
        <w:gridCol w:w="23"/>
      </w:tblGrid>
      <w:tr>
        <w:trPr/>
        <w:tc>
          <w:tcPr>
            <w:tcW w:w="350" w:type="dxa"/>
            <w:tcBorders/>
            <w:shd w:fill="auto" w:val="clear"/>
            <w:vAlign w:val="center"/>
          </w:tcPr>
          <w:p>
            <w:pPr>
              <w:pStyle w:val="TableContents"/>
              <w:spacing w:before="0" w:after="283"/>
              <w:jc w:val="left"/>
              <w:rPr>
                <w:rFonts w:ascii="Arial" w:hAnsi="Arial"/>
                <w:b/>
                <w:sz w:val="15"/>
              </w:rPr>
            </w:pPr>
            <w:r>
              <w:rPr>
                <w:rFonts w:ascii="Arial" w:hAnsi="Arial"/>
                <w:b/>
                <w:sz w:val="15"/>
              </w:rPr>
              <w:t>C-15</w:t>
            </w:r>
          </w:p>
        </w:tc>
        <w:tc>
          <w:tcPr>
            <w:tcW w:w="2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p>
      <w:pPr>
        <w:pStyle w:val="TextBody"/>
        <w:rPr>
          <w:rFonts w:ascii="Arial" w:hAnsi="Arial"/>
          <w:b/>
          <w:sz w:val="36"/>
        </w:rPr>
      </w:pPr>
      <w:bookmarkStart w:id="107" w:name="appendixd"/>
      <w:bookmarkEnd w:id="107"/>
      <w:r>
        <w:rPr>
          <w:rFonts w:ascii="Arial" w:hAnsi="Arial"/>
          <w:b/>
          <w:sz w:val="36"/>
        </w:rPr>
        <w:t>Appendix D: Amended and Restated Comcast</w:t>
        <w:br/>
        <w:t>Corporation 2002 Employee Stock Purchase Plan</w:t>
      </w:r>
    </w:p>
    <w:tbl>
      <w:tblPr>
        <w:tblW w:w="10205" w:type="dxa"/>
        <w:jc w:val="left"/>
        <w:tblInd w:w="0" w:type="dxa"/>
        <w:tblCellMar>
          <w:top w:w="0" w:type="dxa"/>
          <w:left w:w="0" w:type="dxa"/>
          <w:bottom w:w="0" w:type="dxa"/>
          <w:right w:w="0" w:type="dxa"/>
        </w:tblCellMar>
      </w:tblPr>
      <w:tblGrid>
        <w:gridCol w:w="2036"/>
        <w:gridCol w:w="2094"/>
        <w:gridCol w:w="5814"/>
        <w:gridCol w:w="261"/>
      </w:tblGrid>
      <w:tr>
        <w:trPr/>
        <w:tc>
          <w:tcPr>
            <w:tcW w:w="2036" w:type="dxa"/>
            <w:tcBorders/>
            <w:shd w:fill="auto" w:val="clear"/>
            <w:vAlign w:val="center"/>
          </w:tcPr>
          <w:p>
            <w:pPr>
              <w:pStyle w:val="TableContents"/>
              <w:spacing w:before="0" w:after="283"/>
              <w:jc w:val="left"/>
              <w:rPr/>
            </w:pPr>
            <w:r>
              <w:rPr>
                <w:rStyle w:val="StrongEmphasis"/>
                <w:rFonts w:ascii="Arial" w:hAnsi="Arial"/>
                <w:sz w:val="20"/>
              </w:rPr>
              <w:t>1.</w:t>
            </w:r>
          </w:p>
        </w:tc>
        <w:tc>
          <w:tcPr>
            <w:tcW w:w="8169" w:type="dxa"/>
            <w:gridSpan w:val="3"/>
            <w:tcBorders/>
            <w:shd w:fill="auto" w:val="clear"/>
            <w:vAlign w:val="center"/>
          </w:tcPr>
          <w:p>
            <w:pPr>
              <w:pStyle w:val="TableContents"/>
              <w:spacing w:before="0" w:after="283"/>
              <w:jc w:val="left"/>
              <w:rPr/>
            </w:pPr>
            <w:r>
              <w:rPr>
                <w:rStyle w:val="StrongEmphasis"/>
                <w:rFonts w:ascii="Arial" w:hAnsi="Arial"/>
                <w:sz w:val="20"/>
                <w:u w:val="single"/>
              </w:rPr>
              <w:t>Purpose</w:t>
            </w:r>
            <w:r>
              <w:rPr>
                <w:rStyle w:val="StrongEmphasis"/>
                <w:rFonts w:ascii="Arial" w:hAnsi="Arial"/>
                <w:sz w:val="20"/>
              </w:rPr>
              <w:t>.</w:t>
            </w:r>
          </w:p>
        </w:tc>
      </w:tr>
      <w:tr>
        <w:trPr/>
        <w:tc>
          <w:tcPr>
            <w:tcW w:w="10205" w:type="dxa"/>
            <w:gridSpan w:val="4"/>
            <w:tcBorders/>
            <w:shd w:fill="auto" w:val="clear"/>
            <w:vAlign w:val="center"/>
          </w:tcPr>
          <w:p>
            <w:pPr>
              <w:pStyle w:val="TableContents"/>
              <w:spacing w:before="0" w:after="283"/>
              <w:jc w:val="left"/>
              <w:rPr>
                <w:rFonts w:ascii="Arial" w:hAnsi="Arial"/>
                <w:sz w:val="20"/>
              </w:rPr>
            </w:pPr>
            <w:r>
              <w:rPr>
                <w:rFonts w:ascii="Arial" w:hAnsi="Arial"/>
                <w:sz w:val="20"/>
              </w:rPr>
              <w:t>COMCAST CORPORATION, a Pennsylvania corporation, hereby amends and restates the Comcast Corporation 2002 Employee Stock Purchase Plan (the “Plan”). The Plan is intended to encourage and facilitate the purchase of shares of common stock of Comcast Corporation by Eligible Employees of the Company and any Participating Companies, thereby providing such Eligible Employees with a personal stake in the Company and a long-range inducement to remain in the employ of the Company and Participating Companies. It is the intention of the Company that the Plan qualify as an “employee stock purchase plan” within the meaning of section 423 of the Code.</w:t>
            </w:r>
          </w:p>
        </w:tc>
      </w:tr>
      <w:tr>
        <w:trPr/>
        <w:tc>
          <w:tcPr>
            <w:tcW w:w="2036" w:type="dxa"/>
            <w:tcBorders/>
            <w:shd w:fill="auto" w:val="clear"/>
            <w:vAlign w:val="center"/>
          </w:tcPr>
          <w:p>
            <w:pPr>
              <w:pStyle w:val="TableContents"/>
              <w:spacing w:before="0" w:after="283"/>
              <w:jc w:val="left"/>
              <w:rPr>
                <w:rFonts w:ascii="Arial" w:hAnsi="Arial"/>
                <w:b/>
                <w:sz w:val="20"/>
              </w:rPr>
            </w:pPr>
            <w:r>
              <w:rPr>
                <w:rFonts w:ascii="Arial" w:hAnsi="Arial"/>
                <w:b/>
                <w:sz w:val="20"/>
              </w:rPr>
              <w:t>2.</w:t>
            </w:r>
          </w:p>
        </w:tc>
        <w:tc>
          <w:tcPr>
            <w:tcW w:w="8169" w:type="dxa"/>
            <w:gridSpan w:val="3"/>
            <w:tcBorders/>
            <w:shd w:fill="auto" w:val="clear"/>
            <w:vAlign w:val="center"/>
          </w:tcPr>
          <w:p>
            <w:pPr>
              <w:pStyle w:val="TableContents"/>
              <w:spacing w:before="0" w:after="283"/>
              <w:jc w:val="left"/>
              <w:rPr>
                <w:rFonts w:ascii="Arial" w:hAnsi="Arial"/>
                <w:b/>
                <w:sz w:val="20"/>
              </w:rPr>
            </w:pPr>
            <w:r>
              <w:rPr>
                <w:rFonts w:ascii="Arial" w:hAnsi="Arial"/>
                <w:b/>
                <w:sz w:val="20"/>
                <w:u w:val="single"/>
              </w:rPr>
              <w:t>Definitions</w:t>
            </w:r>
            <w:r>
              <w:rPr>
                <w:rFonts w:ascii="Arial" w:hAnsi="Arial"/>
                <w:b/>
                <w:sz w:val="20"/>
              </w:rPr>
              <w:t>.</w:t>
            </w:r>
          </w:p>
        </w:tc>
      </w:tr>
      <w:tr>
        <w:trPr/>
        <w:tc>
          <w:tcPr>
            <w:tcW w:w="2036" w:type="dxa"/>
            <w:tcBorders/>
            <w:shd w:fill="auto" w:val="clear"/>
            <w:vAlign w:val="center"/>
          </w:tcPr>
          <w:p>
            <w:pPr>
              <w:pStyle w:val="TableContents"/>
              <w:spacing w:before="0" w:after="283"/>
              <w:jc w:val="left"/>
              <w:rPr/>
            </w:pPr>
            <w:r>
              <w:rPr/>
              <w:t>        </w:t>
            </w:r>
          </w:p>
        </w:tc>
        <w:tc>
          <w:tcPr>
            <w:tcW w:w="2094" w:type="dxa"/>
            <w:tcBorders/>
            <w:shd w:fill="auto" w:val="clear"/>
            <w:vAlign w:val="center"/>
          </w:tcPr>
          <w:p>
            <w:pPr>
              <w:pStyle w:val="TableContents"/>
              <w:spacing w:before="0" w:after="283"/>
              <w:jc w:val="left"/>
              <w:rPr/>
            </w:pPr>
            <w:r>
              <w:rPr/>
              <w:t>        </w:t>
            </w:r>
          </w:p>
        </w:tc>
        <w:tc>
          <w:tcPr>
            <w:tcW w:w="5814" w:type="dxa"/>
            <w:tcBorders/>
            <w:shd w:fill="auto" w:val="clear"/>
            <w:vAlign w:val="center"/>
          </w:tcPr>
          <w:p>
            <w:pPr>
              <w:pStyle w:val="TableContents"/>
              <w:spacing w:before="0" w:after="283"/>
              <w:jc w:val="left"/>
              <w:rPr/>
            </w:pPr>
            <w:r>
              <w:rPr/>
              <w:t>        </w:t>
            </w:r>
          </w:p>
        </w:tc>
        <w:tc>
          <w:tcPr>
            <w:tcW w:w="261" w:type="dxa"/>
            <w:tcBorders/>
            <w:shd w:fill="auto" w:val="clear"/>
            <w:vAlign w:val="center"/>
          </w:tcPr>
          <w:p>
            <w:pPr>
              <w:pStyle w:val="TableContents"/>
              <w:spacing w:before="0" w:after="283"/>
              <w:rPr>
                <w:sz w:val="4"/>
                <w:szCs w:val="4"/>
              </w:rPr>
            </w:pPr>
            <w:r>
              <w:rPr>
                <w:sz w:val="4"/>
                <w:szCs w:val="4"/>
              </w:rPr>
            </w:r>
          </w:p>
        </w:tc>
      </w:tr>
      <w:tr>
        <w:trPr/>
        <w:tc>
          <w:tcPr>
            <w:tcW w:w="2036" w:type="dxa"/>
            <w:tcBorders/>
            <w:shd w:fill="auto" w:val="clear"/>
            <w:vAlign w:val="center"/>
          </w:tcPr>
          <w:p>
            <w:pPr>
              <w:pStyle w:val="TableContents"/>
              <w:spacing w:before="0" w:after="283"/>
              <w:rPr>
                <w:sz w:val="4"/>
                <w:szCs w:val="4"/>
              </w:rPr>
            </w:pPr>
            <w:r>
              <w:rPr>
                <w:sz w:val="4"/>
                <w:szCs w:val="4"/>
              </w:rPr>
            </w:r>
          </w:p>
        </w:tc>
        <w:tc>
          <w:tcPr>
            <w:tcW w:w="2094" w:type="dxa"/>
            <w:tcBorders/>
            <w:shd w:fill="auto" w:val="clear"/>
            <w:vAlign w:val="center"/>
          </w:tcPr>
          <w:p>
            <w:pPr>
              <w:pStyle w:val="TableContents"/>
              <w:spacing w:before="0" w:after="283"/>
              <w:jc w:val="left"/>
              <w:rPr>
                <w:rFonts w:ascii="Arial" w:hAnsi="Arial"/>
                <w:sz w:val="20"/>
              </w:rPr>
            </w:pPr>
            <w:r>
              <w:rPr>
                <w:rFonts w:ascii="Arial" w:hAnsi="Arial"/>
                <w:sz w:val="20"/>
              </w:rPr>
              <w:t>(a)</w:t>
            </w:r>
          </w:p>
        </w:tc>
        <w:tc>
          <w:tcPr>
            <w:tcW w:w="6075" w:type="dxa"/>
            <w:gridSpan w:val="2"/>
            <w:tcBorders/>
            <w:shd w:fill="auto" w:val="clear"/>
            <w:vAlign w:val="center"/>
          </w:tcPr>
          <w:p>
            <w:pPr>
              <w:pStyle w:val="TableContents"/>
              <w:spacing w:before="0" w:after="283"/>
              <w:jc w:val="left"/>
              <w:rPr/>
            </w:pPr>
            <w:r>
              <w:rPr/>
              <w:t>“</w:t>
            </w:r>
            <w:r>
              <w:rPr>
                <w:rFonts w:ascii="Arial" w:hAnsi="Arial"/>
                <w:sz w:val="20"/>
                <w:u w:val="single"/>
              </w:rPr>
              <w:t>Account</w:t>
            </w:r>
            <w:r>
              <w:rPr>
                <w:rFonts w:ascii="Arial" w:hAnsi="Arial"/>
                <w:sz w:val="20"/>
              </w:rPr>
              <w:t>” means a bookkeeping account established by the Committee on behalf of a Participant to hold Payroll Deductions.</w:t>
            </w:r>
          </w:p>
        </w:tc>
      </w:tr>
      <w:tr>
        <w:trPr/>
        <w:tc>
          <w:tcPr>
            <w:tcW w:w="2036" w:type="dxa"/>
            <w:tcBorders/>
            <w:shd w:fill="auto" w:val="clear"/>
            <w:vAlign w:val="center"/>
          </w:tcPr>
          <w:p>
            <w:pPr>
              <w:pStyle w:val="TableContents"/>
              <w:spacing w:before="0" w:after="283"/>
              <w:rPr>
                <w:sz w:val="4"/>
                <w:szCs w:val="4"/>
              </w:rPr>
            </w:pPr>
            <w:r>
              <w:rPr>
                <w:sz w:val="4"/>
                <w:szCs w:val="4"/>
              </w:rPr>
            </w:r>
          </w:p>
        </w:tc>
        <w:tc>
          <w:tcPr>
            <w:tcW w:w="2094" w:type="dxa"/>
            <w:tcBorders/>
            <w:shd w:fill="auto" w:val="clear"/>
            <w:vAlign w:val="center"/>
          </w:tcPr>
          <w:p>
            <w:pPr>
              <w:pStyle w:val="TableContents"/>
              <w:spacing w:before="0" w:after="283"/>
              <w:jc w:val="left"/>
              <w:rPr>
                <w:rFonts w:ascii="Arial" w:hAnsi="Arial"/>
                <w:sz w:val="20"/>
              </w:rPr>
            </w:pPr>
            <w:r>
              <w:rPr>
                <w:rFonts w:ascii="Arial" w:hAnsi="Arial"/>
                <w:sz w:val="20"/>
              </w:rPr>
              <w:t>(b)</w:t>
            </w:r>
          </w:p>
        </w:tc>
        <w:tc>
          <w:tcPr>
            <w:tcW w:w="6075" w:type="dxa"/>
            <w:gridSpan w:val="2"/>
            <w:tcBorders/>
            <w:shd w:fill="auto" w:val="clear"/>
            <w:vAlign w:val="center"/>
          </w:tcPr>
          <w:p>
            <w:pPr>
              <w:pStyle w:val="TableContents"/>
              <w:spacing w:before="0" w:after="283"/>
              <w:jc w:val="left"/>
              <w:rPr/>
            </w:pPr>
            <w:r>
              <w:rPr/>
              <w:t>“</w:t>
            </w:r>
            <w:r>
              <w:rPr>
                <w:rFonts w:ascii="Arial" w:hAnsi="Arial"/>
                <w:sz w:val="20"/>
                <w:u w:val="single"/>
              </w:rPr>
              <w:t>Affiliate</w:t>
            </w:r>
            <w:r>
              <w:rPr>
                <w:rFonts w:ascii="Arial" w:hAnsi="Arial"/>
                <w:sz w:val="20"/>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tc>
      </w:tr>
      <w:tr>
        <w:trPr/>
        <w:tc>
          <w:tcPr>
            <w:tcW w:w="2036" w:type="dxa"/>
            <w:tcBorders/>
            <w:shd w:fill="auto" w:val="clear"/>
            <w:vAlign w:val="center"/>
          </w:tcPr>
          <w:p>
            <w:pPr>
              <w:pStyle w:val="TableContents"/>
              <w:spacing w:before="0" w:after="283"/>
              <w:rPr>
                <w:sz w:val="4"/>
                <w:szCs w:val="4"/>
              </w:rPr>
            </w:pPr>
            <w:r>
              <w:rPr>
                <w:sz w:val="4"/>
                <w:szCs w:val="4"/>
              </w:rPr>
            </w:r>
          </w:p>
        </w:tc>
        <w:tc>
          <w:tcPr>
            <w:tcW w:w="2094" w:type="dxa"/>
            <w:tcBorders/>
            <w:shd w:fill="auto" w:val="clear"/>
            <w:vAlign w:val="center"/>
          </w:tcPr>
          <w:p>
            <w:pPr>
              <w:pStyle w:val="TableContents"/>
              <w:spacing w:before="0" w:after="283"/>
              <w:jc w:val="left"/>
              <w:rPr>
                <w:rFonts w:ascii="Arial" w:hAnsi="Arial"/>
                <w:sz w:val="20"/>
              </w:rPr>
            </w:pPr>
            <w:r>
              <w:rPr>
                <w:rFonts w:ascii="Arial" w:hAnsi="Arial"/>
                <w:sz w:val="20"/>
              </w:rPr>
              <w:t>(c)</w:t>
            </w:r>
          </w:p>
        </w:tc>
        <w:tc>
          <w:tcPr>
            <w:tcW w:w="6075" w:type="dxa"/>
            <w:gridSpan w:val="2"/>
            <w:tcBorders/>
            <w:shd w:fill="auto" w:val="clear"/>
            <w:vAlign w:val="center"/>
          </w:tcPr>
          <w:p>
            <w:pPr>
              <w:pStyle w:val="TableContents"/>
              <w:spacing w:before="0" w:after="283"/>
              <w:jc w:val="left"/>
              <w:rPr/>
            </w:pPr>
            <w:r>
              <w:rPr/>
              <w:t>“</w:t>
            </w:r>
            <w:r>
              <w:rPr>
                <w:rFonts w:ascii="Arial" w:hAnsi="Arial"/>
                <w:sz w:val="20"/>
                <w:u w:val="single"/>
              </w:rPr>
              <w:t>Board</w:t>
            </w:r>
            <w:r>
              <w:rPr>
                <w:rFonts w:ascii="Arial" w:hAnsi="Arial"/>
                <w:sz w:val="20"/>
              </w:rPr>
              <w:t>” means the Board of Directors of the Company.</w:t>
            </w:r>
          </w:p>
        </w:tc>
      </w:tr>
      <w:tr>
        <w:trPr/>
        <w:tc>
          <w:tcPr>
            <w:tcW w:w="2036" w:type="dxa"/>
            <w:tcBorders/>
            <w:shd w:fill="auto" w:val="clear"/>
            <w:vAlign w:val="center"/>
          </w:tcPr>
          <w:p>
            <w:pPr>
              <w:pStyle w:val="TableContents"/>
              <w:spacing w:before="0" w:after="283"/>
              <w:rPr>
                <w:sz w:val="4"/>
                <w:szCs w:val="4"/>
              </w:rPr>
            </w:pPr>
            <w:r>
              <w:rPr>
                <w:sz w:val="4"/>
                <w:szCs w:val="4"/>
              </w:rPr>
            </w:r>
          </w:p>
        </w:tc>
        <w:tc>
          <w:tcPr>
            <w:tcW w:w="2094" w:type="dxa"/>
            <w:tcBorders/>
            <w:shd w:fill="auto" w:val="clear"/>
            <w:vAlign w:val="center"/>
          </w:tcPr>
          <w:p>
            <w:pPr>
              <w:pStyle w:val="TableContents"/>
              <w:spacing w:before="0" w:after="283"/>
              <w:jc w:val="left"/>
              <w:rPr>
                <w:rFonts w:ascii="Arial" w:hAnsi="Arial"/>
                <w:sz w:val="20"/>
              </w:rPr>
            </w:pPr>
            <w:r>
              <w:rPr>
                <w:rFonts w:ascii="Arial" w:hAnsi="Arial"/>
                <w:sz w:val="20"/>
              </w:rPr>
              <w:t>(d)</w:t>
            </w:r>
          </w:p>
        </w:tc>
        <w:tc>
          <w:tcPr>
            <w:tcW w:w="6075" w:type="dxa"/>
            <w:gridSpan w:val="2"/>
            <w:tcBorders/>
            <w:shd w:fill="auto" w:val="clear"/>
            <w:vAlign w:val="center"/>
          </w:tcPr>
          <w:p>
            <w:pPr>
              <w:pStyle w:val="TableContents"/>
              <w:spacing w:before="0" w:after="283"/>
              <w:jc w:val="left"/>
              <w:rPr/>
            </w:pPr>
            <w:r>
              <w:rPr/>
              <w:t>“</w:t>
            </w:r>
            <w:r>
              <w:rPr>
                <w:rFonts w:ascii="Arial" w:hAnsi="Arial"/>
                <w:sz w:val="20"/>
                <w:u w:val="single"/>
              </w:rPr>
              <w:t>Brokerage Account</w:t>
            </w:r>
            <w:r>
              <w:rPr>
                <w:rFonts w:ascii="Arial" w:hAnsi="Arial"/>
                <w:sz w:val="20"/>
              </w:rPr>
              <w:t>” means the brokerage account established under the Plan by the Company for each Participant, to which Shares purchased under the Plan shall be credited.</w:t>
            </w:r>
          </w:p>
        </w:tc>
      </w:tr>
      <w:tr>
        <w:trPr/>
        <w:tc>
          <w:tcPr>
            <w:tcW w:w="2036" w:type="dxa"/>
            <w:tcBorders/>
            <w:shd w:fill="auto" w:val="clear"/>
            <w:vAlign w:val="center"/>
          </w:tcPr>
          <w:p>
            <w:pPr>
              <w:pStyle w:val="TableContents"/>
              <w:spacing w:before="0" w:after="283"/>
              <w:rPr>
                <w:sz w:val="4"/>
                <w:szCs w:val="4"/>
              </w:rPr>
            </w:pPr>
            <w:r>
              <w:rPr>
                <w:sz w:val="4"/>
                <w:szCs w:val="4"/>
              </w:rPr>
            </w:r>
          </w:p>
        </w:tc>
        <w:tc>
          <w:tcPr>
            <w:tcW w:w="2094" w:type="dxa"/>
            <w:tcBorders/>
            <w:shd w:fill="auto" w:val="clear"/>
            <w:vAlign w:val="center"/>
          </w:tcPr>
          <w:p>
            <w:pPr>
              <w:pStyle w:val="TableContents"/>
              <w:spacing w:before="0" w:after="283"/>
              <w:jc w:val="left"/>
              <w:rPr>
                <w:rFonts w:ascii="Arial" w:hAnsi="Arial"/>
                <w:sz w:val="20"/>
              </w:rPr>
            </w:pPr>
            <w:r>
              <w:rPr>
                <w:rFonts w:ascii="Arial" w:hAnsi="Arial"/>
                <w:sz w:val="20"/>
              </w:rPr>
              <w:t>(e)</w:t>
            </w:r>
          </w:p>
        </w:tc>
        <w:tc>
          <w:tcPr>
            <w:tcW w:w="6075" w:type="dxa"/>
            <w:gridSpan w:val="2"/>
            <w:tcBorders/>
            <w:shd w:fill="auto" w:val="clear"/>
            <w:vAlign w:val="center"/>
          </w:tcPr>
          <w:p>
            <w:pPr>
              <w:pStyle w:val="TableContents"/>
              <w:spacing w:before="0" w:after="283"/>
              <w:jc w:val="left"/>
              <w:rPr/>
            </w:pPr>
            <w:r>
              <w:rPr/>
              <w:t>“</w:t>
            </w:r>
            <w:r>
              <w:rPr>
                <w:rFonts w:ascii="Arial" w:hAnsi="Arial"/>
                <w:sz w:val="20"/>
                <w:u w:val="single"/>
              </w:rPr>
              <w:t>Change of Control</w:t>
            </w:r>
            <w:r>
              <w:rPr>
                <w:rFonts w:ascii="Arial" w:hAnsi="Arial"/>
                <w:sz w:val="20"/>
              </w:rPr>
              <w:t>” means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tc>
      </w:tr>
      <w:tr>
        <w:trPr/>
        <w:tc>
          <w:tcPr>
            <w:tcW w:w="2036" w:type="dxa"/>
            <w:tcBorders/>
            <w:shd w:fill="auto" w:val="clear"/>
            <w:vAlign w:val="center"/>
          </w:tcPr>
          <w:p>
            <w:pPr>
              <w:pStyle w:val="TableContents"/>
              <w:spacing w:before="0" w:after="283"/>
              <w:rPr>
                <w:sz w:val="4"/>
                <w:szCs w:val="4"/>
              </w:rPr>
            </w:pPr>
            <w:r>
              <w:rPr>
                <w:sz w:val="4"/>
                <w:szCs w:val="4"/>
              </w:rPr>
            </w:r>
          </w:p>
        </w:tc>
        <w:tc>
          <w:tcPr>
            <w:tcW w:w="2094" w:type="dxa"/>
            <w:tcBorders/>
            <w:shd w:fill="auto" w:val="clear"/>
            <w:vAlign w:val="center"/>
          </w:tcPr>
          <w:p>
            <w:pPr>
              <w:pStyle w:val="TableContents"/>
              <w:spacing w:before="0" w:after="283"/>
              <w:jc w:val="left"/>
              <w:rPr>
                <w:rFonts w:ascii="Arial" w:hAnsi="Arial"/>
                <w:sz w:val="20"/>
              </w:rPr>
            </w:pPr>
            <w:r>
              <w:rPr>
                <w:rFonts w:ascii="Arial" w:hAnsi="Arial"/>
                <w:sz w:val="20"/>
              </w:rPr>
              <w:t>(f)</w:t>
            </w:r>
          </w:p>
        </w:tc>
        <w:tc>
          <w:tcPr>
            <w:tcW w:w="6075" w:type="dxa"/>
            <w:gridSpan w:val="2"/>
            <w:tcBorders/>
            <w:shd w:fill="auto" w:val="clear"/>
            <w:vAlign w:val="center"/>
          </w:tcPr>
          <w:p>
            <w:pPr>
              <w:pStyle w:val="TableContents"/>
              <w:spacing w:before="0" w:after="283"/>
              <w:jc w:val="left"/>
              <w:rPr/>
            </w:pPr>
            <w:r>
              <w:rPr/>
              <w:t>“</w:t>
            </w:r>
            <w:r>
              <w:rPr>
                <w:rFonts w:ascii="Arial" w:hAnsi="Arial"/>
                <w:sz w:val="20"/>
                <w:u w:val="single"/>
              </w:rPr>
              <w:t>Code</w:t>
            </w:r>
            <w:r>
              <w:rPr>
                <w:rFonts w:ascii="Arial" w:hAnsi="Arial"/>
                <w:sz w:val="20"/>
              </w:rPr>
              <w:t>” means the Internal Revenue Code of 1986, as amended.</w:t>
            </w:r>
          </w:p>
        </w:tc>
      </w:tr>
      <w:tr>
        <w:trPr/>
        <w:tc>
          <w:tcPr>
            <w:tcW w:w="2036" w:type="dxa"/>
            <w:tcBorders/>
            <w:shd w:fill="auto" w:val="clear"/>
            <w:vAlign w:val="center"/>
          </w:tcPr>
          <w:p>
            <w:pPr>
              <w:pStyle w:val="TableContents"/>
              <w:spacing w:before="0" w:after="283"/>
              <w:rPr>
                <w:sz w:val="4"/>
                <w:szCs w:val="4"/>
              </w:rPr>
            </w:pPr>
            <w:r>
              <w:rPr>
                <w:sz w:val="4"/>
                <w:szCs w:val="4"/>
              </w:rPr>
            </w:r>
          </w:p>
        </w:tc>
        <w:tc>
          <w:tcPr>
            <w:tcW w:w="2094" w:type="dxa"/>
            <w:tcBorders/>
            <w:shd w:fill="auto" w:val="clear"/>
            <w:vAlign w:val="center"/>
          </w:tcPr>
          <w:p>
            <w:pPr>
              <w:pStyle w:val="TableContents"/>
              <w:spacing w:before="0" w:after="283"/>
              <w:jc w:val="left"/>
              <w:rPr>
                <w:rFonts w:ascii="Arial" w:hAnsi="Arial"/>
                <w:sz w:val="20"/>
              </w:rPr>
            </w:pPr>
            <w:r>
              <w:rPr>
                <w:rFonts w:ascii="Arial" w:hAnsi="Arial"/>
                <w:sz w:val="20"/>
              </w:rPr>
              <w:t>(g)</w:t>
            </w:r>
          </w:p>
        </w:tc>
        <w:tc>
          <w:tcPr>
            <w:tcW w:w="6075" w:type="dxa"/>
            <w:gridSpan w:val="2"/>
            <w:tcBorders/>
            <w:shd w:fill="auto" w:val="clear"/>
            <w:vAlign w:val="center"/>
          </w:tcPr>
          <w:p>
            <w:pPr>
              <w:pStyle w:val="TableContents"/>
              <w:spacing w:before="0" w:after="283"/>
              <w:jc w:val="left"/>
              <w:rPr/>
            </w:pPr>
            <w:r>
              <w:rPr/>
              <w:t>“</w:t>
            </w:r>
            <w:r>
              <w:rPr>
                <w:rFonts w:ascii="Arial" w:hAnsi="Arial"/>
                <w:sz w:val="20"/>
                <w:u w:val="single"/>
              </w:rPr>
              <w:t>Committee</w:t>
            </w:r>
            <w:r>
              <w:rPr>
                <w:rFonts w:ascii="Arial" w:hAnsi="Arial"/>
                <w:sz w:val="20"/>
              </w:rPr>
              <w:t>” means the Compensation Committee of the Board.</w:t>
            </w:r>
          </w:p>
        </w:tc>
      </w:tr>
      <w:tr>
        <w:trPr/>
        <w:tc>
          <w:tcPr>
            <w:tcW w:w="2036" w:type="dxa"/>
            <w:tcBorders/>
            <w:shd w:fill="auto" w:val="clear"/>
            <w:vAlign w:val="center"/>
          </w:tcPr>
          <w:p>
            <w:pPr>
              <w:pStyle w:val="TableContents"/>
              <w:spacing w:before="0" w:after="283"/>
              <w:rPr>
                <w:sz w:val="4"/>
                <w:szCs w:val="4"/>
              </w:rPr>
            </w:pPr>
            <w:r>
              <w:rPr>
                <w:sz w:val="4"/>
                <w:szCs w:val="4"/>
              </w:rPr>
            </w:r>
          </w:p>
        </w:tc>
        <w:tc>
          <w:tcPr>
            <w:tcW w:w="2094" w:type="dxa"/>
            <w:tcBorders/>
            <w:shd w:fill="auto" w:val="clear"/>
            <w:vAlign w:val="center"/>
          </w:tcPr>
          <w:p>
            <w:pPr>
              <w:pStyle w:val="TableContents"/>
              <w:spacing w:before="0" w:after="283"/>
              <w:jc w:val="left"/>
              <w:rPr>
                <w:rFonts w:ascii="Arial" w:hAnsi="Arial"/>
                <w:sz w:val="20"/>
              </w:rPr>
            </w:pPr>
            <w:r>
              <w:rPr>
                <w:rFonts w:ascii="Arial" w:hAnsi="Arial"/>
                <w:sz w:val="20"/>
              </w:rPr>
              <w:t>(h)</w:t>
            </w:r>
          </w:p>
        </w:tc>
        <w:tc>
          <w:tcPr>
            <w:tcW w:w="6075" w:type="dxa"/>
            <w:gridSpan w:val="2"/>
            <w:tcBorders/>
            <w:shd w:fill="auto" w:val="clear"/>
            <w:vAlign w:val="center"/>
          </w:tcPr>
          <w:p>
            <w:pPr>
              <w:pStyle w:val="TableContents"/>
              <w:spacing w:before="0" w:after="283"/>
              <w:jc w:val="left"/>
              <w:rPr/>
            </w:pPr>
            <w:r>
              <w:rPr/>
              <w:t>“</w:t>
            </w:r>
            <w:r>
              <w:rPr>
                <w:rFonts w:ascii="Arial" w:hAnsi="Arial"/>
                <w:sz w:val="20"/>
                <w:u w:val="single"/>
              </w:rPr>
              <w:t>Company</w:t>
            </w:r>
            <w:r>
              <w:rPr>
                <w:rFonts w:ascii="Arial" w:hAnsi="Arial"/>
                <w:sz w:val="20"/>
              </w:rPr>
              <w:t>” means Comcast Corporation, a Pennsylvania corporation, including any successor thereto by merger, consolidation, acquisition of all or substantially all the assets thereof, or otherwise.</w:t>
            </w:r>
          </w:p>
        </w:tc>
      </w:tr>
      <w:tr>
        <w:trPr/>
        <w:tc>
          <w:tcPr>
            <w:tcW w:w="2036" w:type="dxa"/>
            <w:tcBorders/>
            <w:shd w:fill="auto" w:val="clear"/>
            <w:vAlign w:val="center"/>
          </w:tcPr>
          <w:p>
            <w:pPr>
              <w:pStyle w:val="TableContents"/>
              <w:spacing w:before="0" w:after="283"/>
              <w:rPr>
                <w:sz w:val="4"/>
                <w:szCs w:val="4"/>
              </w:rPr>
            </w:pPr>
            <w:r>
              <w:rPr>
                <w:sz w:val="4"/>
                <w:szCs w:val="4"/>
              </w:rPr>
            </w:r>
          </w:p>
        </w:tc>
        <w:tc>
          <w:tcPr>
            <w:tcW w:w="2094" w:type="dxa"/>
            <w:tcBorders/>
            <w:shd w:fill="auto" w:val="clear"/>
            <w:vAlign w:val="center"/>
          </w:tcPr>
          <w:p>
            <w:pPr>
              <w:pStyle w:val="TableContents"/>
              <w:spacing w:before="0" w:after="283"/>
              <w:jc w:val="left"/>
              <w:rPr>
                <w:rFonts w:ascii="Arial" w:hAnsi="Arial"/>
                <w:sz w:val="20"/>
              </w:rPr>
            </w:pPr>
            <w:r>
              <w:rPr>
                <w:rFonts w:ascii="Arial" w:hAnsi="Arial"/>
                <w:sz w:val="20"/>
              </w:rPr>
              <w:t>(i)</w:t>
            </w:r>
          </w:p>
        </w:tc>
        <w:tc>
          <w:tcPr>
            <w:tcW w:w="6075" w:type="dxa"/>
            <w:gridSpan w:val="2"/>
            <w:tcBorders/>
            <w:shd w:fill="auto" w:val="clear"/>
            <w:vAlign w:val="center"/>
          </w:tcPr>
          <w:p>
            <w:pPr>
              <w:pStyle w:val="TableContents"/>
              <w:spacing w:before="0" w:after="283"/>
              <w:jc w:val="left"/>
              <w:rPr/>
            </w:pPr>
            <w:r>
              <w:rPr/>
              <w:t>“</w:t>
            </w:r>
            <w:r>
              <w:rPr>
                <w:rFonts w:ascii="Arial" w:hAnsi="Arial"/>
                <w:sz w:val="20"/>
                <w:u w:val="single"/>
              </w:rPr>
              <w:t>Compensation</w:t>
            </w:r>
            <w:r>
              <w:rPr>
                <w:rFonts w:ascii="Arial" w:hAnsi="Arial"/>
                <w:sz w:val="20"/>
              </w:rPr>
              <w:t>” means an Eligible Employee’s wages as reported on Form W-2 (</w:t>
            </w:r>
            <w:r>
              <w:rPr>
                <w:rFonts w:ascii="Arial" w:hAnsi="Arial"/>
                <w:sz w:val="20"/>
                <w:u w:val="single"/>
              </w:rPr>
              <w:t>i.e.</w:t>
            </w:r>
            <w:r>
              <w:rPr>
                <w:rFonts w:ascii="Arial" w:hAnsi="Arial"/>
                <w:sz w:val="20"/>
              </w:rPr>
              <w:t>, wages as defined in section 3401(a) of the Code and all other payments of compensation for which the Participating Company is required to furnish the employee a written statement under sections 6041(d) and 6051(a)(3) of the Code) from a Participating Company, reduced by reimbursements or other expense allowances, fringe benefits (cash and non-cash), moving expenses, deferred compensation, and welfare benefits, but including salary reduction contributions and elective contributions that are not includible in gross income under sections 125 or 402(a)(8) of the Code.</w:t>
            </w:r>
          </w:p>
        </w:tc>
      </w:tr>
      <w:tr>
        <w:trPr/>
        <w:tc>
          <w:tcPr>
            <w:tcW w:w="2036" w:type="dxa"/>
            <w:tcBorders/>
            <w:shd w:fill="auto" w:val="clear"/>
            <w:vAlign w:val="center"/>
          </w:tcPr>
          <w:p>
            <w:pPr>
              <w:pStyle w:val="TableContents"/>
              <w:spacing w:before="0" w:after="283"/>
              <w:rPr>
                <w:sz w:val="4"/>
                <w:szCs w:val="4"/>
              </w:rPr>
            </w:pPr>
            <w:r>
              <w:rPr>
                <w:sz w:val="4"/>
                <w:szCs w:val="4"/>
              </w:rPr>
            </w:r>
          </w:p>
        </w:tc>
        <w:tc>
          <w:tcPr>
            <w:tcW w:w="2094" w:type="dxa"/>
            <w:tcBorders/>
            <w:shd w:fill="auto" w:val="clear"/>
            <w:vAlign w:val="center"/>
          </w:tcPr>
          <w:p>
            <w:pPr>
              <w:pStyle w:val="TableContents"/>
              <w:spacing w:before="0" w:after="283"/>
              <w:jc w:val="left"/>
              <w:rPr>
                <w:rFonts w:ascii="Arial" w:hAnsi="Arial"/>
                <w:sz w:val="20"/>
              </w:rPr>
            </w:pPr>
            <w:r>
              <w:rPr>
                <w:rFonts w:ascii="Arial" w:hAnsi="Arial"/>
                <w:sz w:val="20"/>
              </w:rPr>
              <w:t>(j)</w:t>
            </w:r>
          </w:p>
        </w:tc>
        <w:tc>
          <w:tcPr>
            <w:tcW w:w="6075" w:type="dxa"/>
            <w:gridSpan w:val="2"/>
            <w:tcBorders/>
            <w:shd w:fill="auto" w:val="clear"/>
            <w:vAlign w:val="center"/>
          </w:tcPr>
          <w:p>
            <w:pPr>
              <w:pStyle w:val="TableContents"/>
              <w:spacing w:before="0" w:after="283"/>
              <w:jc w:val="left"/>
              <w:rPr/>
            </w:pPr>
            <w:r>
              <w:rPr/>
              <w:t>“</w:t>
            </w:r>
            <w:r>
              <w:rPr>
                <w:rFonts w:ascii="Arial" w:hAnsi="Arial"/>
                <w:sz w:val="20"/>
                <w:u w:val="single"/>
              </w:rPr>
              <w:t>Comcast Group</w:t>
            </w:r>
            <w:r>
              <w:rPr>
                <w:rFonts w:ascii="Arial" w:hAnsi="Arial"/>
                <w:sz w:val="20"/>
              </w:rPr>
              <w:t>” means the Company and any Affiliate of the Company.</w:t>
            </w:r>
          </w:p>
        </w:tc>
      </w:tr>
      <w:tr>
        <w:trPr/>
        <w:tc>
          <w:tcPr>
            <w:tcW w:w="2036" w:type="dxa"/>
            <w:tcBorders/>
            <w:shd w:fill="auto" w:val="clear"/>
            <w:vAlign w:val="center"/>
          </w:tcPr>
          <w:p>
            <w:pPr>
              <w:pStyle w:val="TableContents"/>
              <w:spacing w:before="0" w:after="283"/>
              <w:rPr>
                <w:sz w:val="4"/>
                <w:szCs w:val="4"/>
              </w:rPr>
            </w:pPr>
            <w:r>
              <w:rPr>
                <w:sz w:val="4"/>
                <w:szCs w:val="4"/>
              </w:rPr>
            </w:r>
          </w:p>
        </w:tc>
        <w:tc>
          <w:tcPr>
            <w:tcW w:w="2094" w:type="dxa"/>
            <w:tcBorders/>
            <w:shd w:fill="auto" w:val="clear"/>
            <w:vAlign w:val="center"/>
          </w:tcPr>
          <w:p>
            <w:pPr>
              <w:pStyle w:val="TableContents"/>
              <w:spacing w:before="0" w:after="283"/>
              <w:jc w:val="left"/>
              <w:rPr>
                <w:rFonts w:ascii="Arial" w:hAnsi="Arial"/>
                <w:sz w:val="20"/>
              </w:rPr>
            </w:pPr>
            <w:r>
              <w:rPr>
                <w:rFonts w:ascii="Arial" w:hAnsi="Arial"/>
                <w:sz w:val="20"/>
              </w:rPr>
              <w:t>(k)</w:t>
            </w:r>
          </w:p>
        </w:tc>
        <w:tc>
          <w:tcPr>
            <w:tcW w:w="6075" w:type="dxa"/>
            <w:gridSpan w:val="2"/>
            <w:tcBorders/>
            <w:shd w:fill="auto" w:val="clear"/>
            <w:vAlign w:val="center"/>
          </w:tcPr>
          <w:p>
            <w:pPr>
              <w:pStyle w:val="TableContents"/>
              <w:spacing w:before="0" w:after="283"/>
              <w:jc w:val="left"/>
              <w:rPr/>
            </w:pPr>
            <w:r>
              <w:rPr/>
              <w:t>“</w:t>
            </w:r>
            <w:r>
              <w:rPr>
                <w:rFonts w:ascii="Arial" w:hAnsi="Arial"/>
                <w:sz w:val="20"/>
                <w:u w:val="single"/>
              </w:rPr>
              <w:t>Election Form</w:t>
            </w:r>
            <w:r>
              <w:rPr>
                <w:rFonts w:ascii="Arial" w:hAnsi="Arial"/>
                <w:sz w:val="20"/>
              </w:rPr>
              <w:t>” means the written or electronic form acceptable to the Committee which an Eligible Employee shall use to make an election to purchase Shares through Payroll Deductions pursuant to the Plan.</w:t>
            </w:r>
          </w:p>
        </w:tc>
      </w:tr>
      <w:tr>
        <w:trPr/>
        <w:tc>
          <w:tcPr>
            <w:tcW w:w="2036" w:type="dxa"/>
            <w:tcBorders/>
            <w:shd w:fill="auto" w:val="clear"/>
            <w:vAlign w:val="center"/>
          </w:tcPr>
          <w:p>
            <w:pPr>
              <w:pStyle w:val="TableContents"/>
              <w:spacing w:before="0" w:after="283"/>
              <w:rPr>
                <w:sz w:val="4"/>
                <w:szCs w:val="4"/>
              </w:rPr>
            </w:pPr>
            <w:r>
              <w:rPr>
                <w:sz w:val="4"/>
                <w:szCs w:val="4"/>
              </w:rPr>
            </w:r>
          </w:p>
        </w:tc>
        <w:tc>
          <w:tcPr>
            <w:tcW w:w="2094" w:type="dxa"/>
            <w:tcBorders/>
            <w:shd w:fill="auto" w:val="clear"/>
            <w:vAlign w:val="center"/>
          </w:tcPr>
          <w:p>
            <w:pPr>
              <w:pStyle w:val="TableContents"/>
              <w:spacing w:before="0" w:after="283"/>
              <w:jc w:val="left"/>
              <w:rPr>
                <w:rFonts w:ascii="Arial" w:hAnsi="Arial"/>
                <w:sz w:val="20"/>
              </w:rPr>
            </w:pPr>
            <w:r>
              <w:rPr>
                <w:rFonts w:ascii="Arial" w:hAnsi="Arial"/>
                <w:sz w:val="20"/>
              </w:rPr>
              <w:t>(l)</w:t>
            </w:r>
          </w:p>
        </w:tc>
        <w:tc>
          <w:tcPr>
            <w:tcW w:w="6075" w:type="dxa"/>
            <w:gridSpan w:val="2"/>
            <w:tcBorders/>
            <w:shd w:fill="auto" w:val="clear"/>
            <w:vAlign w:val="center"/>
          </w:tcPr>
          <w:p>
            <w:pPr>
              <w:pStyle w:val="TableContents"/>
              <w:spacing w:before="0" w:after="283"/>
              <w:jc w:val="left"/>
              <w:rPr/>
            </w:pPr>
            <w:r>
              <w:rPr/>
              <w:t>“</w:t>
            </w:r>
            <w:r>
              <w:rPr>
                <w:rFonts w:ascii="Arial" w:hAnsi="Arial"/>
                <w:sz w:val="20"/>
                <w:u w:val="single"/>
              </w:rPr>
              <w:t>Eligible Employee</w:t>
            </w:r>
            <w:r>
              <w:rPr>
                <w:rFonts w:ascii="Arial" w:hAnsi="Arial"/>
                <w:sz w:val="20"/>
              </w:rPr>
              <w:t>” means an Employee who is not an Ineligible Employee.</w:t>
            </w:r>
          </w:p>
        </w:tc>
      </w:tr>
      <w:tr>
        <w:trPr/>
        <w:tc>
          <w:tcPr>
            <w:tcW w:w="2036" w:type="dxa"/>
            <w:tcBorders/>
            <w:shd w:fill="auto" w:val="clear"/>
            <w:vAlign w:val="center"/>
          </w:tcPr>
          <w:p>
            <w:pPr>
              <w:pStyle w:val="TableContents"/>
              <w:spacing w:before="0" w:after="283"/>
              <w:rPr>
                <w:sz w:val="4"/>
                <w:szCs w:val="4"/>
              </w:rPr>
            </w:pPr>
            <w:r>
              <w:rPr>
                <w:sz w:val="4"/>
                <w:szCs w:val="4"/>
              </w:rPr>
            </w:r>
          </w:p>
        </w:tc>
        <w:tc>
          <w:tcPr>
            <w:tcW w:w="2094" w:type="dxa"/>
            <w:tcBorders/>
            <w:shd w:fill="auto" w:val="clear"/>
            <w:vAlign w:val="center"/>
          </w:tcPr>
          <w:p>
            <w:pPr>
              <w:pStyle w:val="TableContents"/>
              <w:spacing w:before="0" w:after="283"/>
              <w:jc w:val="left"/>
              <w:rPr>
                <w:rFonts w:ascii="Arial" w:hAnsi="Arial"/>
                <w:sz w:val="20"/>
              </w:rPr>
            </w:pPr>
            <w:r>
              <w:rPr>
                <w:rFonts w:ascii="Arial" w:hAnsi="Arial"/>
                <w:sz w:val="20"/>
              </w:rPr>
              <w:t>(m)</w:t>
            </w:r>
          </w:p>
        </w:tc>
        <w:tc>
          <w:tcPr>
            <w:tcW w:w="6075" w:type="dxa"/>
            <w:gridSpan w:val="2"/>
            <w:tcBorders/>
            <w:shd w:fill="auto" w:val="clear"/>
            <w:vAlign w:val="center"/>
          </w:tcPr>
          <w:p>
            <w:pPr>
              <w:pStyle w:val="TableContents"/>
              <w:spacing w:before="0" w:after="283"/>
              <w:jc w:val="left"/>
              <w:rPr/>
            </w:pPr>
            <w:r>
              <w:rPr/>
              <w:t>“</w:t>
            </w:r>
            <w:r>
              <w:rPr>
                <w:rFonts w:ascii="Arial" w:hAnsi="Arial"/>
                <w:sz w:val="20"/>
                <w:u w:val="single"/>
              </w:rPr>
              <w:t>Eligible Employer</w:t>
            </w:r>
            <w:r>
              <w:rPr>
                <w:rFonts w:ascii="Arial" w:hAnsi="Arial"/>
                <w:sz w:val="20"/>
              </w:rPr>
              <w:t>” means the Company and any subsidiary of the Company, within the meaning of section 424(f) of the Code.</w:t>
            </w:r>
          </w:p>
        </w:tc>
      </w:tr>
      <w:tr>
        <w:trPr/>
        <w:tc>
          <w:tcPr>
            <w:tcW w:w="2036" w:type="dxa"/>
            <w:tcBorders/>
            <w:shd w:fill="auto" w:val="clear"/>
            <w:vAlign w:val="center"/>
          </w:tcPr>
          <w:p>
            <w:pPr>
              <w:pStyle w:val="TableContents"/>
              <w:spacing w:before="0" w:after="283"/>
              <w:rPr>
                <w:sz w:val="4"/>
                <w:szCs w:val="4"/>
              </w:rPr>
            </w:pPr>
            <w:r>
              <w:rPr>
                <w:sz w:val="4"/>
                <w:szCs w:val="4"/>
              </w:rPr>
            </w:r>
          </w:p>
        </w:tc>
        <w:tc>
          <w:tcPr>
            <w:tcW w:w="2094" w:type="dxa"/>
            <w:tcBorders/>
            <w:shd w:fill="auto" w:val="clear"/>
            <w:vAlign w:val="center"/>
          </w:tcPr>
          <w:p>
            <w:pPr>
              <w:pStyle w:val="TableContents"/>
              <w:spacing w:before="0" w:after="283"/>
              <w:jc w:val="left"/>
              <w:rPr>
                <w:rFonts w:ascii="Arial" w:hAnsi="Arial"/>
                <w:sz w:val="20"/>
              </w:rPr>
            </w:pPr>
            <w:r>
              <w:rPr>
                <w:rFonts w:ascii="Arial" w:hAnsi="Arial"/>
                <w:sz w:val="20"/>
              </w:rPr>
              <w:t>(n)</w:t>
            </w:r>
          </w:p>
        </w:tc>
        <w:tc>
          <w:tcPr>
            <w:tcW w:w="6075" w:type="dxa"/>
            <w:gridSpan w:val="2"/>
            <w:tcBorders/>
            <w:shd w:fill="auto" w:val="clear"/>
            <w:vAlign w:val="center"/>
          </w:tcPr>
          <w:p>
            <w:pPr>
              <w:pStyle w:val="TableContents"/>
              <w:spacing w:before="0" w:after="283"/>
              <w:jc w:val="left"/>
              <w:rPr/>
            </w:pPr>
            <w:r>
              <w:rPr/>
              <w:t>“</w:t>
            </w:r>
            <w:r>
              <w:rPr>
                <w:rFonts w:ascii="Arial" w:hAnsi="Arial"/>
                <w:sz w:val="20"/>
                <w:u w:val="single"/>
              </w:rPr>
              <w:t>Employee</w:t>
            </w:r>
            <w:r>
              <w:rPr>
                <w:rFonts w:ascii="Arial" w:hAnsi="Arial"/>
                <w:sz w:val="20"/>
              </w:rPr>
              <w:t>” means a person who is an employee of a Participating Company.</w:t>
            </w:r>
          </w:p>
        </w:tc>
      </w:tr>
      <w:tr>
        <w:trPr/>
        <w:tc>
          <w:tcPr>
            <w:tcW w:w="2036" w:type="dxa"/>
            <w:tcBorders/>
            <w:shd w:fill="auto" w:val="clear"/>
            <w:vAlign w:val="center"/>
          </w:tcPr>
          <w:p>
            <w:pPr>
              <w:pStyle w:val="TableContents"/>
              <w:spacing w:before="0" w:after="283"/>
              <w:rPr>
                <w:sz w:val="4"/>
                <w:szCs w:val="4"/>
              </w:rPr>
            </w:pPr>
            <w:r>
              <w:rPr>
                <w:sz w:val="4"/>
                <w:szCs w:val="4"/>
              </w:rPr>
            </w:r>
          </w:p>
        </w:tc>
        <w:tc>
          <w:tcPr>
            <w:tcW w:w="2094" w:type="dxa"/>
            <w:tcBorders/>
            <w:shd w:fill="auto" w:val="clear"/>
            <w:vAlign w:val="center"/>
          </w:tcPr>
          <w:p>
            <w:pPr>
              <w:pStyle w:val="TableContents"/>
              <w:spacing w:before="0" w:after="283"/>
              <w:jc w:val="left"/>
              <w:rPr>
                <w:rFonts w:ascii="Arial" w:hAnsi="Arial"/>
                <w:sz w:val="20"/>
              </w:rPr>
            </w:pPr>
            <w:r>
              <w:rPr>
                <w:rFonts w:ascii="Arial" w:hAnsi="Arial"/>
                <w:sz w:val="20"/>
              </w:rPr>
              <w:t>(o)</w:t>
            </w:r>
          </w:p>
        </w:tc>
        <w:tc>
          <w:tcPr>
            <w:tcW w:w="6075" w:type="dxa"/>
            <w:gridSpan w:val="2"/>
            <w:tcBorders/>
            <w:shd w:fill="auto" w:val="clear"/>
            <w:vAlign w:val="center"/>
          </w:tcPr>
          <w:p>
            <w:pPr>
              <w:pStyle w:val="TableContents"/>
              <w:spacing w:before="0" w:after="283"/>
              <w:jc w:val="left"/>
              <w:rPr/>
            </w:pPr>
            <w:r>
              <w:rPr/>
              <w:t>“</w:t>
            </w:r>
            <w:r>
              <w:rPr>
                <w:rFonts w:ascii="Arial" w:hAnsi="Arial"/>
                <w:sz w:val="20"/>
                <w:u w:val="single"/>
              </w:rPr>
              <w:t>Fair Market Value</w:t>
            </w:r>
            <w:r>
              <w:rPr>
                <w:rFonts w:ascii="Arial" w:hAnsi="Arial"/>
                <w:sz w:val="20"/>
              </w:rPr>
              <w:t>” means the closing price per Share on the principal national securities exchange on which the Shares are listed or admitted to trading or, if not listed or traded on any such exchange, on the National Market System of the National Association of Securities Dealers Automated Quotation System (“NASDAQ”), or if not listed or traded on any such exchange or system, the fair market value as reasonably determined by the Board or the Committee, which determination shall be conclusive.</w:t>
            </w:r>
          </w:p>
        </w:tc>
      </w:tr>
    </w:tbl>
    <w:p>
      <w:pPr>
        <w:pStyle w:val="TextBody"/>
        <w:spacing w:before="0" w:after="0"/>
        <w:rPr/>
      </w:pPr>
      <w:r>
        <w:rPr/>
      </w:r>
    </w:p>
    <w:tbl>
      <w:tblPr>
        <w:tblW w:w="2260" w:type="dxa"/>
        <w:jc w:val="left"/>
        <w:tblInd w:w="0" w:type="dxa"/>
        <w:tblCellMar>
          <w:top w:w="0" w:type="dxa"/>
          <w:left w:w="0" w:type="dxa"/>
          <w:bottom w:w="0" w:type="dxa"/>
          <w:right w:w="0" w:type="dxa"/>
        </w:tblCellMar>
      </w:tblPr>
      <w:tblGrid>
        <w:gridCol w:w="1580"/>
        <w:gridCol w:w="680"/>
      </w:tblGrid>
      <w:tr>
        <w:trPr/>
        <w:tc>
          <w:tcPr>
            <w:tcW w:w="1580" w:type="dxa"/>
            <w:tcBorders/>
            <w:shd w:fill="auto" w:val="clear"/>
            <w:vAlign w:val="center"/>
          </w:tcPr>
          <w:p>
            <w:pPr>
              <w:pStyle w:val="TableContents"/>
              <w:spacing w:before="0" w:after="283"/>
              <w:jc w:val="right"/>
              <w:rPr>
                <w:rFonts w:ascii="Arial" w:hAnsi="Arial"/>
                <w:sz w:val="15"/>
              </w:rPr>
            </w:pPr>
            <w:r>
              <w:rPr>
                <w:rFonts w:ascii="Arial" w:hAnsi="Arial"/>
                <w:sz w:val="15"/>
              </w:rPr>
              <w:t>2023 Proxy Statement</w:t>
            </w:r>
          </w:p>
        </w:tc>
        <w:tc>
          <w:tcPr>
            <w:tcW w:w="680" w:type="dxa"/>
            <w:tcBorders/>
            <w:shd w:fill="auto" w:val="clear"/>
            <w:vAlign w:val="center"/>
          </w:tcPr>
          <w:p>
            <w:pPr>
              <w:pStyle w:val="TableContents"/>
              <w:spacing w:before="0" w:after="283"/>
              <w:jc w:val="right"/>
              <w:rPr/>
            </w:pPr>
            <w:r>
              <w:rPr/>
              <w:t>       </w:t>
            </w:r>
            <w:r>
              <w:rPr>
                <w:rFonts w:ascii="Arial" w:hAnsi="Arial"/>
                <w:b/>
                <w:sz w:val="15"/>
              </w:rPr>
              <w:t>D-1</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10205" w:type="dxa"/>
        <w:jc w:val="left"/>
        <w:tblInd w:w="0" w:type="dxa"/>
        <w:tblCellMar>
          <w:top w:w="0" w:type="dxa"/>
          <w:left w:w="0" w:type="dxa"/>
          <w:bottom w:w="0" w:type="dxa"/>
          <w:right w:w="0" w:type="dxa"/>
        </w:tblCellMar>
      </w:tblPr>
      <w:tblGrid>
        <w:gridCol w:w="480"/>
        <w:gridCol w:w="480"/>
        <w:gridCol w:w="988"/>
        <w:gridCol w:w="8257"/>
      </w:tblGrid>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(p)</w:t>
            </w:r>
          </w:p>
        </w:tc>
        <w:tc>
          <w:tcPr>
            <w:tcW w:w="9245" w:type="dxa"/>
            <w:gridSpan w:val="2"/>
            <w:tcBorders/>
            <w:shd w:fill="auto" w:val="clear"/>
            <w:vAlign w:val="center"/>
          </w:tcPr>
          <w:p>
            <w:pPr>
              <w:pStyle w:val="TableContents"/>
              <w:spacing w:before="0" w:after="283"/>
              <w:jc w:val="left"/>
              <w:rPr/>
            </w:pPr>
            <w:r>
              <w:rPr/>
              <w:t>“</w:t>
            </w:r>
            <w:r>
              <w:rPr>
                <w:rFonts w:ascii="Arial" w:hAnsi="Arial"/>
                <w:sz w:val="20"/>
                <w:u w:val="single"/>
              </w:rPr>
              <w:t>Five Percent Owner</w:t>
            </w:r>
            <w:r>
              <w:rPr>
                <w:rFonts w:ascii="Arial" w:hAnsi="Arial"/>
                <w:sz w:val="20"/>
              </w:rPr>
              <w:t>” means an Employee who, with respect to a Participating Company, is described in section 423(b)(3) of the Code.</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(q)</w:t>
            </w:r>
          </w:p>
        </w:tc>
        <w:tc>
          <w:tcPr>
            <w:tcW w:w="9245" w:type="dxa"/>
            <w:gridSpan w:val="2"/>
            <w:tcBorders/>
            <w:shd w:fill="auto" w:val="clear"/>
            <w:vAlign w:val="center"/>
          </w:tcPr>
          <w:p>
            <w:pPr>
              <w:pStyle w:val="TableContents"/>
              <w:spacing w:before="0" w:after="283"/>
              <w:jc w:val="left"/>
              <w:rPr/>
            </w:pPr>
            <w:r>
              <w:rPr/>
              <w:t>“</w:t>
            </w:r>
            <w:r>
              <w:rPr>
                <w:rFonts w:ascii="Arial" w:hAnsi="Arial"/>
                <w:sz w:val="20"/>
                <w:u w:val="single"/>
              </w:rPr>
              <w:t>Ineligible Employee</w:t>
            </w:r>
            <w:r>
              <w:rPr>
                <w:rFonts w:ascii="Arial" w:hAnsi="Arial"/>
                <w:sz w:val="20"/>
              </w:rPr>
              <w:t>” means an Employee who, as of an Offering Commencement Date:</w:t>
            </w:r>
          </w:p>
        </w:tc>
      </w:tr>
      <w:tr>
        <w:trPr/>
        <w:tc>
          <w:tcPr>
            <w:tcW w:w="480" w:type="dxa"/>
            <w:tcBorders/>
            <w:shd w:fill="auto" w:val="clear"/>
            <w:vAlign w:val="center"/>
          </w:tcPr>
          <w:p>
            <w:pPr>
              <w:pStyle w:val="TableContents"/>
              <w:spacing w:before="0" w:after="283"/>
              <w:jc w:val="left"/>
              <w:rPr/>
            </w:pPr>
            <w:r>
              <w:rPr/>
              <w:t>        </w:t>
            </w:r>
          </w:p>
        </w:tc>
        <w:tc>
          <w:tcPr>
            <w:tcW w:w="480" w:type="dxa"/>
            <w:tcBorders/>
            <w:shd w:fill="auto" w:val="clear"/>
            <w:vAlign w:val="center"/>
          </w:tcPr>
          <w:p>
            <w:pPr>
              <w:pStyle w:val="TableContents"/>
              <w:spacing w:before="0" w:after="283"/>
              <w:jc w:val="left"/>
              <w:rPr/>
            </w:pPr>
            <w:r>
              <w:rPr/>
              <w:t>        </w:t>
            </w:r>
          </w:p>
        </w:tc>
        <w:tc>
          <w:tcPr>
            <w:tcW w:w="988" w:type="dxa"/>
            <w:tcBorders/>
            <w:shd w:fill="auto" w:val="clear"/>
            <w:vAlign w:val="center"/>
          </w:tcPr>
          <w:p>
            <w:pPr>
              <w:pStyle w:val="TableContents"/>
              <w:spacing w:before="0" w:after="283"/>
              <w:jc w:val="left"/>
              <w:rPr/>
            </w:pPr>
            <w:r>
              <w:rPr/>
              <w:t>        </w:t>
            </w:r>
          </w:p>
        </w:tc>
        <w:tc>
          <w:tcPr>
            <w:tcW w:w="8257" w:type="dxa"/>
            <w:tcBorders/>
            <w:shd w:fill="auto" w:val="clear"/>
            <w:vAlign w:val="center"/>
          </w:tcPr>
          <w:p>
            <w:pPr>
              <w:pStyle w:val="TableContents"/>
              <w:spacing w:before="0" w:after="283"/>
              <w:rPr>
                <w:sz w:val="4"/>
                <w:szCs w:val="4"/>
              </w:rPr>
            </w:pPr>
            <w:r>
              <w:rPr>
                <w:sz w:val="4"/>
                <w:szCs w:val="4"/>
              </w:rPr>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jc w:val="left"/>
              <w:rPr>
                <w:rFonts w:ascii="Arial" w:hAnsi="Arial"/>
                <w:sz w:val="20"/>
              </w:rPr>
            </w:pPr>
            <w:r>
              <w:rPr>
                <w:rFonts w:ascii="Arial" w:hAnsi="Arial"/>
                <w:sz w:val="20"/>
              </w:rPr>
              <w:t>(1)</w:t>
            </w:r>
          </w:p>
        </w:tc>
        <w:tc>
          <w:tcPr>
            <w:tcW w:w="8257" w:type="dxa"/>
            <w:tcBorders/>
            <w:shd w:fill="auto" w:val="clear"/>
            <w:vAlign w:val="center"/>
          </w:tcPr>
          <w:p>
            <w:pPr>
              <w:pStyle w:val="TableContents"/>
              <w:spacing w:before="0" w:after="283"/>
              <w:jc w:val="left"/>
              <w:rPr>
                <w:rFonts w:ascii="Arial" w:hAnsi="Arial"/>
                <w:sz w:val="20"/>
              </w:rPr>
            </w:pPr>
            <w:r>
              <w:rPr>
                <w:rFonts w:ascii="Arial" w:hAnsi="Arial"/>
                <w:sz w:val="20"/>
              </w:rPr>
              <w:t>is a Five Percent Owner;</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jc w:val="left"/>
              <w:rPr>
                <w:rFonts w:ascii="Arial" w:hAnsi="Arial"/>
                <w:sz w:val="20"/>
              </w:rPr>
            </w:pPr>
            <w:r>
              <w:rPr>
                <w:rFonts w:ascii="Arial" w:hAnsi="Arial"/>
                <w:sz w:val="20"/>
              </w:rPr>
              <w:t>(2)</w:t>
            </w:r>
          </w:p>
        </w:tc>
        <w:tc>
          <w:tcPr>
            <w:tcW w:w="8257" w:type="dxa"/>
            <w:tcBorders/>
            <w:shd w:fill="auto" w:val="clear"/>
            <w:vAlign w:val="center"/>
          </w:tcPr>
          <w:p>
            <w:pPr>
              <w:pStyle w:val="TableContents"/>
              <w:spacing w:before="0" w:after="283"/>
              <w:jc w:val="left"/>
              <w:rPr>
                <w:rFonts w:ascii="Arial" w:hAnsi="Arial"/>
                <w:sz w:val="20"/>
              </w:rPr>
            </w:pPr>
            <w:r>
              <w:rPr>
                <w:rFonts w:ascii="Arial" w:hAnsi="Arial"/>
                <w:sz w:val="20"/>
              </w:rPr>
              <w:t>has been continuously employed by the Comcast Group on a full-time basis for less than 90 days;</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jc w:val="left"/>
              <w:rPr>
                <w:rFonts w:ascii="Arial" w:hAnsi="Arial"/>
                <w:sz w:val="20"/>
              </w:rPr>
            </w:pPr>
            <w:r>
              <w:rPr>
                <w:rFonts w:ascii="Arial" w:hAnsi="Arial"/>
                <w:sz w:val="20"/>
              </w:rPr>
              <w:t>(3)</w:t>
            </w:r>
          </w:p>
        </w:tc>
        <w:tc>
          <w:tcPr>
            <w:tcW w:w="8257" w:type="dxa"/>
            <w:tcBorders/>
            <w:shd w:fill="auto" w:val="clear"/>
            <w:vAlign w:val="center"/>
          </w:tcPr>
          <w:p>
            <w:pPr>
              <w:pStyle w:val="TableContents"/>
              <w:spacing w:before="0" w:after="283"/>
              <w:jc w:val="left"/>
              <w:rPr>
                <w:rFonts w:ascii="Arial" w:hAnsi="Arial"/>
                <w:sz w:val="20"/>
              </w:rPr>
            </w:pPr>
            <w:r>
              <w:rPr>
                <w:rFonts w:ascii="Arial" w:hAnsi="Arial"/>
                <w:sz w:val="20"/>
              </w:rPr>
              <w:t>has been continuously employed by the Comcast Group on a part-time basis for less than one year; or</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jc w:val="left"/>
              <w:rPr>
                <w:rFonts w:ascii="Arial" w:hAnsi="Arial"/>
                <w:sz w:val="20"/>
              </w:rPr>
            </w:pPr>
            <w:r>
              <w:rPr>
                <w:rFonts w:ascii="Arial" w:hAnsi="Arial"/>
                <w:sz w:val="20"/>
              </w:rPr>
              <w:t>(4)</w:t>
            </w:r>
          </w:p>
        </w:tc>
        <w:tc>
          <w:tcPr>
            <w:tcW w:w="8257" w:type="dxa"/>
            <w:tcBorders/>
            <w:shd w:fill="auto" w:val="clear"/>
            <w:vAlign w:val="center"/>
          </w:tcPr>
          <w:p>
            <w:pPr>
              <w:pStyle w:val="TableContents"/>
              <w:spacing w:before="0" w:after="283"/>
              <w:jc w:val="left"/>
              <w:rPr>
                <w:rFonts w:ascii="Arial" w:hAnsi="Arial"/>
                <w:sz w:val="20"/>
              </w:rPr>
            </w:pPr>
            <w:r>
              <w:rPr>
                <w:rFonts w:ascii="Arial" w:hAnsi="Arial"/>
                <w:sz w:val="20"/>
              </w:rPr>
              <w:t>is restricted from participating under Paragraph 3(b).</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9245" w:type="dxa"/>
            <w:gridSpan w:val="2"/>
            <w:tcBorders/>
            <w:shd w:fill="auto" w:val="clear"/>
            <w:vAlign w:val="center"/>
          </w:tcPr>
          <w:p>
            <w:pPr>
              <w:pStyle w:val="TableContents"/>
              <w:spacing w:before="0" w:after="283"/>
              <w:jc w:val="left"/>
              <w:rPr>
                <w:rFonts w:ascii="Arial" w:hAnsi="Arial"/>
                <w:sz w:val="20"/>
              </w:rPr>
            </w:pPr>
            <w:r>
              <w:rPr>
                <w:rFonts w:ascii="Arial" w:hAnsi="Arial"/>
                <w:sz w:val="20"/>
              </w:rPr>
              <w:t>For purposes of this Paragraph 2(q), an Employee is employed on a part-time basis if the Employee customarily works less than 20 hours per week. For purposes of this Paragraph 2(q), an Employee is employed on a full-time basis if the Employee customarily works 20 or more hours per week.</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(r)</w:t>
            </w:r>
          </w:p>
        </w:tc>
        <w:tc>
          <w:tcPr>
            <w:tcW w:w="9245" w:type="dxa"/>
            <w:gridSpan w:val="2"/>
            <w:tcBorders/>
            <w:shd w:fill="auto" w:val="clear"/>
            <w:vAlign w:val="center"/>
          </w:tcPr>
          <w:p>
            <w:pPr>
              <w:pStyle w:val="TableContents"/>
              <w:spacing w:before="0" w:after="283"/>
              <w:jc w:val="left"/>
              <w:rPr/>
            </w:pPr>
            <w:r>
              <w:rPr/>
              <w:t>“</w:t>
            </w:r>
            <w:r>
              <w:rPr>
                <w:rFonts w:ascii="Arial" w:hAnsi="Arial"/>
                <w:sz w:val="20"/>
                <w:u w:val="single"/>
              </w:rPr>
              <w:t>Offering</w:t>
            </w:r>
            <w:r>
              <w:rPr>
                <w:rFonts w:ascii="Arial" w:hAnsi="Arial"/>
                <w:sz w:val="20"/>
              </w:rPr>
              <w:t>” means an offering of Shares by the Company to Eligible Employees pursuant to the Plan.</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(s)</w:t>
            </w:r>
          </w:p>
        </w:tc>
        <w:tc>
          <w:tcPr>
            <w:tcW w:w="9245" w:type="dxa"/>
            <w:gridSpan w:val="2"/>
            <w:tcBorders/>
            <w:shd w:fill="auto" w:val="clear"/>
            <w:vAlign w:val="center"/>
          </w:tcPr>
          <w:p>
            <w:pPr>
              <w:pStyle w:val="TableContents"/>
              <w:spacing w:before="0" w:after="283"/>
              <w:jc w:val="left"/>
              <w:rPr/>
            </w:pPr>
            <w:r>
              <w:rPr/>
              <w:t>“</w:t>
            </w:r>
            <w:r>
              <w:rPr>
                <w:rFonts w:ascii="Arial" w:hAnsi="Arial"/>
                <w:sz w:val="20"/>
                <w:u w:val="single"/>
              </w:rPr>
              <w:t>Offering Commencement Date</w:t>
            </w:r>
            <w:r>
              <w:rPr>
                <w:rFonts w:ascii="Arial" w:hAnsi="Arial"/>
                <w:sz w:val="20"/>
              </w:rPr>
              <w:t>” means the first day of each January 1, April 1, July 1 and October 1 beginning on or after Offerings are authorized by the Board or the Committee, until the Plan Termination Date, provided that the first Offering Commencement Date shall be on the Effective Date.</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(t)</w:t>
            </w:r>
          </w:p>
        </w:tc>
        <w:tc>
          <w:tcPr>
            <w:tcW w:w="9245" w:type="dxa"/>
            <w:gridSpan w:val="2"/>
            <w:tcBorders/>
            <w:shd w:fill="auto" w:val="clear"/>
            <w:vAlign w:val="center"/>
          </w:tcPr>
          <w:p>
            <w:pPr>
              <w:pStyle w:val="TableContents"/>
              <w:spacing w:before="0" w:after="283"/>
              <w:jc w:val="left"/>
              <w:rPr/>
            </w:pPr>
            <w:r>
              <w:rPr/>
              <w:t>“</w:t>
            </w:r>
            <w:r>
              <w:rPr>
                <w:rFonts w:ascii="Arial" w:hAnsi="Arial"/>
                <w:sz w:val="20"/>
                <w:u w:val="single"/>
              </w:rPr>
              <w:t>Offering Period</w:t>
            </w:r>
            <w:r>
              <w:rPr>
                <w:rFonts w:ascii="Arial" w:hAnsi="Arial"/>
                <w:sz w:val="20"/>
              </w:rPr>
              <w:t>” means the period extending from an Offering Commencement Date through the following Offering Termination Date.</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(u)</w:t>
            </w:r>
          </w:p>
        </w:tc>
        <w:tc>
          <w:tcPr>
            <w:tcW w:w="9245" w:type="dxa"/>
            <w:gridSpan w:val="2"/>
            <w:tcBorders/>
            <w:shd w:fill="auto" w:val="clear"/>
            <w:vAlign w:val="center"/>
          </w:tcPr>
          <w:p>
            <w:pPr>
              <w:pStyle w:val="TableContents"/>
              <w:spacing w:before="0" w:after="283"/>
              <w:jc w:val="left"/>
              <w:rPr/>
            </w:pPr>
            <w:r>
              <w:rPr/>
              <w:t>“</w:t>
            </w:r>
            <w:r>
              <w:rPr>
                <w:rFonts w:ascii="Arial" w:hAnsi="Arial"/>
                <w:sz w:val="20"/>
                <w:u w:val="single"/>
              </w:rPr>
              <w:t>Offering Termination Date</w:t>
            </w:r>
            <w:r>
              <w:rPr>
                <w:rFonts w:ascii="Arial" w:hAnsi="Arial"/>
                <w:sz w:val="20"/>
              </w:rPr>
              <w:t>” means the last day of each March, June, September and December following an Offering Commencement Date, or such other Offering Termination Date established in connection with a Terminating Event.</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(v)</w:t>
            </w:r>
          </w:p>
        </w:tc>
        <w:tc>
          <w:tcPr>
            <w:tcW w:w="9245" w:type="dxa"/>
            <w:gridSpan w:val="2"/>
            <w:tcBorders/>
            <w:shd w:fill="auto" w:val="clear"/>
            <w:vAlign w:val="center"/>
          </w:tcPr>
          <w:p>
            <w:pPr>
              <w:pStyle w:val="TableContents"/>
              <w:spacing w:before="0" w:after="283"/>
              <w:jc w:val="left"/>
              <w:rPr/>
            </w:pPr>
            <w:r>
              <w:rPr/>
              <w:t>“</w:t>
            </w:r>
            <w:r>
              <w:rPr>
                <w:rFonts w:ascii="Arial" w:hAnsi="Arial"/>
                <w:sz w:val="20"/>
                <w:u w:val="single"/>
              </w:rPr>
              <w:t>Participant</w:t>
            </w:r>
            <w:r>
              <w:rPr>
                <w:rFonts w:ascii="Arial" w:hAnsi="Arial"/>
                <w:sz w:val="20"/>
              </w:rPr>
              <w:t>” means an Eligible Employee who has timely delivered an Election Form to the Committee in accordance with procedures established by the Committee.</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(w)</w:t>
            </w:r>
          </w:p>
        </w:tc>
        <w:tc>
          <w:tcPr>
            <w:tcW w:w="9245" w:type="dxa"/>
            <w:gridSpan w:val="2"/>
            <w:tcBorders/>
            <w:shd w:fill="auto" w:val="clear"/>
            <w:vAlign w:val="center"/>
          </w:tcPr>
          <w:p>
            <w:pPr>
              <w:pStyle w:val="TableContents"/>
              <w:spacing w:before="0" w:after="283"/>
              <w:jc w:val="left"/>
              <w:rPr/>
            </w:pPr>
            <w:r>
              <w:rPr/>
              <w:t>“</w:t>
            </w:r>
            <w:r>
              <w:rPr>
                <w:rFonts w:ascii="Arial" w:hAnsi="Arial"/>
                <w:sz w:val="20"/>
                <w:u w:val="single"/>
              </w:rPr>
              <w:t>Participating Company</w:t>
            </w:r>
            <w:r>
              <w:rPr>
                <w:rFonts w:ascii="Arial" w:hAnsi="Arial"/>
                <w:sz w:val="20"/>
              </w:rPr>
              <w:t>” means each Eligible Employer whose employees’ Compensation is administered under the Company’s common payroll system, other than such an Eligible Employer that is designated by the Board or Committee as an excluded Eligible Employer, provided that the Board or Committee may designate an Eligible Employer whose employees’ Compensation is not administered under the Company’s common payroll system as a Participating Company. Notwithstanding the foregoing, the Board or the Committee may delegate its authority to designate or exclude an Eligible Employer as a Participating Company under this Paragraph 2(w) to an officer of the Company or committee of two or more officers of the Company.</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(x)</w:t>
            </w:r>
          </w:p>
        </w:tc>
        <w:tc>
          <w:tcPr>
            <w:tcW w:w="9245" w:type="dxa"/>
            <w:gridSpan w:val="2"/>
            <w:tcBorders/>
            <w:shd w:fill="auto" w:val="clear"/>
            <w:vAlign w:val="center"/>
          </w:tcPr>
          <w:p>
            <w:pPr>
              <w:pStyle w:val="TableContents"/>
              <w:spacing w:before="0" w:after="283"/>
              <w:jc w:val="left"/>
              <w:rPr/>
            </w:pPr>
            <w:r>
              <w:rPr/>
              <w:t>“</w:t>
            </w:r>
            <w:r>
              <w:rPr>
                <w:rFonts w:ascii="Arial" w:hAnsi="Arial"/>
                <w:sz w:val="20"/>
                <w:u w:val="single"/>
              </w:rPr>
              <w:t>Payroll Deductions</w:t>
            </w:r>
            <w:r>
              <w:rPr>
                <w:rFonts w:ascii="Arial" w:hAnsi="Arial"/>
                <w:sz w:val="20"/>
              </w:rPr>
              <w:t>” means amounts withheld from a Participant’s Compensation pursuant to the Plan, as described in Paragraph 5.</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(y)</w:t>
            </w:r>
          </w:p>
        </w:tc>
        <w:tc>
          <w:tcPr>
            <w:tcW w:w="9245" w:type="dxa"/>
            <w:gridSpan w:val="2"/>
            <w:tcBorders/>
            <w:shd w:fill="auto" w:val="clear"/>
            <w:vAlign w:val="center"/>
          </w:tcPr>
          <w:p>
            <w:pPr>
              <w:pStyle w:val="TableContents"/>
              <w:spacing w:before="0" w:after="283"/>
              <w:jc w:val="left"/>
              <w:rPr/>
            </w:pPr>
            <w:r>
              <w:rPr/>
              <w:t>“</w:t>
            </w:r>
            <w:r>
              <w:rPr>
                <w:rFonts w:ascii="Arial" w:hAnsi="Arial"/>
                <w:sz w:val="20"/>
                <w:u w:val="single"/>
              </w:rPr>
              <w:t>Person</w:t>
            </w:r>
            <w:r>
              <w:rPr>
                <w:rFonts w:ascii="Arial" w:hAnsi="Arial"/>
                <w:sz w:val="20"/>
              </w:rPr>
              <w:t>” means an individual, a corporation, a partnership, an association, a trust or any other entity or organization.</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(z)</w:t>
            </w:r>
          </w:p>
        </w:tc>
        <w:tc>
          <w:tcPr>
            <w:tcW w:w="9245" w:type="dxa"/>
            <w:gridSpan w:val="2"/>
            <w:tcBorders/>
            <w:shd w:fill="auto" w:val="clear"/>
            <w:vAlign w:val="center"/>
          </w:tcPr>
          <w:p>
            <w:pPr>
              <w:pStyle w:val="TableContents"/>
              <w:spacing w:before="0" w:after="283"/>
              <w:jc w:val="left"/>
              <w:rPr/>
            </w:pPr>
            <w:r>
              <w:rPr/>
              <w:t>“</w:t>
            </w:r>
            <w:r>
              <w:rPr>
                <w:rFonts w:ascii="Arial" w:hAnsi="Arial"/>
                <w:sz w:val="20"/>
                <w:u w:val="single"/>
              </w:rPr>
              <w:t>Plan</w:t>
            </w:r>
            <w:r>
              <w:rPr>
                <w:rFonts w:ascii="Arial" w:hAnsi="Arial"/>
                <w:sz w:val="20"/>
              </w:rPr>
              <w:t>” means the Comcast Corporation 2002 Employee Stock Purchase Plan, as set forth in this document, and as may be amended from time to time.</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(aa)</w:t>
            </w:r>
          </w:p>
        </w:tc>
        <w:tc>
          <w:tcPr>
            <w:tcW w:w="9245" w:type="dxa"/>
            <w:gridSpan w:val="2"/>
            <w:tcBorders/>
            <w:shd w:fill="auto" w:val="clear"/>
            <w:vAlign w:val="center"/>
          </w:tcPr>
          <w:p>
            <w:pPr>
              <w:pStyle w:val="TableContents"/>
              <w:spacing w:before="0" w:after="283"/>
              <w:jc w:val="left"/>
              <w:rPr/>
            </w:pPr>
            <w:r>
              <w:rPr/>
              <w:t>“</w:t>
            </w:r>
            <w:r>
              <w:rPr>
                <w:rFonts w:ascii="Arial" w:hAnsi="Arial"/>
                <w:sz w:val="20"/>
                <w:u w:val="single"/>
              </w:rPr>
              <w:t>Plan Termination Date</w:t>
            </w:r>
            <w:r>
              <w:rPr>
                <w:rFonts w:ascii="Arial" w:hAnsi="Arial"/>
                <w:sz w:val="20"/>
              </w:rPr>
              <w:t>” means the earlier of:</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jc w:val="left"/>
              <w:rPr>
                <w:rFonts w:ascii="Arial" w:hAnsi="Arial"/>
                <w:sz w:val="20"/>
              </w:rPr>
            </w:pPr>
            <w:r>
              <w:rPr>
                <w:rFonts w:ascii="Arial" w:hAnsi="Arial"/>
                <w:sz w:val="20"/>
              </w:rPr>
              <w:t>(1)</w:t>
            </w:r>
          </w:p>
        </w:tc>
        <w:tc>
          <w:tcPr>
            <w:tcW w:w="8257" w:type="dxa"/>
            <w:tcBorders/>
            <w:shd w:fill="auto" w:val="clear"/>
            <w:vAlign w:val="center"/>
          </w:tcPr>
          <w:p>
            <w:pPr>
              <w:pStyle w:val="TableContents"/>
              <w:spacing w:before="0" w:after="283"/>
              <w:jc w:val="left"/>
              <w:rPr>
                <w:rFonts w:ascii="Arial" w:hAnsi="Arial"/>
                <w:sz w:val="20"/>
              </w:rPr>
            </w:pPr>
            <w:r>
              <w:rPr>
                <w:rFonts w:ascii="Arial" w:hAnsi="Arial"/>
                <w:sz w:val="20"/>
              </w:rPr>
              <w:t>the Offering Termination Date for the Offering in which the maximum number of Shares specified in Paragraph 9 have been issued pursuant to the Plan; or</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jc w:val="left"/>
              <w:rPr>
                <w:rFonts w:ascii="Arial" w:hAnsi="Arial"/>
                <w:sz w:val="20"/>
              </w:rPr>
            </w:pPr>
            <w:r>
              <w:rPr>
                <w:rFonts w:ascii="Arial" w:hAnsi="Arial"/>
                <w:sz w:val="20"/>
              </w:rPr>
              <w:t>(2)</w:t>
            </w:r>
          </w:p>
        </w:tc>
        <w:tc>
          <w:tcPr>
            <w:tcW w:w="8257" w:type="dxa"/>
            <w:tcBorders/>
            <w:shd w:fill="auto" w:val="clear"/>
            <w:vAlign w:val="center"/>
          </w:tcPr>
          <w:p>
            <w:pPr>
              <w:pStyle w:val="TableContents"/>
              <w:spacing w:before="0" w:after="283"/>
              <w:jc w:val="left"/>
              <w:rPr>
                <w:rFonts w:ascii="Arial" w:hAnsi="Arial"/>
                <w:sz w:val="20"/>
              </w:rPr>
            </w:pPr>
            <w:r>
              <w:rPr>
                <w:rFonts w:ascii="Arial" w:hAnsi="Arial"/>
                <w:sz w:val="20"/>
              </w:rPr>
              <w:t>the date as of which the Board or the Committee chooses to terminate the Plan as provided in Paragraph 14.</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(bb)</w:t>
            </w:r>
          </w:p>
        </w:tc>
        <w:tc>
          <w:tcPr>
            <w:tcW w:w="9245" w:type="dxa"/>
            <w:gridSpan w:val="2"/>
            <w:tcBorders/>
            <w:shd w:fill="auto" w:val="clear"/>
            <w:vAlign w:val="center"/>
          </w:tcPr>
          <w:p>
            <w:pPr>
              <w:pStyle w:val="TableContents"/>
              <w:spacing w:before="0" w:after="283"/>
              <w:jc w:val="left"/>
              <w:rPr/>
            </w:pPr>
            <w:r>
              <w:rPr/>
              <w:t>“</w:t>
            </w:r>
            <w:r>
              <w:rPr>
                <w:rFonts w:ascii="Arial" w:hAnsi="Arial"/>
                <w:sz w:val="20"/>
                <w:u w:val="single"/>
              </w:rPr>
              <w:t>Purchase Price</w:t>
            </w:r>
            <w:r>
              <w:rPr>
                <w:rFonts w:ascii="Arial" w:hAnsi="Arial"/>
                <w:sz w:val="20"/>
              </w:rPr>
              <w:t>” means 85 percent of the lesser of: (1) the Fair Market Value per Share on the Offering Commencement Date, or if such date is not a trading day, then on the next trading day thereafter or (2) the Fair Market Value per Share on the Offering Termination Date, or if such date is not a trading day, then on the trading day immediately preceding the Offering Termination Date.</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(cc)</w:t>
            </w:r>
          </w:p>
        </w:tc>
        <w:tc>
          <w:tcPr>
            <w:tcW w:w="9245" w:type="dxa"/>
            <w:gridSpan w:val="2"/>
            <w:tcBorders/>
            <w:shd w:fill="auto" w:val="clear"/>
            <w:vAlign w:val="center"/>
          </w:tcPr>
          <w:p>
            <w:pPr>
              <w:pStyle w:val="TableContents"/>
              <w:spacing w:before="0" w:after="283"/>
              <w:jc w:val="left"/>
              <w:rPr/>
            </w:pPr>
            <w:r>
              <w:rPr/>
              <w:t>“</w:t>
            </w:r>
            <w:r>
              <w:rPr>
                <w:rFonts w:ascii="Arial" w:hAnsi="Arial"/>
                <w:sz w:val="20"/>
                <w:u w:val="single"/>
              </w:rPr>
              <w:t>Shares</w:t>
            </w:r>
            <w:r>
              <w:rPr>
                <w:rFonts w:ascii="Arial" w:hAnsi="Arial"/>
                <w:sz w:val="20"/>
              </w:rPr>
              <w:t>” means shares of Comcast Corporation Class A Common Stock, par value $0.01.</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(dd)</w:t>
            </w:r>
          </w:p>
        </w:tc>
        <w:tc>
          <w:tcPr>
            <w:tcW w:w="9245" w:type="dxa"/>
            <w:gridSpan w:val="2"/>
            <w:tcBorders/>
            <w:shd w:fill="auto" w:val="clear"/>
            <w:vAlign w:val="center"/>
          </w:tcPr>
          <w:p>
            <w:pPr>
              <w:pStyle w:val="TableContents"/>
              <w:spacing w:before="0" w:after="283"/>
              <w:jc w:val="left"/>
              <w:rPr/>
            </w:pPr>
            <w:r>
              <w:rPr/>
              <w:t>“</w:t>
            </w:r>
            <w:r>
              <w:rPr>
                <w:rFonts w:ascii="Arial" w:hAnsi="Arial"/>
                <w:sz w:val="20"/>
                <w:u w:val="single"/>
              </w:rPr>
              <w:t>Successor-in-Interest</w:t>
            </w:r>
            <w:r>
              <w:rPr>
                <w:rFonts w:ascii="Arial" w:hAnsi="Arial"/>
                <w:sz w:val="20"/>
              </w:rPr>
              <w:t>” means the Participant’s executor or administrator, or such other person or entity to which the Participant’s rights under the Plan shall have passed by will or the laws of descent and distribution.</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(ee)</w:t>
            </w:r>
          </w:p>
        </w:tc>
        <w:tc>
          <w:tcPr>
            <w:tcW w:w="9245" w:type="dxa"/>
            <w:gridSpan w:val="2"/>
            <w:tcBorders/>
            <w:shd w:fill="auto" w:val="clear"/>
            <w:vAlign w:val="center"/>
          </w:tcPr>
          <w:p>
            <w:pPr>
              <w:pStyle w:val="TableContents"/>
              <w:spacing w:before="0" w:after="283"/>
              <w:jc w:val="left"/>
              <w:rPr/>
            </w:pPr>
            <w:r>
              <w:rPr/>
              <w:t>“</w:t>
            </w:r>
            <w:r>
              <w:rPr>
                <w:rFonts w:ascii="Arial" w:hAnsi="Arial"/>
                <w:sz w:val="20"/>
                <w:u w:val="single"/>
              </w:rPr>
              <w:t>Terminating Event</w:t>
            </w:r>
            <w:r>
              <w:rPr>
                <w:rFonts w:ascii="Arial" w:hAnsi="Arial"/>
                <w:sz w:val="20"/>
              </w:rPr>
              <w:t>” means any of the following events:</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jc w:val="left"/>
              <w:rPr>
                <w:rFonts w:ascii="Arial" w:hAnsi="Arial"/>
                <w:sz w:val="20"/>
              </w:rPr>
            </w:pPr>
            <w:r>
              <w:rPr>
                <w:rFonts w:ascii="Arial" w:hAnsi="Arial"/>
                <w:sz w:val="20"/>
              </w:rPr>
              <w:t>(1)</w:t>
            </w:r>
          </w:p>
        </w:tc>
        <w:tc>
          <w:tcPr>
            <w:tcW w:w="8257" w:type="dxa"/>
            <w:tcBorders/>
            <w:shd w:fill="auto" w:val="clear"/>
            <w:vAlign w:val="center"/>
          </w:tcPr>
          <w:p>
            <w:pPr>
              <w:pStyle w:val="TableContents"/>
              <w:spacing w:before="0" w:after="283"/>
              <w:jc w:val="left"/>
              <w:rPr>
                <w:rFonts w:ascii="Arial" w:hAnsi="Arial"/>
                <w:sz w:val="20"/>
              </w:rPr>
            </w:pPr>
            <w:r>
              <w:rPr>
                <w:rFonts w:ascii="Arial" w:hAnsi="Arial"/>
                <w:sz w:val="20"/>
              </w:rPr>
              <w:t>the liquidation of the Company; or</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jc w:val="left"/>
              <w:rPr>
                <w:rFonts w:ascii="Arial" w:hAnsi="Arial"/>
                <w:sz w:val="20"/>
              </w:rPr>
            </w:pPr>
            <w:r>
              <w:rPr>
                <w:rFonts w:ascii="Arial" w:hAnsi="Arial"/>
                <w:sz w:val="20"/>
              </w:rPr>
              <w:t>(2)</w:t>
            </w:r>
          </w:p>
        </w:tc>
        <w:tc>
          <w:tcPr>
            <w:tcW w:w="8257" w:type="dxa"/>
            <w:tcBorders/>
            <w:shd w:fill="auto" w:val="clear"/>
            <w:vAlign w:val="center"/>
          </w:tcPr>
          <w:p>
            <w:pPr>
              <w:pStyle w:val="TableContents"/>
              <w:spacing w:before="0" w:after="283"/>
              <w:jc w:val="left"/>
              <w:rPr>
                <w:rFonts w:ascii="Arial" w:hAnsi="Arial"/>
                <w:sz w:val="20"/>
              </w:rPr>
            </w:pPr>
            <w:r>
              <w:rPr>
                <w:rFonts w:ascii="Arial" w:hAnsi="Arial"/>
                <w:sz w:val="20"/>
              </w:rPr>
              <w:t>a Change of Control.</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(ff)</w:t>
            </w:r>
          </w:p>
        </w:tc>
        <w:tc>
          <w:tcPr>
            <w:tcW w:w="9245" w:type="dxa"/>
            <w:gridSpan w:val="2"/>
            <w:tcBorders/>
            <w:shd w:fill="auto" w:val="clear"/>
            <w:vAlign w:val="center"/>
          </w:tcPr>
          <w:p>
            <w:pPr>
              <w:pStyle w:val="TableContents"/>
              <w:spacing w:before="0" w:after="283"/>
              <w:jc w:val="left"/>
              <w:rPr/>
            </w:pPr>
            <w:r>
              <w:rPr/>
              <w:t>“</w:t>
            </w:r>
            <w:r>
              <w:rPr>
                <w:rFonts w:ascii="Arial" w:hAnsi="Arial"/>
                <w:sz w:val="20"/>
                <w:u w:val="single"/>
              </w:rPr>
              <w:t>Third Party</w:t>
            </w:r>
            <w:r>
              <w:rPr>
                <w:rFonts w:ascii="Arial" w:hAnsi="Arial"/>
                <w:sz w:val="20"/>
              </w:rPr>
              <w:t>” means any Person, together with such Person’s Affiliates, provided that the term “Third Party” shall not include the Company or an Affiliate of the Company.</w:t>
            </w:r>
          </w:p>
        </w:tc>
      </w:tr>
    </w:tbl>
    <w:p>
      <w:pPr>
        <w:pStyle w:val="TextBody"/>
        <w:spacing w:before="0" w:after="0"/>
        <w:rPr/>
      </w:pPr>
      <w:r>
        <w:rPr/>
      </w:r>
    </w:p>
    <w:tbl>
      <w:tblPr>
        <w:tblW w:w="283" w:type="dxa"/>
        <w:jc w:val="left"/>
        <w:tblInd w:w="0" w:type="dxa"/>
        <w:tblCellMar>
          <w:top w:w="0" w:type="dxa"/>
          <w:left w:w="0" w:type="dxa"/>
          <w:bottom w:w="0" w:type="dxa"/>
          <w:right w:w="0" w:type="dxa"/>
        </w:tblCellMar>
      </w:tblPr>
      <w:tblGrid>
        <w:gridCol w:w="260"/>
        <w:gridCol w:w="23"/>
      </w:tblGrid>
      <w:tr>
        <w:trPr/>
        <w:tc>
          <w:tcPr>
            <w:tcW w:w="260" w:type="dxa"/>
            <w:tcBorders/>
            <w:shd w:fill="auto" w:val="clear"/>
            <w:vAlign w:val="center"/>
          </w:tcPr>
          <w:p>
            <w:pPr>
              <w:pStyle w:val="TableContents"/>
              <w:spacing w:before="0" w:after="283"/>
              <w:jc w:val="left"/>
              <w:rPr>
                <w:rFonts w:ascii="Arial" w:hAnsi="Arial"/>
                <w:b/>
                <w:sz w:val="15"/>
              </w:rPr>
            </w:pPr>
            <w:r>
              <w:rPr>
                <w:rFonts w:ascii="Arial" w:hAnsi="Arial"/>
                <w:b/>
                <w:sz w:val="15"/>
              </w:rPr>
              <w:t>D-2</w:t>
            </w:r>
          </w:p>
        </w:tc>
        <w:tc>
          <w:tcPr>
            <w:tcW w:w="2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10205" w:type="dxa"/>
        <w:jc w:val="left"/>
        <w:tblInd w:w="0" w:type="dxa"/>
        <w:tblCellMar>
          <w:top w:w="0" w:type="dxa"/>
          <w:left w:w="0" w:type="dxa"/>
          <w:bottom w:w="0" w:type="dxa"/>
          <w:right w:w="0" w:type="dxa"/>
        </w:tblCellMar>
      </w:tblPr>
      <w:tblGrid>
        <w:gridCol w:w="516"/>
        <w:gridCol w:w="516"/>
        <w:gridCol w:w="550"/>
        <w:gridCol w:w="8623"/>
      </w:tblGrid>
      <w:tr>
        <w:trPr/>
        <w:tc>
          <w:tcPr>
            <w:tcW w:w="516"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jc w:val="left"/>
              <w:rPr>
                <w:rFonts w:ascii="Arial" w:hAnsi="Arial"/>
                <w:sz w:val="20"/>
              </w:rPr>
            </w:pPr>
            <w:r>
              <w:rPr>
                <w:rFonts w:ascii="Arial" w:hAnsi="Arial"/>
                <w:sz w:val="20"/>
              </w:rPr>
              <w:t>(gg)</w:t>
            </w:r>
          </w:p>
        </w:tc>
        <w:tc>
          <w:tcPr>
            <w:tcW w:w="9173" w:type="dxa"/>
            <w:gridSpan w:val="2"/>
            <w:tcBorders/>
            <w:shd w:fill="auto" w:val="clear"/>
            <w:vAlign w:val="center"/>
          </w:tcPr>
          <w:p>
            <w:pPr>
              <w:pStyle w:val="TableContents"/>
              <w:spacing w:before="0" w:after="283"/>
              <w:jc w:val="left"/>
              <w:rPr/>
            </w:pPr>
            <w:r>
              <w:rPr/>
              <w:t>“</w:t>
            </w:r>
            <w:r>
              <w:rPr>
                <w:rFonts w:ascii="Arial" w:hAnsi="Arial"/>
                <w:sz w:val="20"/>
                <w:u w:val="single"/>
              </w:rPr>
              <w:t>Termination Form</w:t>
            </w:r>
            <w:r>
              <w:rPr>
                <w:rFonts w:ascii="Arial" w:hAnsi="Arial"/>
                <w:sz w:val="20"/>
              </w:rPr>
              <w:t>” means the written or electronic form acceptable to the Committee which an Employee shall use to discontinue participation during an Offering Period pursuant to Paragraph 7(b).</w:t>
            </w:r>
          </w:p>
        </w:tc>
      </w:tr>
      <w:tr>
        <w:trPr/>
        <w:tc>
          <w:tcPr>
            <w:tcW w:w="516" w:type="dxa"/>
            <w:tcBorders/>
            <w:shd w:fill="auto" w:val="clear"/>
            <w:vAlign w:val="center"/>
          </w:tcPr>
          <w:p>
            <w:pPr>
              <w:pStyle w:val="TableContents"/>
              <w:spacing w:before="0" w:after="283"/>
              <w:jc w:val="left"/>
              <w:rPr>
                <w:rFonts w:ascii="Arial" w:hAnsi="Arial"/>
                <w:b/>
                <w:sz w:val="20"/>
              </w:rPr>
            </w:pPr>
            <w:r>
              <w:rPr>
                <w:rFonts w:ascii="Arial" w:hAnsi="Arial"/>
                <w:b/>
                <w:sz w:val="20"/>
              </w:rPr>
              <w:t>3.</w:t>
            </w:r>
          </w:p>
        </w:tc>
        <w:tc>
          <w:tcPr>
            <w:tcW w:w="9689" w:type="dxa"/>
            <w:gridSpan w:val="3"/>
            <w:tcBorders/>
            <w:shd w:fill="auto" w:val="clear"/>
            <w:vAlign w:val="center"/>
          </w:tcPr>
          <w:p>
            <w:pPr>
              <w:pStyle w:val="TableContents"/>
              <w:spacing w:before="0" w:after="283"/>
              <w:jc w:val="left"/>
              <w:rPr>
                <w:rFonts w:ascii="Arial" w:hAnsi="Arial"/>
                <w:b/>
                <w:sz w:val="20"/>
              </w:rPr>
            </w:pPr>
            <w:r>
              <w:rPr>
                <w:rFonts w:ascii="Arial" w:hAnsi="Arial"/>
                <w:b/>
                <w:sz w:val="20"/>
                <w:u w:val="single"/>
              </w:rPr>
              <w:t>Eligibility and Participation</w:t>
            </w:r>
            <w:r>
              <w:rPr>
                <w:rFonts w:ascii="Arial" w:hAnsi="Arial"/>
                <w:b/>
                <w:sz w:val="20"/>
              </w:rPr>
              <w:t>.</w:t>
            </w:r>
          </w:p>
        </w:tc>
      </w:tr>
      <w:tr>
        <w:trPr/>
        <w:tc>
          <w:tcPr>
            <w:tcW w:w="516"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jc w:val="left"/>
              <w:rPr>
                <w:rFonts w:ascii="Arial" w:hAnsi="Arial"/>
                <w:sz w:val="20"/>
              </w:rPr>
            </w:pPr>
            <w:r>
              <w:rPr>
                <w:rFonts w:ascii="Arial" w:hAnsi="Arial"/>
                <w:sz w:val="20"/>
              </w:rPr>
              <w:t>(a)</w:t>
            </w:r>
          </w:p>
        </w:tc>
        <w:tc>
          <w:tcPr>
            <w:tcW w:w="9173" w:type="dxa"/>
            <w:gridSpan w:val="2"/>
            <w:tcBorders/>
            <w:shd w:fill="auto" w:val="clear"/>
            <w:vAlign w:val="center"/>
          </w:tcPr>
          <w:p>
            <w:pPr>
              <w:pStyle w:val="TableContents"/>
              <w:spacing w:before="0" w:after="283"/>
              <w:jc w:val="left"/>
              <w:rPr>
                <w:rFonts w:ascii="Arial" w:hAnsi="Arial"/>
                <w:sz w:val="20"/>
              </w:rPr>
            </w:pPr>
            <w:r>
              <w:rPr>
                <w:rFonts w:ascii="Arial" w:hAnsi="Arial"/>
                <w:sz w:val="20"/>
                <w:u w:val="single"/>
              </w:rPr>
              <w:t>Eligibility</w:t>
            </w:r>
            <w:r>
              <w:rPr>
                <w:rFonts w:ascii="Arial" w:hAnsi="Arial"/>
                <w:sz w:val="20"/>
              </w:rPr>
              <w:t>. Except to the extent participation is restricted under Paragraph 3(b), each Eligible Employee shall be eligible to participate in the Plan.</w:t>
            </w:r>
          </w:p>
        </w:tc>
      </w:tr>
      <w:tr>
        <w:trPr/>
        <w:tc>
          <w:tcPr>
            <w:tcW w:w="516"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jc w:val="left"/>
              <w:rPr>
                <w:rFonts w:ascii="Arial" w:hAnsi="Arial"/>
                <w:sz w:val="20"/>
              </w:rPr>
            </w:pPr>
            <w:r>
              <w:rPr>
                <w:rFonts w:ascii="Arial" w:hAnsi="Arial"/>
                <w:sz w:val="20"/>
              </w:rPr>
              <w:t>(b)</w:t>
            </w:r>
          </w:p>
        </w:tc>
        <w:tc>
          <w:tcPr>
            <w:tcW w:w="9173" w:type="dxa"/>
            <w:gridSpan w:val="2"/>
            <w:tcBorders/>
            <w:shd w:fill="auto" w:val="clear"/>
            <w:vAlign w:val="center"/>
          </w:tcPr>
          <w:p>
            <w:pPr>
              <w:pStyle w:val="TableContents"/>
              <w:spacing w:before="0" w:after="283"/>
              <w:jc w:val="left"/>
              <w:rPr>
                <w:rFonts w:ascii="Arial" w:hAnsi="Arial"/>
                <w:sz w:val="20"/>
              </w:rPr>
            </w:pPr>
            <w:r>
              <w:rPr>
                <w:rFonts w:ascii="Arial" w:hAnsi="Arial"/>
                <w:sz w:val="20"/>
                <w:u w:val="single"/>
              </w:rPr>
              <w:t>Restrictions on Participation</w:t>
            </w:r>
            <w:r>
              <w:rPr>
                <w:rFonts w:ascii="Arial" w:hAnsi="Arial"/>
                <w:sz w:val="20"/>
              </w:rPr>
              <w:t>. Notwithstanding any provisions of the Plan to the contrary, no Employee shall be eligible to purchase Shares in an Offering to the extent that:</w:t>
            </w:r>
          </w:p>
        </w:tc>
      </w:tr>
      <w:tr>
        <w:trPr/>
        <w:tc>
          <w:tcPr>
            <w:tcW w:w="516" w:type="dxa"/>
            <w:tcBorders/>
            <w:shd w:fill="auto" w:val="clear"/>
            <w:vAlign w:val="center"/>
          </w:tcPr>
          <w:p>
            <w:pPr>
              <w:pStyle w:val="TableContents"/>
              <w:spacing w:before="0" w:after="283"/>
              <w:jc w:val="left"/>
              <w:rPr/>
            </w:pPr>
            <w:r>
              <w:rPr/>
              <w:t>        </w:t>
            </w:r>
          </w:p>
        </w:tc>
        <w:tc>
          <w:tcPr>
            <w:tcW w:w="516" w:type="dxa"/>
            <w:tcBorders/>
            <w:shd w:fill="auto" w:val="clear"/>
            <w:vAlign w:val="center"/>
          </w:tcPr>
          <w:p>
            <w:pPr>
              <w:pStyle w:val="TableContents"/>
              <w:spacing w:before="0" w:after="283"/>
              <w:jc w:val="left"/>
              <w:rPr/>
            </w:pPr>
            <w:r>
              <w:rPr/>
              <w:t>        </w:t>
            </w:r>
          </w:p>
        </w:tc>
        <w:tc>
          <w:tcPr>
            <w:tcW w:w="550" w:type="dxa"/>
            <w:tcBorders/>
            <w:shd w:fill="auto" w:val="clear"/>
            <w:vAlign w:val="center"/>
          </w:tcPr>
          <w:p>
            <w:pPr>
              <w:pStyle w:val="TableContents"/>
              <w:spacing w:before="0" w:after="283"/>
              <w:jc w:val="left"/>
              <w:rPr/>
            </w:pPr>
            <w:r>
              <w:rPr/>
              <w:t>        </w:t>
            </w:r>
          </w:p>
        </w:tc>
        <w:tc>
          <w:tcPr>
            <w:tcW w:w="8623" w:type="dxa"/>
            <w:tcBorders/>
            <w:shd w:fill="auto" w:val="clear"/>
            <w:vAlign w:val="center"/>
          </w:tcPr>
          <w:p>
            <w:pPr>
              <w:pStyle w:val="TableContents"/>
              <w:spacing w:before="0" w:after="283"/>
              <w:rPr>
                <w:sz w:val="4"/>
                <w:szCs w:val="4"/>
              </w:rPr>
            </w:pPr>
            <w:r>
              <w:rPr>
                <w:sz w:val="4"/>
                <w:szCs w:val="4"/>
              </w:rPr>
            </w:r>
          </w:p>
        </w:tc>
      </w:tr>
      <w:tr>
        <w:trPr/>
        <w:tc>
          <w:tcPr>
            <w:tcW w:w="516"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550" w:type="dxa"/>
            <w:tcBorders/>
            <w:shd w:fill="auto" w:val="clear"/>
            <w:vAlign w:val="center"/>
          </w:tcPr>
          <w:p>
            <w:pPr>
              <w:pStyle w:val="TableContents"/>
              <w:spacing w:before="0" w:after="283"/>
              <w:jc w:val="left"/>
              <w:rPr>
                <w:rFonts w:ascii="Arial" w:hAnsi="Arial"/>
                <w:sz w:val="20"/>
              </w:rPr>
            </w:pPr>
            <w:r>
              <w:rPr>
                <w:rFonts w:ascii="Arial" w:hAnsi="Arial"/>
                <w:sz w:val="20"/>
              </w:rPr>
              <w:t>(1)</w:t>
            </w:r>
          </w:p>
        </w:tc>
        <w:tc>
          <w:tcPr>
            <w:tcW w:w="8623" w:type="dxa"/>
            <w:tcBorders/>
            <w:shd w:fill="auto" w:val="clear"/>
            <w:vAlign w:val="center"/>
          </w:tcPr>
          <w:p>
            <w:pPr>
              <w:pStyle w:val="TableContents"/>
              <w:spacing w:before="0" w:after="283"/>
              <w:jc w:val="left"/>
              <w:rPr>
                <w:rFonts w:ascii="Arial" w:hAnsi="Arial"/>
                <w:sz w:val="20"/>
              </w:rPr>
            </w:pPr>
            <w:r>
              <w:rPr>
                <w:rFonts w:ascii="Arial" w:hAnsi="Arial"/>
                <w:sz w:val="20"/>
              </w:rPr>
              <w:t>immediately after the purchase of Shares, such Employee would be a Five Percent Owner; or</w:t>
            </w:r>
          </w:p>
        </w:tc>
      </w:tr>
      <w:tr>
        <w:trPr/>
        <w:tc>
          <w:tcPr>
            <w:tcW w:w="516"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550" w:type="dxa"/>
            <w:tcBorders/>
            <w:shd w:fill="auto" w:val="clear"/>
            <w:vAlign w:val="center"/>
          </w:tcPr>
          <w:p>
            <w:pPr>
              <w:pStyle w:val="TableContents"/>
              <w:spacing w:before="0" w:after="283"/>
              <w:jc w:val="left"/>
              <w:rPr>
                <w:rFonts w:ascii="Arial" w:hAnsi="Arial"/>
                <w:sz w:val="20"/>
              </w:rPr>
            </w:pPr>
            <w:r>
              <w:rPr>
                <w:rFonts w:ascii="Arial" w:hAnsi="Arial"/>
                <w:sz w:val="20"/>
              </w:rPr>
              <w:t>(2)</w:t>
            </w:r>
          </w:p>
        </w:tc>
        <w:tc>
          <w:tcPr>
            <w:tcW w:w="8623" w:type="dxa"/>
            <w:tcBorders/>
            <w:shd w:fill="auto" w:val="clear"/>
            <w:vAlign w:val="center"/>
          </w:tcPr>
          <w:p>
            <w:pPr>
              <w:pStyle w:val="TableContents"/>
              <w:spacing w:before="0" w:after="283"/>
              <w:jc w:val="left"/>
              <w:rPr>
                <w:rFonts w:ascii="Arial" w:hAnsi="Arial"/>
                <w:sz w:val="20"/>
              </w:rPr>
            </w:pPr>
            <w:r>
              <w:rPr>
                <w:rFonts w:ascii="Arial" w:hAnsi="Arial"/>
                <w:sz w:val="20"/>
              </w:rPr>
              <w:t>a purchase of Shares would permit such Employee’s rights to purchase stock under all employee stock purchase plans of the Participating Companies which meet the requirements of section 423(b) of the Code to accrue at a rate which exceeds $25,000 in fair market value (as determined pursuant to section 423(b)(8) of the Code) for each calendar year in which such right to purchase Shares is outstanding.</w:t>
            </w:r>
          </w:p>
        </w:tc>
      </w:tr>
      <w:tr>
        <w:trPr/>
        <w:tc>
          <w:tcPr>
            <w:tcW w:w="516"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jc w:val="left"/>
              <w:rPr>
                <w:rFonts w:ascii="Arial" w:hAnsi="Arial"/>
                <w:sz w:val="20"/>
              </w:rPr>
            </w:pPr>
            <w:r>
              <w:rPr>
                <w:rFonts w:ascii="Arial" w:hAnsi="Arial"/>
                <w:sz w:val="20"/>
              </w:rPr>
              <w:t>(c)</w:t>
            </w:r>
          </w:p>
        </w:tc>
        <w:tc>
          <w:tcPr>
            <w:tcW w:w="9173" w:type="dxa"/>
            <w:gridSpan w:val="2"/>
            <w:tcBorders/>
            <w:shd w:fill="auto" w:val="clear"/>
            <w:vAlign w:val="center"/>
          </w:tcPr>
          <w:p>
            <w:pPr>
              <w:pStyle w:val="TableContents"/>
              <w:spacing w:before="0" w:after="283"/>
              <w:jc w:val="left"/>
              <w:rPr>
                <w:rFonts w:ascii="Arial" w:hAnsi="Arial"/>
                <w:sz w:val="20"/>
              </w:rPr>
            </w:pPr>
            <w:r>
              <w:rPr>
                <w:rFonts w:ascii="Arial" w:hAnsi="Arial"/>
                <w:sz w:val="20"/>
                <w:u w:val="single"/>
              </w:rPr>
              <w:t>Commencement of Participation</w:t>
            </w:r>
            <w:r>
              <w:rPr>
                <w:rFonts w:ascii="Arial" w:hAnsi="Arial"/>
                <w:sz w:val="20"/>
              </w:rPr>
              <w:t>. An Eligible Employee shall become a Participant by completing an Election Form and filing it with the Committee on or before the 15th day of the month immediately preceding the Offering Commencement Date for the first Offering to which such Election Form applies. Payroll Deductions for a Participant shall commence on first payroll period ending after the applicable Offering Commencement Date when his or her authorization for Payroll Deductions becomes effective, and shall end on the Plan Termination Date, unless sooner terminated by the Participant pursuant to Paragraph 7(b).</w:t>
            </w:r>
          </w:p>
        </w:tc>
      </w:tr>
      <w:tr>
        <w:trPr/>
        <w:tc>
          <w:tcPr>
            <w:tcW w:w="516" w:type="dxa"/>
            <w:tcBorders/>
            <w:shd w:fill="auto" w:val="clear"/>
            <w:vAlign w:val="center"/>
          </w:tcPr>
          <w:p>
            <w:pPr>
              <w:pStyle w:val="TableContents"/>
              <w:spacing w:before="0" w:after="283"/>
              <w:jc w:val="left"/>
              <w:rPr>
                <w:rFonts w:ascii="Arial" w:hAnsi="Arial"/>
                <w:b/>
                <w:sz w:val="20"/>
              </w:rPr>
            </w:pPr>
            <w:r>
              <w:rPr>
                <w:rFonts w:ascii="Arial" w:hAnsi="Arial"/>
                <w:b/>
                <w:sz w:val="20"/>
              </w:rPr>
              <w:t>4.</w:t>
            </w:r>
          </w:p>
        </w:tc>
        <w:tc>
          <w:tcPr>
            <w:tcW w:w="9689" w:type="dxa"/>
            <w:gridSpan w:val="3"/>
            <w:tcBorders/>
            <w:shd w:fill="auto" w:val="clear"/>
            <w:vAlign w:val="center"/>
          </w:tcPr>
          <w:p>
            <w:pPr>
              <w:pStyle w:val="TableContents"/>
              <w:spacing w:before="0" w:after="283"/>
              <w:jc w:val="left"/>
              <w:rPr>
                <w:rFonts w:ascii="Arial" w:hAnsi="Arial"/>
                <w:b/>
                <w:sz w:val="20"/>
              </w:rPr>
            </w:pPr>
            <w:r>
              <w:rPr>
                <w:rFonts w:ascii="Arial" w:hAnsi="Arial"/>
                <w:b/>
                <w:sz w:val="20"/>
                <w:u w:val="single"/>
              </w:rPr>
              <w:t>Shares Per Offering</w:t>
            </w:r>
            <w:r>
              <w:rPr>
                <w:rFonts w:ascii="Arial" w:hAnsi="Arial"/>
                <w:b/>
                <w:sz w:val="20"/>
              </w:rPr>
              <w:t>.</w:t>
            </w:r>
          </w:p>
        </w:tc>
      </w:tr>
      <w:tr>
        <w:trPr/>
        <w:tc>
          <w:tcPr>
            <w:tcW w:w="10205" w:type="dxa"/>
            <w:gridSpan w:val="4"/>
            <w:tcBorders/>
            <w:shd w:fill="auto" w:val="clear"/>
            <w:vAlign w:val="center"/>
          </w:tcPr>
          <w:p>
            <w:pPr>
              <w:pStyle w:val="TableContents"/>
              <w:spacing w:before="0" w:after="283"/>
              <w:jc w:val="left"/>
              <w:rPr>
                <w:rFonts w:ascii="Arial" w:hAnsi="Arial"/>
                <w:sz w:val="20"/>
              </w:rPr>
            </w:pPr>
            <w:r>
              <w:rPr>
                <w:rFonts w:ascii="Arial" w:hAnsi="Arial"/>
                <w:sz w:val="20"/>
              </w:rPr>
              <w:t>The Plan shall be implemented by a series of Offerings that shall commence after Offerings have been authorized by the Board or the Committee, and terminate on the Plan Termination Date. Offerings shall be made with respect to Compensation accumulated during each Offering Period for the period commencing with the first day of the first Offering Period (when such Offering Period is authorized by the Board or the Committee) and ending with the Plan Termination Date. Shares available for any Offering shall be the difference between the maximum number of Shares that may be issued under the Plan, as determined pursuant to Paragraph 8(a), for all of the Offerings, less the actual number of Shares purchased by Participants pursuant to prior Offerings, provided that the maximum number of Shares subject to purchase by any Participant for any Offering Period shall not exceed 1,500. If the total number of Shares subject to purchase under the Plan on any Offering Termination Date exceeds the maximum number of Shares available, the Board or the Committee shall make a pro rata allocation of Shares available for delivery and distribution in as nearly a uniform manner as practicable, and as it shall determine to be fair and equitable, and the unapplied Account balances shall be returned to Participants as soon as practicable following the Offering Termination Date.</w:t>
            </w:r>
          </w:p>
        </w:tc>
      </w:tr>
      <w:tr>
        <w:trPr/>
        <w:tc>
          <w:tcPr>
            <w:tcW w:w="516" w:type="dxa"/>
            <w:tcBorders/>
            <w:shd w:fill="auto" w:val="clear"/>
            <w:vAlign w:val="center"/>
          </w:tcPr>
          <w:p>
            <w:pPr>
              <w:pStyle w:val="TableContents"/>
              <w:spacing w:before="0" w:after="283"/>
              <w:jc w:val="left"/>
              <w:rPr>
                <w:rFonts w:ascii="Arial" w:hAnsi="Arial"/>
                <w:b/>
                <w:sz w:val="20"/>
              </w:rPr>
            </w:pPr>
            <w:r>
              <w:rPr>
                <w:rFonts w:ascii="Arial" w:hAnsi="Arial"/>
                <w:b/>
                <w:sz w:val="20"/>
              </w:rPr>
              <w:t>5.</w:t>
            </w:r>
          </w:p>
        </w:tc>
        <w:tc>
          <w:tcPr>
            <w:tcW w:w="9689" w:type="dxa"/>
            <w:gridSpan w:val="3"/>
            <w:tcBorders/>
            <w:shd w:fill="auto" w:val="clear"/>
            <w:vAlign w:val="center"/>
          </w:tcPr>
          <w:p>
            <w:pPr>
              <w:pStyle w:val="TableContents"/>
              <w:spacing w:before="0" w:after="283"/>
              <w:jc w:val="left"/>
              <w:rPr>
                <w:rFonts w:ascii="Arial" w:hAnsi="Arial"/>
                <w:b/>
                <w:sz w:val="20"/>
              </w:rPr>
            </w:pPr>
            <w:r>
              <w:rPr>
                <w:rFonts w:ascii="Arial" w:hAnsi="Arial"/>
                <w:b/>
                <w:sz w:val="20"/>
                <w:u w:val="single"/>
              </w:rPr>
              <w:t>Payroll Deductions</w:t>
            </w:r>
            <w:r>
              <w:rPr>
                <w:rFonts w:ascii="Arial" w:hAnsi="Arial"/>
                <w:b/>
                <w:sz w:val="20"/>
              </w:rPr>
              <w:t>.</w:t>
            </w:r>
          </w:p>
        </w:tc>
      </w:tr>
      <w:tr>
        <w:trPr/>
        <w:tc>
          <w:tcPr>
            <w:tcW w:w="516"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jc w:val="left"/>
              <w:rPr>
                <w:rFonts w:ascii="Arial" w:hAnsi="Arial"/>
                <w:sz w:val="20"/>
              </w:rPr>
            </w:pPr>
            <w:r>
              <w:rPr>
                <w:rFonts w:ascii="Arial" w:hAnsi="Arial"/>
                <w:sz w:val="20"/>
              </w:rPr>
              <w:t>(a)</w:t>
            </w:r>
          </w:p>
        </w:tc>
        <w:tc>
          <w:tcPr>
            <w:tcW w:w="9173" w:type="dxa"/>
            <w:gridSpan w:val="2"/>
            <w:tcBorders/>
            <w:shd w:fill="auto" w:val="clear"/>
            <w:vAlign w:val="center"/>
          </w:tcPr>
          <w:p>
            <w:pPr>
              <w:pStyle w:val="TableContents"/>
              <w:spacing w:before="0" w:after="283"/>
              <w:jc w:val="left"/>
              <w:rPr>
                <w:rFonts w:ascii="Arial" w:hAnsi="Arial"/>
                <w:sz w:val="20"/>
              </w:rPr>
            </w:pPr>
            <w:r>
              <w:rPr>
                <w:rFonts w:ascii="Arial" w:hAnsi="Arial"/>
                <w:sz w:val="20"/>
                <w:u w:val="single"/>
              </w:rPr>
              <w:t>Amount of Payroll Deductions</w:t>
            </w:r>
            <w:r>
              <w:rPr>
                <w:rFonts w:ascii="Arial" w:hAnsi="Arial"/>
                <w:sz w:val="20"/>
              </w:rPr>
              <w:t>. On the Election Form, an Eligible Employee may elect to have Payroll Deductions of not more than 10 percent of Compensation earned for each payroll period ending within the Offering Period, subject to the limitation that the maximum amount of Payroll Deductions for any Eligible Employee for any calendar year shall not exceed $21,250. The rules established by the Committee regarding Payroll Deductions, as reflected on the Election Form, shall be consistent with section 423(b)(5) of the Code.</w:t>
            </w:r>
          </w:p>
        </w:tc>
      </w:tr>
      <w:tr>
        <w:trPr/>
        <w:tc>
          <w:tcPr>
            <w:tcW w:w="516"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jc w:val="left"/>
              <w:rPr>
                <w:rFonts w:ascii="Arial" w:hAnsi="Arial"/>
                <w:sz w:val="20"/>
              </w:rPr>
            </w:pPr>
            <w:r>
              <w:rPr>
                <w:rFonts w:ascii="Arial" w:hAnsi="Arial"/>
                <w:sz w:val="20"/>
              </w:rPr>
              <w:t>(b)</w:t>
            </w:r>
          </w:p>
        </w:tc>
        <w:tc>
          <w:tcPr>
            <w:tcW w:w="9173" w:type="dxa"/>
            <w:gridSpan w:val="2"/>
            <w:tcBorders/>
            <w:shd w:fill="auto" w:val="clear"/>
            <w:vAlign w:val="center"/>
          </w:tcPr>
          <w:p>
            <w:pPr>
              <w:pStyle w:val="TableContents"/>
              <w:spacing w:before="0" w:after="283"/>
              <w:jc w:val="left"/>
              <w:rPr>
                <w:rFonts w:ascii="Arial" w:hAnsi="Arial"/>
                <w:sz w:val="20"/>
              </w:rPr>
            </w:pPr>
            <w:r>
              <w:rPr>
                <w:rFonts w:ascii="Arial" w:hAnsi="Arial"/>
                <w:sz w:val="20"/>
                <w:u w:val="single"/>
              </w:rPr>
              <w:t>Participants’ Accounts</w:t>
            </w:r>
            <w:r>
              <w:rPr>
                <w:rFonts w:ascii="Arial" w:hAnsi="Arial"/>
                <w:sz w:val="20"/>
              </w:rPr>
              <w:t>. All Payroll Deductions with respect to a Participant pursuant to Paragraph 5(a) shall be credited to the Participant’s Account under the Plan.</w:t>
            </w:r>
          </w:p>
        </w:tc>
      </w:tr>
      <w:tr>
        <w:trPr/>
        <w:tc>
          <w:tcPr>
            <w:tcW w:w="516"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jc w:val="left"/>
              <w:rPr>
                <w:rFonts w:ascii="Arial" w:hAnsi="Arial"/>
                <w:sz w:val="20"/>
              </w:rPr>
            </w:pPr>
            <w:r>
              <w:rPr>
                <w:rFonts w:ascii="Arial" w:hAnsi="Arial"/>
                <w:sz w:val="20"/>
              </w:rPr>
              <w:t>(c)</w:t>
            </w:r>
          </w:p>
        </w:tc>
        <w:tc>
          <w:tcPr>
            <w:tcW w:w="9173" w:type="dxa"/>
            <w:gridSpan w:val="2"/>
            <w:tcBorders/>
            <w:shd w:fill="auto" w:val="clear"/>
            <w:vAlign w:val="center"/>
          </w:tcPr>
          <w:p>
            <w:pPr>
              <w:pStyle w:val="TableContents"/>
              <w:spacing w:before="0" w:after="283"/>
              <w:jc w:val="left"/>
              <w:rPr>
                <w:rFonts w:ascii="Arial" w:hAnsi="Arial"/>
                <w:sz w:val="20"/>
              </w:rPr>
            </w:pPr>
            <w:r>
              <w:rPr>
                <w:rFonts w:ascii="Arial" w:hAnsi="Arial"/>
                <w:sz w:val="20"/>
                <w:u w:val="single"/>
              </w:rPr>
              <w:t>Changes in Payroll Deductions</w:t>
            </w:r>
            <w:r>
              <w:rPr>
                <w:rFonts w:ascii="Arial" w:hAnsi="Arial"/>
                <w:sz w:val="20"/>
              </w:rPr>
              <w:t>. A Participant may discontinue Payroll Deductions during an Offering Period by providing a Termination Form to the Committee at any time before the Offering Termination Date applicable to any Offering. No other change can be made during an Offering, including, but not limited to, changes in the amount of Payroll Deductions for such Offering. A Participant may change the amount of Payroll Deductions for subsequent Offerings by giving written notice (or notice in another form pursuant to procedures established by the Committee) of such change to the Committee on or before the 15th day of the month immediately preceding the Offering Commencement Date for the Offering for which such change is effective.</w:t>
            </w:r>
          </w:p>
        </w:tc>
      </w:tr>
      <w:tr>
        <w:trPr/>
        <w:tc>
          <w:tcPr>
            <w:tcW w:w="516" w:type="dxa"/>
            <w:tcBorders/>
            <w:shd w:fill="auto" w:val="clear"/>
            <w:vAlign w:val="center"/>
          </w:tcPr>
          <w:p>
            <w:pPr>
              <w:pStyle w:val="TableContents"/>
              <w:spacing w:before="0" w:after="283"/>
              <w:jc w:val="left"/>
              <w:rPr>
                <w:rFonts w:ascii="Arial" w:hAnsi="Arial"/>
                <w:b/>
                <w:sz w:val="20"/>
              </w:rPr>
            </w:pPr>
            <w:r>
              <w:rPr>
                <w:rFonts w:ascii="Arial" w:hAnsi="Arial"/>
                <w:b/>
                <w:sz w:val="20"/>
              </w:rPr>
              <w:t>6.</w:t>
            </w:r>
          </w:p>
        </w:tc>
        <w:tc>
          <w:tcPr>
            <w:tcW w:w="9689" w:type="dxa"/>
            <w:gridSpan w:val="3"/>
            <w:tcBorders/>
            <w:shd w:fill="auto" w:val="clear"/>
            <w:vAlign w:val="center"/>
          </w:tcPr>
          <w:p>
            <w:pPr>
              <w:pStyle w:val="TableContents"/>
              <w:spacing w:before="0" w:after="283"/>
              <w:jc w:val="left"/>
              <w:rPr>
                <w:rFonts w:ascii="Arial" w:hAnsi="Arial"/>
                <w:b/>
                <w:sz w:val="20"/>
              </w:rPr>
            </w:pPr>
            <w:r>
              <w:rPr>
                <w:rFonts w:ascii="Arial" w:hAnsi="Arial"/>
                <w:b/>
                <w:sz w:val="20"/>
                <w:u w:val="single"/>
              </w:rPr>
              <w:t>Purchase of Shares</w:t>
            </w:r>
            <w:r>
              <w:rPr>
                <w:rFonts w:ascii="Arial" w:hAnsi="Arial"/>
                <w:b/>
                <w:sz w:val="20"/>
              </w:rPr>
              <w:t>.</w:t>
            </w:r>
          </w:p>
        </w:tc>
      </w:tr>
      <w:tr>
        <w:trPr/>
        <w:tc>
          <w:tcPr>
            <w:tcW w:w="516"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jc w:val="left"/>
              <w:rPr>
                <w:rFonts w:ascii="Arial" w:hAnsi="Arial"/>
                <w:sz w:val="20"/>
              </w:rPr>
            </w:pPr>
            <w:r>
              <w:rPr>
                <w:rFonts w:ascii="Arial" w:hAnsi="Arial"/>
                <w:sz w:val="20"/>
              </w:rPr>
              <w:t>(a)</w:t>
            </w:r>
          </w:p>
        </w:tc>
        <w:tc>
          <w:tcPr>
            <w:tcW w:w="9173" w:type="dxa"/>
            <w:gridSpan w:val="2"/>
            <w:tcBorders/>
            <w:shd w:fill="auto" w:val="clear"/>
            <w:vAlign w:val="center"/>
          </w:tcPr>
          <w:p>
            <w:pPr>
              <w:pStyle w:val="TableContents"/>
              <w:spacing w:before="0" w:after="283"/>
              <w:jc w:val="left"/>
              <w:rPr>
                <w:rFonts w:ascii="Arial" w:hAnsi="Arial"/>
                <w:sz w:val="20"/>
              </w:rPr>
            </w:pPr>
            <w:r>
              <w:rPr>
                <w:rFonts w:ascii="Arial" w:hAnsi="Arial"/>
                <w:sz w:val="20"/>
                <w:u w:val="single"/>
              </w:rPr>
              <w:t>In General</w:t>
            </w:r>
            <w:r>
              <w:rPr>
                <w:rFonts w:ascii="Arial" w:hAnsi="Arial"/>
                <w:sz w:val="20"/>
              </w:rPr>
              <w:t>. On each Offering Termination Date, each Participant shall be deemed to have purchased a number of whole Shares equal to the quotient obtained by dividing the balance credited to the Participant’s Account as of the Offering Termination Date, by the Purchase Price, rounded to the next lowest whole Share. Shares deemed purchased by a Participant under the Plan shall be credited to the Participant’s Brokerage Account as soon as practicable following the Offering Termination Date.</w:t>
            </w:r>
          </w:p>
        </w:tc>
      </w:tr>
    </w:tbl>
    <w:p>
      <w:pPr>
        <w:pStyle w:val="TextBody"/>
        <w:spacing w:before="0" w:after="0"/>
        <w:rPr/>
      </w:pPr>
      <w:r>
        <w:rPr/>
      </w:r>
    </w:p>
    <w:tbl>
      <w:tblPr>
        <w:tblW w:w="2260" w:type="dxa"/>
        <w:jc w:val="left"/>
        <w:tblInd w:w="0" w:type="dxa"/>
        <w:tblCellMar>
          <w:top w:w="0" w:type="dxa"/>
          <w:left w:w="0" w:type="dxa"/>
          <w:bottom w:w="0" w:type="dxa"/>
          <w:right w:w="0" w:type="dxa"/>
        </w:tblCellMar>
      </w:tblPr>
      <w:tblGrid>
        <w:gridCol w:w="1580"/>
        <w:gridCol w:w="680"/>
      </w:tblGrid>
      <w:tr>
        <w:trPr/>
        <w:tc>
          <w:tcPr>
            <w:tcW w:w="1580" w:type="dxa"/>
            <w:tcBorders/>
            <w:shd w:fill="auto" w:val="clear"/>
            <w:vAlign w:val="center"/>
          </w:tcPr>
          <w:p>
            <w:pPr>
              <w:pStyle w:val="TableContents"/>
              <w:spacing w:before="0" w:after="283"/>
              <w:jc w:val="right"/>
              <w:rPr>
                <w:rFonts w:ascii="Arial" w:hAnsi="Arial"/>
                <w:sz w:val="15"/>
              </w:rPr>
            </w:pPr>
            <w:r>
              <w:rPr>
                <w:rFonts w:ascii="Arial" w:hAnsi="Arial"/>
                <w:sz w:val="15"/>
              </w:rPr>
              <w:t>2023 Proxy Statement</w:t>
            </w:r>
          </w:p>
        </w:tc>
        <w:tc>
          <w:tcPr>
            <w:tcW w:w="680" w:type="dxa"/>
            <w:tcBorders/>
            <w:shd w:fill="auto" w:val="clear"/>
            <w:vAlign w:val="center"/>
          </w:tcPr>
          <w:p>
            <w:pPr>
              <w:pStyle w:val="TableContents"/>
              <w:spacing w:before="0" w:after="283"/>
              <w:jc w:val="right"/>
              <w:rPr/>
            </w:pPr>
            <w:r>
              <w:rPr/>
              <w:t>       </w:t>
            </w:r>
            <w:r>
              <w:rPr>
                <w:rFonts w:ascii="Arial" w:hAnsi="Arial"/>
                <w:b/>
                <w:sz w:val="15"/>
              </w:rPr>
              <w:t>D-3</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10205" w:type="dxa"/>
        <w:jc w:val="left"/>
        <w:tblInd w:w="0" w:type="dxa"/>
        <w:tblCellMar>
          <w:top w:w="0" w:type="dxa"/>
          <w:left w:w="0" w:type="dxa"/>
          <w:bottom w:w="0" w:type="dxa"/>
          <w:right w:w="0" w:type="dxa"/>
        </w:tblCellMar>
      </w:tblPr>
      <w:tblGrid>
        <w:gridCol w:w="480"/>
        <w:gridCol w:w="480"/>
        <w:gridCol w:w="954"/>
        <w:gridCol w:w="8291"/>
      </w:tblGrid>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(b)</w:t>
            </w:r>
          </w:p>
        </w:tc>
        <w:tc>
          <w:tcPr>
            <w:tcW w:w="9245" w:type="dxa"/>
            <w:gridSpan w:val="2"/>
            <w:tcBorders/>
            <w:shd w:fill="auto" w:val="clear"/>
            <w:vAlign w:val="center"/>
          </w:tcPr>
          <w:p>
            <w:pPr>
              <w:pStyle w:val="TableContents"/>
              <w:spacing w:before="0" w:after="283"/>
              <w:jc w:val="left"/>
              <w:rPr>
                <w:rFonts w:ascii="Arial" w:hAnsi="Arial"/>
                <w:sz w:val="20"/>
              </w:rPr>
            </w:pPr>
            <w:r>
              <w:rPr>
                <w:rFonts w:ascii="Arial" w:hAnsi="Arial"/>
                <w:sz w:val="20"/>
                <w:u w:val="single"/>
              </w:rPr>
              <w:t>Terminating Events</w:t>
            </w:r>
            <w:r>
              <w:rPr>
                <w:rFonts w:ascii="Arial" w:hAnsi="Arial"/>
                <w:sz w:val="20"/>
              </w:rPr>
              <w:t>. The Company shall give Participants at least 30 days’ notice (or, if not practicable, such shorter notice as may be reasonably practicable) prior to the anticipated date of the consummation of a Terminating Event. The 20th day following the issuance of such notice by the Company (or such earlier date as the Board or the Committee may reasonably determine) shall constitute the Offering Termination Date for any outstanding Offering.</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(c)</w:t>
            </w:r>
          </w:p>
        </w:tc>
        <w:tc>
          <w:tcPr>
            <w:tcW w:w="9245" w:type="dxa"/>
            <w:gridSpan w:val="2"/>
            <w:tcBorders/>
            <w:shd w:fill="auto" w:val="clear"/>
            <w:vAlign w:val="center"/>
          </w:tcPr>
          <w:p>
            <w:pPr>
              <w:pStyle w:val="TableContents"/>
              <w:spacing w:before="0" w:after="283"/>
              <w:jc w:val="left"/>
              <w:rPr>
                <w:rFonts w:ascii="Arial" w:hAnsi="Arial"/>
                <w:sz w:val="20"/>
              </w:rPr>
            </w:pPr>
            <w:r>
              <w:rPr>
                <w:rFonts w:ascii="Arial" w:hAnsi="Arial"/>
                <w:sz w:val="20"/>
                <w:u w:val="single"/>
              </w:rPr>
              <w:t>Fractional Shares and Participant Refunds</w:t>
            </w:r>
            <w:r>
              <w:rPr>
                <w:rFonts w:ascii="Arial" w:hAnsi="Arial"/>
                <w:sz w:val="20"/>
              </w:rPr>
              <w:t>. Fractional Shares shall not be issued under the Plan. Amounts credited to an Account remaining after the application of such Account to the purchase of Shares for any Offering Period, including amounts that remain credited to an Account after the application of Paragraph 3(b)(2), shall be:</w:t>
            </w:r>
          </w:p>
        </w:tc>
      </w:tr>
      <w:tr>
        <w:trPr/>
        <w:tc>
          <w:tcPr>
            <w:tcW w:w="480" w:type="dxa"/>
            <w:tcBorders/>
            <w:shd w:fill="auto" w:val="clear"/>
            <w:vAlign w:val="center"/>
          </w:tcPr>
          <w:p>
            <w:pPr>
              <w:pStyle w:val="TableContents"/>
              <w:spacing w:before="0" w:after="283"/>
              <w:jc w:val="left"/>
              <w:rPr/>
            </w:pPr>
            <w:r>
              <w:rPr/>
              <w:t>        </w:t>
            </w:r>
          </w:p>
        </w:tc>
        <w:tc>
          <w:tcPr>
            <w:tcW w:w="480" w:type="dxa"/>
            <w:tcBorders/>
            <w:shd w:fill="auto" w:val="clear"/>
            <w:vAlign w:val="center"/>
          </w:tcPr>
          <w:p>
            <w:pPr>
              <w:pStyle w:val="TableContents"/>
              <w:spacing w:before="0" w:after="283"/>
              <w:jc w:val="left"/>
              <w:rPr/>
            </w:pPr>
            <w:r>
              <w:rPr/>
              <w:t>        </w:t>
            </w:r>
          </w:p>
        </w:tc>
        <w:tc>
          <w:tcPr>
            <w:tcW w:w="954" w:type="dxa"/>
            <w:tcBorders/>
            <w:shd w:fill="auto" w:val="clear"/>
            <w:vAlign w:val="center"/>
          </w:tcPr>
          <w:p>
            <w:pPr>
              <w:pStyle w:val="TableContents"/>
              <w:spacing w:before="0" w:after="283"/>
              <w:jc w:val="left"/>
              <w:rPr/>
            </w:pPr>
            <w:r>
              <w:rPr/>
              <w:t>        </w:t>
            </w:r>
          </w:p>
        </w:tc>
        <w:tc>
          <w:tcPr>
            <w:tcW w:w="8291" w:type="dxa"/>
            <w:tcBorders/>
            <w:shd w:fill="auto" w:val="clear"/>
            <w:vAlign w:val="center"/>
          </w:tcPr>
          <w:p>
            <w:pPr>
              <w:pStyle w:val="TableContents"/>
              <w:spacing w:before="0" w:after="283"/>
              <w:rPr>
                <w:sz w:val="4"/>
                <w:szCs w:val="4"/>
              </w:rPr>
            </w:pPr>
            <w:r>
              <w:rPr>
                <w:sz w:val="4"/>
                <w:szCs w:val="4"/>
              </w:rPr>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jc w:val="left"/>
              <w:rPr>
                <w:rFonts w:ascii="Arial" w:hAnsi="Arial"/>
                <w:sz w:val="20"/>
              </w:rPr>
            </w:pPr>
            <w:r>
              <w:rPr>
                <w:rFonts w:ascii="Arial" w:hAnsi="Arial"/>
                <w:sz w:val="20"/>
              </w:rPr>
              <w:t>(1)</w:t>
            </w:r>
          </w:p>
        </w:tc>
        <w:tc>
          <w:tcPr>
            <w:tcW w:w="8291" w:type="dxa"/>
            <w:tcBorders/>
            <w:shd w:fill="auto" w:val="clear"/>
            <w:vAlign w:val="center"/>
          </w:tcPr>
          <w:p>
            <w:pPr>
              <w:pStyle w:val="TableContents"/>
              <w:spacing w:before="0" w:after="283"/>
              <w:jc w:val="left"/>
              <w:rPr>
                <w:rFonts w:ascii="Arial" w:hAnsi="Arial"/>
                <w:sz w:val="20"/>
              </w:rPr>
            </w:pPr>
            <w:r>
              <w:rPr>
                <w:rFonts w:ascii="Arial" w:hAnsi="Arial"/>
                <w:sz w:val="20"/>
              </w:rPr>
              <w:t>credited to the Participant’s Account for the next succeeding Offering, provided that the Participant continues to be an Eligible Employee and elects to participate in such next succeeding Offering; or</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jc w:val="left"/>
              <w:rPr>
                <w:rFonts w:ascii="Arial" w:hAnsi="Arial"/>
                <w:sz w:val="20"/>
              </w:rPr>
            </w:pPr>
            <w:r>
              <w:rPr>
                <w:rFonts w:ascii="Arial" w:hAnsi="Arial"/>
                <w:sz w:val="20"/>
              </w:rPr>
              <w:t>(2)</w:t>
            </w:r>
          </w:p>
        </w:tc>
        <w:tc>
          <w:tcPr>
            <w:tcW w:w="8291" w:type="dxa"/>
            <w:tcBorders/>
            <w:shd w:fill="auto" w:val="clear"/>
            <w:vAlign w:val="center"/>
          </w:tcPr>
          <w:p>
            <w:pPr>
              <w:pStyle w:val="TableContents"/>
              <w:spacing w:before="0" w:after="283"/>
              <w:jc w:val="left"/>
              <w:rPr>
                <w:rFonts w:ascii="Arial" w:hAnsi="Arial"/>
                <w:sz w:val="20"/>
              </w:rPr>
            </w:pPr>
            <w:r>
              <w:rPr>
                <w:rFonts w:ascii="Arial" w:hAnsi="Arial"/>
                <w:sz w:val="20"/>
              </w:rPr>
              <w:t>returned to the Participant as soon as practicable following the Offering Termination Date, without interest, if the Participant is not an Eligible Employee for the next succeeding Offering, or if the Participant fails to elect to participate in such next succeeding Offering.</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(d)</w:t>
            </w:r>
          </w:p>
        </w:tc>
        <w:tc>
          <w:tcPr>
            <w:tcW w:w="9245" w:type="dxa"/>
            <w:gridSpan w:val="2"/>
            <w:tcBorders/>
            <w:shd w:fill="auto" w:val="clear"/>
            <w:vAlign w:val="center"/>
          </w:tcPr>
          <w:p>
            <w:pPr>
              <w:pStyle w:val="TableContents"/>
              <w:spacing w:before="0" w:after="283"/>
              <w:jc w:val="left"/>
              <w:rPr>
                <w:rFonts w:ascii="Arial" w:hAnsi="Arial"/>
                <w:sz w:val="20"/>
              </w:rPr>
            </w:pPr>
            <w:r>
              <w:rPr>
                <w:rFonts w:ascii="Arial" w:hAnsi="Arial"/>
                <w:sz w:val="20"/>
                <w:u w:val="single"/>
              </w:rPr>
              <w:t>Transferability of Rights to Purchase Shares</w:t>
            </w:r>
            <w:r>
              <w:rPr>
                <w:rFonts w:ascii="Arial" w:hAnsi="Arial"/>
                <w:sz w:val="20"/>
              </w:rPr>
              <w:t>. No right to purchase Shares pursuant to the Plan shall be transferable other than by will or by the laws of descent and distribution, and no such right to purchase Shares pursuant to the Plan shall be exercisable during the Participant’s lifetime other than by the Participant.</w:t>
            </w:r>
          </w:p>
        </w:tc>
      </w:tr>
      <w:tr>
        <w:trPr/>
        <w:tc>
          <w:tcPr>
            <w:tcW w:w="480" w:type="dxa"/>
            <w:tcBorders/>
            <w:shd w:fill="auto" w:val="clear"/>
            <w:vAlign w:val="center"/>
          </w:tcPr>
          <w:p>
            <w:pPr>
              <w:pStyle w:val="TableContents"/>
              <w:spacing w:before="0" w:after="283"/>
              <w:jc w:val="left"/>
              <w:rPr>
                <w:rFonts w:ascii="Arial" w:hAnsi="Arial"/>
                <w:b/>
                <w:sz w:val="20"/>
              </w:rPr>
            </w:pPr>
            <w:r>
              <w:rPr>
                <w:rFonts w:ascii="Arial" w:hAnsi="Arial"/>
                <w:b/>
                <w:sz w:val="20"/>
              </w:rPr>
              <w:t>7.</w:t>
            </w:r>
          </w:p>
        </w:tc>
        <w:tc>
          <w:tcPr>
            <w:tcW w:w="9725" w:type="dxa"/>
            <w:gridSpan w:val="3"/>
            <w:tcBorders/>
            <w:shd w:fill="auto" w:val="clear"/>
            <w:vAlign w:val="center"/>
          </w:tcPr>
          <w:p>
            <w:pPr>
              <w:pStyle w:val="TableContents"/>
              <w:spacing w:before="0" w:after="283"/>
              <w:jc w:val="left"/>
              <w:rPr>
                <w:rFonts w:ascii="Arial" w:hAnsi="Arial"/>
                <w:b/>
                <w:sz w:val="20"/>
              </w:rPr>
            </w:pPr>
            <w:r>
              <w:rPr>
                <w:rFonts w:ascii="Arial" w:hAnsi="Arial"/>
                <w:b/>
                <w:sz w:val="20"/>
                <w:u w:val="single"/>
              </w:rPr>
              <w:t>Termination of Participation</w:t>
            </w:r>
            <w:r>
              <w:rPr>
                <w:rFonts w:ascii="Arial" w:hAnsi="Arial"/>
                <w:b/>
                <w:sz w:val="20"/>
              </w:rPr>
              <w:t>.</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(a)</w:t>
            </w:r>
          </w:p>
        </w:tc>
        <w:tc>
          <w:tcPr>
            <w:tcW w:w="9245" w:type="dxa"/>
            <w:gridSpan w:val="2"/>
            <w:tcBorders/>
            <w:shd w:fill="auto" w:val="clear"/>
            <w:vAlign w:val="center"/>
          </w:tcPr>
          <w:p>
            <w:pPr>
              <w:pStyle w:val="TableContents"/>
              <w:spacing w:before="0" w:after="283"/>
              <w:jc w:val="left"/>
              <w:rPr>
                <w:rFonts w:ascii="Arial" w:hAnsi="Arial"/>
                <w:sz w:val="20"/>
              </w:rPr>
            </w:pPr>
            <w:r>
              <w:rPr>
                <w:rFonts w:ascii="Arial" w:hAnsi="Arial"/>
                <w:sz w:val="20"/>
                <w:u w:val="single"/>
              </w:rPr>
              <w:t>Account</w:t>
            </w:r>
            <w:r>
              <w:rPr>
                <w:rFonts w:ascii="Arial" w:hAnsi="Arial"/>
                <w:sz w:val="20"/>
              </w:rPr>
              <w:t>. Except as provided in Paragraph 7(c), no amounts shall be distributed from Participants’ Accounts during an Offering Period.</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(b)</w:t>
            </w:r>
          </w:p>
        </w:tc>
        <w:tc>
          <w:tcPr>
            <w:tcW w:w="9245" w:type="dxa"/>
            <w:gridSpan w:val="2"/>
            <w:tcBorders/>
            <w:shd w:fill="auto" w:val="clear"/>
            <w:vAlign w:val="center"/>
          </w:tcPr>
          <w:p>
            <w:pPr>
              <w:pStyle w:val="TableContents"/>
              <w:spacing w:before="0" w:after="283"/>
              <w:jc w:val="left"/>
              <w:rPr>
                <w:rFonts w:ascii="Arial" w:hAnsi="Arial"/>
                <w:sz w:val="20"/>
              </w:rPr>
            </w:pPr>
            <w:r>
              <w:rPr>
                <w:rFonts w:ascii="Arial" w:hAnsi="Arial"/>
                <w:sz w:val="20"/>
                <w:u w:val="single"/>
              </w:rPr>
              <w:t>Suspension of Participation</w:t>
            </w:r>
            <w:r>
              <w:rPr>
                <w:rFonts w:ascii="Arial" w:hAnsi="Arial"/>
                <w:sz w:val="20"/>
              </w:rPr>
              <w:t>. A Participant may discontinue Payroll Deductions during an Offering Period by providing a Termination Form to the Committee at any time before the Offering Termination Date applicable to any Offering. All amounts credited to such Participant’s Account shall be applied to the purchase of Shares pursuant to Paragraph 6. A Participant who discontinues Payroll Deductions during an Offering Period by providing a Termination Form shall be eligible to participate in the Offering next following the date on which the Participant delivers the Termination Form to the Committee.</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(c)</w:t>
            </w:r>
          </w:p>
        </w:tc>
        <w:tc>
          <w:tcPr>
            <w:tcW w:w="9245" w:type="dxa"/>
            <w:gridSpan w:val="2"/>
            <w:tcBorders/>
            <w:shd w:fill="auto" w:val="clear"/>
            <w:vAlign w:val="center"/>
          </w:tcPr>
          <w:p>
            <w:pPr>
              <w:pStyle w:val="TableContents"/>
              <w:spacing w:before="0" w:after="283"/>
              <w:jc w:val="left"/>
              <w:rPr>
                <w:rFonts w:ascii="Arial" w:hAnsi="Arial"/>
                <w:sz w:val="20"/>
              </w:rPr>
            </w:pPr>
            <w:r>
              <w:rPr>
                <w:rFonts w:ascii="Arial" w:hAnsi="Arial"/>
                <w:sz w:val="20"/>
                <w:u w:val="single"/>
              </w:rPr>
              <w:t>Termination of Employment</w:t>
            </w:r>
            <w:r>
              <w:rPr>
                <w:rFonts w:ascii="Arial" w:hAnsi="Arial"/>
                <w:sz w:val="20"/>
              </w:rPr>
              <w:t>. Upon termination of a Participant’s employment for any reason, all amounts credited to such Participant’s Account shall be returned to the Participant, or, following the Participant’s death, to the Participant’s Successor-in-Interest.</w:t>
            </w:r>
          </w:p>
        </w:tc>
      </w:tr>
      <w:tr>
        <w:trPr/>
        <w:tc>
          <w:tcPr>
            <w:tcW w:w="480" w:type="dxa"/>
            <w:tcBorders/>
            <w:shd w:fill="auto" w:val="clear"/>
            <w:vAlign w:val="center"/>
          </w:tcPr>
          <w:p>
            <w:pPr>
              <w:pStyle w:val="TableContents"/>
              <w:spacing w:before="0" w:after="283"/>
              <w:jc w:val="left"/>
              <w:rPr>
                <w:rFonts w:ascii="Arial" w:hAnsi="Arial"/>
                <w:b/>
                <w:sz w:val="20"/>
              </w:rPr>
            </w:pPr>
            <w:r>
              <w:rPr>
                <w:rFonts w:ascii="Arial" w:hAnsi="Arial"/>
                <w:b/>
                <w:sz w:val="20"/>
              </w:rPr>
              <w:t>8.</w:t>
            </w:r>
          </w:p>
        </w:tc>
        <w:tc>
          <w:tcPr>
            <w:tcW w:w="9725" w:type="dxa"/>
            <w:gridSpan w:val="3"/>
            <w:tcBorders/>
            <w:shd w:fill="auto" w:val="clear"/>
            <w:vAlign w:val="center"/>
          </w:tcPr>
          <w:p>
            <w:pPr>
              <w:pStyle w:val="TableContents"/>
              <w:spacing w:before="0" w:after="283"/>
              <w:jc w:val="left"/>
              <w:rPr>
                <w:rFonts w:ascii="Arial" w:hAnsi="Arial"/>
                <w:b/>
                <w:sz w:val="20"/>
              </w:rPr>
            </w:pPr>
            <w:r>
              <w:rPr>
                <w:rFonts w:ascii="Arial" w:hAnsi="Arial"/>
                <w:b/>
                <w:sz w:val="20"/>
                <w:u w:val="single"/>
              </w:rPr>
              <w:t>Interest</w:t>
            </w:r>
            <w:r>
              <w:rPr>
                <w:rFonts w:ascii="Arial" w:hAnsi="Arial"/>
                <w:b/>
                <w:sz w:val="20"/>
              </w:rPr>
              <w:t>.</w:t>
            </w:r>
          </w:p>
        </w:tc>
      </w:tr>
      <w:tr>
        <w:trPr/>
        <w:tc>
          <w:tcPr>
            <w:tcW w:w="10205" w:type="dxa"/>
            <w:gridSpan w:val="4"/>
            <w:tcBorders/>
            <w:shd w:fill="auto" w:val="clear"/>
            <w:vAlign w:val="center"/>
          </w:tcPr>
          <w:p>
            <w:pPr>
              <w:pStyle w:val="TableContents"/>
              <w:spacing w:before="0" w:after="283"/>
              <w:jc w:val="left"/>
              <w:rPr>
                <w:rFonts w:ascii="Arial" w:hAnsi="Arial"/>
                <w:sz w:val="20"/>
              </w:rPr>
            </w:pPr>
            <w:r>
              <w:rPr>
                <w:rFonts w:ascii="Arial" w:hAnsi="Arial"/>
                <w:sz w:val="20"/>
              </w:rPr>
              <w:t>No interest shall be paid or allowed with respect to Payroll Deductions paid into the Plan or credited to any Participant’s Account.</w:t>
            </w:r>
          </w:p>
        </w:tc>
      </w:tr>
      <w:tr>
        <w:trPr/>
        <w:tc>
          <w:tcPr>
            <w:tcW w:w="480" w:type="dxa"/>
            <w:tcBorders/>
            <w:shd w:fill="auto" w:val="clear"/>
            <w:vAlign w:val="center"/>
          </w:tcPr>
          <w:p>
            <w:pPr>
              <w:pStyle w:val="TableContents"/>
              <w:spacing w:before="0" w:after="283"/>
              <w:jc w:val="left"/>
              <w:rPr>
                <w:rFonts w:ascii="Arial" w:hAnsi="Arial"/>
                <w:b/>
                <w:sz w:val="20"/>
              </w:rPr>
            </w:pPr>
            <w:r>
              <w:rPr>
                <w:rFonts w:ascii="Arial" w:hAnsi="Arial"/>
                <w:b/>
                <w:sz w:val="20"/>
              </w:rPr>
              <w:t>9.</w:t>
            </w:r>
          </w:p>
        </w:tc>
        <w:tc>
          <w:tcPr>
            <w:tcW w:w="9725" w:type="dxa"/>
            <w:gridSpan w:val="3"/>
            <w:tcBorders/>
            <w:shd w:fill="auto" w:val="clear"/>
            <w:vAlign w:val="center"/>
          </w:tcPr>
          <w:p>
            <w:pPr>
              <w:pStyle w:val="TableContents"/>
              <w:spacing w:before="0" w:after="283"/>
              <w:jc w:val="left"/>
              <w:rPr>
                <w:rFonts w:ascii="Arial" w:hAnsi="Arial"/>
                <w:b/>
                <w:sz w:val="20"/>
              </w:rPr>
            </w:pPr>
            <w:r>
              <w:rPr>
                <w:rFonts w:ascii="Arial" w:hAnsi="Arial"/>
                <w:b/>
                <w:sz w:val="20"/>
                <w:u w:val="single"/>
              </w:rPr>
              <w:t>Shares</w:t>
            </w:r>
            <w:r>
              <w:rPr>
                <w:rFonts w:ascii="Arial" w:hAnsi="Arial"/>
                <w:b/>
                <w:sz w:val="20"/>
              </w:rPr>
              <w:t>.</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(a)</w:t>
            </w:r>
          </w:p>
        </w:tc>
        <w:tc>
          <w:tcPr>
            <w:tcW w:w="9245" w:type="dxa"/>
            <w:gridSpan w:val="2"/>
            <w:tcBorders/>
            <w:shd w:fill="auto" w:val="clear"/>
            <w:vAlign w:val="center"/>
          </w:tcPr>
          <w:p>
            <w:pPr>
              <w:pStyle w:val="TableContents"/>
              <w:spacing w:before="0" w:after="283"/>
              <w:jc w:val="left"/>
              <w:rPr>
                <w:rFonts w:ascii="Arial" w:hAnsi="Arial"/>
                <w:sz w:val="20"/>
              </w:rPr>
            </w:pPr>
            <w:r>
              <w:rPr>
                <w:rFonts w:ascii="Arial" w:hAnsi="Arial"/>
                <w:sz w:val="20"/>
                <w:u w:val="single"/>
              </w:rPr>
              <w:t>Maximum Number of Shares; Adjustments</w:t>
            </w:r>
            <w:r>
              <w:rPr>
                <w:rFonts w:ascii="Arial" w:hAnsi="Arial"/>
                <w:sz w:val="20"/>
              </w:rPr>
              <w:t>. Subject to adjustment as provided in this Paragraph 9, not more than 101 million Shares in the aggregate may be issued pursuant to the Plan pursuant to Offerings under the Plan, including Offerings commenced since the Plan first became effective as the Comcast Corporation 2001 Employee Stock Purchase Plan; provided that, subject to the approval of the Company’s shareholders at the Company’s Annual Meeting of Shareholders to be held in 2023, the number of Shares in the aggregate that may be issued under the Plan pursuant to the grant of Awards shall be increased from 101 million to 201 million, subject to adjustment in accordance with this Paragraph 9. Shares delivered pursuant to the Plan may, at the Company’s option, be either treasury Shares or Shares originally issued for such purpose. In the event that Shares are changed into or exchanged for a different number or kind of shares of stock or other securities of the Company, whether through merger, consolidation, reorganization, recapitalization, stock dividend, stock split-up or other substitution of securities of the Company, the Board or the Committee shall make appropriate equitable anti-dilution adjustments to the number and class of shares of stock available for issuance under the Plan, to the number and class of shares of stock subject to outstanding Offerings and to the Purchase Price. Any reference to the Purchase Price in the Plan and in any related documents shall be a reference to the Purchase Price as so adjusted. Any reference to the term “Shares” in the Plan and in any related documents shall be a reference to the appropriate number and class of shares of stock available for issuance under the Plan, as adjusted pursuant to this Paragraph 9. The Board’s or the Committee’s adjustment shall be effective and binding for all purposes of this Plan. All Shares issued pursuant to the Plan shall be validly issued, fully paid and nonassessable.</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(b)</w:t>
            </w:r>
          </w:p>
        </w:tc>
        <w:tc>
          <w:tcPr>
            <w:tcW w:w="9245" w:type="dxa"/>
            <w:gridSpan w:val="2"/>
            <w:tcBorders/>
            <w:shd w:fill="auto" w:val="clear"/>
            <w:vAlign w:val="center"/>
          </w:tcPr>
          <w:p>
            <w:pPr>
              <w:pStyle w:val="TableContents"/>
              <w:spacing w:before="0" w:after="283"/>
              <w:jc w:val="left"/>
              <w:rPr>
                <w:rFonts w:ascii="Arial" w:hAnsi="Arial"/>
                <w:sz w:val="20"/>
              </w:rPr>
            </w:pPr>
            <w:r>
              <w:rPr>
                <w:rFonts w:ascii="Arial" w:hAnsi="Arial"/>
                <w:sz w:val="20"/>
                <w:u w:val="single"/>
              </w:rPr>
              <w:t>Participant’s Interest in Shares</w:t>
            </w:r>
            <w:r>
              <w:rPr>
                <w:rFonts w:ascii="Arial" w:hAnsi="Arial"/>
                <w:sz w:val="20"/>
              </w:rPr>
              <w:t>. A Participant shall have no interest in Shares offered under the Plan until Shares are credited to the Participant’s Brokerage Account.</w:t>
            </w:r>
          </w:p>
        </w:tc>
      </w:tr>
      <w:tr>
        <w:trPr/>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jc w:val="left"/>
              <w:rPr>
                <w:rFonts w:ascii="Arial" w:hAnsi="Arial"/>
                <w:sz w:val="20"/>
              </w:rPr>
            </w:pPr>
            <w:r>
              <w:rPr>
                <w:rFonts w:ascii="Arial" w:hAnsi="Arial"/>
                <w:sz w:val="20"/>
              </w:rPr>
              <w:t>(c)</w:t>
            </w:r>
          </w:p>
        </w:tc>
        <w:tc>
          <w:tcPr>
            <w:tcW w:w="9245" w:type="dxa"/>
            <w:gridSpan w:val="2"/>
            <w:tcBorders/>
            <w:shd w:fill="auto" w:val="clear"/>
            <w:vAlign w:val="center"/>
          </w:tcPr>
          <w:p>
            <w:pPr>
              <w:pStyle w:val="TableContents"/>
              <w:spacing w:before="0" w:after="283"/>
              <w:jc w:val="left"/>
              <w:rPr>
                <w:rFonts w:ascii="Arial" w:hAnsi="Arial"/>
                <w:sz w:val="20"/>
              </w:rPr>
            </w:pPr>
            <w:r>
              <w:rPr>
                <w:rFonts w:ascii="Arial" w:hAnsi="Arial"/>
                <w:sz w:val="20"/>
                <w:u w:val="single"/>
              </w:rPr>
              <w:t>Crediting of Shares to Brokerage Account</w:t>
            </w:r>
            <w:r>
              <w:rPr>
                <w:rFonts w:ascii="Arial" w:hAnsi="Arial"/>
                <w:sz w:val="20"/>
              </w:rPr>
              <w:t>. Shares purchased under the Plan shall be credited to the Participant’s Brokerage Account as soon as practicable following the Offering Termination Date.</w:t>
            </w:r>
          </w:p>
        </w:tc>
      </w:tr>
    </w:tbl>
    <w:p>
      <w:pPr>
        <w:pStyle w:val="TextBody"/>
        <w:spacing w:before="0" w:after="0"/>
        <w:rPr/>
      </w:pPr>
      <w:r>
        <w:rPr/>
      </w:r>
    </w:p>
    <w:tbl>
      <w:tblPr>
        <w:tblW w:w="283" w:type="dxa"/>
        <w:jc w:val="left"/>
        <w:tblInd w:w="0" w:type="dxa"/>
        <w:tblCellMar>
          <w:top w:w="0" w:type="dxa"/>
          <w:left w:w="0" w:type="dxa"/>
          <w:bottom w:w="0" w:type="dxa"/>
          <w:right w:w="0" w:type="dxa"/>
        </w:tblCellMar>
      </w:tblPr>
      <w:tblGrid>
        <w:gridCol w:w="260"/>
        <w:gridCol w:w="23"/>
      </w:tblGrid>
      <w:tr>
        <w:trPr/>
        <w:tc>
          <w:tcPr>
            <w:tcW w:w="260" w:type="dxa"/>
            <w:tcBorders/>
            <w:shd w:fill="auto" w:val="clear"/>
            <w:vAlign w:val="center"/>
          </w:tcPr>
          <w:p>
            <w:pPr>
              <w:pStyle w:val="TableContents"/>
              <w:spacing w:before="0" w:after="283"/>
              <w:jc w:val="left"/>
              <w:rPr>
                <w:rFonts w:ascii="Arial" w:hAnsi="Arial"/>
                <w:b/>
                <w:sz w:val="15"/>
              </w:rPr>
            </w:pPr>
            <w:r>
              <w:rPr>
                <w:rFonts w:ascii="Arial" w:hAnsi="Arial"/>
                <w:b/>
                <w:sz w:val="15"/>
              </w:rPr>
              <w:t>D-4</w:t>
            </w:r>
          </w:p>
        </w:tc>
        <w:tc>
          <w:tcPr>
            <w:tcW w:w="2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10205" w:type="dxa"/>
        <w:jc w:val="left"/>
        <w:tblInd w:w="0" w:type="dxa"/>
        <w:tblCellMar>
          <w:top w:w="0" w:type="dxa"/>
          <w:left w:w="0" w:type="dxa"/>
          <w:bottom w:w="0" w:type="dxa"/>
          <w:right w:w="0" w:type="dxa"/>
        </w:tblCellMar>
      </w:tblPr>
      <w:tblGrid>
        <w:gridCol w:w="496"/>
        <w:gridCol w:w="496"/>
        <w:gridCol w:w="8790"/>
        <w:gridCol w:w="423"/>
      </w:tblGrid>
      <w:tr>
        <w:trPr/>
        <w:tc>
          <w:tcPr>
            <w:tcW w:w="496"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jc w:val="left"/>
              <w:rPr>
                <w:rFonts w:ascii="Arial" w:hAnsi="Arial"/>
                <w:sz w:val="20"/>
              </w:rPr>
            </w:pPr>
            <w:r>
              <w:rPr>
                <w:rFonts w:ascii="Arial" w:hAnsi="Arial"/>
                <w:sz w:val="20"/>
              </w:rPr>
              <w:t>(d)</w:t>
            </w:r>
          </w:p>
        </w:tc>
        <w:tc>
          <w:tcPr>
            <w:tcW w:w="9213" w:type="dxa"/>
            <w:gridSpan w:val="2"/>
            <w:tcBorders/>
            <w:shd w:fill="auto" w:val="clear"/>
            <w:vAlign w:val="center"/>
          </w:tcPr>
          <w:p>
            <w:pPr>
              <w:pStyle w:val="TableContents"/>
              <w:spacing w:before="0" w:after="283"/>
              <w:jc w:val="left"/>
              <w:rPr>
                <w:rFonts w:ascii="Arial" w:hAnsi="Arial"/>
                <w:sz w:val="20"/>
              </w:rPr>
            </w:pPr>
            <w:r>
              <w:rPr>
                <w:rFonts w:ascii="Arial" w:hAnsi="Arial"/>
                <w:sz w:val="20"/>
                <w:u w:val="single"/>
              </w:rPr>
              <w:t>Restrictions on Purchase</w:t>
            </w:r>
            <w:r>
              <w:rPr>
                <w:rFonts w:ascii="Arial" w:hAnsi="Arial"/>
                <w:sz w:val="20"/>
              </w:rPr>
              <w:t>. The Board or the Committee may, in its discretion, require as conditions to the purchase of any Shares under the Plan such conditions as it may deem necessary to assure that such purchase of Shares is in compliance with applicable securities laws.</w:t>
            </w:r>
          </w:p>
        </w:tc>
      </w:tr>
      <w:tr>
        <w:trPr/>
        <w:tc>
          <w:tcPr>
            <w:tcW w:w="496"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jc w:val="left"/>
              <w:rPr>
                <w:rFonts w:ascii="Arial" w:hAnsi="Arial"/>
                <w:sz w:val="20"/>
              </w:rPr>
            </w:pPr>
            <w:r>
              <w:rPr>
                <w:rFonts w:ascii="Arial" w:hAnsi="Arial"/>
                <w:sz w:val="20"/>
              </w:rPr>
              <w:t>(e)</w:t>
            </w:r>
          </w:p>
        </w:tc>
        <w:tc>
          <w:tcPr>
            <w:tcW w:w="9213" w:type="dxa"/>
            <w:gridSpan w:val="2"/>
            <w:tcBorders/>
            <w:shd w:fill="auto" w:val="clear"/>
            <w:vAlign w:val="center"/>
          </w:tcPr>
          <w:p>
            <w:pPr>
              <w:pStyle w:val="TableContents"/>
              <w:spacing w:before="0" w:after="283"/>
              <w:jc w:val="left"/>
              <w:rPr>
                <w:rFonts w:ascii="Arial" w:hAnsi="Arial"/>
                <w:sz w:val="20"/>
              </w:rPr>
            </w:pPr>
            <w:r>
              <w:rPr>
                <w:rFonts w:ascii="Arial" w:hAnsi="Arial"/>
                <w:sz w:val="20"/>
                <w:u w:val="single"/>
              </w:rPr>
              <w:t>Restrictions on Sale of Shares</w:t>
            </w:r>
            <w:r>
              <w:rPr>
                <w:rFonts w:ascii="Arial" w:hAnsi="Arial"/>
                <w:sz w:val="20"/>
              </w:rPr>
              <w:t>. The Board or the Committee may, in its discretion, require as conditions to the sale of any Shares credited to Participants’ Brokerage Accounts under the Plan (i) such conditions as it may deem necessary to assure that such sale of Shares is in compliance with applicable securities laws and (ii) a minimum holding period (not to exceed one year) following the purchase of Shares before Shares credited to Participants’ Brokerage Accounts may be sold or otherwise transferred, provided that such holding period, if any, shall not apply to Shares credited to the Brokerage Account of a Participant who has terminated employment on account of death or disability.</w:t>
            </w:r>
          </w:p>
        </w:tc>
      </w:tr>
      <w:tr>
        <w:trPr/>
        <w:tc>
          <w:tcPr>
            <w:tcW w:w="496" w:type="dxa"/>
            <w:tcBorders/>
            <w:shd w:fill="auto" w:val="clear"/>
            <w:vAlign w:val="center"/>
          </w:tcPr>
          <w:p>
            <w:pPr>
              <w:pStyle w:val="TableContents"/>
              <w:spacing w:before="0" w:after="283"/>
              <w:jc w:val="left"/>
              <w:rPr>
                <w:rFonts w:ascii="Arial" w:hAnsi="Arial"/>
                <w:b/>
                <w:sz w:val="20"/>
              </w:rPr>
            </w:pPr>
            <w:r>
              <w:rPr>
                <w:rFonts w:ascii="Arial" w:hAnsi="Arial"/>
                <w:b/>
                <w:sz w:val="20"/>
              </w:rPr>
              <w:t>10.</w:t>
            </w:r>
          </w:p>
        </w:tc>
        <w:tc>
          <w:tcPr>
            <w:tcW w:w="9709" w:type="dxa"/>
            <w:gridSpan w:val="3"/>
            <w:tcBorders/>
            <w:shd w:fill="auto" w:val="clear"/>
            <w:vAlign w:val="center"/>
          </w:tcPr>
          <w:p>
            <w:pPr>
              <w:pStyle w:val="TableContents"/>
              <w:spacing w:before="0" w:after="283"/>
              <w:jc w:val="left"/>
              <w:rPr>
                <w:rFonts w:ascii="Arial" w:hAnsi="Arial"/>
                <w:b/>
                <w:sz w:val="20"/>
              </w:rPr>
            </w:pPr>
            <w:r>
              <w:rPr>
                <w:rFonts w:ascii="Arial" w:hAnsi="Arial"/>
                <w:b/>
                <w:sz w:val="20"/>
                <w:u w:val="single"/>
              </w:rPr>
              <w:t>Expenses</w:t>
            </w:r>
            <w:r>
              <w:rPr>
                <w:rFonts w:ascii="Arial" w:hAnsi="Arial"/>
                <w:b/>
                <w:sz w:val="20"/>
              </w:rPr>
              <w:t>.</w:t>
            </w:r>
          </w:p>
        </w:tc>
      </w:tr>
      <w:tr>
        <w:trPr/>
        <w:tc>
          <w:tcPr>
            <w:tcW w:w="10205" w:type="dxa"/>
            <w:gridSpan w:val="4"/>
            <w:tcBorders/>
            <w:shd w:fill="auto" w:val="clear"/>
            <w:vAlign w:val="center"/>
          </w:tcPr>
          <w:p>
            <w:pPr>
              <w:pStyle w:val="TableContents"/>
              <w:spacing w:before="0" w:after="283"/>
              <w:jc w:val="left"/>
              <w:rPr>
                <w:rFonts w:ascii="Arial" w:hAnsi="Arial"/>
                <w:sz w:val="20"/>
              </w:rPr>
            </w:pPr>
            <w:r>
              <w:rPr>
                <w:rFonts w:ascii="Arial" w:hAnsi="Arial"/>
                <w:sz w:val="20"/>
              </w:rPr>
              <w:t>The Participating Companies shall pay all fees and expenses incurred (excluding individual Federal, state, local or other taxes) in connection with the Plan. No charge or deduction for any such expenses will be made to a Participant upon the termination of his or her participation under the Plan or upon the distribution of certificates representing Shares purchased with his or her Payroll Deductions.</w:t>
            </w:r>
          </w:p>
        </w:tc>
      </w:tr>
      <w:tr>
        <w:trPr/>
        <w:tc>
          <w:tcPr>
            <w:tcW w:w="496" w:type="dxa"/>
            <w:tcBorders/>
            <w:shd w:fill="auto" w:val="clear"/>
            <w:vAlign w:val="center"/>
          </w:tcPr>
          <w:p>
            <w:pPr>
              <w:pStyle w:val="TableContents"/>
              <w:spacing w:before="0" w:after="283"/>
              <w:jc w:val="left"/>
              <w:rPr>
                <w:rFonts w:ascii="Arial" w:hAnsi="Arial"/>
                <w:b/>
                <w:sz w:val="20"/>
              </w:rPr>
            </w:pPr>
            <w:r>
              <w:rPr>
                <w:rFonts w:ascii="Arial" w:hAnsi="Arial"/>
                <w:b/>
                <w:sz w:val="20"/>
              </w:rPr>
              <w:t>11.</w:t>
            </w:r>
          </w:p>
        </w:tc>
        <w:tc>
          <w:tcPr>
            <w:tcW w:w="9709" w:type="dxa"/>
            <w:gridSpan w:val="3"/>
            <w:tcBorders/>
            <w:shd w:fill="auto" w:val="clear"/>
            <w:vAlign w:val="center"/>
          </w:tcPr>
          <w:p>
            <w:pPr>
              <w:pStyle w:val="TableContents"/>
              <w:spacing w:before="0" w:after="283"/>
              <w:jc w:val="left"/>
              <w:rPr>
                <w:rFonts w:ascii="Arial" w:hAnsi="Arial"/>
                <w:b/>
                <w:sz w:val="20"/>
              </w:rPr>
            </w:pPr>
            <w:r>
              <w:rPr>
                <w:rFonts w:ascii="Arial" w:hAnsi="Arial"/>
                <w:b/>
                <w:sz w:val="20"/>
                <w:u w:val="single"/>
              </w:rPr>
              <w:t>Taxes</w:t>
            </w:r>
            <w:r>
              <w:rPr>
                <w:rFonts w:ascii="Arial" w:hAnsi="Arial"/>
                <w:b/>
                <w:sz w:val="20"/>
              </w:rPr>
              <w:t>.</w:t>
            </w:r>
          </w:p>
        </w:tc>
      </w:tr>
      <w:tr>
        <w:trPr/>
        <w:tc>
          <w:tcPr>
            <w:tcW w:w="10205" w:type="dxa"/>
            <w:gridSpan w:val="4"/>
            <w:tcBorders/>
            <w:shd w:fill="auto" w:val="clear"/>
            <w:vAlign w:val="center"/>
          </w:tcPr>
          <w:p>
            <w:pPr>
              <w:pStyle w:val="TableContents"/>
              <w:spacing w:before="0" w:after="283"/>
              <w:jc w:val="left"/>
              <w:rPr>
                <w:rFonts w:ascii="Arial" w:hAnsi="Arial"/>
                <w:sz w:val="20"/>
              </w:rPr>
            </w:pPr>
            <w:r>
              <w:rPr>
                <w:rFonts w:ascii="Arial" w:hAnsi="Arial"/>
                <w:sz w:val="20"/>
              </w:rPr>
              <w:t>The Participating Companies shall have the right to withhold from each Participant’s Compensation an amount equal to all federal, state, city or other taxes as the Participating Companies shall determine are required to be withheld by them in connection with the purchase of Shares under the Plan and in connection with the sale of Shares acquired under the Plan. In connection with such withholding, the Participating Companies may make any such arrangements as they may deem necessary or appropriate to protect their interests.</w:t>
            </w:r>
          </w:p>
        </w:tc>
      </w:tr>
      <w:tr>
        <w:trPr/>
        <w:tc>
          <w:tcPr>
            <w:tcW w:w="496" w:type="dxa"/>
            <w:tcBorders/>
            <w:shd w:fill="auto" w:val="clear"/>
            <w:vAlign w:val="center"/>
          </w:tcPr>
          <w:p>
            <w:pPr>
              <w:pStyle w:val="TableContents"/>
              <w:spacing w:before="0" w:after="283"/>
              <w:jc w:val="left"/>
              <w:rPr>
                <w:rFonts w:ascii="Arial" w:hAnsi="Arial"/>
                <w:b/>
                <w:sz w:val="20"/>
              </w:rPr>
            </w:pPr>
            <w:r>
              <w:rPr>
                <w:rFonts w:ascii="Arial" w:hAnsi="Arial"/>
                <w:b/>
                <w:sz w:val="20"/>
              </w:rPr>
              <w:t>12.</w:t>
            </w:r>
          </w:p>
        </w:tc>
        <w:tc>
          <w:tcPr>
            <w:tcW w:w="9709" w:type="dxa"/>
            <w:gridSpan w:val="3"/>
            <w:tcBorders/>
            <w:shd w:fill="auto" w:val="clear"/>
            <w:vAlign w:val="center"/>
          </w:tcPr>
          <w:p>
            <w:pPr>
              <w:pStyle w:val="TableContents"/>
              <w:spacing w:before="0" w:after="283"/>
              <w:jc w:val="left"/>
              <w:rPr>
                <w:rFonts w:ascii="Arial" w:hAnsi="Arial"/>
                <w:b/>
                <w:sz w:val="20"/>
              </w:rPr>
            </w:pPr>
            <w:r>
              <w:rPr>
                <w:rFonts w:ascii="Arial" w:hAnsi="Arial"/>
                <w:b/>
                <w:sz w:val="20"/>
                <w:u w:val="single"/>
              </w:rPr>
              <w:t>Plan and Contributions Not to Affect Employment</w:t>
            </w:r>
            <w:r>
              <w:rPr>
                <w:rFonts w:ascii="Arial" w:hAnsi="Arial"/>
                <w:b/>
                <w:sz w:val="20"/>
              </w:rPr>
              <w:t>.</w:t>
            </w:r>
          </w:p>
        </w:tc>
      </w:tr>
      <w:tr>
        <w:trPr/>
        <w:tc>
          <w:tcPr>
            <w:tcW w:w="10205" w:type="dxa"/>
            <w:gridSpan w:val="4"/>
            <w:tcBorders/>
            <w:shd w:fill="auto" w:val="clear"/>
            <w:vAlign w:val="center"/>
          </w:tcPr>
          <w:p>
            <w:pPr>
              <w:pStyle w:val="TableContents"/>
              <w:spacing w:before="0" w:after="283"/>
              <w:jc w:val="left"/>
              <w:rPr>
                <w:rFonts w:ascii="Arial" w:hAnsi="Arial"/>
                <w:sz w:val="20"/>
              </w:rPr>
            </w:pPr>
            <w:r>
              <w:rPr>
                <w:rFonts w:ascii="Arial" w:hAnsi="Arial"/>
                <w:sz w:val="20"/>
              </w:rPr>
              <w:t>The Plan shall not confer upon any Eligible Employee any right to continue in the employ of the Participating Companies.</w:t>
            </w:r>
          </w:p>
        </w:tc>
      </w:tr>
      <w:tr>
        <w:trPr/>
        <w:tc>
          <w:tcPr>
            <w:tcW w:w="496" w:type="dxa"/>
            <w:tcBorders/>
            <w:shd w:fill="auto" w:val="clear"/>
            <w:vAlign w:val="center"/>
          </w:tcPr>
          <w:p>
            <w:pPr>
              <w:pStyle w:val="TableContents"/>
              <w:spacing w:before="0" w:after="283"/>
              <w:jc w:val="left"/>
              <w:rPr>
                <w:rFonts w:ascii="Arial" w:hAnsi="Arial"/>
                <w:b/>
                <w:sz w:val="20"/>
              </w:rPr>
            </w:pPr>
            <w:r>
              <w:rPr>
                <w:rFonts w:ascii="Arial" w:hAnsi="Arial"/>
                <w:b/>
                <w:sz w:val="20"/>
              </w:rPr>
              <w:t>13.</w:t>
            </w:r>
          </w:p>
        </w:tc>
        <w:tc>
          <w:tcPr>
            <w:tcW w:w="9709" w:type="dxa"/>
            <w:gridSpan w:val="3"/>
            <w:tcBorders/>
            <w:shd w:fill="auto" w:val="clear"/>
            <w:vAlign w:val="center"/>
          </w:tcPr>
          <w:p>
            <w:pPr>
              <w:pStyle w:val="TableContents"/>
              <w:spacing w:before="0" w:after="283"/>
              <w:jc w:val="left"/>
              <w:rPr>
                <w:rFonts w:ascii="Arial" w:hAnsi="Arial"/>
                <w:b/>
                <w:sz w:val="20"/>
              </w:rPr>
            </w:pPr>
            <w:r>
              <w:rPr>
                <w:rFonts w:ascii="Arial" w:hAnsi="Arial"/>
                <w:b/>
                <w:sz w:val="20"/>
                <w:u w:val="single"/>
              </w:rPr>
              <w:t>Administration</w:t>
            </w:r>
            <w:r>
              <w:rPr>
                <w:rFonts w:ascii="Arial" w:hAnsi="Arial"/>
                <w:b/>
                <w:sz w:val="20"/>
              </w:rPr>
              <w:t>.</w:t>
            </w:r>
          </w:p>
        </w:tc>
      </w:tr>
      <w:tr>
        <w:trPr/>
        <w:tc>
          <w:tcPr>
            <w:tcW w:w="10205" w:type="dxa"/>
            <w:gridSpan w:val="4"/>
            <w:tcBorders/>
            <w:shd w:fill="auto" w:val="clear"/>
            <w:vAlign w:val="center"/>
          </w:tcPr>
          <w:p>
            <w:pPr>
              <w:pStyle w:val="TableContents"/>
              <w:spacing w:before="0" w:after="283"/>
              <w:jc w:val="left"/>
              <w:rPr>
                <w:rFonts w:ascii="Arial" w:hAnsi="Arial"/>
                <w:sz w:val="20"/>
              </w:rPr>
            </w:pPr>
            <w:r>
              <w:rPr>
                <w:rFonts w:ascii="Arial" w:hAnsi="Arial"/>
                <w:sz w:val="20"/>
              </w:rPr>
              <w:t>The Plan shall be administered by the Committee. The Board and the Committee shall have authority to interpret the Plan, to prescribe, amend and rescind rules and regulations relating to it, and to make all other determinations deemed necessary or advisable in administering the Plan, with or without the advice of counsel. The Committee may delegate its administrative duties, subject to its review and supervision, to the appropriate officers and employees of the Company. The determinations of the Board and the Committee on the matters referred to in this Paragraph 13 shall be conclusive and binding.</w:t>
            </w:r>
          </w:p>
        </w:tc>
      </w:tr>
      <w:tr>
        <w:trPr/>
        <w:tc>
          <w:tcPr>
            <w:tcW w:w="496" w:type="dxa"/>
            <w:tcBorders/>
            <w:shd w:fill="auto" w:val="clear"/>
            <w:vAlign w:val="center"/>
          </w:tcPr>
          <w:p>
            <w:pPr>
              <w:pStyle w:val="TableContents"/>
              <w:spacing w:before="0" w:after="283"/>
              <w:jc w:val="left"/>
              <w:rPr>
                <w:rFonts w:ascii="Arial" w:hAnsi="Arial"/>
                <w:b/>
                <w:sz w:val="20"/>
              </w:rPr>
            </w:pPr>
            <w:r>
              <w:rPr>
                <w:rFonts w:ascii="Arial" w:hAnsi="Arial"/>
                <w:b/>
                <w:sz w:val="20"/>
              </w:rPr>
              <w:t>14.</w:t>
            </w:r>
          </w:p>
        </w:tc>
        <w:tc>
          <w:tcPr>
            <w:tcW w:w="9709" w:type="dxa"/>
            <w:gridSpan w:val="3"/>
            <w:tcBorders/>
            <w:shd w:fill="auto" w:val="clear"/>
            <w:vAlign w:val="center"/>
          </w:tcPr>
          <w:p>
            <w:pPr>
              <w:pStyle w:val="TableContents"/>
              <w:spacing w:before="0" w:after="283"/>
              <w:jc w:val="left"/>
              <w:rPr>
                <w:rFonts w:ascii="Arial" w:hAnsi="Arial"/>
                <w:b/>
                <w:sz w:val="20"/>
              </w:rPr>
            </w:pPr>
            <w:r>
              <w:rPr>
                <w:rFonts w:ascii="Arial" w:hAnsi="Arial"/>
                <w:b/>
                <w:sz w:val="20"/>
                <w:u w:val="single"/>
              </w:rPr>
              <w:t>Amendment and Termination</w:t>
            </w:r>
            <w:r>
              <w:rPr>
                <w:rFonts w:ascii="Arial" w:hAnsi="Arial"/>
                <w:b/>
                <w:sz w:val="20"/>
              </w:rPr>
              <w:t>.</w:t>
            </w:r>
          </w:p>
        </w:tc>
      </w:tr>
      <w:tr>
        <w:trPr/>
        <w:tc>
          <w:tcPr>
            <w:tcW w:w="10205" w:type="dxa"/>
            <w:gridSpan w:val="4"/>
            <w:tcBorders/>
            <w:shd w:fill="auto" w:val="clear"/>
            <w:vAlign w:val="center"/>
          </w:tcPr>
          <w:p>
            <w:pPr>
              <w:pStyle w:val="TableContents"/>
              <w:spacing w:before="0" w:after="283"/>
              <w:jc w:val="left"/>
              <w:rPr>
                <w:rFonts w:ascii="Arial" w:hAnsi="Arial"/>
                <w:sz w:val="20"/>
              </w:rPr>
            </w:pPr>
            <w:r>
              <w:rPr>
                <w:rFonts w:ascii="Arial" w:hAnsi="Arial"/>
                <w:sz w:val="20"/>
              </w:rPr>
              <w:t>The Board or the Committee may terminate the Plan at any time and may amend the Plan from time to time in any respect; provided, however, that upon any termination of the Plan, all Shares or Payroll Deductions (to the extent not yet applied to the purchase of Shares) under the Plan shall be distributed to the Participants, provided further, that no amendment to the Plan shall affect the right of any Participant to receive his or her proportionate interest in the Shares or his or her Payroll Deductions (to the extent not yet applied to the purchase of Shares) under the Plan, and provided further that the Company may seek shareholder approval of an amendment to the Plan if such approval is determined to be required by or advisable under the regulations of the Securities and Exchange Commission or the Internal Revenue Service, the rules of any stock exchange or system on which the Shares are listed or other applicable law or regulation.</w:t>
            </w:r>
          </w:p>
        </w:tc>
      </w:tr>
      <w:tr>
        <w:trPr/>
        <w:tc>
          <w:tcPr>
            <w:tcW w:w="496" w:type="dxa"/>
            <w:tcBorders/>
            <w:shd w:fill="auto" w:val="clear"/>
            <w:vAlign w:val="center"/>
          </w:tcPr>
          <w:p>
            <w:pPr>
              <w:pStyle w:val="TableContents"/>
              <w:spacing w:before="0" w:after="283"/>
              <w:jc w:val="left"/>
              <w:rPr>
                <w:rFonts w:ascii="Arial" w:hAnsi="Arial"/>
                <w:b/>
                <w:sz w:val="20"/>
              </w:rPr>
            </w:pPr>
            <w:r>
              <w:rPr>
                <w:rFonts w:ascii="Arial" w:hAnsi="Arial"/>
                <w:b/>
                <w:sz w:val="20"/>
              </w:rPr>
              <w:t>15.</w:t>
            </w:r>
          </w:p>
        </w:tc>
        <w:tc>
          <w:tcPr>
            <w:tcW w:w="9709" w:type="dxa"/>
            <w:gridSpan w:val="3"/>
            <w:tcBorders/>
            <w:shd w:fill="auto" w:val="clear"/>
            <w:vAlign w:val="center"/>
          </w:tcPr>
          <w:p>
            <w:pPr>
              <w:pStyle w:val="TableContents"/>
              <w:spacing w:before="0" w:after="283"/>
              <w:jc w:val="left"/>
              <w:rPr>
                <w:rFonts w:ascii="Arial" w:hAnsi="Arial"/>
                <w:b/>
                <w:sz w:val="20"/>
              </w:rPr>
            </w:pPr>
            <w:r>
              <w:rPr>
                <w:rFonts w:ascii="Arial" w:hAnsi="Arial"/>
                <w:b/>
                <w:sz w:val="20"/>
                <w:u w:val="single"/>
              </w:rPr>
              <w:t>Effective Date</w:t>
            </w:r>
            <w:r>
              <w:rPr>
                <w:rFonts w:ascii="Arial" w:hAnsi="Arial"/>
                <w:b/>
                <w:sz w:val="20"/>
              </w:rPr>
              <w:t>.</w:t>
            </w:r>
          </w:p>
        </w:tc>
      </w:tr>
      <w:tr>
        <w:trPr/>
        <w:tc>
          <w:tcPr>
            <w:tcW w:w="10205" w:type="dxa"/>
            <w:gridSpan w:val="4"/>
            <w:tcBorders/>
            <w:shd w:fill="auto" w:val="clear"/>
            <w:vAlign w:val="center"/>
          </w:tcPr>
          <w:p>
            <w:pPr>
              <w:pStyle w:val="TableContents"/>
              <w:spacing w:before="0" w:after="283"/>
              <w:jc w:val="left"/>
              <w:rPr>
                <w:rFonts w:ascii="Arial" w:hAnsi="Arial"/>
                <w:sz w:val="20"/>
              </w:rPr>
            </w:pPr>
            <w:r>
              <w:rPr>
                <w:rFonts w:ascii="Arial" w:hAnsi="Arial"/>
                <w:sz w:val="20"/>
              </w:rPr>
              <w:t>The original effective date of the Plan was December 20, 2000. The effective date of this amendment and restatement of the Plan is June 7, 2023, subject to approval by the shareholders of the Company.</w:t>
            </w:r>
          </w:p>
        </w:tc>
      </w:tr>
      <w:tr>
        <w:trPr/>
        <w:tc>
          <w:tcPr>
            <w:tcW w:w="496" w:type="dxa"/>
            <w:tcBorders/>
            <w:shd w:fill="auto" w:val="clear"/>
            <w:vAlign w:val="center"/>
          </w:tcPr>
          <w:p>
            <w:pPr>
              <w:pStyle w:val="TableContents"/>
              <w:spacing w:before="0" w:after="283"/>
              <w:jc w:val="left"/>
              <w:rPr>
                <w:rFonts w:ascii="Arial" w:hAnsi="Arial"/>
                <w:b/>
                <w:sz w:val="20"/>
              </w:rPr>
            </w:pPr>
            <w:r>
              <w:rPr>
                <w:rFonts w:ascii="Arial" w:hAnsi="Arial"/>
                <w:b/>
                <w:sz w:val="20"/>
              </w:rPr>
              <w:t>16.</w:t>
            </w:r>
          </w:p>
        </w:tc>
        <w:tc>
          <w:tcPr>
            <w:tcW w:w="9709" w:type="dxa"/>
            <w:gridSpan w:val="3"/>
            <w:tcBorders/>
            <w:shd w:fill="auto" w:val="clear"/>
            <w:vAlign w:val="center"/>
          </w:tcPr>
          <w:p>
            <w:pPr>
              <w:pStyle w:val="TableContents"/>
              <w:spacing w:before="0" w:after="283"/>
              <w:jc w:val="left"/>
              <w:rPr>
                <w:rFonts w:ascii="Arial" w:hAnsi="Arial"/>
                <w:b/>
                <w:sz w:val="20"/>
              </w:rPr>
            </w:pPr>
            <w:r>
              <w:rPr>
                <w:rFonts w:ascii="Arial" w:hAnsi="Arial"/>
                <w:b/>
                <w:sz w:val="20"/>
                <w:u w:val="single"/>
              </w:rPr>
              <w:t>Government and Other Regulations</w:t>
            </w:r>
            <w:r>
              <w:rPr>
                <w:rFonts w:ascii="Arial" w:hAnsi="Arial"/>
                <w:b/>
                <w:sz w:val="20"/>
              </w:rPr>
              <w:t>.</w:t>
            </w:r>
          </w:p>
        </w:tc>
      </w:tr>
      <w:tr>
        <w:trPr/>
        <w:tc>
          <w:tcPr>
            <w:tcW w:w="496"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jc w:val="left"/>
              <w:rPr>
                <w:rFonts w:ascii="Arial" w:hAnsi="Arial"/>
                <w:sz w:val="20"/>
              </w:rPr>
            </w:pPr>
            <w:r>
              <w:rPr>
                <w:rFonts w:ascii="Arial" w:hAnsi="Arial"/>
                <w:sz w:val="20"/>
              </w:rPr>
              <w:t>(a)</w:t>
            </w:r>
          </w:p>
        </w:tc>
        <w:tc>
          <w:tcPr>
            <w:tcW w:w="9213" w:type="dxa"/>
            <w:gridSpan w:val="2"/>
            <w:tcBorders/>
            <w:shd w:fill="auto" w:val="clear"/>
            <w:vAlign w:val="center"/>
          </w:tcPr>
          <w:p>
            <w:pPr>
              <w:pStyle w:val="TableContents"/>
              <w:spacing w:before="0" w:after="283"/>
              <w:jc w:val="left"/>
              <w:rPr>
                <w:rFonts w:ascii="Arial" w:hAnsi="Arial"/>
                <w:sz w:val="20"/>
              </w:rPr>
            </w:pPr>
            <w:r>
              <w:rPr>
                <w:rFonts w:ascii="Arial" w:hAnsi="Arial"/>
                <w:sz w:val="20"/>
                <w:u w:val="single"/>
              </w:rPr>
              <w:t>In General</w:t>
            </w:r>
            <w:r>
              <w:rPr>
                <w:rFonts w:ascii="Arial" w:hAnsi="Arial"/>
                <w:sz w:val="20"/>
              </w:rPr>
              <w:t>. The purchase of Shares under the Plan shall be subject to all applicable laws, rules and regulations, and to such approvals by any governmental agencies as may be required.</w:t>
            </w:r>
          </w:p>
        </w:tc>
      </w:tr>
      <w:tr>
        <w:trPr/>
        <w:tc>
          <w:tcPr>
            <w:tcW w:w="496" w:type="dxa"/>
            <w:tcBorders/>
            <w:shd w:fill="auto" w:val="clear"/>
            <w:vAlign w:val="center"/>
          </w:tcPr>
          <w:p>
            <w:pPr>
              <w:pStyle w:val="TableContents"/>
              <w:spacing w:before="0" w:after="283"/>
              <w:jc w:val="left"/>
              <w:rPr/>
            </w:pPr>
            <w:r>
              <w:rPr/>
              <w:t>        </w:t>
            </w:r>
          </w:p>
        </w:tc>
        <w:tc>
          <w:tcPr>
            <w:tcW w:w="496" w:type="dxa"/>
            <w:tcBorders/>
            <w:shd w:fill="auto" w:val="clear"/>
            <w:vAlign w:val="center"/>
          </w:tcPr>
          <w:p>
            <w:pPr>
              <w:pStyle w:val="TableContents"/>
              <w:spacing w:before="0" w:after="283"/>
              <w:jc w:val="left"/>
              <w:rPr/>
            </w:pPr>
            <w:r>
              <w:rPr/>
              <w:t>        </w:t>
            </w:r>
          </w:p>
        </w:tc>
        <w:tc>
          <w:tcPr>
            <w:tcW w:w="8790" w:type="dxa"/>
            <w:tcBorders/>
            <w:shd w:fill="auto" w:val="clear"/>
            <w:vAlign w:val="center"/>
          </w:tcPr>
          <w:p>
            <w:pPr>
              <w:pStyle w:val="TableContents"/>
              <w:spacing w:before="0" w:after="283"/>
              <w:jc w:val="left"/>
              <w:rPr/>
            </w:pPr>
            <w:r>
              <w:rPr/>
              <w:t>        </w:t>
            </w:r>
          </w:p>
        </w:tc>
        <w:tc>
          <w:tcPr>
            <w:tcW w:w="423" w:type="dxa"/>
            <w:tcBorders/>
            <w:shd w:fill="auto" w:val="clear"/>
            <w:vAlign w:val="center"/>
          </w:tcPr>
          <w:p>
            <w:pPr>
              <w:pStyle w:val="TableContents"/>
              <w:spacing w:before="0" w:after="283"/>
              <w:rPr>
                <w:sz w:val="4"/>
                <w:szCs w:val="4"/>
              </w:rPr>
            </w:pPr>
            <w:r>
              <w:rPr>
                <w:sz w:val="4"/>
                <w:szCs w:val="4"/>
              </w:rPr>
            </w:r>
          </w:p>
        </w:tc>
      </w:tr>
      <w:tr>
        <w:trPr/>
        <w:tc>
          <w:tcPr>
            <w:tcW w:w="496"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jc w:val="left"/>
              <w:rPr>
                <w:rFonts w:ascii="Arial" w:hAnsi="Arial"/>
                <w:sz w:val="20"/>
              </w:rPr>
            </w:pPr>
            <w:r>
              <w:rPr>
                <w:rFonts w:ascii="Arial" w:hAnsi="Arial"/>
                <w:sz w:val="20"/>
              </w:rPr>
              <w:t>(b)</w:t>
            </w:r>
          </w:p>
        </w:tc>
        <w:tc>
          <w:tcPr>
            <w:tcW w:w="9213" w:type="dxa"/>
            <w:gridSpan w:val="2"/>
            <w:tcBorders/>
            <w:shd w:fill="auto" w:val="clear"/>
            <w:vAlign w:val="center"/>
          </w:tcPr>
          <w:p>
            <w:pPr>
              <w:pStyle w:val="TableContents"/>
              <w:spacing w:before="0" w:after="283"/>
              <w:jc w:val="left"/>
              <w:rPr>
                <w:rFonts w:ascii="Arial" w:hAnsi="Arial"/>
                <w:sz w:val="20"/>
              </w:rPr>
            </w:pPr>
            <w:r>
              <w:rPr>
                <w:rFonts w:ascii="Arial" w:hAnsi="Arial"/>
                <w:sz w:val="20"/>
                <w:u w:val="single"/>
              </w:rPr>
              <w:t>Securities Law</w:t>
            </w:r>
            <w:r>
              <w:rPr>
                <w:rFonts w:ascii="Arial" w:hAnsi="Arial"/>
                <w:sz w:val="20"/>
              </w:rPr>
              <w:t>. The Committee shall have the power to make each Offering under the Plan subject to such conditions as it deems necessary or appropriate to comply with the then-existing requirements of the Securities Act of 1933, as amended, and the Securities Exchange Act of 1934, as amended, including Rule 16b-3 (or any similar rule) promulgated by the Securities and Exchange Commission thereunder.</w:t>
            </w:r>
          </w:p>
        </w:tc>
      </w:tr>
    </w:tbl>
    <w:p>
      <w:pPr>
        <w:pStyle w:val="TextBody"/>
        <w:spacing w:before="0" w:after="0"/>
        <w:rPr/>
      </w:pPr>
      <w:r>
        <w:rPr/>
      </w:r>
    </w:p>
    <w:tbl>
      <w:tblPr>
        <w:tblW w:w="2260" w:type="dxa"/>
        <w:jc w:val="left"/>
        <w:tblInd w:w="0" w:type="dxa"/>
        <w:tblCellMar>
          <w:top w:w="0" w:type="dxa"/>
          <w:left w:w="0" w:type="dxa"/>
          <w:bottom w:w="0" w:type="dxa"/>
          <w:right w:w="0" w:type="dxa"/>
        </w:tblCellMar>
      </w:tblPr>
      <w:tblGrid>
        <w:gridCol w:w="1580"/>
        <w:gridCol w:w="680"/>
      </w:tblGrid>
      <w:tr>
        <w:trPr/>
        <w:tc>
          <w:tcPr>
            <w:tcW w:w="1580" w:type="dxa"/>
            <w:tcBorders/>
            <w:shd w:fill="auto" w:val="clear"/>
            <w:vAlign w:val="center"/>
          </w:tcPr>
          <w:p>
            <w:pPr>
              <w:pStyle w:val="TableContents"/>
              <w:spacing w:before="0" w:after="283"/>
              <w:jc w:val="right"/>
              <w:rPr>
                <w:rFonts w:ascii="Arial" w:hAnsi="Arial"/>
                <w:sz w:val="15"/>
              </w:rPr>
            </w:pPr>
            <w:r>
              <w:rPr>
                <w:rFonts w:ascii="Arial" w:hAnsi="Arial"/>
                <w:sz w:val="15"/>
              </w:rPr>
              <w:t>2023 Proxy Statement</w:t>
            </w:r>
          </w:p>
        </w:tc>
        <w:tc>
          <w:tcPr>
            <w:tcW w:w="680" w:type="dxa"/>
            <w:tcBorders/>
            <w:shd w:fill="auto" w:val="clear"/>
            <w:vAlign w:val="center"/>
          </w:tcPr>
          <w:p>
            <w:pPr>
              <w:pStyle w:val="TableContents"/>
              <w:spacing w:before="0" w:after="283"/>
              <w:jc w:val="right"/>
              <w:rPr/>
            </w:pPr>
            <w:r>
              <w:rPr/>
              <w:t>       </w:t>
            </w:r>
            <w:r>
              <w:rPr>
                <w:rFonts w:ascii="Arial" w:hAnsi="Arial"/>
                <w:b/>
                <w:sz w:val="15"/>
              </w:rPr>
              <w:t>D-5</w:t>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tbl>
      <w:tblPr>
        <w:tblW w:w="10205" w:type="dxa"/>
        <w:jc w:val="left"/>
        <w:tblInd w:w="0" w:type="dxa"/>
        <w:tblCellMar>
          <w:top w:w="0" w:type="dxa"/>
          <w:left w:w="0" w:type="dxa"/>
          <w:bottom w:w="0" w:type="dxa"/>
          <w:right w:w="0" w:type="dxa"/>
        </w:tblCellMar>
      </w:tblPr>
      <w:tblGrid>
        <w:gridCol w:w="2399"/>
        <w:gridCol w:w="3806"/>
        <w:gridCol w:w="3806"/>
        <w:gridCol w:w="194"/>
      </w:tblGrid>
      <w:tr>
        <w:trPr/>
        <w:tc>
          <w:tcPr>
            <w:tcW w:w="2399" w:type="dxa"/>
            <w:tcBorders/>
            <w:shd w:fill="auto" w:val="clear"/>
            <w:vAlign w:val="center"/>
          </w:tcPr>
          <w:p>
            <w:pPr>
              <w:pStyle w:val="TableContents"/>
              <w:spacing w:before="0" w:after="283"/>
              <w:jc w:val="left"/>
              <w:rPr>
                <w:rFonts w:ascii="Arial" w:hAnsi="Arial"/>
                <w:b/>
                <w:sz w:val="20"/>
              </w:rPr>
            </w:pPr>
            <w:r>
              <w:rPr>
                <w:rFonts w:ascii="Arial" w:hAnsi="Arial"/>
                <w:b/>
                <w:sz w:val="20"/>
              </w:rPr>
              <w:t>17.</w:t>
            </w:r>
          </w:p>
        </w:tc>
        <w:tc>
          <w:tcPr>
            <w:tcW w:w="7806" w:type="dxa"/>
            <w:gridSpan w:val="3"/>
            <w:tcBorders/>
            <w:shd w:fill="auto" w:val="clear"/>
            <w:vAlign w:val="center"/>
          </w:tcPr>
          <w:p>
            <w:pPr>
              <w:pStyle w:val="TableContents"/>
              <w:spacing w:before="0" w:after="283"/>
              <w:jc w:val="left"/>
              <w:rPr>
                <w:rFonts w:ascii="Arial" w:hAnsi="Arial"/>
                <w:b/>
                <w:sz w:val="20"/>
              </w:rPr>
            </w:pPr>
            <w:r>
              <w:rPr>
                <w:rFonts w:ascii="Arial" w:hAnsi="Arial"/>
                <w:b/>
                <w:sz w:val="20"/>
                <w:u w:val="single"/>
              </w:rPr>
              <w:t>Non-Alienation</w:t>
            </w:r>
            <w:r>
              <w:rPr>
                <w:rFonts w:ascii="Arial" w:hAnsi="Arial"/>
                <w:b/>
                <w:sz w:val="20"/>
              </w:rPr>
              <w:t>.</w:t>
            </w:r>
          </w:p>
        </w:tc>
      </w:tr>
      <w:tr>
        <w:trPr/>
        <w:tc>
          <w:tcPr>
            <w:tcW w:w="10205" w:type="dxa"/>
            <w:gridSpan w:val="4"/>
            <w:tcBorders/>
            <w:shd w:fill="auto" w:val="clear"/>
            <w:vAlign w:val="center"/>
          </w:tcPr>
          <w:p>
            <w:pPr>
              <w:pStyle w:val="TableContents"/>
              <w:spacing w:before="0" w:after="283"/>
              <w:jc w:val="left"/>
              <w:rPr>
                <w:rFonts w:ascii="Arial" w:hAnsi="Arial"/>
                <w:sz w:val="20"/>
              </w:rPr>
            </w:pPr>
            <w:r>
              <w:rPr>
                <w:rFonts w:ascii="Arial" w:hAnsi="Arial"/>
                <w:sz w:val="20"/>
              </w:rPr>
              <w:t>No Participant shall be permitted to assign, alienate, sell, transfer, pledge or otherwise encumber his right to purchase Shares under the Plan prior to time that Shares are credited to the Participant’s Brokerage Account. Any attempt at assignment, alienation, sale, transfer, pledge or other encumbrance shall be void and of no effect.</w:t>
            </w:r>
          </w:p>
        </w:tc>
      </w:tr>
      <w:tr>
        <w:trPr/>
        <w:tc>
          <w:tcPr>
            <w:tcW w:w="2399" w:type="dxa"/>
            <w:tcBorders/>
            <w:shd w:fill="auto" w:val="clear"/>
            <w:vAlign w:val="center"/>
          </w:tcPr>
          <w:p>
            <w:pPr>
              <w:pStyle w:val="TableContents"/>
              <w:spacing w:before="0" w:after="283"/>
              <w:jc w:val="left"/>
              <w:rPr>
                <w:rFonts w:ascii="Arial" w:hAnsi="Arial"/>
                <w:b/>
                <w:sz w:val="20"/>
              </w:rPr>
            </w:pPr>
            <w:r>
              <w:rPr>
                <w:rFonts w:ascii="Arial" w:hAnsi="Arial"/>
                <w:b/>
                <w:sz w:val="20"/>
              </w:rPr>
              <w:t>18.</w:t>
            </w:r>
          </w:p>
        </w:tc>
        <w:tc>
          <w:tcPr>
            <w:tcW w:w="7806" w:type="dxa"/>
            <w:gridSpan w:val="3"/>
            <w:tcBorders/>
            <w:shd w:fill="auto" w:val="clear"/>
            <w:vAlign w:val="center"/>
          </w:tcPr>
          <w:p>
            <w:pPr>
              <w:pStyle w:val="TableContents"/>
              <w:spacing w:before="0" w:after="283"/>
              <w:jc w:val="left"/>
              <w:rPr>
                <w:rFonts w:ascii="Arial" w:hAnsi="Arial"/>
                <w:b/>
                <w:sz w:val="20"/>
              </w:rPr>
            </w:pPr>
            <w:r>
              <w:rPr>
                <w:rFonts w:ascii="Arial" w:hAnsi="Arial"/>
                <w:b/>
                <w:sz w:val="20"/>
                <w:u w:val="single"/>
              </w:rPr>
              <w:t>Notices</w:t>
            </w:r>
            <w:r>
              <w:rPr>
                <w:rFonts w:ascii="Arial" w:hAnsi="Arial"/>
                <w:b/>
                <w:sz w:val="20"/>
              </w:rPr>
              <w:t>.</w:t>
            </w:r>
          </w:p>
        </w:tc>
      </w:tr>
      <w:tr>
        <w:trPr/>
        <w:tc>
          <w:tcPr>
            <w:tcW w:w="10205" w:type="dxa"/>
            <w:gridSpan w:val="4"/>
            <w:tcBorders/>
            <w:shd w:fill="auto" w:val="clear"/>
            <w:vAlign w:val="center"/>
          </w:tcPr>
          <w:p>
            <w:pPr>
              <w:pStyle w:val="TableContents"/>
              <w:spacing w:before="0" w:after="283"/>
              <w:jc w:val="left"/>
              <w:rPr>
                <w:rFonts w:ascii="Arial" w:hAnsi="Arial"/>
                <w:sz w:val="20"/>
              </w:rPr>
            </w:pPr>
            <w:r>
              <w:rPr>
                <w:rFonts w:ascii="Arial" w:hAnsi="Arial"/>
                <w:sz w:val="20"/>
              </w:rPr>
              <w:t>Any notice required or permitted hereunder shall be sufficiently given only if delivered personally, telecopied, or sent by first class mail, postage prepaid, and addressed:</w:t>
            </w:r>
          </w:p>
        </w:tc>
      </w:tr>
      <w:tr>
        <w:trPr/>
        <w:tc>
          <w:tcPr>
            <w:tcW w:w="2399" w:type="dxa"/>
            <w:tcBorders/>
            <w:shd w:fill="auto" w:val="clear"/>
            <w:vAlign w:val="center"/>
          </w:tcPr>
          <w:p>
            <w:pPr>
              <w:pStyle w:val="TableContents"/>
              <w:spacing w:before="0" w:after="283"/>
              <w:rPr>
                <w:sz w:val="4"/>
                <w:szCs w:val="4"/>
              </w:rPr>
            </w:pPr>
            <w:r>
              <w:rPr>
                <w:sz w:val="4"/>
                <w:szCs w:val="4"/>
              </w:rPr>
            </w:r>
          </w:p>
        </w:tc>
        <w:tc>
          <w:tcPr>
            <w:tcW w:w="7806" w:type="dxa"/>
            <w:gridSpan w:val="3"/>
            <w:tcBorders/>
            <w:shd w:fill="auto" w:val="clear"/>
            <w:vAlign w:val="center"/>
          </w:tcPr>
          <w:p>
            <w:pPr>
              <w:pStyle w:val="TableContents"/>
              <w:spacing w:before="0" w:after="283"/>
              <w:jc w:val="left"/>
              <w:rPr>
                <w:rFonts w:ascii="Arial" w:hAnsi="Arial"/>
                <w:sz w:val="20"/>
              </w:rPr>
            </w:pPr>
            <w:r>
              <w:rPr>
                <w:rFonts w:ascii="Arial" w:hAnsi="Arial"/>
                <w:sz w:val="20"/>
                <w:u w:val="single"/>
              </w:rPr>
              <w:t>If to the Company</w:t>
            </w:r>
            <w:r>
              <w:rPr>
                <w:rFonts w:ascii="Arial" w:hAnsi="Arial"/>
                <w:sz w:val="20"/>
              </w:rPr>
              <w:t>:</w:t>
            </w:r>
          </w:p>
        </w:tc>
      </w:tr>
      <w:tr>
        <w:trPr/>
        <w:tc>
          <w:tcPr>
            <w:tcW w:w="2399" w:type="dxa"/>
            <w:tcBorders/>
            <w:shd w:fill="auto" w:val="clear"/>
            <w:vAlign w:val="center"/>
          </w:tcPr>
          <w:p>
            <w:pPr>
              <w:pStyle w:val="TableContents"/>
              <w:spacing w:before="0" w:after="283"/>
              <w:rPr>
                <w:sz w:val="4"/>
                <w:szCs w:val="4"/>
              </w:rPr>
            </w:pPr>
            <w:r>
              <w:rPr>
                <w:sz w:val="4"/>
                <w:szCs w:val="4"/>
              </w:rPr>
            </w:r>
          </w:p>
        </w:tc>
        <w:tc>
          <w:tcPr>
            <w:tcW w:w="7806" w:type="dxa"/>
            <w:gridSpan w:val="3"/>
            <w:tcBorders/>
            <w:shd w:fill="auto" w:val="clear"/>
            <w:vAlign w:val="center"/>
          </w:tcPr>
          <w:p>
            <w:pPr>
              <w:pStyle w:val="TableContents"/>
              <w:spacing w:before="0" w:after="283"/>
              <w:jc w:val="left"/>
              <w:rPr>
                <w:rFonts w:ascii="Arial" w:hAnsi="Arial"/>
                <w:sz w:val="20"/>
              </w:rPr>
            </w:pPr>
            <w:r>
              <w:rPr>
                <w:rFonts w:ascii="Arial" w:hAnsi="Arial"/>
                <w:sz w:val="20"/>
              </w:rPr>
              <w:t>Comcast Corporation</w:t>
              <w:br/>
              <w:t>One Comcast Center</w:t>
              <w:br/>
              <w:t>1701 JFK Boulevard</w:t>
              <w:br/>
              <w:t>Philadelphia, PA 19103</w:t>
              <w:br/>
              <w:t>Fax: 215-286-7794</w:t>
              <w:br/>
              <w:t>Attention: General Counsel</w:t>
            </w:r>
          </w:p>
        </w:tc>
      </w:tr>
      <w:tr>
        <w:trPr/>
        <w:tc>
          <w:tcPr>
            <w:tcW w:w="10205" w:type="dxa"/>
            <w:gridSpan w:val="4"/>
            <w:tcBorders/>
            <w:shd w:fill="auto" w:val="clear"/>
            <w:vAlign w:val="center"/>
          </w:tcPr>
          <w:p>
            <w:pPr>
              <w:pStyle w:val="TableContents"/>
              <w:spacing w:before="0" w:after="283"/>
              <w:jc w:val="left"/>
              <w:rPr>
                <w:rFonts w:ascii="Arial" w:hAnsi="Arial"/>
                <w:sz w:val="20"/>
              </w:rPr>
            </w:pPr>
            <w:r>
              <w:rPr>
                <w:rFonts w:ascii="Arial" w:hAnsi="Arial"/>
                <w:sz w:val="20"/>
              </w:rPr>
              <w:t>Or any other address provided pursuant to notice provided by the Committee.</w:t>
            </w:r>
          </w:p>
        </w:tc>
      </w:tr>
      <w:tr>
        <w:trPr/>
        <w:tc>
          <w:tcPr>
            <w:tcW w:w="2399" w:type="dxa"/>
            <w:tcBorders/>
            <w:shd w:fill="auto" w:val="clear"/>
            <w:vAlign w:val="center"/>
          </w:tcPr>
          <w:p>
            <w:pPr>
              <w:pStyle w:val="TableContents"/>
              <w:spacing w:before="0" w:after="283"/>
              <w:rPr>
                <w:sz w:val="4"/>
                <w:szCs w:val="4"/>
              </w:rPr>
            </w:pPr>
            <w:r>
              <w:rPr>
                <w:sz w:val="4"/>
                <w:szCs w:val="4"/>
              </w:rPr>
            </w:r>
          </w:p>
        </w:tc>
        <w:tc>
          <w:tcPr>
            <w:tcW w:w="7806" w:type="dxa"/>
            <w:gridSpan w:val="3"/>
            <w:tcBorders/>
            <w:shd w:fill="auto" w:val="clear"/>
            <w:vAlign w:val="center"/>
          </w:tcPr>
          <w:p>
            <w:pPr>
              <w:pStyle w:val="TableContents"/>
              <w:spacing w:before="0" w:after="283"/>
              <w:jc w:val="left"/>
              <w:rPr>
                <w:rFonts w:ascii="Arial" w:hAnsi="Arial"/>
                <w:sz w:val="20"/>
              </w:rPr>
            </w:pPr>
            <w:r>
              <w:rPr>
                <w:rFonts w:ascii="Arial" w:hAnsi="Arial"/>
                <w:sz w:val="20"/>
                <w:u w:val="single"/>
              </w:rPr>
              <w:t>If to the Participant</w:t>
            </w:r>
            <w:r>
              <w:rPr>
                <w:rFonts w:ascii="Arial" w:hAnsi="Arial"/>
                <w:sz w:val="20"/>
              </w:rPr>
              <w:t>:</w:t>
            </w:r>
          </w:p>
        </w:tc>
      </w:tr>
      <w:tr>
        <w:trPr/>
        <w:tc>
          <w:tcPr>
            <w:tcW w:w="2399" w:type="dxa"/>
            <w:tcBorders/>
            <w:shd w:fill="auto" w:val="clear"/>
            <w:vAlign w:val="center"/>
          </w:tcPr>
          <w:p>
            <w:pPr>
              <w:pStyle w:val="TableContents"/>
              <w:spacing w:before="0" w:after="283"/>
              <w:rPr>
                <w:sz w:val="4"/>
                <w:szCs w:val="4"/>
              </w:rPr>
            </w:pPr>
            <w:r>
              <w:rPr>
                <w:sz w:val="4"/>
                <w:szCs w:val="4"/>
              </w:rPr>
            </w:r>
          </w:p>
        </w:tc>
        <w:tc>
          <w:tcPr>
            <w:tcW w:w="7806" w:type="dxa"/>
            <w:gridSpan w:val="3"/>
            <w:tcBorders/>
            <w:shd w:fill="auto" w:val="clear"/>
            <w:vAlign w:val="center"/>
          </w:tcPr>
          <w:p>
            <w:pPr>
              <w:pStyle w:val="TableContents"/>
              <w:spacing w:before="0" w:after="283"/>
              <w:jc w:val="left"/>
              <w:rPr>
                <w:rFonts w:ascii="Arial" w:hAnsi="Arial"/>
                <w:sz w:val="20"/>
              </w:rPr>
            </w:pPr>
            <w:r>
              <w:rPr>
                <w:rFonts w:ascii="Arial" w:hAnsi="Arial"/>
                <w:sz w:val="20"/>
              </w:rPr>
              <w:t>At the address on file with the Participating Company from time to time, or to such other address as either party may hereafter designate in writing (or via such other means of communication permitted by the Committee) by notice similarly given by one party to the other.</w:t>
            </w:r>
          </w:p>
        </w:tc>
      </w:tr>
      <w:tr>
        <w:trPr/>
        <w:tc>
          <w:tcPr>
            <w:tcW w:w="2399" w:type="dxa"/>
            <w:tcBorders/>
            <w:shd w:fill="auto" w:val="clear"/>
            <w:vAlign w:val="center"/>
          </w:tcPr>
          <w:p>
            <w:pPr>
              <w:pStyle w:val="TableContents"/>
              <w:spacing w:before="0" w:after="283"/>
              <w:jc w:val="left"/>
              <w:rPr/>
            </w:pPr>
            <w:r>
              <w:rPr/>
              <w:t>        </w:t>
            </w:r>
          </w:p>
        </w:tc>
        <w:tc>
          <w:tcPr>
            <w:tcW w:w="3806" w:type="dxa"/>
            <w:tcBorders/>
            <w:shd w:fill="auto" w:val="clear"/>
            <w:vAlign w:val="center"/>
          </w:tcPr>
          <w:p>
            <w:pPr>
              <w:pStyle w:val="TableContents"/>
              <w:spacing w:before="0" w:after="283"/>
              <w:jc w:val="left"/>
              <w:rPr/>
            </w:pPr>
            <w:r>
              <w:rPr/>
              <w:t>        </w:t>
            </w:r>
          </w:p>
        </w:tc>
        <w:tc>
          <w:tcPr>
            <w:tcW w:w="3806" w:type="dxa"/>
            <w:tcBorders/>
            <w:shd w:fill="auto" w:val="clear"/>
            <w:vAlign w:val="center"/>
          </w:tcPr>
          <w:p>
            <w:pPr>
              <w:pStyle w:val="TableContents"/>
              <w:spacing w:before="0" w:after="283"/>
              <w:jc w:val="left"/>
              <w:rPr/>
            </w:pPr>
            <w:r>
              <w:rPr/>
              <w:t>        </w:t>
            </w:r>
          </w:p>
        </w:tc>
        <w:tc>
          <w:tcPr>
            <w:tcW w:w="194" w:type="dxa"/>
            <w:tcBorders/>
            <w:shd w:fill="auto" w:val="clear"/>
            <w:vAlign w:val="center"/>
          </w:tcPr>
          <w:p>
            <w:pPr>
              <w:pStyle w:val="TableContents"/>
              <w:spacing w:before="0" w:after="283"/>
              <w:rPr>
                <w:sz w:val="4"/>
                <w:szCs w:val="4"/>
              </w:rPr>
            </w:pPr>
            <w:r>
              <w:rPr>
                <w:sz w:val="4"/>
                <w:szCs w:val="4"/>
              </w:rPr>
            </w:r>
          </w:p>
        </w:tc>
      </w:tr>
      <w:tr>
        <w:trPr/>
        <w:tc>
          <w:tcPr>
            <w:tcW w:w="2399" w:type="dxa"/>
            <w:tcBorders/>
            <w:shd w:fill="auto" w:val="clear"/>
            <w:vAlign w:val="center"/>
          </w:tcPr>
          <w:p>
            <w:pPr>
              <w:pStyle w:val="TableContents"/>
              <w:spacing w:before="0" w:after="283"/>
              <w:jc w:val="left"/>
              <w:rPr>
                <w:rFonts w:ascii="Arial" w:hAnsi="Arial"/>
                <w:b/>
                <w:sz w:val="20"/>
              </w:rPr>
            </w:pPr>
            <w:r>
              <w:rPr>
                <w:rFonts w:ascii="Arial" w:hAnsi="Arial"/>
                <w:b/>
                <w:sz w:val="20"/>
              </w:rPr>
              <w:t>19.</w:t>
            </w:r>
          </w:p>
        </w:tc>
        <w:tc>
          <w:tcPr>
            <w:tcW w:w="7806" w:type="dxa"/>
            <w:gridSpan w:val="3"/>
            <w:tcBorders/>
            <w:shd w:fill="auto" w:val="clear"/>
            <w:vAlign w:val="center"/>
          </w:tcPr>
          <w:p>
            <w:pPr>
              <w:pStyle w:val="TableContents"/>
              <w:spacing w:before="0" w:after="283"/>
              <w:jc w:val="left"/>
              <w:rPr>
                <w:rFonts w:ascii="Arial" w:hAnsi="Arial"/>
                <w:b/>
                <w:sz w:val="20"/>
              </w:rPr>
            </w:pPr>
            <w:r>
              <w:rPr>
                <w:rFonts w:ascii="Arial" w:hAnsi="Arial"/>
                <w:b/>
                <w:sz w:val="20"/>
                <w:u w:val="single"/>
              </w:rPr>
              <w:t>Successors</w:t>
            </w:r>
            <w:r>
              <w:rPr>
                <w:rFonts w:ascii="Arial" w:hAnsi="Arial"/>
                <w:b/>
                <w:sz w:val="20"/>
              </w:rPr>
              <w:t>.</w:t>
            </w:r>
          </w:p>
        </w:tc>
      </w:tr>
      <w:tr>
        <w:trPr/>
        <w:tc>
          <w:tcPr>
            <w:tcW w:w="10205" w:type="dxa"/>
            <w:gridSpan w:val="4"/>
            <w:tcBorders/>
            <w:shd w:fill="auto" w:val="clear"/>
            <w:vAlign w:val="center"/>
          </w:tcPr>
          <w:p>
            <w:pPr>
              <w:pStyle w:val="TableContents"/>
              <w:spacing w:before="0" w:after="283"/>
              <w:jc w:val="left"/>
              <w:rPr>
                <w:rFonts w:ascii="Arial" w:hAnsi="Arial"/>
                <w:sz w:val="20"/>
              </w:rPr>
            </w:pPr>
            <w:r>
              <w:rPr>
                <w:rFonts w:ascii="Arial" w:hAnsi="Arial"/>
                <w:sz w:val="20"/>
              </w:rPr>
              <w:t>The Plan shall be binding upon and inure to the benefit of any successors or assigns of the Company.</w:t>
            </w:r>
          </w:p>
        </w:tc>
      </w:tr>
      <w:tr>
        <w:trPr/>
        <w:tc>
          <w:tcPr>
            <w:tcW w:w="2399" w:type="dxa"/>
            <w:tcBorders/>
            <w:shd w:fill="auto" w:val="clear"/>
            <w:vAlign w:val="center"/>
          </w:tcPr>
          <w:p>
            <w:pPr>
              <w:pStyle w:val="TableContents"/>
              <w:spacing w:before="0" w:after="283"/>
              <w:jc w:val="left"/>
              <w:rPr>
                <w:rFonts w:ascii="Arial" w:hAnsi="Arial"/>
                <w:b/>
                <w:sz w:val="20"/>
              </w:rPr>
            </w:pPr>
            <w:r>
              <w:rPr>
                <w:rFonts w:ascii="Arial" w:hAnsi="Arial"/>
                <w:b/>
                <w:sz w:val="20"/>
              </w:rPr>
              <w:t>20.</w:t>
            </w:r>
          </w:p>
        </w:tc>
        <w:tc>
          <w:tcPr>
            <w:tcW w:w="7806" w:type="dxa"/>
            <w:gridSpan w:val="3"/>
            <w:tcBorders/>
            <w:shd w:fill="auto" w:val="clear"/>
            <w:vAlign w:val="center"/>
          </w:tcPr>
          <w:p>
            <w:pPr>
              <w:pStyle w:val="TableContents"/>
              <w:spacing w:before="0" w:after="283"/>
              <w:jc w:val="left"/>
              <w:rPr>
                <w:rFonts w:ascii="Arial" w:hAnsi="Arial"/>
                <w:b/>
                <w:sz w:val="20"/>
              </w:rPr>
            </w:pPr>
            <w:r>
              <w:rPr>
                <w:rFonts w:ascii="Arial" w:hAnsi="Arial"/>
                <w:b/>
                <w:sz w:val="20"/>
                <w:u w:val="single"/>
              </w:rPr>
              <w:t>Severability</w:t>
            </w:r>
            <w:r>
              <w:rPr>
                <w:rFonts w:ascii="Arial" w:hAnsi="Arial"/>
                <w:b/>
                <w:sz w:val="20"/>
              </w:rPr>
              <w:t>.</w:t>
            </w:r>
          </w:p>
        </w:tc>
      </w:tr>
      <w:tr>
        <w:trPr/>
        <w:tc>
          <w:tcPr>
            <w:tcW w:w="10205" w:type="dxa"/>
            <w:gridSpan w:val="4"/>
            <w:tcBorders/>
            <w:shd w:fill="auto" w:val="clear"/>
            <w:vAlign w:val="center"/>
          </w:tcPr>
          <w:p>
            <w:pPr>
              <w:pStyle w:val="TableContents"/>
              <w:spacing w:before="0" w:after="283"/>
              <w:jc w:val="left"/>
              <w:rPr>
                <w:rFonts w:ascii="Arial" w:hAnsi="Arial"/>
                <w:sz w:val="20"/>
              </w:rPr>
            </w:pPr>
            <w:r>
              <w:rPr>
                <w:rFonts w:ascii="Arial" w:hAnsi="Arial"/>
                <w:sz w:val="20"/>
              </w:rPr>
              <w:t>If any part of this Plan shall be determined to be invalid or void in any respect, such determination shall not affect, impair, invalidate or nullify the remaining provisions of this Plan which shall continue in full force and effect.</w:t>
            </w:r>
          </w:p>
        </w:tc>
      </w:tr>
      <w:tr>
        <w:trPr/>
        <w:tc>
          <w:tcPr>
            <w:tcW w:w="2399" w:type="dxa"/>
            <w:tcBorders/>
            <w:shd w:fill="auto" w:val="clear"/>
            <w:vAlign w:val="center"/>
          </w:tcPr>
          <w:p>
            <w:pPr>
              <w:pStyle w:val="TableContents"/>
              <w:spacing w:before="0" w:after="283"/>
              <w:jc w:val="left"/>
              <w:rPr>
                <w:rFonts w:ascii="Arial" w:hAnsi="Arial"/>
                <w:b/>
                <w:sz w:val="20"/>
              </w:rPr>
            </w:pPr>
            <w:r>
              <w:rPr>
                <w:rFonts w:ascii="Arial" w:hAnsi="Arial"/>
                <w:b/>
                <w:sz w:val="20"/>
              </w:rPr>
              <w:t>21.</w:t>
            </w:r>
          </w:p>
        </w:tc>
        <w:tc>
          <w:tcPr>
            <w:tcW w:w="7806" w:type="dxa"/>
            <w:gridSpan w:val="3"/>
            <w:tcBorders/>
            <w:shd w:fill="auto" w:val="clear"/>
            <w:vAlign w:val="center"/>
          </w:tcPr>
          <w:p>
            <w:pPr>
              <w:pStyle w:val="TableContents"/>
              <w:spacing w:before="0" w:after="283"/>
              <w:jc w:val="left"/>
              <w:rPr>
                <w:rFonts w:ascii="Arial" w:hAnsi="Arial"/>
                <w:b/>
                <w:sz w:val="20"/>
              </w:rPr>
            </w:pPr>
            <w:r>
              <w:rPr>
                <w:rFonts w:ascii="Arial" w:hAnsi="Arial"/>
                <w:b/>
                <w:sz w:val="20"/>
                <w:u w:val="single"/>
              </w:rPr>
              <w:t>Acceptance</w:t>
            </w:r>
            <w:r>
              <w:rPr>
                <w:rFonts w:ascii="Arial" w:hAnsi="Arial"/>
                <w:b/>
                <w:sz w:val="20"/>
              </w:rPr>
              <w:t>.</w:t>
            </w:r>
          </w:p>
        </w:tc>
      </w:tr>
      <w:tr>
        <w:trPr/>
        <w:tc>
          <w:tcPr>
            <w:tcW w:w="10205" w:type="dxa"/>
            <w:gridSpan w:val="4"/>
            <w:tcBorders/>
            <w:shd w:fill="auto" w:val="clear"/>
            <w:vAlign w:val="center"/>
          </w:tcPr>
          <w:p>
            <w:pPr>
              <w:pStyle w:val="TableContents"/>
              <w:spacing w:before="0" w:after="283"/>
              <w:jc w:val="left"/>
              <w:rPr>
                <w:rFonts w:ascii="Arial" w:hAnsi="Arial"/>
                <w:sz w:val="20"/>
              </w:rPr>
            </w:pPr>
            <w:r>
              <w:rPr>
                <w:rFonts w:ascii="Arial" w:hAnsi="Arial"/>
                <w:sz w:val="20"/>
              </w:rPr>
              <w:t>The election by any Eligible Employee to participate in this Plan constitutes his or her acceptance of the terms of the Plan and his or her agreement to be bound hereby.</w:t>
            </w:r>
          </w:p>
        </w:tc>
      </w:tr>
      <w:tr>
        <w:trPr/>
        <w:tc>
          <w:tcPr>
            <w:tcW w:w="2399" w:type="dxa"/>
            <w:tcBorders/>
            <w:shd w:fill="auto" w:val="clear"/>
            <w:vAlign w:val="center"/>
          </w:tcPr>
          <w:p>
            <w:pPr>
              <w:pStyle w:val="TableContents"/>
              <w:spacing w:before="0" w:after="283"/>
              <w:jc w:val="left"/>
              <w:rPr>
                <w:rFonts w:ascii="Arial" w:hAnsi="Arial"/>
                <w:b/>
                <w:sz w:val="20"/>
              </w:rPr>
            </w:pPr>
            <w:r>
              <w:rPr>
                <w:rFonts w:ascii="Arial" w:hAnsi="Arial"/>
                <w:b/>
                <w:sz w:val="20"/>
              </w:rPr>
              <w:t>22.</w:t>
            </w:r>
          </w:p>
        </w:tc>
        <w:tc>
          <w:tcPr>
            <w:tcW w:w="7806" w:type="dxa"/>
            <w:gridSpan w:val="3"/>
            <w:tcBorders/>
            <w:shd w:fill="auto" w:val="clear"/>
            <w:vAlign w:val="center"/>
          </w:tcPr>
          <w:p>
            <w:pPr>
              <w:pStyle w:val="TableContents"/>
              <w:spacing w:before="0" w:after="283"/>
              <w:jc w:val="left"/>
              <w:rPr>
                <w:rFonts w:ascii="Arial" w:hAnsi="Arial"/>
                <w:b/>
                <w:sz w:val="20"/>
              </w:rPr>
            </w:pPr>
            <w:r>
              <w:rPr>
                <w:rFonts w:ascii="Arial" w:hAnsi="Arial"/>
                <w:b/>
                <w:sz w:val="20"/>
                <w:u w:val="single"/>
              </w:rPr>
              <w:t>Applicable Law</w:t>
            </w:r>
            <w:r>
              <w:rPr>
                <w:rFonts w:ascii="Arial" w:hAnsi="Arial"/>
                <w:b/>
                <w:sz w:val="20"/>
              </w:rPr>
              <w:t>.</w:t>
            </w:r>
          </w:p>
        </w:tc>
      </w:tr>
      <w:tr>
        <w:trPr/>
        <w:tc>
          <w:tcPr>
            <w:tcW w:w="10205" w:type="dxa"/>
            <w:gridSpan w:val="4"/>
            <w:tcBorders/>
            <w:shd w:fill="auto" w:val="clear"/>
            <w:vAlign w:val="center"/>
          </w:tcPr>
          <w:p>
            <w:pPr>
              <w:pStyle w:val="TableContents"/>
              <w:spacing w:before="0" w:after="283"/>
              <w:jc w:val="left"/>
              <w:rPr>
                <w:rFonts w:ascii="Arial" w:hAnsi="Arial"/>
                <w:sz w:val="20"/>
              </w:rPr>
            </w:pPr>
            <w:r>
              <w:rPr>
                <w:rFonts w:ascii="Arial" w:hAnsi="Arial"/>
                <w:sz w:val="20"/>
              </w:rPr>
              <w:t>This Plan shall be construed in accordance with the laws of the Commonwealth of Pennsylvania, to the extent not preempted by applicable Federal law.</w:t>
            </w:r>
          </w:p>
        </w:tc>
      </w:tr>
    </w:tbl>
    <w:p>
      <w:pPr>
        <w:pStyle w:val="TextBody"/>
        <w:spacing w:before="0" w:after="0"/>
        <w:rPr/>
      </w:pPr>
      <w:r>
        <w:rPr/>
      </w:r>
    </w:p>
    <w:tbl>
      <w:tblPr>
        <w:tblW w:w="283" w:type="dxa"/>
        <w:jc w:val="left"/>
        <w:tblInd w:w="0" w:type="dxa"/>
        <w:tblCellMar>
          <w:top w:w="0" w:type="dxa"/>
          <w:left w:w="0" w:type="dxa"/>
          <w:bottom w:w="0" w:type="dxa"/>
          <w:right w:w="0" w:type="dxa"/>
        </w:tblCellMar>
      </w:tblPr>
      <w:tblGrid>
        <w:gridCol w:w="260"/>
        <w:gridCol w:w="23"/>
      </w:tblGrid>
      <w:tr>
        <w:trPr/>
        <w:tc>
          <w:tcPr>
            <w:tcW w:w="260" w:type="dxa"/>
            <w:tcBorders/>
            <w:shd w:fill="auto" w:val="clear"/>
            <w:vAlign w:val="center"/>
          </w:tcPr>
          <w:p>
            <w:pPr>
              <w:pStyle w:val="TableContents"/>
              <w:spacing w:before="0" w:after="283"/>
              <w:jc w:val="left"/>
              <w:rPr>
                <w:rFonts w:ascii="Arial" w:hAnsi="Arial"/>
                <w:b/>
                <w:sz w:val="15"/>
              </w:rPr>
            </w:pPr>
            <w:r>
              <w:rPr>
                <w:rFonts w:ascii="Arial" w:hAnsi="Arial"/>
                <w:b/>
                <w:sz w:val="15"/>
              </w:rPr>
              <w:t>D-6</w:t>
            </w:r>
          </w:p>
        </w:tc>
        <w:tc>
          <w:tcPr>
            <w:tcW w:w="2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p>
      <w:pPr>
        <w:pStyle w:val="TextBody"/>
        <w:rPr/>
      </w:pPr>
      <w:r>
        <w:rPr/>
        <w:br/>
        <w:br/>
        <w:br/>
        <w:br/>
        <w:br/>
        <w:br/>
        <w:br/>
        <w:br/>
        <w:br/>
        <w:br/>
        <w:br/>
        <w:br/>
        <w:br/>
        <w:br/>
        <w:br/>
        <w:br/>
        <w:br/>
        <w:br/>
        <w:br/>
        <w:br/>
        <w:br/>
        <w:br/>
        <w:br/>
        <w:br/>
        <w:br/>
        <w:br/>
      </w:r>
    </w:p>
    <w:p>
      <w:pPr>
        <w:pStyle w:val="TextBody"/>
        <w:spacing w:before="0" w:after="0"/>
        <w:jc w:val="center"/>
        <w:rPr/>
      </w:pPr>
      <w:r>
        <w:rPr/>
        <w:drawing>
          <wp:inline distT="0" distB="0" distL="0" distR="0">
            <wp:extent cx="1428750" cy="514350"/>
            <wp:effectExtent l="0" t="0" r="0" b="0"/>
            <wp:docPr id="220"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44" descr=""/>
                    <pic:cNvPicPr>
                      <a:picLocks noChangeAspect="1" noChangeArrowheads="1"/>
                    </pic:cNvPicPr>
                  </pic:nvPicPr>
                  <pic:blipFill>
                    <a:blip r:embed="rId145"/>
                    <a:srcRect l="-662" t="-1857" r="-662" b="-1857"/>
                    <a:stretch>
                      <a:fillRect/>
                    </a:stretch>
                  </pic:blipFill>
                  <pic:spPr bwMode="auto">
                    <a:xfrm>
                      <a:off x="0" y="0"/>
                      <a:ext cx="1428750" cy="514350"/>
                    </a:xfrm>
                    <a:prstGeom prst="rect">
                      <a:avLst/>
                    </a:prstGeom>
                    <a:ln w="635">
                      <a:solidFill>
                        <a:srgbClr val="000000"/>
                      </a:solidFill>
                    </a:ln>
                  </pic:spPr>
                </pic:pic>
              </a:graphicData>
            </a:graphic>
          </wp:inline>
        </w:drawing>
      </w:r>
      <w:r>
        <w:rPr/>
        <w:t xml:space="preserve"> </w:t>
      </w:r>
    </w:p>
    <w:p>
      <w:pPr>
        <w:pStyle w:val="TextBody"/>
        <w:rPr/>
      </w:pPr>
      <w:r>
        <w:rPr/>
        <w:br/>
        <w:br/>
        <w:br/>
        <w:br/>
        <w:br/>
        <w:br/>
        <w:br/>
        <w:br/>
        <w:br/>
        <w:br/>
        <w:br/>
        <w:br/>
        <w:br/>
        <w:br/>
        <w:br/>
        <w:br/>
        <w:br/>
        <w:br/>
        <w:br/>
        <w:br/>
        <w:br/>
        <w:br/>
        <w:br/>
        <w:br/>
        <w:br/>
        <w:br/>
      </w:r>
    </w:p>
    <w:p>
      <w:pPr>
        <w:pStyle w:val="HorizontalLine"/>
        <w:rPr/>
      </w:pPr>
      <w:r>
        <w:rPr/>
      </w:r>
    </w:p>
    <w:p>
      <w:pPr>
        <w:pStyle w:val="TextBody"/>
        <w:jc w:val="left"/>
        <w:rPr/>
      </w:pPr>
      <w:hyperlink w:anchor="toc">
        <w:r>
          <w:rPr>
            <w:rStyle w:val="InternetLink"/>
            <w:rFonts w:ascii="Arial" w:hAnsi="Arial"/>
            <w:b/>
            <w:sz w:val="20"/>
          </w:rPr>
          <w:t>Table of Contents</w:t>
        </w:r>
      </w:hyperlink>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olumn">
                  <wp:align>left</wp:align>
                </wp:positionH>
                <wp:positionV relativeFrom="line">
                  <wp:posOffset>635</wp:posOffset>
                </wp:positionV>
                <wp:extent cx="2592070" cy="976630"/>
                <wp:effectExtent l="0" t="0" r="0" b="0"/>
                <wp:wrapSquare wrapText="largest"/>
                <wp:docPr id="221" name="Frame25"/>
                <a:graphic xmlns:a="http://schemas.openxmlformats.org/drawingml/2006/main">
                  <a:graphicData uri="http://schemas.microsoft.com/office/word/2010/wordprocessingShape">
                    <wps:wsp>
                      <wps:cNvSpPr txBox="1"/>
                      <wps:spPr>
                        <a:xfrm>
                          <a:off x="0" y="0"/>
                          <a:ext cx="2592070" cy="976630"/>
                        </a:xfrm>
                        <a:prstGeom prst="rect"/>
                      </wps:spPr>
                      <wps:txbx>
                        <w:txbxContent>
                          <w:p>
                            <w:pPr>
                              <w:pStyle w:val="TextBody"/>
                              <w:spacing w:before="0" w:after="0"/>
                              <w:rPr/>
                            </w:pPr>
                            <w:r>
                              <w:rPr/>
                              <w:drawing>
                                <wp:inline distT="0" distB="0" distL="0" distR="0">
                                  <wp:extent cx="1666875" cy="647700"/>
                                  <wp:effectExtent l="0" t="0" r="0" b="0"/>
                                  <wp:docPr id="222"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145" descr=""/>
                                          <pic:cNvPicPr>
                                            <a:picLocks noChangeAspect="1" noChangeArrowheads="1"/>
                                          </pic:cNvPicPr>
                                        </pic:nvPicPr>
                                        <pic:blipFill>
                                          <a:blip r:embed="rId146"/>
                                          <a:srcRect l="-585" t="-1507" r="-585" b="-1507"/>
                                          <a:stretch>
                                            <a:fillRect/>
                                          </a:stretch>
                                        </pic:blipFill>
                                        <pic:spPr bwMode="auto">
                                          <a:xfrm>
                                            <a:off x="0" y="0"/>
                                            <a:ext cx="1666875" cy="647700"/>
                                          </a:xfrm>
                                          <a:prstGeom prst="rect">
                                            <a:avLst/>
                                          </a:prstGeom>
                                          <a:ln w="635">
                                            <a:solidFill>
                                              <a:srgbClr val="000000"/>
                                            </a:solidFill>
                                          </a:ln>
                                        </pic:spPr>
                                      </pic:pic>
                                    </a:graphicData>
                                  </a:graphic>
                                </wp:inline>
                              </w:drawing>
                            </w:r>
                            <w:r>
                              <w:rPr/>
                              <w:t xml:space="preserve"> </w:t>
                            </w:r>
                          </w:p>
                          <w:p>
                            <w:pPr>
                              <w:pStyle w:val="TextBody"/>
                              <w:spacing w:before="120" w:after="0"/>
                              <w:rPr>
                                <w:rFonts w:ascii="Arial" w:hAnsi="Arial"/>
                                <w:i/>
                                <w:sz w:val="15"/>
                              </w:rPr>
                            </w:pPr>
                            <w:r>
                              <w:rPr>
                                <w:rFonts w:ascii="Arial" w:hAnsi="Arial"/>
                                <w:i/>
                                <w:sz w:val="15"/>
                              </w:rPr>
                              <w:t>ONE COMCAST CENTER</w:t>
                              <w:br/>
                              <w:t>PHILADELPHIA, PA 19103</w:t>
                            </w:r>
                          </w:p>
                        </w:txbxContent>
                      </wps:txbx>
                      <wps:bodyPr anchor="t" lIns="0" tIns="0" rIns="0" bIns="0">
                        <a:noAutofit/>
                      </wps:bodyPr>
                    </wps:wsp>
                  </a:graphicData>
                </a:graphic>
                <wp14:sizeRelH relativeFrom="margin">
                  <wp14:pctWidth>40000</wp14:pctWidth>
                </wp14:sizeRelH>
              </wp:anchor>
            </w:drawing>
          </mc:Choice>
          <mc:Fallback>
            <w:pict>
              <v:rect style="position:absolute;rotation:0;width:204.1pt;height:7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drawing>
                          <wp:inline distT="0" distB="0" distL="0" distR="0">
                            <wp:extent cx="1666875" cy="647700"/>
                            <wp:effectExtent l="0" t="0" r="0" b="0"/>
                            <wp:docPr id="223"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145" descr=""/>
                                    <pic:cNvPicPr>
                                      <a:picLocks noChangeAspect="1" noChangeArrowheads="1"/>
                                    </pic:cNvPicPr>
                                  </pic:nvPicPr>
                                  <pic:blipFill>
                                    <a:blip r:embed="rId146"/>
                                    <a:srcRect l="-585" t="-1507" r="-585" b="-1507"/>
                                    <a:stretch>
                                      <a:fillRect/>
                                    </a:stretch>
                                  </pic:blipFill>
                                  <pic:spPr bwMode="auto">
                                    <a:xfrm>
                                      <a:off x="0" y="0"/>
                                      <a:ext cx="1666875" cy="647700"/>
                                    </a:xfrm>
                                    <a:prstGeom prst="rect">
                                      <a:avLst/>
                                    </a:prstGeom>
                                    <a:ln w="635">
                                      <a:solidFill>
                                        <a:srgbClr val="000000"/>
                                      </a:solidFill>
                                    </a:ln>
                                  </pic:spPr>
                                </pic:pic>
                              </a:graphicData>
                            </a:graphic>
                          </wp:inline>
                        </w:drawing>
                      </w:r>
                      <w:r>
                        <w:rPr/>
                        <w:t xml:space="preserve"> </w:t>
                      </w:r>
                    </w:p>
                    <w:p>
                      <w:pPr>
                        <w:pStyle w:val="TextBody"/>
                        <w:spacing w:before="120" w:after="0"/>
                        <w:rPr>
                          <w:rFonts w:ascii="Arial" w:hAnsi="Arial"/>
                          <w:i/>
                          <w:sz w:val="15"/>
                        </w:rPr>
                      </w:pPr>
                      <w:r>
                        <w:rPr>
                          <w:rFonts w:ascii="Arial" w:hAnsi="Arial"/>
                          <w:i/>
                          <w:sz w:val="15"/>
                        </w:rPr>
                        <w:t>ONE COMCAST CENTER</w:t>
                        <w:br/>
                        <w:t>PHILADELPHIA, PA 19103</w:t>
                      </w:r>
                    </w:p>
                  </w:txbxContent>
                </v:textbox>
                <w10:wrap type="square" side="right"/>
              </v:rect>
            </w:pict>
          </mc:Fallback>
        </mc:AlternateContent>
      </w:r>
      <w:r>
        <mc:AlternateContent>
          <mc:Choice Requires="wps">
            <w:drawing>
              <wp:anchor behindDoc="0" distT="0" distB="0" distL="0" distR="0" simplePos="0" locked="0" layoutInCell="1" allowOverlap="1" relativeHeight="59">
                <wp:simplePos x="0" y="0"/>
                <wp:positionH relativeFrom="column">
                  <wp:align>right</wp:align>
                </wp:positionH>
                <wp:positionV relativeFrom="line">
                  <wp:posOffset>635</wp:posOffset>
                </wp:positionV>
                <wp:extent cx="3757930" cy="5312410"/>
                <wp:effectExtent l="0" t="0" r="0" b="0"/>
                <wp:wrapSquare wrapText="largest"/>
                <wp:docPr id="224" name="Frame26"/>
                <a:graphic xmlns:a="http://schemas.openxmlformats.org/drawingml/2006/main">
                  <a:graphicData uri="http://schemas.microsoft.com/office/word/2010/wordprocessingShape">
                    <wps:wsp>
                      <wps:cNvSpPr txBox="1"/>
                      <wps:spPr>
                        <a:xfrm>
                          <a:off x="0" y="0"/>
                          <a:ext cx="3757930" cy="5312410"/>
                        </a:xfrm>
                        <a:prstGeom prst="rect"/>
                      </wps:spPr>
                      <wps:txbx>
                        <w:txbxContent>
                          <w:p>
                            <w:pPr>
                              <w:pStyle w:val="TextBody"/>
                              <w:spacing w:before="0" w:after="0"/>
                              <w:rPr/>
                            </w:pPr>
                            <w:r>
                              <w:rPr/>
                            </w:r>
                          </w:p>
                          <w:tbl>
                            <w:tblPr>
                              <w:tblW w:w="3008" w:type="dxa"/>
                              <w:jc w:val="left"/>
                              <w:tblInd w:w="0" w:type="dxa"/>
                              <w:tblCellMar>
                                <w:top w:w="0" w:type="dxa"/>
                                <w:left w:w="0" w:type="dxa"/>
                                <w:bottom w:w="0" w:type="dxa"/>
                                <w:right w:w="0" w:type="dxa"/>
                              </w:tblCellMar>
                            </w:tblPr>
                            <w:tblGrid>
                              <w:gridCol w:w="588"/>
                              <w:gridCol w:w="1940"/>
                              <w:gridCol w:w="480"/>
                            </w:tblGrid>
                            <w:tr>
                              <w:trPr/>
                              <w:tc>
                                <w:tcPr>
                                  <w:tcW w:w="588" w:type="dxa"/>
                                  <w:tcBorders/>
                                  <w:shd w:fill="auto" w:val="clear"/>
                                  <w:vAlign w:val="center"/>
                                </w:tcPr>
                                <w:p>
                                  <w:pPr>
                                    <w:pStyle w:val="TableContents"/>
                                    <w:spacing w:before="0" w:after="283"/>
                                    <w:jc w:val="center"/>
                                    <w:rPr/>
                                  </w:pPr>
                                  <w:r>
                                    <w:rPr/>
                                    <w:drawing>
                                      <wp:inline distT="0" distB="0" distL="0" distR="0">
                                        <wp:extent cx="373380" cy="560705"/>
                                        <wp:effectExtent l="0" t="0" r="0" b="0"/>
                                        <wp:docPr id="225"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146" descr=""/>
                                                <pic:cNvPicPr>
                                                  <a:picLocks noChangeAspect="1" noChangeArrowheads="1"/>
                                                </pic:cNvPicPr>
                                              </pic:nvPicPr>
                                              <pic:blipFill>
                                                <a:blip r:embed="rId147"/>
                                                <a:srcRect l="-2697" t="-1798" r="-2697" b="-1798"/>
                                                <a:stretch>
                                                  <a:fillRect/>
                                                </a:stretch>
                                              </pic:blipFill>
                                              <pic:spPr bwMode="auto">
                                                <a:xfrm>
                                                  <a:off x="0" y="0"/>
                                                  <a:ext cx="373380" cy="560705"/>
                                                </a:xfrm>
                                                <a:prstGeom prst="rect">
                                                  <a:avLst/>
                                                </a:prstGeom>
                                                <a:ln w="635">
                                                  <a:solidFill>
                                                    <a:srgbClr val="000000"/>
                                                  </a:solidFill>
                                                </a:ln>
                                              </pic:spPr>
                                            </pic:pic>
                                          </a:graphicData>
                                        </a:graphic>
                                      </wp:inline>
                                    </w:drawing>
                                  </w:r>
                                </w:p>
                              </w:tc>
                              <w:tc>
                                <w:tcPr>
                                  <w:tcW w:w="1940" w:type="dxa"/>
                                  <w:tcBorders/>
                                  <w:shd w:fill="auto" w:val="clear"/>
                                  <w:vAlign w:val="center"/>
                                </w:tcPr>
                                <w:p>
                                  <w:pPr>
                                    <w:pStyle w:val="TableContents"/>
                                    <w:spacing w:before="0" w:after="0"/>
                                    <w:jc w:val="center"/>
                                    <w:rPr/>
                                  </w:pPr>
                                  <w:r>
                                    <w:rPr>
                                      <w:rFonts w:ascii="Arial" w:hAnsi="Arial"/>
                                      <w:b/>
                                      <w:sz w:val="20"/>
                                    </w:rPr>
                                    <w:t>SCAN QR BARCODE</w:t>
                                    <w:br/>
                                  </w:r>
                                  <w:r>
                                    <w:rPr>
                                      <w:rFonts w:ascii="Arial" w:hAnsi="Arial"/>
                                      <w:b/>
                                      <w:sz w:val="15"/>
                                    </w:rPr>
                                    <w:t>VIEW MATERIALS &amp; VOTE</w:t>
                                  </w:r>
                                </w:p>
                              </w:tc>
                              <w:tc>
                                <w:tcPr>
                                  <w:tcW w:w="480" w:type="dxa"/>
                                  <w:tcBorders/>
                                  <w:shd w:fill="auto" w:val="clear"/>
                                  <w:vAlign w:val="center"/>
                                </w:tcPr>
                                <w:p>
                                  <w:pPr>
                                    <w:pStyle w:val="TableContents"/>
                                    <w:spacing w:before="0" w:after="283"/>
                                    <w:jc w:val="left"/>
                                    <w:rPr/>
                                  </w:pPr>
                                  <w:r>
                                    <w:rPr/>
                                    <w:drawing>
                                      <wp:inline distT="0" distB="0" distL="0" distR="0">
                                        <wp:extent cx="304800" cy="373380"/>
                                        <wp:effectExtent l="0" t="0" r="0" b="0"/>
                                        <wp:docPr id="226"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147" descr=""/>
                                                <pic:cNvPicPr>
                                                  <a:picLocks noChangeAspect="1" noChangeArrowheads="1"/>
                                                </pic:cNvPicPr>
                                              </pic:nvPicPr>
                                              <pic:blipFill>
                                                <a:blip r:embed="rId148"/>
                                                <a:srcRect l="-3305" t="-2697" r="-3305" b="-2697"/>
                                                <a:stretch>
                                                  <a:fillRect/>
                                                </a:stretch>
                                              </pic:blipFill>
                                              <pic:spPr bwMode="auto">
                                                <a:xfrm>
                                                  <a:off x="0" y="0"/>
                                                  <a:ext cx="304800" cy="373380"/>
                                                </a:xfrm>
                                                <a:prstGeom prst="rect">
                                                  <a:avLst/>
                                                </a:prstGeom>
                                                <a:ln w="635">
                                                  <a:solidFill>
                                                    <a:srgbClr val="000000"/>
                                                  </a:solidFill>
                                                </a:ln>
                                              </pic:spPr>
                                            </pic:pic>
                                          </a:graphicData>
                                        </a:graphic>
                                      </wp:inline>
                                    </w:drawing>
                                  </w:r>
                                </w:p>
                              </w:tc>
                            </w:tr>
                          </w:tbl>
                          <w:p>
                            <w:pPr>
                              <w:pStyle w:val="TextBody"/>
                              <w:spacing w:before="240" w:after="283"/>
                              <w:jc w:val="both"/>
                              <w:rPr>
                                <w:rFonts w:ascii="Arial" w:hAnsi="Arial"/>
                                <w:b/>
                                <w:sz w:val="15"/>
                              </w:rPr>
                            </w:pPr>
                            <w:r>
                              <w:rPr>
                                <w:rFonts w:ascii="Arial" w:hAnsi="Arial"/>
                                <w:b/>
                                <w:sz w:val="15"/>
                              </w:rPr>
                              <w:t>VOTE BY INTERNET</w:t>
                            </w:r>
                          </w:p>
                          <w:p>
                            <w:pPr>
                              <w:pStyle w:val="TextBody"/>
                              <w:spacing w:before="120" w:after="283"/>
                              <w:jc w:val="both"/>
                              <w:rPr/>
                            </w:pPr>
                            <w:r>
                              <w:rPr>
                                <w:rFonts w:ascii="Arial" w:hAnsi="Arial"/>
                                <w:i/>
                                <w:sz w:val="15"/>
                              </w:rPr>
                              <w:t xml:space="preserve">Before The Meeting </w:t>
                            </w:r>
                            <w:r>
                              <w:rPr>
                                <w:rFonts w:ascii="Arial" w:hAnsi="Arial"/>
                                <w:sz w:val="15"/>
                              </w:rPr>
                              <w:t>- Go to www.proxyvote.com or scan the QR Barcode above</w:t>
                            </w:r>
                          </w:p>
                          <w:p>
                            <w:pPr>
                              <w:pStyle w:val="TextBody"/>
                              <w:spacing w:before="120" w:after="283"/>
                              <w:jc w:val="both"/>
                              <w:rPr>
                                <w:rFonts w:ascii="Arial" w:hAnsi="Arial"/>
                                <w:sz w:val="15"/>
                              </w:rPr>
                            </w:pPr>
                            <w:r>
                              <w:rPr>
                                <w:rFonts w:ascii="Arial" w:hAnsi="Arial"/>
                                <w:sz w:val="15"/>
                              </w:rPr>
                              <w:t xml:space="preserve">Use the Internet to transmit your voting instructions up until 11:59 P.M. Eastern Time on June 6, 2023. Please have your proxy card in hand when you access the website and follow the instructions to obtain your records and create an electronic voting instruction form. </w:t>
                            </w:r>
                          </w:p>
                          <w:p>
                            <w:pPr>
                              <w:pStyle w:val="TextBody"/>
                              <w:spacing w:before="120" w:after="283"/>
                              <w:jc w:val="both"/>
                              <w:rPr/>
                            </w:pPr>
                            <w:r>
                              <w:rPr>
                                <w:rFonts w:ascii="Arial" w:hAnsi="Arial"/>
                                <w:i/>
                                <w:sz w:val="15"/>
                              </w:rPr>
                              <w:t xml:space="preserve">During The Meeting </w:t>
                            </w:r>
                            <w:r>
                              <w:rPr>
                                <w:rFonts w:ascii="Arial" w:hAnsi="Arial"/>
                                <w:sz w:val="15"/>
                              </w:rPr>
                              <w:t>- Go to comcast.onlineshareholdermeeting.com</w:t>
                            </w:r>
                          </w:p>
                          <w:p>
                            <w:pPr>
                              <w:pStyle w:val="TextBody"/>
                              <w:spacing w:before="120" w:after="283"/>
                              <w:jc w:val="both"/>
                              <w:rPr>
                                <w:rFonts w:ascii="Arial" w:hAnsi="Arial"/>
                                <w:sz w:val="15"/>
                              </w:rPr>
                            </w:pPr>
                            <w:r>
                              <w:rPr>
                                <w:rFonts w:ascii="Arial" w:hAnsi="Arial"/>
                                <w:sz w:val="15"/>
                              </w:rPr>
                              <w:t xml:space="preserve">You may attend the Meeting and vote during the Meeting when the polls are open via the Internet. We recommend, however, that you vote before the Meeting even if you plan to participate in the Meeting, since you can change your vote during the Meeting by voting when the polls are open. Have the information that is printed in the box marked by the arrow </w:t>
                            </w:r>
                            <w:r>
                              <w:rPr>
                                <w:rFonts w:ascii="Arial" w:hAnsi="Arial"/>
                                <w:sz w:val="15"/>
                              </w:rPr>
                              <w:drawing>
                                <wp:inline distT="0" distB="0" distL="0" distR="0">
                                  <wp:extent cx="1085850" cy="85725"/>
                                  <wp:effectExtent l="0" t="0" r="0" b="0"/>
                                  <wp:docPr id="227"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148" descr=""/>
                                          <pic:cNvPicPr>
                                            <a:picLocks noChangeAspect="1" noChangeArrowheads="1"/>
                                          </pic:cNvPicPr>
                                        </pic:nvPicPr>
                                        <pic:blipFill>
                                          <a:blip r:embed="rId149"/>
                                          <a:srcRect l="-928" t="-11764" r="-928" b="-11764"/>
                                          <a:stretch>
                                            <a:fillRect/>
                                          </a:stretch>
                                        </pic:blipFill>
                                        <pic:spPr bwMode="auto">
                                          <a:xfrm>
                                            <a:off x="0" y="0"/>
                                            <a:ext cx="1085850" cy="85725"/>
                                          </a:xfrm>
                                          <a:prstGeom prst="rect">
                                            <a:avLst/>
                                          </a:prstGeom>
                                          <a:ln w="635">
                                            <a:solidFill>
                                              <a:srgbClr val="000000"/>
                                            </a:solidFill>
                                          </a:ln>
                                        </pic:spPr>
                                      </pic:pic>
                                    </a:graphicData>
                                  </a:graphic>
                                </wp:inline>
                              </w:drawing>
                            </w:r>
                            <w:r>
                              <w:rPr>
                                <w:rFonts w:ascii="Arial" w:hAnsi="Arial"/>
                                <w:sz w:val="15"/>
                              </w:rPr>
                              <w:t xml:space="preserve"> available and follow the instructions.</w:t>
                            </w:r>
                          </w:p>
                          <w:p>
                            <w:pPr>
                              <w:pStyle w:val="TextBody"/>
                              <w:spacing w:before="120" w:after="283"/>
                              <w:jc w:val="both"/>
                              <w:rPr>
                                <w:rFonts w:ascii="Arial" w:hAnsi="Arial"/>
                                <w:b/>
                                <w:sz w:val="15"/>
                              </w:rPr>
                            </w:pPr>
                            <w:r>
                              <w:rPr>
                                <w:rFonts w:ascii="Arial" w:hAnsi="Arial"/>
                                <w:b/>
                                <w:sz w:val="15"/>
                              </w:rPr>
                              <w:t>VOTE BY PHONE - 1-800-690-6903</w:t>
                            </w:r>
                          </w:p>
                          <w:p>
                            <w:pPr>
                              <w:pStyle w:val="TextBody"/>
                              <w:spacing w:before="120" w:after="283"/>
                              <w:jc w:val="both"/>
                              <w:rPr>
                                <w:rFonts w:ascii="Arial" w:hAnsi="Arial"/>
                                <w:sz w:val="15"/>
                              </w:rPr>
                            </w:pPr>
                            <w:r>
                              <w:rPr>
                                <w:rFonts w:ascii="Arial" w:hAnsi="Arial"/>
                                <w:sz w:val="15"/>
                              </w:rPr>
                              <w:t>Use any touch-tone telephone to transmit your voting instructions up until 11:59 P.M. Eastern Time on June 6, 2023. Please have your proxy card in hand when you call and then follow the instructions.</w:t>
                            </w:r>
                          </w:p>
                          <w:p>
                            <w:pPr>
                              <w:pStyle w:val="TextBody"/>
                              <w:spacing w:before="120" w:after="283"/>
                              <w:jc w:val="both"/>
                              <w:rPr>
                                <w:rFonts w:ascii="Arial" w:hAnsi="Arial"/>
                                <w:b/>
                                <w:sz w:val="15"/>
                              </w:rPr>
                            </w:pPr>
                            <w:r>
                              <w:rPr>
                                <w:rFonts w:ascii="Arial" w:hAnsi="Arial"/>
                                <w:b/>
                                <w:sz w:val="15"/>
                              </w:rPr>
                              <w:t>VOTE BY MAIL</w:t>
                            </w:r>
                          </w:p>
                          <w:p>
                            <w:pPr>
                              <w:pStyle w:val="TextBody"/>
                              <w:spacing w:before="120" w:after="240"/>
                              <w:jc w:val="both"/>
                              <w:rPr>
                                <w:rFonts w:ascii="Arial" w:hAnsi="Arial"/>
                                <w:sz w:val="15"/>
                              </w:rPr>
                            </w:pPr>
                            <w:r>
                              <w:rPr>
                                <w:rFonts w:ascii="Arial" w:hAnsi="Arial"/>
                                <w:sz w:val="15"/>
                              </w:rPr>
                              <w:t>Mark, sign and date your proxy card and return it in the postage-paid envelope we have provided or return it to Vote Processing, Comcast Corporation, c/o Broadridge Financial Solutions, 51 Mercedes Way, Edgewood, NY 11717.</w:t>
                            </w:r>
                          </w:p>
                        </w:txbxContent>
                      </wps:txbx>
                      <wps:bodyPr anchor="t" lIns="0" tIns="0" rIns="0" bIns="0">
                        <a:noAutofit/>
                      </wps:bodyPr>
                    </wps:wsp>
                  </a:graphicData>
                </a:graphic>
                <wp14:sizeRelH relativeFrom="margin">
                  <wp14:pctWidth>58000</wp14:pctWidth>
                </wp14:sizeRelH>
              </wp:anchor>
            </w:drawing>
          </mc:Choice>
          <mc:Fallback>
            <w:pict>
              <v:rect style="position:absolute;rotation:0;width:295.9pt;height:418.3pt;mso-wrap-distance-left:0pt;mso-wrap-distance-right:0pt;mso-wrap-distance-top:0pt;mso-wrap-distance-bottom:0pt;margin-top:0pt;mso-position-vertical:top;mso-position-vertical-relative:text;margin-left:214.35pt;mso-position-horizontal:right;mso-position-horizontal-relative:text">
                <v:textbox>
                  <w:txbxContent>
                    <w:p>
                      <w:pPr>
                        <w:pStyle w:val="TextBody"/>
                        <w:spacing w:before="0" w:after="0"/>
                        <w:rPr/>
                      </w:pPr>
                      <w:r>
                        <w:rPr/>
                      </w:r>
                    </w:p>
                    <w:tbl>
                      <w:tblPr>
                        <w:tblW w:w="3008" w:type="dxa"/>
                        <w:jc w:val="left"/>
                        <w:tblInd w:w="0" w:type="dxa"/>
                        <w:tblCellMar>
                          <w:top w:w="0" w:type="dxa"/>
                          <w:left w:w="0" w:type="dxa"/>
                          <w:bottom w:w="0" w:type="dxa"/>
                          <w:right w:w="0" w:type="dxa"/>
                        </w:tblCellMar>
                      </w:tblPr>
                      <w:tblGrid>
                        <w:gridCol w:w="588"/>
                        <w:gridCol w:w="1940"/>
                        <w:gridCol w:w="480"/>
                      </w:tblGrid>
                      <w:tr>
                        <w:trPr/>
                        <w:tc>
                          <w:tcPr>
                            <w:tcW w:w="588" w:type="dxa"/>
                            <w:tcBorders/>
                            <w:shd w:fill="auto" w:val="clear"/>
                            <w:vAlign w:val="center"/>
                          </w:tcPr>
                          <w:p>
                            <w:pPr>
                              <w:pStyle w:val="TableContents"/>
                              <w:spacing w:before="0" w:after="283"/>
                              <w:jc w:val="center"/>
                              <w:rPr/>
                            </w:pPr>
                            <w:r>
                              <w:rPr/>
                              <w:drawing>
                                <wp:inline distT="0" distB="0" distL="0" distR="0">
                                  <wp:extent cx="373380" cy="560705"/>
                                  <wp:effectExtent l="0" t="0" r="0" b="0"/>
                                  <wp:docPr id="228"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146" descr=""/>
                                          <pic:cNvPicPr>
                                            <a:picLocks noChangeAspect="1" noChangeArrowheads="1"/>
                                          </pic:cNvPicPr>
                                        </pic:nvPicPr>
                                        <pic:blipFill>
                                          <a:blip r:embed="rId147"/>
                                          <a:srcRect l="-2697" t="-1798" r="-2697" b="-1798"/>
                                          <a:stretch>
                                            <a:fillRect/>
                                          </a:stretch>
                                        </pic:blipFill>
                                        <pic:spPr bwMode="auto">
                                          <a:xfrm>
                                            <a:off x="0" y="0"/>
                                            <a:ext cx="373380" cy="560705"/>
                                          </a:xfrm>
                                          <a:prstGeom prst="rect">
                                            <a:avLst/>
                                          </a:prstGeom>
                                          <a:ln w="635">
                                            <a:solidFill>
                                              <a:srgbClr val="000000"/>
                                            </a:solidFill>
                                          </a:ln>
                                        </pic:spPr>
                                      </pic:pic>
                                    </a:graphicData>
                                  </a:graphic>
                                </wp:inline>
                              </w:drawing>
                            </w:r>
                          </w:p>
                        </w:tc>
                        <w:tc>
                          <w:tcPr>
                            <w:tcW w:w="1940" w:type="dxa"/>
                            <w:tcBorders/>
                            <w:shd w:fill="auto" w:val="clear"/>
                            <w:vAlign w:val="center"/>
                          </w:tcPr>
                          <w:p>
                            <w:pPr>
                              <w:pStyle w:val="TableContents"/>
                              <w:spacing w:before="0" w:after="0"/>
                              <w:jc w:val="center"/>
                              <w:rPr/>
                            </w:pPr>
                            <w:r>
                              <w:rPr>
                                <w:rFonts w:ascii="Arial" w:hAnsi="Arial"/>
                                <w:b/>
                                <w:sz w:val="20"/>
                              </w:rPr>
                              <w:t>SCAN QR BARCODE</w:t>
                              <w:br/>
                            </w:r>
                            <w:r>
                              <w:rPr>
                                <w:rFonts w:ascii="Arial" w:hAnsi="Arial"/>
                                <w:b/>
                                <w:sz w:val="15"/>
                              </w:rPr>
                              <w:t>VIEW MATERIALS &amp; VOTE</w:t>
                            </w:r>
                          </w:p>
                        </w:tc>
                        <w:tc>
                          <w:tcPr>
                            <w:tcW w:w="480" w:type="dxa"/>
                            <w:tcBorders/>
                            <w:shd w:fill="auto" w:val="clear"/>
                            <w:vAlign w:val="center"/>
                          </w:tcPr>
                          <w:p>
                            <w:pPr>
                              <w:pStyle w:val="TableContents"/>
                              <w:spacing w:before="0" w:after="283"/>
                              <w:jc w:val="left"/>
                              <w:rPr/>
                            </w:pPr>
                            <w:r>
                              <w:rPr/>
                              <w:drawing>
                                <wp:inline distT="0" distB="0" distL="0" distR="0">
                                  <wp:extent cx="304800" cy="373380"/>
                                  <wp:effectExtent l="0" t="0" r="0" b="0"/>
                                  <wp:docPr id="229"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147" descr=""/>
                                          <pic:cNvPicPr>
                                            <a:picLocks noChangeAspect="1" noChangeArrowheads="1"/>
                                          </pic:cNvPicPr>
                                        </pic:nvPicPr>
                                        <pic:blipFill>
                                          <a:blip r:embed="rId148"/>
                                          <a:srcRect l="-3305" t="-2697" r="-3305" b="-2697"/>
                                          <a:stretch>
                                            <a:fillRect/>
                                          </a:stretch>
                                        </pic:blipFill>
                                        <pic:spPr bwMode="auto">
                                          <a:xfrm>
                                            <a:off x="0" y="0"/>
                                            <a:ext cx="304800" cy="373380"/>
                                          </a:xfrm>
                                          <a:prstGeom prst="rect">
                                            <a:avLst/>
                                          </a:prstGeom>
                                          <a:ln w="635">
                                            <a:solidFill>
                                              <a:srgbClr val="000000"/>
                                            </a:solidFill>
                                          </a:ln>
                                        </pic:spPr>
                                      </pic:pic>
                                    </a:graphicData>
                                  </a:graphic>
                                </wp:inline>
                              </w:drawing>
                            </w:r>
                          </w:p>
                        </w:tc>
                      </w:tr>
                    </w:tbl>
                    <w:p>
                      <w:pPr>
                        <w:pStyle w:val="TextBody"/>
                        <w:spacing w:before="240" w:after="283"/>
                        <w:jc w:val="both"/>
                        <w:rPr>
                          <w:rFonts w:ascii="Arial" w:hAnsi="Arial"/>
                          <w:b/>
                          <w:sz w:val="15"/>
                        </w:rPr>
                      </w:pPr>
                      <w:r>
                        <w:rPr>
                          <w:rFonts w:ascii="Arial" w:hAnsi="Arial"/>
                          <w:b/>
                          <w:sz w:val="15"/>
                        </w:rPr>
                        <w:t>VOTE BY INTERNET</w:t>
                      </w:r>
                    </w:p>
                    <w:p>
                      <w:pPr>
                        <w:pStyle w:val="TextBody"/>
                        <w:spacing w:before="120" w:after="283"/>
                        <w:jc w:val="both"/>
                        <w:rPr/>
                      </w:pPr>
                      <w:r>
                        <w:rPr>
                          <w:rFonts w:ascii="Arial" w:hAnsi="Arial"/>
                          <w:i/>
                          <w:sz w:val="15"/>
                        </w:rPr>
                        <w:t xml:space="preserve">Before The Meeting </w:t>
                      </w:r>
                      <w:r>
                        <w:rPr>
                          <w:rFonts w:ascii="Arial" w:hAnsi="Arial"/>
                          <w:sz w:val="15"/>
                        </w:rPr>
                        <w:t>- Go to www.proxyvote.com or scan the QR Barcode above</w:t>
                      </w:r>
                    </w:p>
                    <w:p>
                      <w:pPr>
                        <w:pStyle w:val="TextBody"/>
                        <w:spacing w:before="120" w:after="283"/>
                        <w:jc w:val="both"/>
                        <w:rPr>
                          <w:rFonts w:ascii="Arial" w:hAnsi="Arial"/>
                          <w:sz w:val="15"/>
                        </w:rPr>
                      </w:pPr>
                      <w:r>
                        <w:rPr>
                          <w:rFonts w:ascii="Arial" w:hAnsi="Arial"/>
                          <w:sz w:val="15"/>
                        </w:rPr>
                        <w:t xml:space="preserve">Use the Internet to transmit your voting instructions up until 11:59 P.M. Eastern Time on June 6, 2023. Please have your proxy card in hand when you access the website and follow the instructions to obtain your records and create an electronic voting instruction form. </w:t>
                      </w:r>
                    </w:p>
                    <w:p>
                      <w:pPr>
                        <w:pStyle w:val="TextBody"/>
                        <w:spacing w:before="120" w:after="283"/>
                        <w:jc w:val="both"/>
                        <w:rPr/>
                      </w:pPr>
                      <w:r>
                        <w:rPr>
                          <w:rFonts w:ascii="Arial" w:hAnsi="Arial"/>
                          <w:i/>
                          <w:sz w:val="15"/>
                        </w:rPr>
                        <w:t xml:space="preserve">During The Meeting </w:t>
                      </w:r>
                      <w:r>
                        <w:rPr>
                          <w:rFonts w:ascii="Arial" w:hAnsi="Arial"/>
                          <w:sz w:val="15"/>
                        </w:rPr>
                        <w:t>- Go to comcast.onlineshareholdermeeting.com</w:t>
                      </w:r>
                    </w:p>
                    <w:p>
                      <w:pPr>
                        <w:pStyle w:val="TextBody"/>
                        <w:spacing w:before="120" w:after="283"/>
                        <w:jc w:val="both"/>
                        <w:rPr>
                          <w:rFonts w:ascii="Arial" w:hAnsi="Arial"/>
                          <w:sz w:val="15"/>
                        </w:rPr>
                      </w:pPr>
                      <w:r>
                        <w:rPr>
                          <w:rFonts w:ascii="Arial" w:hAnsi="Arial"/>
                          <w:sz w:val="15"/>
                        </w:rPr>
                        <w:t xml:space="preserve">You may attend the Meeting and vote during the Meeting when the polls are open via the Internet. We recommend, however, that you vote before the Meeting even if you plan to participate in the Meeting, since you can change your vote during the Meeting by voting when the polls are open. Have the information that is printed in the box marked by the arrow </w:t>
                      </w:r>
                      <w:r>
                        <w:rPr>
                          <w:rFonts w:ascii="Arial" w:hAnsi="Arial"/>
                          <w:sz w:val="15"/>
                        </w:rPr>
                        <w:drawing>
                          <wp:inline distT="0" distB="0" distL="0" distR="0">
                            <wp:extent cx="1085850" cy="85725"/>
                            <wp:effectExtent l="0" t="0" r="0" b="0"/>
                            <wp:docPr id="230"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148" descr=""/>
                                    <pic:cNvPicPr>
                                      <a:picLocks noChangeAspect="1" noChangeArrowheads="1"/>
                                    </pic:cNvPicPr>
                                  </pic:nvPicPr>
                                  <pic:blipFill>
                                    <a:blip r:embed="rId149"/>
                                    <a:srcRect l="-928" t="-11764" r="-928" b="-11764"/>
                                    <a:stretch>
                                      <a:fillRect/>
                                    </a:stretch>
                                  </pic:blipFill>
                                  <pic:spPr bwMode="auto">
                                    <a:xfrm>
                                      <a:off x="0" y="0"/>
                                      <a:ext cx="1085850" cy="85725"/>
                                    </a:xfrm>
                                    <a:prstGeom prst="rect">
                                      <a:avLst/>
                                    </a:prstGeom>
                                    <a:ln w="635">
                                      <a:solidFill>
                                        <a:srgbClr val="000000"/>
                                      </a:solidFill>
                                    </a:ln>
                                  </pic:spPr>
                                </pic:pic>
                              </a:graphicData>
                            </a:graphic>
                          </wp:inline>
                        </w:drawing>
                      </w:r>
                      <w:r>
                        <w:rPr>
                          <w:rFonts w:ascii="Arial" w:hAnsi="Arial"/>
                          <w:sz w:val="15"/>
                        </w:rPr>
                        <w:t xml:space="preserve"> available and follow the instructions.</w:t>
                      </w:r>
                    </w:p>
                    <w:p>
                      <w:pPr>
                        <w:pStyle w:val="TextBody"/>
                        <w:spacing w:before="120" w:after="283"/>
                        <w:jc w:val="both"/>
                        <w:rPr>
                          <w:rFonts w:ascii="Arial" w:hAnsi="Arial"/>
                          <w:b/>
                          <w:sz w:val="15"/>
                        </w:rPr>
                      </w:pPr>
                      <w:r>
                        <w:rPr>
                          <w:rFonts w:ascii="Arial" w:hAnsi="Arial"/>
                          <w:b/>
                          <w:sz w:val="15"/>
                        </w:rPr>
                        <w:t>VOTE BY PHONE - 1-800-690-6903</w:t>
                      </w:r>
                    </w:p>
                    <w:p>
                      <w:pPr>
                        <w:pStyle w:val="TextBody"/>
                        <w:spacing w:before="120" w:after="283"/>
                        <w:jc w:val="both"/>
                        <w:rPr>
                          <w:rFonts w:ascii="Arial" w:hAnsi="Arial"/>
                          <w:sz w:val="15"/>
                        </w:rPr>
                      </w:pPr>
                      <w:r>
                        <w:rPr>
                          <w:rFonts w:ascii="Arial" w:hAnsi="Arial"/>
                          <w:sz w:val="15"/>
                        </w:rPr>
                        <w:t>Use any touch-tone telephone to transmit your voting instructions up until 11:59 P.M. Eastern Time on June 6, 2023. Please have your proxy card in hand when you call and then follow the instructions.</w:t>
                      </w:r>
                    </w:p>
                    <w:p>
                      <w:pPr>
                        <w:pStyle w:val="TextBody"/>
                        <w:spacing w:before="120" w:after="283"/>
                        <w:jc w:val="both"/>
                        <w:rPr>
                          <w:rFonts w:ascii="Arial" w:hAnsi="Arial"/>
                          <w:b/>
                          <w:sz w:val="15"/>
                        </w:rPr>
                      </w:pPr>
                      <w:r>
                        <w:rPr>
                          <w:rFonts w:ascii="Arial" w:hAnsi="Arial"/>
                          <w:b/>
                          <w:sz w:val="15"/>
                        </w:rPr>
                        <w:t>VOTE BY MAIL</w:t>
                      </w:r>
                    </w:p>
                    <w:p>
                      <w:pPr>
                        <w:pStyle w:val="TextBody"/>
                        <w:spacing w:before="120" w:after="240"/>
                        <w:jc w:val="both"/>
                        <w:rPr>
                          <w:rFonts w:ascii="Arial" w:hAnsi="Arial"/>
                          <w:sz w:val="15"/>
                        </w:rPr>
                      </w:pPr>
                      <w:r>
                        <w:rPr>
                          <w:rFonts w:ascii="Arial" w:hAnsi="Arial"/>
                          <w:sz w:val="15"/>
                        </w:rPr>
                        <w:t>Mark, sign and date your proxy card and return it in the postage-paid envelope we have provided or return it to Vote Processing, Comcast Corporation, c/o Broadridge Financial Solutions, 51 Mercedes Way, Edgewood, NY 11717.</w:t>
                      </w:r>
                    </w:p>
                  </w:txbxContent>
                </v:textbox>
                <w10:wrap type="square" side="left"/>
              </v:rect>
            </w:pict>
          </mc:Fallback>
        </mc:AlternateContent>
      </w:r>
    </w:p>
    <w:tbl>
      <w:tblPr>
        <w:tblW w:w="8605" w:type="dxa"/>
        <w:jc w:val="left"/>
        <w:tblInd w:w="0" w:type="dxa"/>
        <w:tblCellMar>
          <w:top w:w="0" w:type="dxa"/>
          <w:left w:w="0" w:type="dxa"/>
          <w:bottom w:w="0" w:type="dxa"/>
          <w:right w:w="0" w:type="dxa"/>
        </w:tblCellMar>
      </w:tblPr>
      <w:tblGrid>
        <w:gridCol w:w="5360"/>
        <w:gridCol w:w="3245"/>
      </w:tblGrid>
      <w:tr>
        <w:trPr/>
        <w:tc>
          <w:tcPr>
            <w:tcW w:w="5360" w:type="dxa"/>
            <w:tcBorders/>
            <w:shd w:fill="auto" w:val="clear"/>
            <w:vAlign w:val="center"/>
          </w:tcPr>
          <w:p>
            <w:pPr>
              <w:pStyle w:val="TableContents"/>
              <w:spacing w:before="0" w:after="283"/>
              <w:jc w:val="left"/>
              <w:rPr>
                <w:rFonts w:ascii="Arial" w:hAnsi="Arial"/>
                <w:sz w:val="15"/>
              </w:rPr>
            </w:pPr>
            <w:r>
              <w:rPr>
                <w:rFonts w:ascii="Arial" w:hAnsi="Arial"/>
                <w:sz w:val="15"/>
              </w:rPr>
              <w:t>TO VOTE, MARK BLOCKS BELOW IN BLUE OR BLACK INK AS FOLLOWS:</w:t>
            </w:r>
          </w:p>
        </w:tc>
        <w:tc>
          <w:tcPr>
            <w:tcW w:w="3245" w:type="dxa"/>
            <w:tcBorders/>
            <w:shd w:fill="auto" w:val="clear"/>
            <w:vAlign w:val="center"/>
          </w:tcPr>
          <w:p>
            <w:pPr>
              <w:pStyle w:val="TableContents"/>
              <w:spacing w:before="0" w:after="283"/>
              <w:rPr>
                <w:sz w:val="4"/>
                <w:szCs w:val="4"/>
              </w:rPr>
            </w:pPr>
            <w:r>
              <w:rPr>
                <w:sz w:val="4"/>
                <w:szCs w:val="4"/>
              </w:rPr>
            </w:r>
          </w:p>
        </w:tc>
      </w:tr>
      <w:tr>
        <w:trPr/>
        <w:tc>
          <w:tcPr>
            <w:tcW w:w="5360" w:type="dxa"/>
            <w:tcBorders>
              <w:bottom w:val="dashed" w:sz="8" w:space="0" w:color="000000"/>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V06932-P89907</w:t>
            </w:r>
          </w:p>
        </w:tc>
        <w:tc>
          <w:tcPr>
            <w:tcW w:w="3245" w:type="dxa"/>
            <w:tcBorders>
              <w:bottom w:val="dashed" w:sz="8" w:space="0" w:color="000000"/>
            </w:tcBorders>
            <w:shd w:fill="auto" w:val="clear"/>
            <w:tcMar>
              <w:bottom w:w="40" w:type="dxa"/>
            </w:tcMar>
            <w:vAlign w:val="center"/>
          </w:tcPr>
          <w:p>
            <w:pPr>
              <w:pStyle w:val="TableContents"/>
              <w:spacing w:before="0" w:after="283"/>
              <w:jc w:val="right"/>
              <w:rPr>
                <w:rFonts w:ascii="Arial" w:hAnsi="Arial"/>
                <w:sz w:val="15"/>
              </w:rPr>
            </w:pPr>
            <w:r>
              <w:rPr>
                <w:rFonts w:ascii="Arial" w:hAnsi="Arial"/>
                <w:sz w:val="15"/>
              </w:rPr>
              <w:t>KEEP THIS PORTION FOR YOUR RECORDS</w:t>
            </w:r>
          </w:p>
        </w:tc>
      </w:tr>
      <w:tr>
        <w:trPr/>
        <w:tc>
          <w:tcPr>
            <w:tcW w:w="5360" w:type="dxa"/>
            <w:tcBorders/>
            <w:shd w:fill="auto" w:val="clear"/>
            <w:vAlign w:val="center"/>
          </w:tcPr>
          <w:p>
            <w:pPr>
              <w:pStyle w:val="TableContents"/>
              <w:spacing w:before="0" w:after="283"/>
              <w:jc w:val="center"/>
              <w:rPr>
                <w:rFonts w:ascii="Arial" w:hAnsi="Arial"/>
                <w:b/>
                <w:sz w:val="15"/>
              </w:rPr>
            </w:pPr>
            <w:r>
              <w:rPr>
                <w:rFonts w:ascii="Arial" w:hAnsi="Arial"/>
                <w:b/>
                <w:sz w:val="15"/>
              </w:rPr>
              <w:t>THIS PROXY CARD IS VALID ONLY WHEN SIGNED AND DATED.</w:t>
            </w:r>
          </w:p>
        </w:tc>
        <w:tc>
          <w:tcPr>
            <w:tcW w:w="3245" w:type="dxa"/>
            <w:tcBorders/>
            <w:shd w:fill="auto" w:val="clear"/>
            <w:vAlign w:val="center"/>
          </w:tcPr>
          <w:p>
            <w:pPr>
              <w:pStyle w:val="TableContents"/>
              <w:spacing w:before="0" w:after="283"/>
              <w:jc w:val="right"/>
              <w:rPr>
                <w:rFonts w:ascii="Arial" w:hAnsi="Arial"/>
                <w:sz w:val="15"/>
              </w:rPr>
            </w:pPr>
            <w:r>
              <w:rPr>
                <w:rFonts w:ascii="Arial" w:hAnsi="Arial"/>
                <w:sz w:val="15"/>
              </w:rPr>
              <w:t>DETACH AND RETURN THIS PORTION ONLY</w:t>
            </w:r>
          </w:p>
        </w:tc>
      </w:tr>
    </w:tbl>
    <w:p>
      <w:pPr>
        <w:pStyle w:val="TextBody"/>
        <w:spacing w:before="0" w:after="0"/>
        <w:rPr/>
      </w:pPr>
      <w:r>
        <w:rPr/>
      </w:r>
      <w:r>
        <mc:AlternateContent>
          <mc:Choice Requires="wps">
            <w:drawing>
              <wp:anchor behindDoc="0" distT="0" distB="0" distL="0" distR="0" simplePos="0" locked="0" layoutInCell="1" allowOverlap="1" relativeHeight="107">
                <wp:simplePos x="0" y="0"/>
                <wp:positionH relativeFrom="column">
                  <wp:align>left</wp:align>
                </wp:positionH>
                <wp:positionV relativeFrom="line">
                  <wp:posOffset>635</wp:posOffset>
                </wp:positionV>
                <wp:extent cx="3563620" cy="4795520"/>
                <wp:effectExtent l="0" t="0" r="0" b="0"/>
                <wp:wrapSquare wrapText="largest"/>
                <wp:docPr id="231" name="Frame27"/>
                <a:graphic xmlns:a="http://schemas.openxmlformats.org/drawingml/2006/main">
                  <a:graphicData uri="http://schemas.microsoft.com/office/word/2010/wordprocessingShape">
                    <wps:wsp>
                      <wps:cNvSpPr txBox="1"/>
                      <wps:spPr>
                        <a:xfrm>
                          <a:off x="0" y="0"/>
                          <a:ext cx="3563620" cy="4795520"/>
                        </a:xfrm>
                        <a:prstGeom prst="rect"/>
                      </wps:spPr>
                      <wps:txbx>
                        <w:txbxContent>
                          <w:tbl>
                            <w:tblPr>
                              <w:tblW w:w="10205" w:type="dxa"/>
                              <w:jc w:val="left"/>
                              <w:tblInd w:w="0" w:type="dxa"/>
                              <w:tblCellMar>
                                <w:top w:w="0" w:type="dxa"/>
                                <w:left w:w="0" w:type="dxa"/>
                                <w:bottom w:w="0" w:type="dxa"/>
                                <w:right w:w="0" w:type="dxa"/>
                              </w:tblCellMar>
                            </w:tblPr>
                            <w:tblGrid>
                              <w:gridCol w:w="180"/>
                              <w:gridCol w:w="200"/>
                              <w:gridCol w:w="4238"/>
                              <w:gridCol w:w="3831"/>
                              <w:gridCol w:w="300"/>
                              <w:gridCol w:w="260"/>
                              <w:gridCol w:w="650"/>
                              <w:gridCol w:w="546"/>
                            </w:tblGrid>
                            <w:tr>
                              <w:trPr/>
                              <w:tc>
                                <w:tcPr>
                                  <w:tcW w:w="8449" w:type="dxa"/>
                                  <w:gridSpan w:val="4"/>
                                  <w:tcBorders/>
                                  <w:shd w:fill="auto" w:val="clear"/>
                                  <w:vAlign w:val="center"/>
                                </w:tcPr>
                                <w:p>
                                  <w:pPr>
                                    <w:pStyle w:val="TableContents"/>
                                    <w:spacing w:before="0" w:after="0"/>
                                    <w:jc w:val="both"/>
                                    <w:rPr>
                                      <w:rFonts w:ascii="Arial" w:hAnsi="Arial"/>
                                      <w:b/>
                                      <w:sz w:val="15"/>
                                    </w:rPr>
                                  </w:pPr>
                                  <w:r>
                                    <w:rPr>
                                      <w:rFonts w:ascii="Arial" w:hAnsi="Arial"/>
                                      <w:b/>
                                      <w:sz w:val="15"/>
                                    </w:rPr>
                                    <w:t>COMCAST CORPORATION</w:t>
                                  </w:r>
                                </w:p>
                              </w:tc>
                              <w:tc>
                                <w:tcPr>
                                  <w:tcW w:w="300" w:type="dxa"/>
                                  <w:tcBorders/>
                                  <w:shd w:fill="auto" w:val="clear"/>
                                  <w:vAlign w:val="center"/>
                                </w:tcPr>
                                <w:p>
                                  <w:pPr>
                                    <w:pStyle w:val="TableContents"/>
                                    <w:spacing w:before="0" w:after="283"/>
                                    <w:jc w:val="left"/>
                                    <w:rPr/>
                                  </w:pPr>
                                  <w:r>
                                    <w:rPr/>
                                    <w:t>     </w:t>
                                  </w:r>
                                </w:p>
                              </w:tc>
                              <w:tc>
                                <w:tcPr>
                                  <w:tcW w:w="260" w:type="dxa"/>
                                  <w:tcBorders/>
                                  <w:shd w:fill="auto" w:val="clear"/>
                                  <w:vAlign w:val="center"/>
                                </w:tcPr>
                                <w:p>
                                  <w:pPr>
                                    <w:pStyle w:val="TableContents"/>
                                    <w:spacing w:before="0" w:after="0"/>
                                    <w:jc w:val="center"/>
                                    <w:rPr>
                                      <w:rFonts w:ascii="Arial" w:hAnsi="Arial"/>
                                      <w:b/>
                                      <w:sz w:val="15"/>
                                    </w:rPr>
                                  </w:pPr>
                                  <w:r>
                                    <w:rPr>
                                      <w:rFonts w:ascii="Arial" w:hAnsi="Arial"/>
                                      <w:b/>
                                      <w:sz w:val="15"/>
                                    </w:rPr>
                                    <w:t>For</w:t>
                                    <w:br/>
                                    <w:t>All</w:t>
                                  </w:r>
                                </w:p>
                              </w:tc>
                              <w:tc>
                                <w:tcPr>
                                  <w:tcW w:w="650" w:type="dxa"/>
                                  <w:tcBorders/>
                                  <w:shd w:fill="auto" w:val="clear"/>
                                  <w:vAlign w:val="center"/>
                                </w:tcPr>
                                <w:p>
                                  <w:pPr>
                                    <w:pStyle w:val="TableContents"/>
                                    <w:spacing w:before="0" w:after="0"/>
                                    <w:jc w:val="center"/>
                                    <w:rPr>
                                      <w:rFonts w:ascii="Arial" w:hAnsi="Arial"/>
                                      <w:b/>
                                      <w:sz w:val="15"/>
                                    </w:rPr>
                                  </w:pPr>
                                  <w:r>
                                    <w:rPr>
                                      <w:rFonts w:ascii="Arial" w:hAnsi="Arial"/>
                                      <w:b/>
                                      <w:sz w:val="15"/>
                                    </w:rPr>
                                    <w:t>Withhold</w:t>
                                    <w:br/>
                                    <w:t>All</w:t>
                                  </w:r>
                                </w:p>
                              </w:tc>
                              <w:tc>
                                <w:tcPr>
                                  <w:tcW w:w="546" w:type="dxa"/>
                                  <w:tcBorders/>
                                  <w:shd w:fill="auto" w:val="clear"/>
                                  <w:vAlign w:val="center"/>
                                </w:tcPr>
                                <w:p>
                                  <w:pPr>
                                    <w:pStyle w:val="TableContents"/>
                                    <w:spacing w:before="0" w:after="0"/>
                                    <w:jc w:val="center"/>
                                    <w:rPr>
                                      <w:rFonts w:ascii="Arial" w:hAnsi="Arial"/>
                                      <w:b/>
                                      <w:sz w:val="15"/>
                                    </w:rPr>
                                  </w:pPr>
                                  <w:r>
                                    <w:rPr>
                                      <w:rFonts w:ascii="Arial" w:hAnsi="Arial"/>
                                      <w:b/>
                                      <w:sz w:val="15"/>
                                    </w:rPr>
                                    <w:t xml:space="preserve">For All </w:t>
                                    <w:br/>
                                    <w:t>Except</w:t>
                                  </w:r>
                                </w:p>
                              </w:tc>
                            </w:tr>
                            <w:tr>
                              <w:trPr/>
                              <w:tc>
                                <w:tcPr>
                                  <w:tcW w:w="180" w:type="dxa"/>
                                  <w:tcBorders/>
                                  <w:shd w:fill="auto" w:val="clear"/>
                                  <w:vAlign w:val="center"/>
                                </w:tcPr>
                                <w:p>
                                  <w:pPr>
                                    <w:pStyle w:val="TableContents"/>
                                    <w:spacing w:before="0" w:after="283"/>
                                    <w:jc w:val="left"/>
                                    <w:rPr/>
                                  </w:pPr>
                                  <w:r>
                                    <w:rPr/>
                                    <w:t>   </w:t>
                                  </w:r>
                                </w:p>
                              </w:tc>
                              <w:tc>
                                <w:tcPr>
                                  <w:tcW w:w="200" w:type="dxa"/>
                                  <w:tcBorders/>
                                  <w:shd w:fill="000000" w:val="clear"/>
                                  <w:vAlign w:val="center"/>
                                </w:tcPr>
                                <w:p>
                                  <w:pPr>
                                    <w:pStyle w:val="TableContents"/>
                                    <w:spacing w:before="0" w:after="0"/>
                                    <w:jc w:val="both"/>
                                    <w:rPr>
                                      <w:rFonts w:ascii="Arial" w:hAnsi="Arial"/>
                                      <w:b/>
                                      <w:color w:val="FFFFFF"/>
                                      <w:sz w:val="24"/>
                                    </w:rPr>
                                  </w:pPr>
                                  <w:r>
                                    <w:rPr>
                                      <w:rFonts w:ascii="Arial" w:hAnsi="Arial"/>
                                      <w:b/>
                                      <w:color w:val="FFFFFF"/>
                                      <w:sz w:val="24"/>
                                    </w:rPr>
                                    <w:t>A</w:t>
                                  </w:r>
                                </w:p>
                              </w:tc>
                              <w:tc>
                                <w:tcPr>
                                  <w:tcW w:w="8069" w:type="dxa"/>
                                  <w:gridSpan w:val="2"/>
                                  <w:vMerge w:val="restart"/>
                                  <w:tcBorders/>
                                  <w:shd w:fill="auto" w:val="clear"/>
                                  <w:vAlign w:val="center"/>
                                </w:tcPr>
                                <w:p>
                                  <w:pPr>
                                    <w:pStyle w:val="TableContents"/>
                                    <w:spacing w:before="0" w:after="0"/>
                                    <w:jc w:val="both"/>
                                    <w:rPr>
                                      <w:rFonts w:ascii="Arial" w:hAnsi="Arial"/>
                                      <w:b/>
                                      <w:sz w:val="15"/>
                                    </w:rPr>
                                  </w:pPr>
                                  <w:r>
                                    <w:rPr>
                                      <w:rFonts w:ascii="Arial" w:hAnsi="Arial"/>
                                      <w:b/>
                                      <w:sz w:val="15"/>
                                    </w:rPr>
                                    <w:t>Company Proposals — The Board of Directors recommends a vote "FOR" all the nominees listed in Proposal 1:</w:t>
                                  </w:r>
                                </w:p>
                              </w:tc>
                              <w:tc>
                                <w:tcPr>
                                  <w:tcW w:w="300" w:type="dxa"/>
                                  <w:vMerge w:val="restart"/>
                                  <w:tcBorders/>
                                  <w:shd w:fill="auto" w:val="clear"/>
                                  <w:vAlign w:val="center"/>
                                </w:tcPr>
                                <w:p>
                                  <w:pPr>
                                    <w:pStyle w:val="TableContents"/>
                                    <w:spacing w:before="0" w:after="283"/>
                                    <w:rPr>
                                      <w:sz w:val="4"/>
                                      <w:szCs w:val="4"/>
                                    </w:rPr>
                                  </w:pPr>
                                  <w:r>
                                    <w:rPr>
                                      <w:sz w:val="4"/>
                                      <w:szCs w:val="4"/>
                                    </w:rPr>
                                  </w:r>
                                </w:p>
                              </w:tc>
                              <w:tc>
                                <w:tcPr>
                                  <w:tcW w:w="260" w:type="dxa"/>
                                  <w:vMerge w:val="restart"/>
                                  <w:tcBorders/>
                                  <w:shd w:fill="auto" w:val="clear"/>
                                  <w:vAlign w:val="center"/>
                                </w:tcPr>
                                <w:p>
                                  <w:pPr>
                                    <w:pStyle w:val="TableContents"/>
                                    <w:spacing w:before="0" w:after="283"/>
                                    <w:jc w:val="center"/>
                                    <w:rPr/>
                                  </w:pPr>
                                  <w:r>
                                    <w:rPr/>
                                    <w:t>☐</w:t>
                                  </w:r>
                                </w:p>
                              </w:tc>
                              <w:tc>
                                <w:tcPr>
                                  <w:tcW w:w="650" w:type="dxa"/>
                                  <w:vMerge w:val="restart"/>
                                  <w:tcBorders/>
                                  <w:shd w:fill="auto" w:val="clear"/>
                                  <w:vAlign w:val="center"/>
                                </w:tcPr>
                                <w:p>
                                  <w:pPr>
                                    <w:pStyle w:val="TableContents"/>
                                    <w:spacing w:before="0" w:after="283"/>
                                    <w:jc w:val="center"/>
                                    <w:rPr/>
                                  </w:pPr>
                                  <w:r>
                                    <w:rPr/>
                                    <w:t>☐</w:t>
                                  </w:r>
                                </w:p>
                              </w:tc>
                              <w:tc>
                                <w:tcPr>
                                  <w:tcW w:w="546" w:type="dxa"/>
                                  <w:vMerge w:val="restart"/>
                                  <w:tcBorders/>
                                  <w:shd w:fill="auto" w:val="clear"/>
                                  <w:vAlign w:val="center"/>
                                </w:tcPr>
                                <w:p>
                                  <w:pPr>
                                    <w:pStyle w:val="TableContents"/>
                                    <w:spacing w:before="0" w:after="283"/>
                                    <w:jc w:val="center"/>
                                    <w:rPr/>
                                  </w:pPr>
                                  <w:r>
                                    <w:rPr/>
                                    <w:t>☐</w:t>
                                  </w:r>
                                </w:p>
                              </w:tc>
                            </w:tr>
                            <w:tr>
                              <w:trPr/>
                              <w:tc>
                                <w:tcPr>
                                  <w:tcW w:w="18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 </w:t>
                                  </w:r>
                                </w:p>
                              </w:tc>
                              <w:tc>
                                <w:tcPr>
                                  <w:tcW w:w="8069" w:type="dxa"/>
                                  <w:gridSpan w:val="2"/>
                                  <w:vMerge w:val="continue"/>
                                  <w:tcBorders/>
                                  <w:shd w:fill="auto" w:val="clear"/>
                                  <w:vAlign w:val="center"/>
                                </w:tcPr>
                                <w:p>
                                  <w:pPr>
                                    <w:pStyle w:val="Normal"/>
                                    <w:rPr/>
                                  </w:pPr>
                                  <w:r>
                                    <w:rPr/>
                                  </w:r>
                                </w:p>
                              </w:tc>
                              <w:tc>
                                <w:tcPr>
                                  <w:tcW w:w="300" w:type="dxa"/>
                                  <w:vMerge w:val="continue"/>
                                  <w:tcBorders/>
                                  <w:shd w:fill="auto" w:val="clear"/>
                                  <w:vAlign w:val="center"/>
                                </w:tcPr>
                                <w:p>
                                  <w:pPr>
                                    <w:pStyle w:val="Normal"/>
                                    <w:rPr/>
                                  </w:pPr>
                                  <w:r>
                                    <w:rPr/>
                                  </w:r>
                                </w:p>
                              </w:tc>
                              <w:tc>
                                <w:tcPr>
                                  <w:tcW w:w="260" w:type="dxa"/>
                                  <w:vMerge w:val="continue"/>
                                  <w:tcBorders/>
                                  <w:shd w:fill="auto" w:val="clear"/>
                                  <w:vAlign w:val="center"/>
                                </w:tcPr>
                                <w:p>
                                  <w:pPr>
                                    <w:pStyle w:val="Normal"/>
                                    <w:rPr/>
                                  </w:pPr>
                                  <w:r>
                                    <w:rPr/>
                                  </w:r>
                                </w:p>
                              </w:tc>
                              <w:tc>
                                <w:tcPr>
                                  <w:tcW w:w="650" w:type="dxa"/>
                                  <w:vMerge w:val="continue"/>
                                  <w:tcBorders/>
                                  <w:shd w:fill="auto" w:val="clear"/>
                                  <w:vAlign w:val="center"/>
                                </w:tcPr>
                                <w:p>
                                  <w:pPr>
                                    <w:pStyle w:val="Normal"/>
                                    <w:rPr/>
                                  </w:pPr>
                                  <w:r>
                                    <w:rPr/>
                                  </w:r>
                                </w:p>
                              </w:tc>
                              <w:tc>
                                <w:tcPr>
                                  <w:tcW w:w="546" w:type="dxa"/>
                                  <w:vMerge w:val="continue"/>
                                  <w:tcBorders/>
                                  <w:shd w:fill="auto" w:val="clear"/>
                                  <w:vAlign w:val="center"/>
                                </w:tcPr>
                                <w:p>
                                  <w:pPr>
                                    <w:pStyle w:val="Normal"/>
                                    <w:rPr/>
                                  </w:pPr>
                                  <w:r>
                                    <w:rPr/>
                                  </w:r>
                                </w:p>
                              </w:tc>
                            </w:tr>
                            <w:tr>
                              <w:trPr/>
                              <w:tc>
                                <w:tcPr>
                                  <w:tcW w:w="18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0"/>
                                    <w:jc w:val="both"/>
                                    <w:rPr>
                                      <w:rFonts w:ascii="Arial" w:hAnsi="Arial"/>
                                      <w:sz w:val="15"/>
                                    </w:rPr>
                                  </w:pPr>
                                  <w:r>
                                    <w:rPr>
                                      <w:rFonts w:ascii="Arial" w:hAnsi="Arial"/>
                                      <w:sz w:val="15"/>
                                    </w:rPr>
                                    <w:t>1.</w:t>
                                  </w:r>
                                </w:p>
                              </w:tc>
                              <w:tc>
                                <w:tcPr>
                                  <w:tcW w:w="8069" w:type="dxa"/>
                                  <w:gridSpan w:val="2"/>
                                  <w:tcBorders/>
                                  <w:shd w:fill="auto" w:val="clear"/>
                                  <w:vAlign w:val="center"/>
                                </w:tcPr>
                                <w:p>
                                  <w:pPr>
                                    <w:pStyle w:val="TableContents"/>
                                    <w:spacing w:before="0" w:after="0"/>
                                    <w:jc w:val="both"/>
                                    <w:rPr>
                                      <w:rFonts w:ascii="Arial" w:hAnsi="Arial"/>
                                      <w:sz w:val="15"/>
                                    </w:rPr>
                                  </w:pPr>
                                  <w:r>
                                    <w:rPr>
                                      <w:rFonts w:ascii="Arial" w:hAnsi="Arial"/>
                                      <w:sz w:val="15"/>
                                    </w:rPr>
                                    <w:t>Election of Directors</w:t>
                                  </w:r>
                                </w:p>
                              </w:tc>
                              <w:tc>
                                <w:tcPr>
                                  <w:tcW w:w="30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r>
                            <w:tr>
                              <w:trPr/>
                              <w:tc>
                                <w:tcPr>
                                  <w:tcW w:w="18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4238" w:type="dxa"/>
                                  <w:tcBorders/>
                                  <w:shd w:fill="auto" w:val="clear"/>
                                  <w:vAlign w:val="center"/>
                                </w:tcPr>
                                <w:p>
                                  <w:pPr>
                                    <w:pStyle w:val="TableContents"/>
                                    <w:spacing w:before="0" w:after="0"/>
                                    <w:jc w:val="left"/>
                                    <w:rPr>
                                      <w:rFonts w:ascii="Arial" w:hAnsi="Arial"/>
                                      <w:sz w:val="14"/>
                                    </w:rPr>
                                  </w:pPr>
                                  <w:r>
                                    <w:rPr>
                                      <w:rFonts w:ascii="Arial" w:hAnsi="Arial"/>
                                      <w:sz w:val="14"/>
                                    </w:rPr>
                                    <w:t xml:space="preserve">01 - Kenneth J. Bacon </w:t>
                                    <w:br/>
                                    <w:t xml:space="preserve">02 - Thomas J. Baltimore, Jr. </w:t>
                                    <w:br/>
                                    <w:t xml:space="preserve">03 - Madeline S. Bell </w:t>
                                    <w:br/>
                                    <w:t xml:space="preserve">04 - Edward D. Breen </w:t>
                                    <w:br/>
                                    <w:t>05 - Gerald L. Hassell</w:t>
                                  </w:r>
                                </w:p>
                              </w:tc>
                              <w:tc>
                                <w:tcPr>
                                  <w:tcW w:w="3831" w:type="dxa"/>
                                  <w:tcBorders/>
                                  <w:shd w:fill="auto" w:val="clear"/>
                                  <w:vAlign w:val="center"/>
                                </w:tcPr>
                                <w:p>
                                  <w:pPr>
                                    <w:pStyle w:val="TableContents"/>
                                    <w:spacing w:before="0" w:after="0"/>
                                    <w:jc w:val="left"/>
                                    <w:rPr>
                                      <w:rFonts w:ascii="Arial" w:hAnsi="Arial"/>
                                      <w:sz w:val="14"/>
                                    </w:rPr>
                                  </w:pPr>
                                  <w:r>
                                    <w:rPr>
                                      <w:rFonts w:ascii="Arial" w:hAnsi="Arial"/>
                                      <w:sz w:val="14"/>
                                    </w:rPr>
                                    <w:t xml:space="preserve">06 - Jeffrey A. Honickman </w:t>
                                    <w:br/>
                                    <w:t xml:space="preserve">07 - Maritza G. Montiel </w:t>
                                    <w:br/>
                                    <w:t xml:space="preserve">08 - Asuka Nakahara </w:t>
                                    <w:br/>
                                    <w:t xml:space="preserve">09 - David C. Novak </w:t>
                                    <w:br/>
                                    <w:t>10 - Brian L. Roberts</w:t>
                                  </w:r>
                                </w:p>
                              </w:tc>
                              <w:tc>
                                <w:tcPr>
                                  <w:tcW w:w="30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8770" w:type="dxa"/>
                              <w:jc w:val="left"/>
                              <w:tblInd w:w="0" w:type="dxa"/>
                              <w:tblCellMar>
                                <w:top w:w="0" w:type="dxa"/>
                                <w:left w:w="0" w:type="dxa"/>
                                <w:bottom w:w="0" w:type="dxa"/>
                                <w:right w:w="0" w:type="dxa"/>
                              </w:tblCellMar>
                            </w:tblPr>
                            <w:tblGrid>
                              <w:gridCol w:w="180"/>
                              <w:gridCol w:w="155"/>
                              <w:gridCol w:w="6665"/>
                              <w:gridCol w:w="360"/>
                              <w:gridCol w:w="260"/>
                              <w:gridCol w:w="575"/>
                              <w:gridCol w:w="575"/>
                            </w:tblGrid>
                            <w:tr>
                              <w:trPr/>
                              <w:tc>
                                <w:tcPr>
                                  <w:tcW w:w="180" w:type="dxa"/>
                                  <w:tcBorders/>
                                  <w:shd w:fill="auto" w:val="clear"/>
                                  <w:vAlign w:val="center"/>
                                </w:tcPr>
                                <w:p>
                                  <w:pPr>
                                    <w:pStyle w:val="TableContents"/>
                                    <w:spacing w:before="0" w:after="283"/>
                                    <w:jc w:val="left"/>
                                    <w:rPr/>
                                  </w:pPr>
                                  <w:r>
                                    <w:rPr/>
                                    <w:t>   </w:t>
                                  </w:r>
                                </w:p>
                              </w:tc>
                              <w:tc>
                                <w:tcPr>
                                  <w:tcW w:w="6820" w:type="dxa"/>
                                  <w:gridSpan w:val="2"/>
                                  <w:tcBorders/>
                                  <w:shd w:fill="auto" w:val="clear"/>
                                  <w:vAlign w:val="center"/>
                                </w:tcPr>
                                <w:p>
                                  <w:pPr>
                                    <w:pStyle w:val="TableContents"/>
                                    <w:spacing w:before="0" w:after="0"/>
                                    <w:jc w:val="both"/>
                                    <w:rPr>
                                      <w:rFonts w:ascii="Arial" w:hAnsi="Arial"/>
                                      <w:b/>
                                      <w:sz w:val="15"/>
                                    </w:rPr>
                                  </w:pPr>
                                  <w:r>
                                    <w:rPr>
                                      <w:rFonts w:ascii="Arial" w:hAnsi="Arial"/>
                                      <w:b/>
                                      <w:sz w:val="15"/>
                                    </w:rPr>
                                    <w:t>The Board of Directors recommends a vote "FOR" Proposals 2-5:</w:t>
                                  </w:r>
                                </w:p>
                              </w:tc>
                              <w:tc>
                                <w:tcPr>
                                  <w:tcW w:w="360" w:type="dxa"/>
                                  <w:tcBorders/>
                                  <w:shd w:fill="auto" w:val="clear"/>
                                  <w:vAlign w:val="center"/>
                                </w:tcPr>
                                <w:p>
                                  <w:pPr>
                                    <w:pStyle w:val="TableContents"/>
                                    <w:spacing w:before="0" w:after="283"/>
                                    <w:jc w:val="left"/>
                                    <w:rPr/>
                                  </w:pPr>
                                  <w:r>
                                    <w:rPr/>
                                    <w:t xml:space="preserve">      </w:t>
                                  </w:r>
                                </w:p>
                              </w:tc>
                              <w:tc>
                                <w:tcPr>
                                  <w:tcW w:w="260" w:type="dxa"/>
                                  <w:tcBorders/>
                                  <w:shd w:fill="auto" w:val="clear"/>
                                  <w:vAlign w:val="center"/>
                                </w:tcPr>
                                <w:p>
                                  <w:pPr>
                                    <w:pStyle w:val="TableContents"/>
                                    <w:spacing w:before="0" w:after="0"/>
                                    <w:jc w:val="center"/>
                                    <w:rPr>
                                      <w:rFonts w:ascii="Arial" w:hAnsi="Arial"/>
                                      <w:b/>
                                      <w:sz w:val="15"/>
                                    </w:rPr>
                                  </w:pPr>
                                  <w:r>
                                    <w:rPr>
                                      <w:rFonts w:ascii="Arial" w:hAnsi="Arial"/>
                                      <w:b/>
                                      <w:sz w:val="15"/>
                                    </w:rPr>
                                    <w:t>For</w:t>
                                  </w:r>
                                </w:p>
                              </w:tc>
                              <w:tc>
                                <w:tcPr>
                                  <w:tcW w:w="575" w:type="dxa"/>
                                  <w:tcBorders/>
                                  <w:shd w:fill="auto" w:val="clear"/>
                                  <w:vAlign w:val="center"/>
                                </w:tcPr>
                                <w:p>
                                  <w:pPr>
                                    <w:pStyle w:val="TableContents"/>
                                    <w:spacing w:before="0" w:after="0"/>
                                    <w:jc w:val="center"/>
                                    <w:rPr>
                                      <w:rFonts w:ascii="Arial" w:hAnsi="Arial"/>
                                      <w:b/>
                                      <w:sz w:val="15"/>
                                    </w:rPr>
                                  </w:pPr>
                                  <w:r>
                                    <w:rPr>
                                      <w:rFonts w:ascii="Arial" w:hAnsi="Arial"/>
                                      <w:b/>
                                      <w:sz w:val="15"/>
                                    </w:rPr>
                                    <w:t>Against</w:t>
                                  </w:r>
                                </w:p>
                              </w:tc>
                              <w:tc>
                                <w:tcPr>
                                  <w:tcW w:w="575" w:type="dxa"/>
                                  <w:tcBorders/>
                                  <w:shd w:fill="auto" w:val="clear"/>
                                  <w:vAlign w:val="center"/>
                                </w:tcPr>
                                <w:p>
                                  <w:pPr>
                                    <w:pStyle w:val="TableContents"/>
                                    <w:spacing w:before="0" w:after="0"/>
                                    <w:jc w:val="center"/>
                                    <w:rPr>
                                      <w:rFonts w:ascii="Arial" w:hAnsi="Arial"/>
                                      <w:b/>
                                      <w:sz w:val="15"/>
                                    </w:rPr>
                                  </w:pPr>
                                  <w:r>
                                    <w:rPr>
                                      <w:rFonts w:ascii="Arial" w:hAnsi="Arial"/>
                                      <w:b/>
                                      <w:sz w:val="15"/>
                                    </w:rPr>
                                    <w:t>Abstain</w:t>
                                  </w:r>
                                </w:p>
                              </w:tc>
                            </w:tr>
                            <w:tr>
                              <w:trPr/>
                              <w:tc>
                                <w:tcPr>
                                  <w:tcW w:w="18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0"/>
                                    <w:jc w:val="both"/>
                                    <w:rPr>
                                      <w:rFonts w:ascii="Arial" w:hAnsi="Arial"/>
                                      <w:sz w:val="15"/>
                                    </w:rPr>
                                  </w:pPr>
                                  <w:r>
                                    <w:rPr>
                                      <w:rFonts w:ascii="Arial" w:hAnsi="Arial"/>
                                      <w:sz w:val="15"/>
                                    </w:rPr>
                                    <w:t>2.</w:t>
                                  </w:r>
                                </w:p>
                              </w:tc>
                              <w:tc>
                                <w:tcPr>
                                  <w:tcW w:w="6665" w:type="dxa"/>
                                  <w:tcBorders/>
                                  <w:shd w:fill="auto" w:val="clear"/>
                                  <w:vAlign w:val="center"/>
                                </w:tcPr>
                                <w:p>
                                  <w:pPr>
                                    <w:pStyle w:val="TableContents"/>
                                    <w:spacing w:before="0" w:after="0"/>
                                    <w:jc w:val="left"/>
                                    <w:rPr>
                                      <w:rFonts w:ascii="Arial" w:hAnsi="Arial"/>
                                      <w:sz w:val="15"/>
                                    </w:rPr>
                                  </w:pPr>
                                  <w:r>
                                    <w:rPr>
                                      <w:rFonts w:ascii="Arial" w:hAnsi="Arial"/>
                                      <w:sz w:val="15"/>
                                    </w:rPr>
                                    <w:t>Ratification of the appointment of our independent auditors</w:t>
                                  </w:r>
                                </w:p>
                              </w:tc>
                              <w:tc>
                                <w:tcPr>
                                  <w:tcW w:w="3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jc w:val="center"/>
                                    <w:rPr/>
                                  </w:pPr>
                                  <w:r>
                                    <w:rPr/>
                                    <w:t>☐</w:t>
                                  </w:r>
                                </w:p>
                              </w:tc>
                              <w:tc>
                                <w:tcPr>
                                  <w:tcW w:w="575" w:type="dxa"/>
                                  <w:tcBorders/>
                                  <w:shd w:fill="auto" w:val="clear"/>
                                  <w:vAlign w:val="center"/>
                                </w:tcPr>
                                <w:p>
                                  <w:pPr>
                                    <w:pStyle w:val="TableContents"/>
                                    <w:spacing w:before="0" w:after="283"/>
                                    <w:jc w:val="center"/>
                                    <w:rPr/>
                                  </w:pPr>
                                  <w:r>
                                    <w:rPr/>
                                    <w:t>☐</w:t>
                                  </w:r>
                                </w:p>
                              </w:tc>
                              <w:tc>
                                <w:tcPr>
                                  <w:tcW w:w="575" w:type="dxa"/>
                                  <w:tcBorders/>
                                  <w:shd w:fill="auto" w:val="clear"/>
                                  <w:vAlign w:val="center"/>
                                </w:tcPr>
                                <w:p>
                                  <w:pPr>
                                    <w:pStyle w:val="TableContents"/>
                                    <w:spacing w:before="0" w:after="283"/>
                                    <w:jc w:val="center"/>
                                    <w:rPr/>
                                  </w:pPr>
                                  <w:r>
                                    <w:rPr/>
                                    <w:t>☐</w:t>
                                  </w:r>
                                </w:p>
                              </w:tc>
                            </w:tr>
                            <w:tr>
                              <w:trPr/>
                              <w:tc>
                                <w:tcPr>
                                  <w:tcW w:w="18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0"/>
                                    <w:jc w:val="both"/>
                                    <w:rPr>
                                      <w:rFonts w:ascii="Arial" w:hAnsi="Arial"/>
                                      <w:sz w:val="15"/>
                                    </w:rPr>
                                  </w:pPr>
                                  <w:r>
                                    <w:rPr>
                                      <w:rFonts w:ascii="Arial" w:hAnsi="Arial"/>
                                      <w:sz w:val="15"/>
                                    </w:rPr>
                                    <w:t>3.</w:t>
                                  </w:r>
                                </w:p>
                              </w:tc>
                              <w:tc>
                                <w:tcPr>
                                  <w:tcW w:w="6665" w:type="dxa"/>
                                  <w:tcBorders/>
                                  <w:shd w:fill="auto" w:val="clear"/>
                                  <w:vAlign w:val="center"/>
                                </w:tcPr>
                                <w:p>
                                  <w:pPr>
                                    <w:pStyle w:val="TableContents"/>
                                    <w:spacing w:before="0" w:after="0"/>
                                    <w:jc w:val="left"/>
                                    <w:rPr>
                                      <w:rFonts w:ascii="Arial" w:hAnsi="Arial"/>
                                      <w:sz w:val="15"/>
                                    </w:rPr>
                                  </w:pPr>
                                  <w:r>
                                    <w:rPr>
                                      <w:rFonts w:ascii="Arial" w:hAnsi="Arial"/>
                                      <w:sz w:val="15"/>
                                    </w:rPr>
                                    <w:t>Approval of Comcast Corporation 2003 Omnibus Equity Incentive Plan</w:t>
                                  </w:r>
                                </w:p>
                              </w:tc>
                              <w:tc>
                                <w:tcPr>
                                  <w:tcW w:w="3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jc w:val="center"/>
                                    <w:rPr/>
                                  </w:pPr>
                                  <w:r>
                                    <w:rPr/>
                                    <w:t>☐</w:t>
                                  </w:r>
                                </w:p>
                              </w:tc>
                              <w:tc>
                                <w:tcPr>
                                  <w:tcW w:w="575" w:type="dxa"/>
                                  <w:tcBorders/>
                                  <w:shd w:fill="auto" w:val="clear"/>
                                  <w:vAlign w:val="center"/>
                                </w:tcPr>
                                <w:p>
                                  <w:pPr>
                                    <w:pStyle w:val="TableContents"/>
                                    <w:spacing w:before="0" w:after="283"/>
                                    <w:jc w:val="center"/>
                                    <w:rPr/>
                                  </w:pPr>
                                  <w:r>
                                    <w:rPr/>
                                    <w:t>☐</w:t>
                                  </w:r>
                                </w:p>
                              </w:tc>
                              <w:tc>
                                <w:tcPr>
                                  <w:tcW w:w="575" w:type="dxa"/>
                                  <w:tcBorders/>
                                  <w:shd w:fill="auto" w:val="clear"/>
                                  <w:vAlign w:val="center"/>
                                </w:tcPr>
                                <w:p>
                                  <w:pPr>
                                    <w:pStyle w:val="TableContents"/>
                                    <w:spacing w:before="0" w:after="283"/>
                                    <w:jc w:val="center"/>
                                    <w:rPr/>
                                  </w:pPr>
                                  <w:r>
                                    <w:rPr/>
                                    <w:t>☐</w:t>
                                  </w:r>
                                </w:p>
                              </w:tc>
                            </w:tr>
                            <w:tr>
                              <w:trPr/>
                              <w:tc>
                                <w:tcPr>
                                  <w:tcW w:w="18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0"/>
                                    <w:jc w:val="both"/>
                                    <w:rPr>
                                      <w:rFonts w:ascii="Arial" w:hAnsi="Arial"/>
                                      <w:sz w:val="15"/>
                                    </w:rPr>
                                  </w:pPr>
                                  <w:r>
                                    <w:rPr>
                                      <w:rFonts w:ascii="Arial" w:hAnsi="Arial"/>
                                      <w:sz w:val="15"/>
                                    </w:rPr>
                                    <w:t>4.</w:t>
                                  </w:r>
                                </w:p>
                              </w:tc>
                              <w:tc>
                                <w:tcPr>
                                  <w:tcW w:w="6665" w:type="dxa"/>
                                  <w:tcBorders/>
                                  <w:shd w:fill="auto" w:val="clear"/>
                                  <w:vAlign w:val="center"/>
                                </w:tcPr>
                                <w:p>
                                  <w:pPr>
                                    <w:pStyle w:val="TableContents"/>
                                    <w:spacing w:before="0" w:after="0"/>
                                    <w:jc w:val="left"/>
                                    <w:rPr>
                                      <w:rFonts w:ascii="Arial" w:hAnsi="Arial"/>
                                      <w:sz w:val="15"/>
                                    </w:rPr>
                                  </w:pPr>
                                  <w:r>
                                    <w:rPr>
                                      <w:rFonts w:ascii="Arial" w:hAnsi="Arial"/>
                                      <w:sz w:val="15"/>
                                    </w:rPr>
                                    <w:t>Approval of Amended and Restated Comcast Corporation 2002 Employee Stock Purchase Plan</w:t>
                                  </w:r>
                                </w:p>
                              </w:tc>
                              <w:tc>
                                <w:tcPr>
                                  <w:tcW w:w="3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jc w:val="center"/>
                                    <w:rPr/>
                                  </w:pPr>
                                  <w:r>
                                    <w:rPr/>
                                    <w:t>☐</w:t>
                                  </w:r>
                                </w:p>
                              </w:tc>
                              <w:tc>
                                <w:tcPr>
                                  <w:tcW w:w="575" w:type="dxa"/>
                                  <w:tcBorders/>
                                  <w:shd w:fill="auto" w:val="clear"/>
                                  <w:vAlign w:val="center"/>
                                </w:tcPr>
                                <w:p>
                                  <w:pPr>
                                    <w:pStyle w:val="TableContents"/>
                                    <w:spacing w:before="0" w:after="283"/>
                                    <w:jc w:val="center"/>
                                    <w:rPr/>
                                  </w:pPr>
                                  <w:r>
                                    <w:rPr/>
                                    <w:t>☐</w:t>
                                  </w:r>
                                </w:p>
                              </w:tc>
                              <w:tc>
                                <w:tcPr>
                                  <w:tcW w:w="575" w:type="dxa"/>
                                  <w:tcBorders/>
                                  <w:shd w:fill="auto" w:val="clear"/>
                                  <w:vAlign w:val="center"/>
                                </w:tcPr>
                                <w:p>
                                  <w:pPr>
                                    <w:pStyle w:val="TableContents"/>
                                    <w:spacing w:before="0" w:after="283"/>
                                    <w:jc w:val="center"/>
                                    <w:rPr/>
                                  </w:pPr>
                                  <w:r>
                                    <w:rPr/>
                                    <w:t>☐</w:t>
                                  </w:r>
                                </w:p>
                              </w:tc>
                            </w:tr>
                            <w:tr>
                              <w:trPr/>
                              <w:tc>
                                <w:tcPr>
                                  <w:tcW w:w="18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0"/>
                                    <w:jc w:val="both"/>
                                    <w:rPr>
                                      <w:rFonts w:ascii="Arial" w:hAnsi="Arial"/>
                                      <w:sz w:val="15"/>
                                    </w:rPr>
                                  </w:pPr>
                                  <w:r>
                                    <w:rPr>
                                      <w:rFonts w:ascii="Arial" w:hAnsi="Arial"/>
                                      <w:sz w:val="15"/>
                                    </w:rPr>
                                    <w:t>5.</w:t>
                                  </w:r>
                                </w:p>
                              </w:tc>
                              <w:tc>
                                <w:tcPr>
                                  <w:tcW w:w="6665" w:type="dxa"/>
                                  <w:tcBorders/>
                                  <w:shd w:fill="auto" w:val="clear"/>
                                  <w:vAlign w:val="center"/>
                                </w:tcPr>
                                <w:p>
                                  <w:pPr>
                                    <w:pStyle w:val="TableContents"/>
                                    <w:spacing w:before="0" w:after="0"/>
                                    <w:jc w:val="left"/>
                                    <w:rPr>
                                      <w:rFonts w:ascii="Arial" w:hAnsi="Arial"/>
                                      <w:sz w:val="15"/>
                                    </w:rPr>
                                  </w:pPr>
                                  <w:r>
                                    <w:rPr>
                                      <w:rFonts w:ascii="Arial" w:hAnsi="Arial"/>
                                      <w:sz w:val="15"/>
                                    </w:rPr>
                                    <w:t>Advisory vote on executive compensation</w:t>
                                  </w:r>
                                </w:p>
                              </w:tc>
                              <w:tc>
                                <w:tcPr>
                                  <w:tcW w:w="3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jc w:val="center"/>
                                    <w:rPr/>
                                  </w:pPr>
                                  <w:r>
                                    <w:rPr/>
                                    <w:t>☐</w:t>
                                  </w:r>
                                </w:p>
                              </w:tc>
                              <w:tc>
                                <w:tcPr>
                                  <w:tcW w:w="575" w:type="dxa"/>
                                  <w:tcBorders/>
                                  <w:shd w:fill="auto" w:val="clear"/>
                                  <w:vAlign w:val="center"/>
                                </w:tcPr>
                                <w:p>
                                  <w:pPr>
                                    <w:pStyle w:val="TableContents"/>
                                    <w:spacing w:before="0" w:after="283"/>
                                    <w:jc w:val="center"/>
                                    <w:rPr/>
                                  </w:pPr>
                                  <w:r>
                                    <w:rPr/>
                                    <w:t>☐</w:t>
                                  </w:r>
                                </w:p>
                              </w:tc>
                              <w:tc>
                                <w:tcPr>
                                  <w:tcW w:w="575" w:type="dxa"/>
                                  <w:tcBorders/>
                                  <w:shd w:fill="auto" w:val="clear"/>
                                  <w:vAlign w:val="center"/>
                                </w:tcPr>
                                <w:p>
                                  <w:pPr>
                                    <w:pStyle w:val="TableContents"/>
                                    <w:spacing w:before="0" w:after="283"/>
                                    <w:jc w:val="center"/>
                                    <w:rPr/>
                                  </w:pPr>
                                  <w:r>
                                    <w:rPr/>
                                    <w:t>☐</w:t>
                                  </w:r>
                                </w:p>
                              </w:tc>
                            </w:tr>
                          </w:tbl>
                          <w:p>
                            <w:pPr>
                              <w:pStyle w:val="TextBody"/>
                              <w:spacing w:before="0" w:after="0"/>
                              <w:rPr/>
                            </w:pPr>
                            <w:r>
                              <w:rPr/>
                            </w:r>
                          </w:p>
                          <w:tbl>
                            <w:tblPr>
                              <w:tblW w:w="8679" w:type="dxa"/>
                              <w:jc w:val="left"/>
                              <w:tblInd w:w="0" w:type="dxa"/>
                              <w:tblCellMar>
                                <w:top w:w="0" w:type="dxa"/>
                                <w:left w:w="0" w:type="dxa"/>
                                <w:bottom w:w="0" w:type="dxa"/>
                                <w:right w:w="0" w:type="dxa"/>
                              </w:tblCellMar>
                            </w:tblPr>
                            <w:tblGrid>
                              <w:gridCol w:w="180"/>
                              <w:gridCol w:w="180"/>
                              <w:gridCol w:w="5734"/>
                              <w:gridCol w:w="240"/>
                              <w:gridCol w:w="590"/>
                              <w:gridCol w:w="590"/>
                              <w:gridCol w:w="590"/>
                              <w:gridCol w:w="575"/>
                            </w:tblGrid>
                            <w:tr>
                              <w:trPr/>
                              <w:tc>
                                <w:tcPr>
                                  <w:tcW w:w="180" w:type="dxa"/>
                                  <w:tcBorders/>
                                  <w:shd w:fill="auto" w:val="clear"/>
                                  <w:vAlign w:val="center"/>
                                </w:tcPr>
                                <w:p>
                                  <w:pPr>
                                    <w:pStyle w:val="TableContents"/>
                                    <w:spacing w:before="0" w:after="283"/>
                                    <w:jc w:val="left"/>
                                    <w:rPr/>
                                  </w:pPr>
                                  <w:r>
                                    <w:rPr/>
                                    <w:t>   </w:t>
                                  </w:r>
                                </w:p>
                              </w:tc>
                              <w:tc>
                                <w:tcPr>
                                  <w:tcW w:w="5914" w:type="dxa"/>
                                  <w:gridSpan w:val="2"/>
                                  <w:tcBorders/>
                                  <w:shd w:fill="auto" w:val="clear"/>
                                  <w:vAlign w:val="center"/>
                                </w:tcPr>
                                <w:p>
                                  <w:pPr>
                                    <w:pStyle w:val="TableContents"/>
                                    <w:spacing w:before="0" w:after="0"/>
                                    <w:jc w:val="both"/>
                                    <w:rPr>
                                      <w:rFonts w:ascii="Arial" w:hAnsi="Arial"/>
                                      <w:b/>
                                      <w:sz w:val="15"/>
                                    </w:rPr>
                                  </w:pPr>
                                  <w:r>
                                    <w:rPr>
                                      <w:rFonts w:ascii="Arial" w:hAnsi="Arial"/>
                                      <w:b/>
                                      <w:sz w:val="15"/>
                                    </w:rPr>
                                    <w:t>The Board of Directors recommends that you vote every "1 Year" on Proposal 6:</w:t>
                                  </w:r>
                                </w:p>
                              </w:tc>
                              <w:tc>
                                <w:tcPr>
                                  <w:tcW w:w="240" w:type="dxa"/>
                                  <w:tcBorders/>
                                  <w:shd w:fill="auto" w:val="clear"/>
                                  <w:vAlign w:val="center"/>
                                </w:tcPr>
                                <w:p>
                                  <w:pPr>
                                    <w:pStyle w:val="TableContents"/>
                                    <w:spacing w:before="0" w:after="283"/>
                                    <w:jc w:val="left"/>
                                    <w:rPr/>
                                  </w:pPr>
                                  <w:r>
                                    <w:rPr/>
                                    <w:t>    </w:t>
                                  </w:r>
                                </w:p>
                              </w:tc>
                              <w:tc>
                                <w:tcPr>
                                  <w:tcW w:w="590" w:type="dxa"/>
                                  <w:tcBorders/>
                                  <w:shd w:fill="auto" w:val="clear"/>
                                  <w:vAlign w:val="center"/>
                                </w:tcPr>
                                <w:p>
                                  <w:pPr>
                                    <w:pStyle w:val="TableContents"/>
                                    <w:spacing w:before="0" w:after="0"/>
                                    <w:jc w:val="center"/>
                                    <w:rPr>
                                      <w:rFonts w:ascii="Arial" w:hAnsi="Arial"/>
                                      <w:b/>
                                      <w:sz w:val="15"/>
                                    </w:rPr>
                                  </w:pPr>
                                  <w:r>
                                    <w:rPr>
                                      <w:rFonts w:ascii="Arial" w:hAnsi="Arial"/>
                                      <w:b/>
                                      <w:sz w:val="15"/>
                                    </w:rPr>
                                    <w:t>1 Years</w:t>
                                  </w:r>
                                </w:p>
                              </w:tc>
                              <w:tc>
                                <w:tcPr>
                                  <w:tcW w:w="590" w:type="dxa"/>
                                  <w:tcBorders/>
                                  <w:shd w:fill="auto" w:val="clear"/>
                                  <w:vAlign w:val="center"/>
                                </w:tcPr>
                                <w:p>
                                  <w:pPr>
                                    <w:pStyle w:val="TableContents"/>
                                    <w:spacing w:before="0" w:after="0"/>
                                    <w:jc w:val="center"/>
                                    <w:rPr>
                                      <w:rFonts w:ascii="Arial" w:hAnsi="Arial"/>
                                      <w:b/>
                                      <w:sz w:val="15"/>
                                    </w:rPr>
                                  </w:pPr>
                                  <w:r>
                                    <w:rPr>
                                      <w:rFonts w:ascii="Arial" w:hAnsi="Arial"/>
                                      <w:b/>
                                      <w:sz w:val="15"/>
                                    </w:rPr>
                                    <w:t>2 Years</w:t>
                                  </w:r>
                                </w:p>
                              </w:tc>
                              <w:tc>
                                <w:tcPr>
                                  <w:tcW w:w="590" w:type="dxa"/>
                                  <w:tcBorders/>
                                  <w:shd w:fill="auto" w:val="clear"/>
                                  <w:vAlign w:val="center"/>
                                </w:tcPr>
                                <w:p>
                                  <w:pPr>
                                    <w:pStyle w:val="TableContents"/>
                                    <w:spacing w:before="0" w:after="0"/>
                                    <w:jc w:val="center"/>
                                    <w:rPr>
                                      <w:rFonts w:ascii="Arial" w:hAnsi="Arial"/>
                                      <w:b/>
                                      <w:sz w:val="15"/>
                                    </w:rPr>
                                  </w:pPr>
                                  <w:r>
                                    <w:rPr>
                                      <w:rFonts w:ascii="Arial" w:hAnsi="Arial"/>
                                      <w:b/>
                                      <w:sz w:val="15"/>
                                    </w:rPr>
                                    <w:t>3 Years</w:t>
                                  </w:r>
                                </w:p>
                              </w:tc>
                              <w:tc>
                                <w:tcPr>
                                  <w:tcW w:w="575" w:type="dxa"/>
                                  <w:tcBorders/>
                                  <w:shd w:fill="auto" w:val="clear"/>
                                  <w:vAlign w:val="center"/>
                                </w:tcPr>
                                <w:p>
                                  <w:pPr>
                                    <w:pStyle w:val="TableContents"/>
                                    <w:spacing w:before="0" w:after="0"/>
                                    <w:jc w:val="center"/>
                                    <w:rPr>
                                      <w:rFonts w:ascii="Arial" w:hAnsi="Arial"/>
                                      <w:b/>
                                      <w:sz w:val="15"/>
                                    </w:rPr>
                                  </w:pPr>
                                  <w:r>
                                    <w:rPr>
                                      <w:rFonts w:ascii="Arial" w:hAnsi="Arial"/>
                                      <w:b/>
                                      <w:sz w:val="15"/>
                                    </w:rPr>
                                    <w:t>Abstain</w:t>
                                  </w:r>
                                </w:p>
                              </w:tc>
                            </w:tr>
                            <w:tr>
                              <w:trPr/>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jc w:val="left"/>
                                    <w:rPr>
                                      <w:rFonts w:ascii="Arial" w:hAnsi="Arial"/>
                                      <w:sz w:val="15"/>
                                    </w:rPr>
                                  </w:pPr>
                                  <w:r>
                                    <w:rPr>
                                      <w:rFonts w:ascii="Arial" w:hAnsi="Arial"/>
                                      <w:sz w:val="15"/>
                                    </w:rPr>
                                    <w:t>6.</w:t>
                                  </w:r>
                                </w:p>
                              </w:tc>
                              <w:tc>
                                <w:tcPr>
                                  <w:tcW w:w="5734" w:type="dxa"/>
                                  <w:tcBorders/>
                                  <w:shd w:fill="auto" w:val="clear"/>
                                  <w:vAlign w:val="center"/>
                                </w:tcPr>
                                <w:p>
                                  <w:pPr>
                                    <w:pStyle w:val="TableContents"/>
                                    <w:spacing w:before="0" w:after="0"/>
                                    <w:jc w:val="left"/>
                                    <w:rPr>
                                      <w:rFonts w:ascii="Arial" w:hAnsi="Arial"/>
                                      <w:sz w:val="15"/>
                                    </w:rPr>
                                  </w:pPr>
                                  <w:r>
                                    <w:rPr>
                                      <w:rFonts w:ascii="Arial" w:hAnsi="Arial"/>
                                      <w:sz w:val="15"/>
                                    </w:rPr>
                                    <w:t>Advisory vote on the frequency of the vote on executive compensation</w:t>
                                  </w:r>
                                </w:p>
                              </w:tc>
                              <w:tc>
                                <w:tcPr>
                                  <w:tcW w:w="240"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jc w:val="center"/>
                                    <w:rPr/>
                                  </w:pPr>
                                  <w:r>
                                    <w:rPr/>
                                    <w:t>☐</w:t>
                                  </w:r>
                                </w:p>
                              </w:tc>
                              <w:tc>
                                <w:tcPr>
                                  <w:tcW w:w="590" w:type="dxa"/>
                                  <w:tcBorders/>
                                  <w:shd w:fill="auto" w:val="clear"/>
                                  <w:vAlign w:val="center"/>
                                </w:tcPr>
                                <w:p>
                                  <w:pPr>
                                    <w:pStyle w:val="TableContents"/>
                                    <w:spacing w:before="0" w:after="283"/>
                                    <w:jc w:val="center"/>
                                    <w:rPr/>
                                  </w:pPr>
                                  <w:r>
                                    <w:rPr/>
                                    <w:t>☐</w:t>
                                  </w:r>
                                </w:p>
                              </w:tc>
                              <w:tc>
                                <w:tcPr>
                                  <w:tcW w:w="590" w:type="dxa"/>
                                  <w:tcBorders/>
                                  <w:shd w:fill="auto" w:val="clear"/>
                                  <w:vAlign w:val="center"/>
                                </w:tcPr>
                                <w:p>
                                  <w:pPr>
                                    <w:pStyle w:val="TableContents"/>
                                    <w:spacing w:before="0" w:after="283"/>
                                    <w:jc w:val="center"/>
                                    <w:rPr/>
                                  </w:pPr>
                                  <w:r>
                                    <w:rPr/>
                                    <w:t>☐</w:t>
                                  </w:r>
                                </w:p>
                              </w:tc>
                              <w:tc>
                                <w:tcPr>
                                  <w:tcW w:w="575" w:type="dxa"/>
                                  <w:tcBorders/>
                                  <w:shd w:fill="auto" w:val="clear"/>
                                  <w:vAlign w:val="center"/>
                                </w:tcPr>
                                <w:p>
                                  <w:pPr>
                                    <w:pStyle w:val="TableContents"/>
                                    <w:spacing w:before="0" w:after="283"/>
                                    <w:jc w:val="center"/>
                                    <w:rPr/>
                                  </w:pPr>
                                  <w:r>
                                    <w:rPr/>
                                    <w:t>☐</w:t>
                                  </w:r>
                                </w:p>
                              </w:tc>
                            </w:tr>
                          </w:tbl>
                          <w:p>
                            <w:pPr>
                              <w:pStyle w:val="TextBody"/>
                              <w:spacing w:before="0" w:after="283"/>
                              <w:rPr/>
                            </w:pPr>
                            <w:r>
                              <w:rPr/>
                            </w:r>
                          </w:p>
                        </w:txbxContent>
                      </wps:txbx>
                      <wps:bodyPr anchor="t" lIns="0" tIns="0" rIns="0" bIns="0">
                        <a:noAutofit/>
                      </wps:bodyPr>
                    </wps:wsp>
                  </a:graphicData>
                </a:graphic>
                <wp14:sizeRelH relativeFrom="margin">
                  <wp14:pctWidth>55000</wp14:pctWidth>
                </wp14:sizeRelH>
              </wp:anchor>
            </w:drawing>
          </mc:Choice>
          <mc:Fallback>
            <w:pict>
              <v:rect style="position:absolute;rotation:0;width:280.6pt;height:377.6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CellMar>
                          <w:top w:w="0" w:type="dxa"/>
                          <w:left w:w="0" w:type="dxa"/>
                          <w:bottom w:w="0" w:type="dxa"/>
                          <w:right w:w="0" w:type="dxa"/>
                        </w:tblCellMar>
                      </w:tblPr>
                      <w:tblGrid>
                        <w:gridCol w:w="180"/>
                        <w:gridCol w:w="200"/>
                        <w:gridCol w:w="4238"/>
                        <w:gridCol w:w="3831"/>
                        <w:gridCol w:w="300"/>
                        <w:gridCol w:w="260"/>
                        <w:gridCol w:w="650"/>
                        <w:gridCol w:w="546"/>
                      </w:tblGrid>
                      <w:tr>
                        <w:trPr/>
                        <w:tc>
                          <w:tcPr>
                            <w:tcW w:w="8449" w:type="dxa"/>
                            <w:gridSpan w:val="4"/>
                            <w:tcBorders/>
                            <w:shd w:fill="auto" w:val="clear"/>
                            <w:vAlign w:val="center"/>
                          </w:tcPr>
                          <w:p>
                            <w:pPr>
                              <w:pStyle w:val="TableContents"/>
                              <w:spacing w:before="0" w:after="0"/>
                              <w:jc w:val="both"/>
                              <w:rPr>
                                <w:rFonts w:ascii="Arial" w:hAnsi="Arial"/>
                                <w:b/>
                                <w:sz w:val="15"/>
                              </w:rPr>
                            </w:pPr>
                            <w:r>
                              <w:rPr>
                                <w:rFonts w:ascii="Arial" w:hAnsi="Arial"/>
                                <w:b/>
                                <w:sz w:val="15"/>
                              </w:rPr>
                              <w:t>COMCAST CORPORATION</w:t>
                            </w:r>
                          </w:p>
                        </w:tc>
                        <w:tc>
                          <w:tcPr>
                            <w:tcW w:w="300" w:type="dxa"/>
                            <w:tcBorders/>
                            <w:shd w:fill="auto" w:val="clear"/>
                            <w:vAlign w:val="center"/>
                          </w:tcPr>
                          <w:p>
                            <w:pPr>
                              <w:pStyle w:val="TableContents"/>
                              <w:spacing w:before="0" w:after="283"/>
                              <w:jc w:val="left"/>
                              <w:rPr/>
                            </w:pPr>
                            <w:r>
                              <w:rPr/>
                              <w:t>     </w:t>
                            </w:r>
                          </w:p>
                        </w:tc>
                        <w:tc>
                          <w:tcPr>
                            <w:tcW w:w="260" w:type="dxa"/>
                            <w:tcBorders/>
                            <w:shd w:fill="auto" w:val="clear"/>
                            <w:vAlign w:val="center"/>
                          </w:tcPr>
                          <w:p>
                            <w:pPr>
                              <w:pStyle w:val="TableContents"/>
                              <w:spacing w:before="0" w:after="0"/>
                              <w:jc w:val="center"/>
                              <w:rPr>
                                <w:rFonts w:ascii="Arial" w:hAnsi="Arial"/>
                                <w:b/>
                                <w:sz w:val="15"/>
                              </w:rPr>
                            </w:pPr>
                            <w:r>
                              <w:rPr>
                                <w:rFonts w:ascii="Arial" w:hAnsi="Arial"/>
                                <w:b/>
                                <w:sz w:val="15"/>
                              </w:rPr>
                              <w:t>For</w:t>
                              <w:br/>
                              <w:t>All</w:t>
                            </w:r>
                          </w:p>
                        </w:tc>
                        <w:tc>
                          <w:tcPr>
                            <w:tcW w:w="650" w:type="dxa"/>
                            <w:tcBorders/>
                            <w:shd w:fill="auto" w:val="clear"/>
                            <w:vAlign w:val="center"/>
                          </w:tcPr>
                          <w:p>
                            <w:pPr>
                              <w:pStyle w:val="TableContents"/>
                              <w:spacing w:before="0" w:after="0"/>
                              <w:jc w:val="center"/>
                              <w:rPr>
                                <w:rFonts w:ascii="Arial" w:hAnsi="Arial"/>
                                <w:b/>
                                <w:sz w:val="15"/>
                              </w:rPr>
                            </w:pPr>
                            <w:r>
                              <w:rPr>
                                <w:rFonts w:ascii="Arial" w:hAnsi="Arial"/>
                                <w:b/>
                                <w:sz w:val="15"/>
                              </w:rPr>
                              <w:t>Withhold</w:t>
                              <w:br/>
                              <w:t>All</w:t>
                            </w:r>
                          </w:p>
                        </w:tc>
                        <w:tc>
                          <w:tcPr>
                            <w:tcW w:w="546" w:type="dxa"/>
                            <w:tcBorders/>
                            <w:shd w:fill="auto" w:val="clear"/>
                            <w:vAlign w:val="center"/>
                          </w:tcPr>
                          <w:p>
                            <w:pPr>
                              <w:pStyle w:val="TableContents"/>
                              <w:spacing w:before="0" w:after="0"/>
                              <w:jc w:val="center"/>
                              <w:rPr>
                                <w:rFonts w:ascii="Arial" w:hAnsi="Arial"/>
                                <w:b/>
                                <w:sz w:val="15"/>
                              </w:rPr>
                            </w:pPr>
                            <w:r>
                              <w:rPr>
                                <w:rFonts w:ascii="Arial" w:hAnsi="Arial"/>
                                <w:b/>
                                <w:sz w:val="15"/>
                              </w:rPr>
                              <w:t xml:space="preserve">For All </w:t>
                              <w:br/>
                              <w:t>Except</w:t>
                            </w:r>
                          </w:p>
                        </w:tc>
                      </w:tr>
                      <w:tr>
                        <w:trPr/>
                        <w:tc>
                          <w:tcPr>
                            <w:tcW w:w="180" w:type="dxa"/>
                            <w:tcBorders/>
                            <w:shd w:fill="auto" w:val="clear"/>
                            <w:vAlign w:val="center"/>
                          </w:tcPr>
                          <w:p>
                            <w:pPr>
                              <w:pStyle w:val="TableContents"/>
                              <w:spacing w:before="0" w:after="283"/>
                              <w:jc w:val="left"/>
                              <w:rPr/>
                            </w:pPr>
                            <w:r>
                              <w:rPr/>
                              <w:t>   </w:t>
                            </w:r>
                          </w:p>
                        </w:tc>
                        <w:tc>
                          <w:tcPr>
                            <w:tcW w:w="200" w:type="dxa"/>
                            <w:tcBorders/>
                            <w:shd w:fill="000000" w:val="clear"/>
                            <w:vAlign w:val="center"/>
                          </w:tcPr>
                          <w:p>
                            <w:pPr>
                              <w:pStyle w:val="TableContents"/>
                              <w:spacing w:before="0" w:after="0"/>
                              <w:jc w:val="both"/>
                              <w:rPr>
                                <w:rFonts w:ascii="Arial" w:hAnsi="Arial"/>
                                <w:b/>
                                <w:color w:val="FFFFFF"/>
                                <w:sz w:val="24"/>
                              </w:rPr>
                            </w:pPr>
                            <w:r>
                              <w:rPr>
                                <w:rFonts w:ascii="Arial" w:hAnsi="Arial"/>
                                <w:b/>
                                <w:color w:val="FFFFFF"/>
                                <w:sz w:val="24"/>
                              </w:rPr>
                              <w:t>A</w:t>
                            </w:r>
                          </w:p>
                        </w:tc>
                        <w:tc>
                          <w:tcPr>
                            <w:tcW w:w="8069" w:type="dxa"/>
                            <w:gridSpan w:val="2"/>
                            <w:vMerge w:val="restart"/>
                            <w:tcBorders/>
                            <w:shd w:fill="auto" w:val="clear"/>
                            <w:vAlign w:val="center"/>
                          </w:tcPr>
                          <w:p>
                            <w:pPr>
                              <w:pStyle w:val="TableContents"/>
                              <w:spacing w:before="0" w:after="0"/>
                              <w:jc w:val="both"/>
                              <w:rPr>
                                <w:rFonts w:ascii="Arial" w:hAnsi="Arial"/>
                                <w:b/>
                                <w:sz w:val="15"/>
                              </w:rPr>
                            </w:pPr>
                            <w:r>
                              <w:rPr>
                                <w:rFonts w:ascii="Arial" w:hAnsi="Arial"/>
                                <w:b/>
                                <w:sz w:val="15"/>
                              </w:rPr>
                              <w:t>Company Proposals — The Board of Directors recommends a vote "FOR" all the nominees listed in Proposal 1:</w:t>
                            </w:r>
                          </w:p>
                        </w:tc>
                        <w:tc>
                          <w:tcPr>
                            <w:tcW w:w="300" w:type="dxa"/>
                            <w:vMerge w:val="restart"/>
                            <w:tcBorders/>
                            <w:shd w:fill="auto" w:val="clear"/>
                            <w:vAlign w:val="center"/>
                          </w:tcPr>
                          <w:p>
                            <w:pPr>
                              <w:pStyle w:val="TableContents"/>
                              <w:spacing w:before="0" w:after="283"/>
                              <w:rPr>
                                <w:sz w:val="4"/>
                                <w:szCs w:val="4"/>
                              </w:rPr>
                            </w:pPr>
                            <w:r>
                              <w:rPr>
                                <w:sz w:val="4"/>
                                <w:szCs w:val="4"/>
                              </w:rPr>
                            </w:r>
                          </w:p>
                        </w:tc>
                        <w:tc>
                          <w:tcPr>
                            <w:tcW w:w="260" w:type="dxa"/>
                            <w:vMerge w:val="restart"/>
                            <w:tcBorders/>
                            <w:shd w:fill="auto" w:val="clear"/>
                            <w:vAlign w:val="center"/>
                          </w:tcPr>
                          <w:p>
                            <w:pPr>
                              <w:pStyle w:val="TableContents"/>
                              <w:spacing w:before="0" w:after="283"/>
                              <w:jc w:val="center"/>
                              <w:rPr/>
                            </w:pPr>
                            <w:r>
                              <w:rPr/>
                              <w:t>☐</w:t>
                            </w:r>
                          </w:p>
                        </w:tc>
                        <w:tc>
                          <w:tcPr>
                            <w:tcW w:w="650" w:type="dxa"/>
                            <w:vMerge w:val="restart"/>
                            <w:tcBorders/>
                            <w:shd w:fill="auto" w:val="clear"/>
                            <w:vAlign w:val="center"/>
                          </w:tcPr>
                          <w:p>
                            <w:pPr>
                              <w:pStyle w:val="TableContents"/>
                              <w:spacing w:before="0" w:after="283"/>
                              <w:jc w:val="center"/>
                              <w:rPr/>
                            </w:pPr>
                            <w:r>
                              <w:rPr/>
                              <w:t>☐</w:t>
                            </w:r>
                          </w:p>
                        </w:tc>
                        <w:tc>
                          <w:tcPr>
                            <w:tcW w:w="546" w:type="dxa"/>
                            <w:vMerge w:val="restart"/>
                            <w:tcBorders/>
                            <w:shd w:fill="auto" w:val="clear"/>
                            <w:vAlign w:val="center"/>
                          </w:tcPr>
                          <w:p>
                            <w:pPr>
                              <w:pStyle w:val="TableContents"/>
                              <w:spacing w:before="0" w:after="283"/>
                              <w:jc w:val="center"/>
                              <w:rPr/>
                            </w:pPr>
                            <w:r>
                              <w:rPr/>
                              <w:t>☐</w:t>
                            </w:r>
                          </w:p>
                        </w:tc>
                      </w:tr>
                      <w:tr>
                        <w:trPr/>
                        <w:tc>
                          <w:tcPr>
                            <w:tcW w:w="18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 </w:t>
                            </w:r>
                          </w:p>
                        </w:tc>
                        <w:tc>
                          <w:tcPr>
                            <w:tcW w:w="8069" w:type="dxa"/>
                            <w:gridSpan w:val="2"/>
                            <w:vMerge w:val="continue"/>
                            <w:tcBorders/>
                            <w:shd w:fill="auto" w:val="clear"/>
                            <w:vAlign w:val="center"/>
                          </w:tcPr>
                          <w:p>
                            <w:pPr>
                              <w:pStyle w:val="Normal"/>
                              <w:rPr/>
                            </w:pPr>
                            <w:r>
                              <w:rPr/>
                            </w:r>
                          </w:p>
                        </w:tc>
                        <w:tc>
                          <w:tcPr>
                            <w:tcW w:w="300" w:type="dxa"/>
                            <w:vMerge w:val="continue"/>
                            <w:tcBorders/>
                            <w:shd w:fill="auto" w:val="clear"/>
                            <w:vAlign w:val="center"/>
                          </w:tcPr>
                          <w:p>
                            <w:pPr>
                              <w:pStyle w:val="Normal"/>
                              <w:rPr/>
                            </w:pPr>
                            <w:r>
                              <w:rPr/>
                            </w:r>
                          </w:p>
                        </w:tc>
                        <w:tc>
                          <w:tcPr>
                            <w:tcW w:w="260" w:type="dxa"/>
                            <w:vMerge w:val="continue"/>
                            <w:tcBorders/>
                            <w:shd w:fill="auto" w:val="clear"/>
                            <w:vAlign w:val="center"/>
                          </w:tcPr>
                          <w:p>
                            <w:pPr>
                              <w:pStyle w:val="Normal"/>
                              <w:rPr/>
                            </w:pPr>
                            <w:r>
                              <w:rPr/>
                            </w:r>
                          </w:p>
                        </w:tc>
                        <w:tc>
                          <w:tcPr>
                            <w:tcW w:w="650" w:type="dxa"/>
                            <w:vMerge w:val="continue"/>
                            <w:tcBorders/>
                            <w:shd w:fill="auto" w:val="clear"/>
                            <w:vAlign w:val="center"/>
                          </w:tcPr>
                          <w:p>
                            <w:pPr>
                              <w:pStyle w:val="Normal"/>
                              <w:rPr/>
                            </w:pPr>
                            <w:r>
                              <w:rPr/>
                            </w:r>
                          </w:p>
                        </w:tc>
                        <w:tc>
                          <w:tcPr>
                            <w:tcW w:w="546" w:type="dxa"/>
                            <w:vMerge w:val="continue"/>
                            <w:tcBorders/>
                            <w:shd w:fill="auto" w:val="clear"/>
                            <w:vAlign w:val="center"/>
                          </w:tcPr>
                          <w:p>
                            <w:pPr>
                              <w:pStyle w:val="Normal"/>
                              <w:rPr/>
                            </w:pPr>
                            <w:r>
                              <w:rPr/>
                            </w:r>
                          </w:p>
                        </w:tc>
                      </w:tr>
                      <w:tr>
                        <w:trPr/>
                        <w:tc>
                          <w:tcPr>
                            <w:tcW w:w="18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0"/>
                              <w:jc w:val="both"/>
                              <w:rPr>
                                <w:rFonts w:ascii="Arial" w:hAnsi="Arial"/>
                                <w:sz w:val="15"/>
                              </w:rPr>
                            </w:pPr>
                            <w:r>
                              <w:rPr>
                                <w:rFonts w:ascii="Arial" w:hAnsi="Arial"/>
                                <w:sz w:val="15"/>
                              </w:rPr>
                              <w:t>1.</w:t>
                            </w:r>
                          </w:p>
                        </w:tc>
                        <w:tc>
                          <w:tcPr>
                            <w:tcW w:w="8069" w:type="dxa"/>
                            <w:gridSpan w:val="2"/>
                            <w:tcBorders/>
                            <w:shd w:fill="auto" w:val="clear"/>
                            <w:vAlign w:val="center"/>
                          </w:tcPr>
                          <w:p>
                            <w:pPr>
                              <w:pStyle w:val="TableContents"/>
                              <w:spacing w:before="0" w:after="0"/>
                              <w:jc w:val="both"/>
                              <w:rPr>
                                <w:rFonts w:ascii="Arial" w:hAnsi="Arial"/>
                                <w:sz w:val="15"/>
                              </w:rPr>
                            </w:pPr>
                            <w:r>
                              <w:rPr>
                                <w:rFonts w:ascii="Arial" w:hAnsi="Arial"/>
                                <w:sz w:val="15"/>
                              </w:rPr>
                              <w:t>Election of Directors</w:t>
                            </w:r>
                          </w:p>
                        </w:tc>
                        <w:tc>
                          <w:tcPr>
                            <w:tcW w:w="30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r>
                      <w:tr>
                        <w:trPr/>
                        <w:tc>
                          <w:tcPr>
                            <w:tcW w:w="18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4238" w:type="dxa"/>
                            <w:tcBorders/>
                            <w:shd w:fill="auto" w:val="clear"/>
                            <w:vAlign w:val="center"/>
                          </w:tcPr>
                          <w:p>
                            <w:pPr>
                              <w:pStyle w:val="TableContents"/>
                              <w:spacing w:before="0" w:after="0"/>
                              <w:jc w:val="left"/>
                              <w:rPr>
                                <w:rFonts w:ascii="Arial" w:hAnsi="Arial"/>
                                <w:sz w:val="14"/>
                              </w:rPr>
                            </w:pPr>
                            <w:r>
                              <w:rPr>
                                <w:rFonts w:ascii="Arial" w:hAnsi="Arial"/>
                                <w:sz w:val="14"/>
                              </w:rPr>
                              <w:t xml:space="preserve">01 - Kenneth J. Bacon </w:t>
                              <w:br/>
                              <w:t xml:space="preserve">02 - Thomas J. Baltimore, Jr. </w:t>
                              <w:br/>
                              <w:t xml:space="preserve">03 - Madeline S. Bell </w:t>
                              <w:br/>
                              <w:t xml:space="preserve">04 - Edward D. Breen </w:t>
                              <w:br/>
                              <w:t>05 - Gerald L. Hassell</w:t>
                            </w:r>
                          </w:p>
                        </w:tc>
                        <w:tc>
                          <w:tcPr>
                            <w:tcW w:w="3831" w:type="dxa"/>
                            <w:tcBorders/>
                            <w:shd w:fill="auto" w:val="clear"/>
                            <w:vAlign w:val="center"/>
                          </w:tcPr>
                          <w:p>
                            <w:pPr>
                              <w:pStyle w:val="TableContents"/>
                              <w:spacing w:before="0" w:after="0"/>
                              <w:jc w:val="left"/>
                              <w:rPr>
                                <w:rFonts w:ascii="Arial" w:hAnsi="Arial"/>
                                <w:sz w:val="14"/>
                              </w:rPr>
                            </w:pPr>
                            <w:r>
                              <w:rPr>
                                <w:rFonts w:ascii="Arial" w:hAnsi="Arial"/>
                                <w:sz w:val="14"/>
                              </w:rPr>
                              <w:t xml:space="preserve">06 - Jeffrey A. Honickman </w:t>
                              <w:br/>
                              <w:t xml:space="preserve">07 - Maritza G. Montiel </w:t>
                              <w:br/>
                              <w:t xml:space="preserve">08 - Asuka Nakahara </w:t>
                              <w:br/>
                              <w:t xml:space="preserve">09 - David C. Novak </w:t>
                              <w:br/>
                              <w:t>10 - Brian L. Roberts</w:t>
                            </w:r>
                          </w:p>
                        </w:tc>
                        <w:tc>
                          <w:tcPr>
                            <w:tcW w:w="30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8770" w:type="dxa"/>
                        <w:jc w:val="left"/>
                        <w:tblInd w:w="0" w:type="dxa"/>
                        <w:tblCellMar>
                          <w:top w:w="0" w:type="dxa"/>
                          <w:left w:w="0" w:type="dxa"/>
                          <w:bottom w:w="0" w:type="dxa"/>
                          <w:right w:w="0" w:type="dxa"/>
                        </w:tblCellMar>
                      </w:tblPr>
                      <w:tblGrid>
                        <w:gridCol w:w="180"/>
                        <w:gridCol w:w="155"/>
                        <w:gridCol w:w="6665"/>
                        <w:gridCol w:w="360"/>
                        <w:gridCol w:w="260"/>
                        <w:gridCol w:w="575"/>
                        <w:gridCol w:w="575"/>
                      </w:tblGrid>
                      <w:tr>
                        <w:trPr/>
                        <w:tc>
                          <w:tcPr>
                            <w:tcW w:w="180" w:type="dxa"/>
                            <w:tcBorders/>
                            <w:shd w:fill="auto" w:val="clear"/>
                            <w:vAlign w:val="center"/>
                          </w:tcPr>
                          <w:p>
                            <w:pPr>
                              <w:pStyle w:val="TableContents"/>
                              <w:spacing w:before="0" w:after="283"/>
                              <w:jc w:val="left"/>
                              <w:rPr/>
                            </w:pPr>
                            <w:r>
                              <w:rPr/>
                              <w:t>   </w:t>
                            </w:r>
                          </w:p>
                        </w:tc>
                        <w:tc>
                          <w:tcPr>
                            <w:tcW w:w="6820" w:type="dxa"/>
                            <w:gridSpan w:val="2"/>
                            <w:tcBorders/>
                            <w:shd w:fill="auto" w:val="clear"/>
                            <w:vAlign w:val="center"/>
                          </w:tcPr>
                          <w:p>
                            <w:pPr>
                              <w:pStyle w:val="TableContents"/>
                              <w:spacing w:before="0" w:after="0"/>
                              <w:jc w:val="both"/>
                              <w:rPr>
                                <w:rFonts w:ascii="Arial" w:hAnsi="Arial"/>
                                <w:b/>
                                <w:sz w:val="15"/>
                              </w:rPr>
                            </w:pPr>
                            <w:r>
                              <w:rPr>
                                <w:rFonts w:ascii="Arial" w:hAnsi="Arial"/>
                                <w:b/>
                                <w:sz w:val="15"/>
                              </w:rPr>
                              <w:t>The Board of Directors recommends a vote "FOR" Proposals 2-5:</w:t>
                            </w:r>
                          </w:p>
                        </w:tc>
                        <w:tc>
                          <w:tcPr>
                            <w:tcW w:w="360" w:type="dxa"/>
                            <w:tcBorders/>
                            <w:shd w:fill="auto" w:val="clear"/>
                            <w:vAlign w:val="center"/>
                          </w:tcPr>
                          <w:p>
                            <w:pPr>
                              <w:pStyle w:val="TableContents"/>
                              <w:spacing w:before="0" w:after="283"/>
                              <w:jc w:val="left"/>
                              <w:rPr/>
                            </w:pPr>
                            <w:r>
                              <w:rPr/>
                              <w:t xml:space="preserve">      </w:t>
                            </w:r>
                          </w:p>
                        </w:tc>
                        <w:tc>
                          <w:tcPr>
                            <w:tcW w:w="260" w:type="dxa"/>
                            <w:tcBorders/>
                            <w:shd w:fill="auto" w:val="clear"/>
                            <w:vAlign w:val="center"/>
                          </w:tcPr>
                          <w:p>
                            <w:pPr>
                              <w:pStyle w:val="TableContents"/>
                              <w:spacing w:before="0" w:after="0"/>
                              <w:jc w:val="center"/>
                              <w:rPr>
                                <w:rFonts w:ascii="Arial" w:hAnsi="Arial"/>
                                <w:b/>
                                <w:sz w:val="15"/>
                              </w:rPr>
                            </w:pPr>
                            <w:r>
                              <w:rPr>
                                <w:rFonts w:ascii="Arial" w:hAnsi="Arial"/>
                                <w:b/>
                                <w:sz w:val="15"/>
                              </w:rPr>
                              <w:t>For</w:t>
                            </w:r>
                          </w:p>
                        </w:tc>
                        <w:tc>
                          <w:tcPr>
                            <w:tcW w:w="575" w:type="dxa"/>
                            <w:tcBorders/>
                            <w:shd w:fill="auto" w:val="clear"/>
                            <w:vAlign w:val="center"/>
                          </w:tcPr>
                          <w:p>
                            <w:pPr>
                              <w:pStyle w:val="TableContents"/>
                              <w:spacing w:before="0" w:after="0"/>
                              <w:jc w:val="center"/>
                              <w:rPr>
                                <w:rFonts w:ascii="Arial" w:hAnsi="Arial"/>
                                <w:b/>
                                <w:sz w:val="15"/>
                              </w:rPr>
                            </w:pPr>
                            <w:r>
                              <w:rPr>
                                <w:rFonts w:ascii="Arial" w:hAnsi="Arial"/>
                                <w:b/>
                                <w:sz w:val="15"/>
                              </w:rPr>
                              <w:t>Against</w:t>
                            </w:r>
                          </w:p>
                        </w:tc>
                        <w:tc>
                          <w:tcPr>
                            <w:tcW w:w="575" w:type="dxa"/>
                            <w:tcBorders/>
                            <w:shd w:fill="auto" w:val="clear"/>
                            <w:vAlign w:val="center"/>
                          </w:tcPr>
                          <w:p>
                            <w:pPr>
                              <w:pStyle w:val="TableContents"/>
                              <w:spacing w:before="0" w:after="0"/>
                              <w:jc w:val="center"/>
                              <w:rPr>
                                <w:rFonts w:ascii="Arial" w:hAnsi="Arial"/>
                                <w:b/>
                                <w:sz w:val="15"/>
                              </w:rPr>
                            </w:pPr>
                            <w:r>
                              <w:rPr>
                                <w:rFonts w:ascii="Arial" w:hAnsi="Arial"/>
                                <w:b/>
                                <w:sz w:val="15"/>
                              </w:rPr>
                              <w:t>Abstain</w:t>
                            </w:r>
                          </w:p>
                        </w:tc>
                      </w:tr>
                      <w:tr>
                        <w:trPr/>
                        <w:tc>
                          <w:tcPr>
                            <w:tcW w:w="18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0"/>
                              <w:jc w:val="both"/>
                              <w:rPr>
                                <w:rFonts w:ascii="Arial" w:hAnsi="Arial"/>
                                <w:sz w:val="15"/>
                              </w:rPr>
                            </w:pPr>
                            <w:r>
                              <w:rPr>
                                <w:rFonts w:ascii="Arial" w:hAnsi="Arial"/>
                                <w:sz w:val="15"/>
                              </w:rPr>
                              <w:t>2.</w:t>
                            </w:r>
                          </w:p>
                        </w:tc>
                        <w:tc>
                          <w:tcPr>
                            <w:tcW w:w="6665" w:type="dxa"/>
                            <w:tcBorders/>
                            <w:shd w:fill="auto" w:val="clear"/>
                            <w:vAlign w:val="center"/>
                          </w:tcPr>
                          <w:p>
                            <w:pPr>
                              <w:pStyle w:val="TableContents"/>
                              <w:spacing w:before="0" w:after="0"/>
                              <w:jc w:val="left"/>
                              <w:rPr>
                                <w:rFonts w:ascii="Arial" w:hAnsi="Arial"/>
                                <w:sz w:val="15"/>
                              </w:rPr>
                            </w:pPr>
                            <w:r>
                              <w:rPr>
                                <w:rFonts w:ascii="Arial" w:hAnsi="Arial"/>
                                <w:sz w:val="15"/>
                              </w:rPr>
                              <w:t>Ratification of the appointment of our independent auditors</w:t>
                            </w:r>
                          </w:p>
                        </w:tc>
                        <w:tc>
                          <w:tcPr>
                            <w:tcW w:w="3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jc w:val="center"/>
                              <w:rPr/>
                            </w:pPr>
                            <w:r>
                              <w:rPr/>
                              <w:t>☐</w:t>
                            </w:r>
                          </w:p>
                        </w:tc>
                        <w:tc>
                          <w:tcPr>
                            <w:tcW w:w="575" w:type="dxa"/>
                            <w:tcBorders/>
                            <w:shd w:fill="auto" w:val="clear"/>
                            <w:vAlign w:val="center"/>
                          </w:tcPr>
                          <w:p>
                            <w:pPr>
                              <w:pStyle w:val="TableContents"/>
                              <w:spacing w:before="0" w:after="283"/>
                              <w:jc w:val="center"/>
                              <w:rPr/>
                            </w:pPr>
                            <w:r>
                              <w:rPr/>
                              <w:t>☐</w:t>
                            </w:r>
                          </w:p>
                        </w:tc>
                        <w:tc>
                          <w:tcPr>
                            <w:tcW w:w="575" w:type="dxa"/>
                            <w:tcBorders/>
                            <w:shd w:fill="auto" w:val="clear"/>
                            <w:vAlign w:val="center"/>
                          </w:tcPr>
                          <w:p>
                            <w:pPr>
                              <w:pStyle w:val="TableContents"/>
                              <w:spacing w:before="0" w:after="283"/>
                              <w:jc w:val="center"/>
                              <w:rPr/>
                            </w:pPr>
                            <w:r>
                              <w:rPr/>
                              <w:t>☐</w:t>
                            </w:r>
                          </w:p>
                        </w:tc>
                      </w:tr>
                      <w:tr>
                        <w:trPr/>
                        <w:tc>
                          <w:tcPr>
                            <w:tcW w:w="18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0"/>
                              <w:jc w:val="both"/>
                              <w:rPr>
                                <w:rFonts w:ascii="Arial" w:hAnsi="Arial"/>
                                <w:sz w:val="15"/>
                              </w:rPr>
                            </w:pPr>
                            <w:r>
                              <w:rPr>
                                <w:rFonts w:ascii="Arial" w:hAnsi="Arial"/>
                                <w:sz w:val="15"/>
                              </w:rPr>
                              <w:t>3.</w:t>
                            </w:r>
                          </w:p>
                        </w:tc>
                        <w:tc>
                          <w:tcPr>
                            <w:tcW w:w="6665" w:type="dxa"/>
                            <w:tcBorders/>
                            <w:shd w:fill="auto" w:val="clear"/>
                            <w:vAlign w:val="center"/>
                          </w:tcPr>
                          <w:p>
                            <w:pPr>
                              <w:pStyle w:val="TableContents"/>
                              <w:spacing w:before="0" w:after="0"/>
                              <w:jc w:val="left"/>
                              <w:rPr>
                                <w:rFonts w:ascii="Arial" w:hAnsi="Arial"/>
                                <w:sz w:val="15"/>
                              </w:rPr>
                            </w:pPr>
                            <w:r>
                              <w:rPr>
                                <w:rFonts w:ascii="Arial" w:hAnsi="Arial"/>
                                <w:sz w:val="15"/>
                              </w:rPr>
                              <w:t>Approval of Comcast Corporation 2003 Omnibus Equity Incentive Plan</w:t>
                            </w:r>
                          </w:p>
                        </w:tc>
                        <w:tc>
                          <w:tcPr>
                            <w:tcW w:w="3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jc w:val="center"/>
                              <w:rPr/>
                            </w:pPr>
                            <w:r>
                              <w:rPr/>
                              <w:t>☐</w:t>
                            </w:r>
                          </w:p>
                        </w:tc>
                        <w:tc>
                          <w:tcPr>
                            <w:tcW w:w="575" w:type="dxa"/>
                            <w:tcBorders/>
                            <w:shd w:fill="auto" w:val="clear"/>
                            <w:vAlign w:val="center"/>
                          </w:tcPr>
                          <w:p>
                            <w:pPr>
                              <w:pStyle w:val="TableContents"/>
                              <w:spacing w:before="0" w:after="283"/>
                              <w:jc w:val="center"/>
                              <w:rPr/>
                            </w:pPr>
                            <w:r>
                              <w:rPr/>
                              <w:t>☐</w:t>
                            </w:r>
                          </w:p>
                        </w:tc>
                        <w:tc>
                          <w:tcPr>
                            <w:tcW w:w="575" w:type="dxa"/>
                            <w:tcBorders/>
                            <w:shd w:fill="auto" w:val="clear"/>
                            <w:vAlign w:val="center"/>
                          </w:tcPr>
                          <w:p>
                            <w:pPr>
                              <w:pStyle w:val="TableContents"/>
                              <w:spacing w:before="0" w:after="283"/>
                              <w:jc w:val="center"/>
                              <w:rPr/>
                            </w:pPr>
                            <w:r>
                              <w:rPr/>
                              <w:t>☐</w:t>
                            </w:r>
                          </w:p>
                        </w:tc>
                      </w:tr>
                      <w:tr>
                        <w:trPr/>
                        <w:tc>
                          <w:tcPr>
                            <w:tcW w:w="18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0"/>
                              <w:jc w:val="both"/>
                              <w:rPr>
                                <w:rFonts w:ascii="Arial" w:hAnsi="Arial"/>
                                <w:sz w:val="15"/>
                              </w:rPr>
                            </w:pPr>
                            <w:r>
                              <w:rPr>
                                <w:rFonts w:ascii="Arial" w:hAnsi="Arial"/>
                                <w:sz w:val="15"/>
                              </w:rPr>
                              <w:t>4.</w:t>
                            </w:r>
                          </w:p>
                        </w:tc>
                        <w:tc>
                          <w:tcPr>
                            <w:tcW w:w="6665" w:type="dxa"/>
                            <w:tcBorders/>
                            <w:shd w:fill="auto" w:val="clear"/>
                            <w:vAlign w:val="center"/>
                          </w:tcPr>
                          <w:p>
                            <w:pPr>
                              <w:pStyle w:val="TableContents"/>
                              <w:spacing w:before="0" w:after="0"/>
                              <w:jc w:val="left"/>
                              <w:rPr>
                                <w:rFonts w:ascii="Arial" w:hAnsi="Arial"/>
                                <w:sz w:val="15"/>
                              </w:rPr>
                            </w:pPr>
                            <w:r>
                              <w:rPr>
                                <w:rFonts w:ascii="Arial" w:hAnsi="Arial"/>
                                <w:sz w:val="15"/>
                              </w:rPr>
                              <w:t>Approval of Amended and Restated Comcast Corporation 2002 Employee Stock Purchase Plan</w:t>
                            </w:r>
                          </w:p>
                        </w:tc>
                        <w:tc>
                          <w:tcPr>
                            <w:tcW w:w="3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jc w:val="center"/>
                              <w:rPr/>
                            </w:pPr>
                            <w:r>
                              <w:rPr/>
                              <w:t>☐</w:t>
                            </w:r>
                          </w:p>
                        </w:tc>
                        <w:tc>
                          <w:tcPr>
                            <w:tcW w:w="575" w:type="dxa"/>
                            <w:tcBorders/>
                            <w:shd w:fill="auto" w:val="clear"/>
                            <w:vAlign w:val="center"/>
                          </w:tcPr>
                          <w:p>
                            <w:pPr>
                              <w:pStyle w:val="TableContents"/>
                              <w:spacing w:before="0" w:after="283"/>
                              <w:jc w:val="center"/>
                              <w:rPr/>
                            </w:pPr>
                            <w:r>
                              <w:rPr/>
                              <w:t>☐</w:t>
                            </w:r>
                          </w:p>
                        </w:tc>
                        <w:tc>
                          <w:tcPr>
                            <w:tcW w:w="575" w:type="dxa"/>
                            <w:tcBorders/>
                            <w:shd w:fill="auto" w:val="clear"/>
                            <w:vAlign w:val="center"/>
                          </w:tcPr>
                          <w:p>
                            <w:pPr>
                              <w:pStyle w:val="TableContents"/>
                              <w:spacing w:before="0" w:after="283"/>
                              <w:jc w:val="center"/>
                              <w:rPr/>
                            </w:pPr>
                            <w:r>
                              <w:rPr/>
                              <w:t>☐</w:t>
                            </w:r>
                          </w:p>
                        </w:tc>
                      </w:tr>
                      <w:tr>
                        <w:trPr/>
                        <w:tc>
                          <w:tcPr>
                            <w:tcW w:w="18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0"/>
                              <w:jc w:val="both"/>
                              <w:rPr>
                                <w:rFonts w:ascii="Arial" w:hAnsi="Arial"/>
                                <w:sz w:val="15"/>
                              </w:rPr>
                            </w:pPr>
                            <w:r>
                              <w:rPr>
                                <w:rFonts w:ascii="Arial" w:hAnsi="Arial"/>
                                <w:sz w:val="15"/>
                              </w:rPr>
                              <w:t>5.</w:t>
                            </w:r>
                          </w:p>
                        </w:tc>
                        <w:tc>
                          <w:tcPr>
                            <w:tcW w:w="6665" w:type="dxa"/>
                            <w:tcBorders/>
                            <w:shd w:fill="auto" w:val="clear"/>
                            <w:vAlign w:val="center"/>
                          </w:tcPr>
                          <w:p>
                            <w:pPr>
                              <w:pStyle w:val="TableContents"/>
                              <w:spacing w:before="0" w:after="0"/>
                              <w:jc w:val="left"/>
                              <w:rPr>
                                <w:rFonts w:ascii="Arial" w:hAnsi="Arial"/>
                                <w:sz w:val="15"/>
                              </w:rPr>
                            </w:pPr>
                            <w:r>
                              <w:rPr>
                                <w:rFonts w:ascii="Arial" w:hAnsi="Arial"/>
                                <w:sz w:val="15"/>
                              </w:rPr>
                              <w:t>Advisory vote on executive compensation</w:t>
                            </w:r>
                          </w:p>
                        </w:tc>
                        <w:tc>
                          <w:tcPr>
                            <w:tcW w:w="3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jc w:val="center"/>
                              <w:rPr/>
                            </w:pPr>
                            <w:r>
                              <w:rPr/>
                              <w:t>☐</w:t>
                            </w:r>
                          </w:p>
                        </w:tc>
                        <w:tc>
                          <w:tcPr>
                            <w:tcW w:w="575" w:type="dxa"/>
                            <w:tcBorders/>
                            <w:shd w:fill="auto" w:val="clear"/>
                            <w:vAlign w:val="center"/>
                          </w:tcPr>
                          <w:p>
                            <w:pPr>
                              <w:pStyle w:val="TableContents"/>
                              <w:spacing w:before="0" w:after="283"/>
                              <w:jc w:val="center"/>
                              <w:rPr/>
                            </w:pPr>
                            <w:r>
                              <w:rPr/>
                              <w:t>☐</w:t>
                            </w:r>
                          </w:p>
                        </w:tc>
                        <w:tc>
                          <w:tcPr>
                            <w:tcW w:w="575" w:type="dxa"/>
                            <w:tcBorders/>
                            <w:shd w:fill="auto" w:val="clear"/>
                            <w:vAlign w:val="center"/>
                          </w:tcPr>
                          <w:p>
                            <w:pPr>
                              <w:pStyle w:val="TableContents"/>
                              <w:spacing w:before="0" w:after="283"/>
                              <w:jc w:val="center"/>
                              <w:rPr/>
                            </w:pPr>
                            <w:r>
                              <w:rPr/>
                              <w:t>☐</w:t>
                            </w:r>
                          </w:p>
                        </w:tc>
                      </w:tr>
                    </w:tbl>
                    <w:p>
                      <w:pPr>
                        <w:pStyle w:val="TextBody"/>
                        <w:spacing w:before="0" w:after="0"/>
                        <w:rPr/>
                      </w:pPr>
                      <w:r>
                        <w:rPr/>
                      </w:r>
                    </w:p>
                    <w:tbl>
                      <w:tblPr>
                        <w:tblW w:w="8679" w:type="dxa"/>
                        <w:jc w:val="left"/>
                        <w:tblInd w:w="0" w:type="dxa"/>
                        <w:tblCellMar>
                          <w:top w:w="0" w:type="dxa"/>
                          <w:left w:w="0" w:type="dxa"/>
                          <w:bottom w:w="0" w:type="dxa"/>
                          <w:right w:w="0" w:type="dxa"/>
                        </w:tblCellMar>
                      </w:tblPr>
                      <w:tblGrid>
                        <w:gridCol w:w="180"/>
                        <w:gridCol w:w="180"/>
                        <w:gridCol w:w="5734"/>
                        <w:gridCol w:w="240"/>
                        <w:gridCol w:w="590"/>
                        <w:gridCol w:w="590"/>
                        <w:gridCol w:w="590"/>
                        <w:gridCol w:w="575"/>
                      </w:tblGrid>
                      <w:tr>
                        <w:trPr/>
                        <w:tc>
                          <w:tcPr>
                            <w:tcW w:w="180" w:type="dxa"/>
                            <w:tcBorders/>
                            <w:shd w:fill="auto" w:val="clear"/>
                            <w:vAlign w:val="center"/>
                          </w:tcPr>
                          <w:p>
                            <w:pPr>
                              <w:pStyle w:val="TableContents"/>
                              <w:spacing w:before="0" w:after="283"/>
                              <w:jc w:val="left"/>
                              <w:rPr/>
                            </w:pPr>
                            <w:r>
                              <w:rPr/>
                              <w:t>   </w:t>
                            </w:r>
                          </w:p>
                        </w:tc>
                        <w:tc>
                          <w:tcPr>
                            <w:tcW w:w="5914" w:type="dxa"/>
                            <w:gridSpan w:val="2"/>
                            <w:tcBorders/>
                            <w:shd w:fill="auto" w:val="clear"/>
                            <w:vAlign w:val="center"/>
                          </w:tcPr>
                          <w:p>
                            <w:pPr>
                              <w:pStyle w:val="TableContents"/>
                              <w:spacing w:before="0" w:after="0"/>
                              <w:jc w:val="both"/>
                              <w:rPr>
                                <w:rFonts w:ascii="Arial" w:hAnsi="Arial"/>
                                <w:b/>
                                <w:sz w:val="15"/>
                              </w:rPr>
                            </w:pPr>
                            <w:r>
                              <w:rPr>
                                <w:rFonts w:ascii="Arial" w:hAnsi="Arial"/>
                                <w:b/>
                                <w:sz w:val="15"/>
                              </w:rPr>
                              <w:t>The Board of Directors recommends that you vote every "1 Year" on Proposal 6:</w:t>
                            </w:r>
                          </w:p>
                        </w:tc>
                        <w:tc>
                          <w:tcPr>
                            <w:tcW w:w="240" w:type="dxa"/>
                            <w:tcBorders/>
                            <w:shd w:fill="auto" w:val="clear"/>
                            <w:vAlign w:val="center"/>
                          </w:tcPr>
                          <w:p>
                            <w:pPr>
                              <w:pStyle w:val="TableContents"/>
                              <w:spacing w:before="0" w:after="283"/>
                              <w:jc w:val="left"/>
                              <w:rPr/>
                            </w:pPr>
                            <w:r>
                              <w:rPr/>
                              <w:t>    </w:t>
                            </w:r>
                          </w:p>
                        </w:tc>
                        <w:tc>
                          <w:tcPr>
                            <w:tcW w:w="590" w:type="dxa"/>
                            <w:tcBorders/>
                            <w:shd w:fill="auto" w:val="clear"/>
                            <w:vAlign w:val="center"/>
                          </w:tcPr>
                          <w:p>
                            <w:pPr>
                              <w:pStyle w:val="TableContents"/>
                              <w:spacing w:before="0" w:after="0"/>
                              <w:jc w:val="center"/>
                              <w:rPr>
                                <w:rFonts w:ascii="Arial" w:hAnsi="Arial"/>
                                <w:b/>
                                <w:sz w:val="15"/>
                              </w:rPr>
                            </w:pPr>
                            <w:r>
                              <w:rPr>
                                <w:rFonts w:ascii="Arial" w:hAnsi="Arial"/>
                                <w:b/>
                                <w:sz w:val="15"/>
                              </w:rPr>
                              <w:t>1 Years</w:t>
                            </w:r>
                          </w:p>
                        </w:tc>
                        <w:tc>
                          <w:tcPr>
                            <w:tcW w:w="590" w:type="dxa"/>
                            <w:tcBorders/>
                            <w:shd w:fill="auto" w:val="clear"/>
                            <w:vAlign w:val="center"/>
                          </w:tcPr>
                          <w:p>
                            <w:pPr>
                              <w:pStyle w:val="TableContents"/>
                              <w:spacing w:before="0" w:after="0"/>
                              <w:jc w:val="center"/>
                              <w:rPr>
                                <w:rFonts w:ascii="Arial" w:hAnsi="Arial"/>
                                <w:b/>
                                <w:sz w:val="15"/>
                              </w:rPr>
                            </w:pPr>
                            <w:r>
                              <w:rPr>
                                <w:rFonts w:ascii="Arial" w:hAnsi="Arial"/>
                                <w:b/>
                                <w:sz w:val="15"/>
                              </w:rPr>
                              <w:t>2 Years</w:t>
                            </w:r>
                          </w:p>
                        </w:tc>
                        <w:tc>
                          <w:tcPr>
                            <w:tcW w:w="590" w:type="dxa"/>
                            <w:tcBorders/>
                            <w:shd w:fill="auto" w:val="clear"/>
                            <w:vAlign w:val="center"/>
                          </w:tcPr>
                          <w:p>
                            <w:pPr>
                              <w:pStyle w:val="TableContents"/>
                              <w:spacing w:before="0" w:after="0"/>
                              <w:jc w:val="center"/>
                              <w:rPr>
                                <w:rFonts w:ascii="Arial" w:hAnsi="Arial"/>
                                <w:b/>
                                <w:sz w:val="15"/>
                              </w:rPr>
                            </w:pPr>
                            <w:r>
                              <w:rPr>
                                <w:rFonts w:ascii="Arial" w:hAnsi="Arial"/>
                                <w:b/>
                                <w:sz w:val="15"/>
                              </w:rPr>
                              <w:t>3 Years</w:t>
                            </w:r>
                          </w:p>
                        </w:tc>
                        <w:tc>
                          <w:tcPr>
                            <w:tcW w:w="575" w:type="dxa"/>
                            <w:tcBorders/>
                            <w:shd w:fill="auto" w:val="clear"/>
                            <w:vAlign w:val="center"/>
                          </w:tcPr>
                          <w:p>
                            <w:pPr>
                              <w:pStyle w:val="TableContents"/>
                              <w:spacing w:before="0" w:after="0"/>
                              <w:jc w:val="center"/>
                              <w:rPr>
                                <w:rFonts w:ascii="Arial" w:hAnsi="Arial"/>
                                <w:b/>
                                <w:sz w:val="15"/>
                              </w:rPr>
                            </w:pPr>
                            <w:r>
                              <w:rPr>
                                <w:rFonts w:ascii="Arial" w:hAnsi="Arial"/>
                                <w:b/>
                                <w:sz w:val="15"/>
                              </w:rPr>
                              <w:t>Abstain</w:t>
                            </w:r>
                          </w:p>
                        </w:tc>
                      </w:tr>
                      <w:tr>
                        <w:trPr/>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jc w:val="left"/>
                              <w:rPr>
                                <w:rFonts w:ascii="Arial" w:hAnsi="Arial"/>
                                <w:sz w:val="15"/>
                              </w:rPr>
                            </w:pPr>
                            <w:r>
                              <w:rPr>
                                <w:rFonts w:ascii="Arial" w:hAnsi="Arial"/>
                                <w:sz w:val="15"/>
                              </w:rPr>
                              <w:t>6.</w:t>
                            </w:r>
                          </w:p>
                        </w:tc>
                        <w:tc>
                          <w:tcPr>
                            <w:tcW w:w="5734" w:type="dxa"/>
                            <w:tcBorders/>
                            <w:shd w:fill="auto" w:val="clear"/>
                            <w:vAlign w:val="center"/>
                          </w:tcPr>
                          <w:p>
                            <w:pPr>
                              <w:pStyle w:val="TableContents"/>
                              <w:spacing w:before="0" w:after="0"/>
                              <w:jc w:val="left"/>
                              <w:rPr>
                                <w:rFonts w:ascii="Arial" w:hAnsi="Arial"/>
                                <w:sz w:val="15"/>
                              </w:rPr>
                            </w:pPr>
                            <w:r>
                              <w:rPr>
                                <w:rFonts w:ascii="Arial" w:hAnsi="Arial"/>
                                <w:sz w:val="15"/>
                              </w:rPr>
                              <w:t>Advisory vote on the frequency of the vote on executive compensation</w:t>
                            </w:r>
                          </w:p>
                        </w:tc>
                        <w:tc>
                          <w:tcPr>
                            <w:tcW w:w="240"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jc w:val="center"/>
                              <w:rPr/>
                            </w:pPr>
                            <w:r>
                              <w:rPr/>
                              <w:t>☐</w:t>
                            </w:r>
                          </w:p>
                        </w:tc>
                        <w:tc>
                          <w:tcPr>
                            <w:tcW w:w="590" w:type="dxa"/>
                            <w:tcBorders/>
                            <w:shd w:fill="auto" w:val="clear"/>
                            <w:vAlign w:val="center"/>
                          </w:tcPr>
                          <w:p>
                            <w:pPr>
                              <w:pStyle w:val="TableContents"/>
                              <w:spacing w:before="0" w:after="283"/>
                              <w:jc w:val="center"/>
                              <w:rPr/>
                            </w:pPr>
                            <w:r>
                              <w:rPr/>
                              <w:t>☐</w:t>
                            </w:r>
                          </w:p>
                        </w:tc>
                        <w:tc>
                          <w:tcPr>
                            <w:tcW w:w="590" w:type="dxa"/>
                            <w:tcBorders/>
                            <w:shd w:fill="auto" w:val="clear"/>
                            <w:vAlign w:val="center"/>
                          </w:tcPr>
                          <w:p>
                            <w:pPr>
                              <w:pStyle w:val="TableContents"/>
                              <w:spacing w:before="0" w:after="283"/>
                              <w:jc w:val="center"/>
                              <w:rPr/>
                            </w:pPr>
                            <w:r>
                              <w:rPr/>
                              <w:t>☐</w:t>
                            </w:r>
                          </w:p>
                        </w:tc>
                        <w:tc>
                          <w:tcPr>
                            <w:tcW w:w="575" w:type="dxa"/>
                            <w:tcBorders/>
                            <w:shd w:fill="auto" w:val="clear"/>
                            <w:vAlign w:val="center"/>
                          </w:tcPr>
                          <w:p>
                            <w:pPr>
                              <w:pStyle w:val="TableContents"/>
                              <w:spacing w:before="0" w:after="283"/>
                              <w:jc w:val="center"/>
                              <w:rPr/>
                            </w:pPr>
                            <w:r>
                              <w:rPr/>
                              <w:t>☐</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08">
                <wp:simplePos x="0" y="0"/>
                <wp:positionH relativeFrom="column">
                  <wp:align>right</wp:align>
                </wp:positionH>
                <wp:positionV relativeFrom="line">
                  <wp:posOffset>635</wp:posOffset>
                </wp:positionV>
                <wp:extent cx="2721610" cy="4322445"/>
                <wp:effectExtent l="0" t="0" r="0" b="0"/>
                <wp:wrapSquare wrapText="largest"/>
                <wp:docPr id="232" name="Frame28"/>
                <a:graphic xmlns:a="http://schemas.openxmlformats.org/drawingml/2006/main">
                  <a:graphicData uri="http://schemas.microsoft.com/office/word/2010/wordprocessingShape">
                    <wps:wsp>
                      <wps:cNvSpPr txBox="1"/>
                      <wps:spPr>
                        <a:xfrm>
                          <a:off x="0" y="0"/>
                          <a:ext cx="2721610" cy="4322445"/>
                        </a:xfrm>
                        <a:prstGeom prst="rect"/>
                      </wps:spPr>
                      <wps:txbx>
                        <w:txbxContent>
                          <w:tbl>
                            <w:tblPr>
                              <w:tblW w:w="10205" w:type="dxa"/>
                              <w:jc w:val="left"/>
                              <w:tblInd w:w="0" w:type="dxa"/>
                              <w:tblCellMar>
                                <w:top w:w="0" w:type="dxa"/>
                                <w:left w:w="0" w:type="dxa"/>
                                <w:bottom w:w="0" w:type="dxa"/>
                                <w:right w:w="0" w:type="dxa"/>
                              </w:tblCellMar>
                            </w:tblPr>
                            <w:tblGrid>
                              <w:gridCol w:w="8784"/>
                              <w:gridCol w:w="353"/>
                              <w:gridCol w:w="713"/>
                              <w:gridCol w:w="355"/>
                            </w:tblGrid>
                            <w:tr>
                              <w:trPr/>
                              <w:tc>
                                <w:tcPr>
                                  <w:tcW w:w="8784" w:type="dxa"/>
                                  <w:vMerge w:val="restart"/>
                                  <w:tcBorders/>
                                  <w:shd w:fill="auto" w:val="clear"/>
                                  <w:vAlign w:val="center"/>
                                </w:tcPr>
                                <w:p>
                                  <w:pPr>
                                    <w:pStyle w:val="TableContents"/>
                                    <w:spacing w:before="0" w:after="0"/>
                                    <w:jc w:val="both"/>
                                    <w:rPr>
                                      <w:rFonts w:ascii="Arial" w:hAnsi="Arial"/>
                                      <w:sz w:val="15"/>
                                    </w:rPr>
                                  </w:pPr>
                                  <w:r>
                                    <w:rPr>
                                      <w:rFonts w:ascii="Arial" w:hAnsi="Arial"/>
                                      <w:sz w:val="15"/>
                                    </w:rPr>
                                    <w:t>To withhold authority to vote for any individual nominee(s), mark "For All Except" and write the number(s) of the nominee(s) on the line below.</w:t>
                                  </w:r>
                                </w:p>
                              </w:tc>
                              <w:tc>
                                <w:tcPr>
                                  <w:tcW w:w="353"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jc w:val="left"/>
                                    <w:rPr/>
                                  </w:pPr>
                                  <w:r>
                                    <w:rPr/>
                                    <w:t> </w:t>
                                  </w:r>
                                </w:p>
                              </w:tc>
                              <w:tc>
                                <w:tcPr>
                                  <w:tcW w:w="355" w:type="dxa"/>
                                  <w:tcBorders/>
                                  <w:shd w:fill="auto" w:val="clear"/>
                                  <w:vAlign w:val="center"/>
                                </w:tcPr>
                                <w:p>
                                  <w:pPr>
                                    <w:pStyle w:val="TableContents"/>
                                    <w:spacing w:before="0" w:after="283"/>
                                    <w:rPr>
                                      <w:sz w:val="4"/>
                                      <w:szCs w:val="4"/>
                                    </w:rPr>
                                  </w:pPr>
                                  <w:r>
                                    <w:rPr>
                                      <w:sz w:val="4"/>
                                      <w:szCs w:val="4"/>
                                    </w:rPr>
                                  </w:r>
                                </w:p>
                              </w:tc>
                            </w:tr>
                            <w:tr>
                              <w:trPr/>
                              <w:tc>
                                <w:tcPr>
                                  <w:tcW w:w="8784" w:type="dxa"/>
                                  <w:vMerge w:val="continue"/>
                                  <w:tcBorders/>
                                  <w:shd w:fill="auto" w:val="clear"/>
                                  <w:vAlign w:val="center"/>
                                </w:tcPr>
                                <w:p>
                                  <w:pPr>
                                    <w:pStyle w:val="Normal"/>
                                    <w:rPr/>
                                  </w:pPr>
                                  <w:r>
                                    <w:rPr/>
                                  </w:r>
                                </w:p>
                              </w:tc>
                              <w:tc>
                                <w:tcPr>
                                  <w:tcW w:w="353" w:type="dxa"/>
                                  <w:tcBorders/>
                                  <w:shd w:fill="auto" w:val="clear"/>
                                  <w:vAlign w:val="center"/>
                                </w:tcPr>
                                <w:p>
                                  <w:pPr>
                                    <w:pStyle w:val="TableContents"/>
                                    <w:spacing w:before="0" w:after="283"/>
                                    <w:jc w:val="left"/>
                                    <w:rPr/>
                                  </w:pPr>
                                  <w:r>
                                    <w:rPr/>
                                    <w:t xml:space="preserve">      </w:t>
                                  </w:r>
                                </w:p>
                              </w:tc>
                              <w:tc>
                                <w:tcPr>
                                  <w:tcW w:w="713" w:type="dxa"/>
                                  <w:tcBorders>
                                    <w:top w:val="single" w:sz="12" w:space="0" w:color="000000"/>
                                    <w:right w:val="single" w:sz="12" w:space="0" w:color="000000"/>
                                  </w:tcBorders>
                                  <w:shd w:fill="auto" w:val="clear"/>
                                  <w:tcMar>
                                    <w:top w:w="28" w:type="dxa"/>
                                    <w:right w:w="28" w:type="dxa"/>
                                  </w:tcMar>
                                  <w:vAlign w:val="center"/>
                                </w:tcPr>
                                <w:p>
                                  <w:pPr>
                                    <w:pStyle w:val="TableContents"/>
                                    <w:spacing w:before="0" w:after="283"/>
                                    <w:jc w:val="left"/>
                                    <w:rPr/>
                                  </w:pPr>
                                  <w:r>
                                    <w:rPr/>
                                    <w:t xml:space="preserve">            </w:t>
                                  </w:r>
                                </w:p>
                              </w:tc>
                              <w:tc>
                                <w:tcPr>
                                  <w:tcW w:w="355" w:type="dxa"/>
                                  <w:tcBorders/>
                                  <w:shd w:fill="auto" w:val="clear"/>
                                  <w:vAlign w:val="center"/>
                                </w:tcPr>
                                <w:p>
                                  <w:pPr>
                                    <w:pStyle w:val="TableContents"/>
                                    <w:spacing w:before="0" w:after="283"/>
                                    <w:jc w:val="left"/>
                                    <w:rPr/>
                                  </w:pPr>
                                  <w:r>
                                    <w:rPr/>
                                    <w:t xml:space="preserve">      </w:t>
                                  </w:r>
                                </w:p>
                              </w:tc>
                            </w:tr>
                            <w:tr>
                              <w:trPr/>
                              <w:tc>
                                <w:tcPr>
                                  <w:tcW w:w="8784"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353" w:type="dxa"/>
                                  <w:tcBorders/>
                                  <w:shd w:fill="auto" w:val="clear"/>
                                  <w:vAlign w:val="center"/>
                                </w:tcPr>
                                <w:p>
                                  <w:pPr>
                                    <w:pStyle w:val="TableContents"/>
                                    <w:spacing w:before="0" w:after="283"/>
                                    <w:rPr>
                                      <w:sz w:val="4"/>
                                      <w:szCs w:val="4"/>
                                    </w:rPr>
                                  </w:pPr>
                                  <w:r>
                                    <w:rPr>
                                      <w:sz w:val="4"/>
                                      <w:szCs w:val="4"/>
                                    </w:rPr>
                                  </w:r>
                                </w:p>
                              </w:tc>
                              <w:tc>
                                <w:tcPr>
                                  <w:tcW w:w="713" w:type="dxa"/>
                                  <w:tcBorders>
                                    <w:right w:val="single" w:sz="12" w:space="0" w:color="000000"/>
                                  </w:tcBorders>
                                  <w:shd w:fill="auto" w:val="clear"/>
                                  <w:tcMar>
                                    <w:right w:w="28" w:type="dxa"/>
                                  </w:tcM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r>
                          </w:tbl>
                          <w:p>
                            <w:pPr>
                              <w:pStyle w:val="TextBody"/>
                              <w:rPr/>
                            </w:pPr>
                            <w:r>
                              <w:rPr/>
                              <w:br/>
                            </w:r>
                          </w:p>
                          <w:tbl>
                            <w:tblPr>
                              <w:tblW w:w="10205" w:type="dxa"/>
                              <w:jc w:val="left"/>
                              <w:tblInd w:w="0" w:type="dxa"/>
                              <w:tblCellMar>
                                <w:top w:w="0" w:type="dxa"/>
                                <w:left w:w="0" w:type="dxa"/>
                                <w:bottom w:w="0" w:type="dxa"/>
                                <w:right w:w="0" w:type="dxa"/>
                              </w:tblCellMar>
                            </w:tblPr>
                            <w:tblGrid>
                              <w:gridCol w:w="234"/>
                              <w:gridCol w:w="8214"/>
                              <w:gridCol w:w="346"/>
                              <w:gridCol w:w="260"/>
                              <w:gridCol w:w="575"/>
                              <w:gridCol w:w="576"/>
                            </w:tblGrid>
                            <w:tr>
                              <w:trPr/>
                              <w:tc>
                                <w:tcPr>
                                  <w:tcW w:w="234" w:type="dxa"/>
                                  <w:tcBorders/>
                                  <w:shd w:fill="000000" w:val="clear"/>
                                  <w:vAlign w:val="center"/>
                                </w:tcPr>
                                <w:p>
                                  <w:pPr>
                                    <w:pStyle w:val="TableContents"/>
                                    <w:spacing w:before="0" w:after="283"/>
                                    <w:jc w:val="left"/>
                                    <w:rPr>
                                      <w:rFonts w:ascii="Arial" w:hAnsi="Arial"/>
                                      <w:b/>
                                      <w:color w:val="FFFFFF"/>
                                      <w:sz w:val="24"/>
                                    </w:rPr>
                                  </w:pPr>
                                  <w:r>
                                    <w:rPr>
                                      <w:rFonts w:ascii="Arial" w:hAnsi="Arial"/>
                                      <w:b/>
                                      <w:color w:val="FFFFFF"/>
                                      <w:sz w:val="24"/>
                                    </w:rPr>
                                    <w:t>B</w:t>
                                  </w:r>
                                </w:p>
                              </w:tc>
                              <w:tc>
                                <w:tcPr>
                                  <w:tcW w:w="8214" w:type="dxa"/>
                                  <w:vMerge w:val="restart"/>
                                  <w:tcBorders/>
                                  <w:shd w:fill="auto" w:val="clear"/>
                                  <w:vAlign w:val="center"/>
                                </w:tcPr>
                                <w:p>
                                  <w:pPr>
                                    <w:pStyle w:val="TableContents"/>
                                    <w:spacing w:before="0" w:after="0"/>
                                    <w:jc w:val="both"/>
                                    <w:rPr>
                                      <w:rFonts w:ascii="Arial" w:hAnsi="Arial"/>
                                      <w:b/>
                                      <w:sz w:val="15"/>
                                    </w:rPr>
                                  </w:pPr>
                                  <w:r>
                                    <w:rPr>
                                      <w:rFonts w:ascii="Arial" w:hAnsi="Arial"/>
                                      <w:b/>
                                      <w:sz w:val="15"/>
                                    </w:rPr>
                                    <w:t>Shareholder Proposals — The Board of Directors recommends a vote "AGAINST" Proposals 7-11 if properly presented at the Annual Meeting:</w:t>
                                  </w:r>
                                </w:p>
                              </w:tc>
                              <w:tc>
                                <w:tcPr>
                                  <w:tcW w:w="346" w:type="dxa"/>
                                  <w:vMerge w:val="restart"/>
                                  <w:tcBorders/>
                                  <w:shd w:fill="auto" w:val="clear"/>
                                  <w:vAlign w:val="center"/>
                                </w:tcPr>
                                <w:p>
                                  <w:pPr>
                                    <w:pStyle w:val="TableContents"/>
                                    <w:spacing w:before="0" w:after="283"/>
                                    <w:rPr>
                                      <w:sz w:val="4"/>
                                      <w:szCs w:val="4"/>
                                    </w:rPr>
                                  </w:pPr>
                                  <w:r>
                                    <w:rPr>
                                      <w:sz w:val="4"/>
                                      <w:szCs w:val="4"/>
                                    </w:rPr>
                                  </w:r>
                                </w:p>
                              </w:tc>
                              <w:tc>
                                <w:tcPr>
                                  <w:tcW w:w="260" w:type="dxa"/>
                                  <w:vMerge w:val="restart"/>
                                  <w:tcBorders/>
                                  <w:shd w:fill="auto" w:val="clear"/>
                                  <w:vAlign w:val="center"/>
                                </w:tcPr>
                                <w:p>
                                  <w:pPr>
                                    <w:pStyle w:val="TableContents"/>
                                    <w:spacing w:before="0" w:after="0"/>
                                    <w:jc w:val="center"/>
                                    <w:rPr>
                                      <w:rFonts w:ascii="Arial" w:hAnsi="Arial"/>
                                      <w:b/>
                                      <w:sz w:val="15"/>
                                    </w:rPr>
                                  </w:pPr>
                                  <w:r>
                                    <w:rPr>
                                      <w:rFonts w:ascii="Arial" w:hAnsi="Arial"/>
                                      <w:b/>
                                      <w:sz w:val="15"/>
                                    </w:rPr>
                                    <w:t>For</w:t>
                                  </w:r>
                                </w:p>
                              </w:tc>
                              <w:tc>
                                <w:tcPr>
                                  <w:tcW w:w="575" w:type="dxa"/>
                                  <w:vMerge w:val="restart"/>
                                  <w:tcBorders/>
                                  <w:shd w:fill="auto" w:val="clear"/>
                                  <w:vAlign w:val="center"/>
                                </w:tcPr>
                                <w:p>
                                  <w:pPr>
                                    <w:pStyle w:val="TableContents"/>
                                    <w:spacing w:before="0" w:after="0"/>
                                    <w:jc w:val="center"/>
                                    <w:rPr>
                                      <w:rFonts w:ascii="Arial" w:hAnsi="Arial"/>
                                      <w:b/>
                                      <w:sz w:val="15"/>
                                    </w:rPr>
                                  </w:pPr>
                                  <w:r>
                                    <w:rPr>
                                      <w:rFonts w:ascii="Arial" w:hAnsi="Arial"/>
                                      <w:b/>
                                      <w:sz w:val="15"/>
                                    </w:rPr>
                                    <w:t>Against</w:t>
                                  </w:r>
                                </w:p>
                              </w:tc>
                              <w:tc>
                                <w:tcPr>
                                  <w:tcW w:w="576" w:type="dxa"/>
                                  <w:vMerge w:val="restart"/>
                                  <w:tcBorders/>
                                  <w:shd w:fill="auto" w:val="clear"/>
                                  <w:vAlign w:val="center"/>
                                </w:tcPr>
                                <w:p>
                                  <w:pPr>
                                    <w:pStyle w:val="TableContents"/>
                                    <w:spacing w:before="0" w:after="0"/>
                                    <w:jc w:val="center"/>
                                    <w:rPr>
                                      <w:rFonts w:ascii="Arial" w:hAnsi="Arial"/>
                                      <w:b/>
                                      <w:sz w:val="15"/>
                                    </w:rPr>
                                  </w:pPr>
                                  <w:r>
                                    <w:rPr>
                                      <w:rFonts w:ascii="Arial" w:hAnsi="Arial"/>
                                      <w:b/>
                                      <w:sz w:val="15"/>
                                    </w:rPr>
                                    <w:t>Abstain</w:t>
                                  </w:r>
                                </w:p>
                              </w:tc>
                            </w:tr>
                            <w:tr>
                              <w:trPr/>
                              <w:tc>
                                <w:tcPr>
                                  <w:tcW w:w="234" w:type="dxa"/>
                                  <w:tcBorders/>
                                  <w:shd w:fill="auto" w:val="clear"/>
                                  <w:vAlign w:val="center"/>
                                </w:tcPr>
                                <w:p>
                                  <w:pPr>
                                    <w:pStyle w:val="TableContents"/>
                                    <w:spacing w:before="0" w:after="283"/>
                                    <w:jc w:val="left"/>
                                    <w:rPr/>
                                  </w:pPr>
                                  <w:r>
                                    <w:rPr/>
                                    <w:t> </w:t>
                                  </w:r>
                                </w:p>
                              </w:tc>
                              <w:tc>
                                <w:tcPr>
                                  <w:tcW w:w="8214" w:type="dxa"/>
                                  <w:vMerge w:val="continue"/>
                                  <w:tcBorders/>
                                  <w:shd w:fill="auto" w:val="clear"/>
                                  <w:vAlign w:val="center"/>
                                </w:tcPr>
                                <w:p>
                                  <w:pPr>
                                    <w:pStyle w:val="Normal"/>
                                    <w:rPr/>
                                  </w:pPr>
                                  <w:r>
                                    <w:rPr/>
                                  </w:r>
                                </w:p>
                              </w:tc>
                              <w:tc>
                                <w:tcPr>
                                  <w:tcW w:w="346" w:type="dxa"/>
                                  <w:vMerge w:val="continue"/>
                                  <w:tcBorders/>
                                  <w:shd w:fill="auto" w:val="clear"/>
                                  <w:vAlign w:val="center"/>
                                </w:tcPr>
                                <w:p>
                                  <w:pPr>
                                    <w:pStyle w:val="Normal"/>
                                    <w:rPr/>
                                  </w:pPr>
                                  <w:r>
                                    <w:rPr/>
                                  </w:r>
                                </w:p>
                              </w:tc>
                              <w:tc>
                                <w:tcPr>
                                  <w:tcW w:w="260" w:type="dxa"/>
                                  <w:vMerge w:val="continue"/>
                                  <w:tcBorders/>
                                  <w:shd w:fill="auto" w:val="clear"/>
                                  <w:vAlign w:val="center"/>
                                </w:tcPr>
                                <w:p>
                                  <w:pPr>
                                    <w:pStyle w:val="Normal"/>
                                    <w:rPr/>
                                  </w:pPr>
                                  <w:r>
                                    <w:rPr/>
                                  </w:r>
                                </w:p>
                              </w:tc>
                              <w:tc>
                                <w:tcPr>
                                  <w:tcW w:w="575" w:type="dxa"/>
                                  <w:vMerge w:val="continue"/>
                                  <w:tcBorders/>
                                  <w:shd w:fill="auto" w:val="clear"/>
                                  <w:vAlign w:val="center"/>
                                </w:tcPr>
                                <w:p>
                                  <w:pPr>
                                    <w:pStyle w:val="Normal"/>
                                    <w:rPr/>
                                  </w:pPr>
                                  <w:r>
                                    <w:rPr/>
                                  </w:r>
                                </w:p>
                              </w:tc>
                              <w:tc>
                                <w:tcPr>
                                  <w:tcW w:w="576" w:type="dxa"/>
                                  <w:vMerge w:val="continue"/>
                                  <w:tcBorders/>
                                  <w:shd w:fill="auto" w:val="clear"/>
                                  <w:vAlign w:val="center"/>
                                </w:tcPr>
                                <w:p>
                                  <w:pPr>
                                    <w:pStyle w:val="Normal"/>
                                    <w:rPr/>
                                  </w:pPr>
                                  <w:r>
                                    <w:rPr/>
                                  </w:r>
                                </w:p>
                              </w:tc>
                            </w:tr>
                            <w:tr>
                              <w:trPr/>
                              <w:tc>
                                <w:tcPr>
                                  <w:tcW w:w="234" w:type="dxa"/>
                                  <w:tcBorders/>
                                  <w:shd w:fill="auto" w:val="clear"/>
                                  <w:vAlign w:val="center"/>
                                </w:tcPr>
                                <w:p>
                                  <w:pPr>
                                    <w:pStyle w:val="TableContents"/>
                                    <w:spacing w:before="0" w:after="0"/>
                                    <w:jc w:val="both"/>
                                    <w:rPr>
                                      <w:rFonts w:ascii="Arial" w:hAnsi="Arial"/>
                                      <w:sz w:val="15"/>
                                    </w:rPr>
                                  </w:pPr>
                                  <w:r>
                                    <w:rPr>
                                      <w:rFonts w:ascii="Arial" w:hAnsi="Arial"/>
                                      <w:sz w:val="15"/>
                                    </w:rPr>
                                    <w:t>7.</w:t>
                                  </w:r>
                                </w:p>
                              </w:tc>
                              <w:tc>
                                <w:tcPr>
                                  <w:tcW w:w="8214" w:type="dxa"/>
                                  <w:tcBorders/>
                                  <w:shd w:fill="auto" w:val="clear"/>
                                  <w:vAlign w:val="center"/>
                                </w:tcPr>
                                <w:p>
                                  <w:pPr>
                                    <w:pStyle w:val="TableContents"/>
                                    <w:spacing w:before="0" w:after="0"/>
                                    <w:jc w:val="both"/>
                                    <w:rPr>
                                      <w:rFonts w:ascii="Arial" w:hAnsi="Arial"/>
                                      <w:sz w:val="15"/>
                                    </w:rPr>
                                  </w:pPr>
                                  <w:r>
                                    <w:rPr>
                                      <w:rFonts w:ascii="Arial" w:hAnsi="Arial"/>
                                      <w:sz w:val="15"/>
                                    </w:rPr>
                                    <w:t>To perform independent racial equity audit</w:t>
                                  </w:r>
                                </w:p>
                              </w:tc>
                              <w:tc>
                                <w:tcPr>
                                  <w:tcW w:w="346" w:type="dxa"/>
                                  <w:tcBorders/>
                                  <w:shd w:fill="auto" w:val="clear"/>
                                  <w:vAlign w:val="center"/>
                                </w:tcPr>
                                <w:p>
                                  <w:pPr>
                                    <w:pStyle w:val="TableContents"/>
                                    <w:spacing w:before="0" w:after="283"/>
                                    <w:jc w:val="left"/>
                                    <w:rPr/>
                                  </w:pPr>
                                  <w:r>
                                    <w:rPr/>
                                    <w:t xml:space="preserve">      </w:t>
                                  </w:r>
                                </w:p>
                              </w:tc>
                              <w:tc>
                                <w:tcPr>
                                  <w:tcW w:w="260" w:type="dxa"/>
                                  <w:tcBorders/>
                                  <w:shd w:fill="auto" w:val="clear"/>
                                  <w:vAlign w:val="center"/>
                                </w:tcPr>
                                <w:p>
                                  <w:pPr>
                                    <w:pStyle w:val="TableContents"/>
                                    <w:spacing w:before="0" w:after="283"/>
                                    <w:jc w:val="center"/>
                                    <w:rPr/>
                                  </w:pPr>
                                  <w:r>
                                    <w:rPr/>
                                    <w:t>☐</w:t>
                                  </w:r>
                                </w:p>
                              </w:tc>
                              <w:tc>
                                <w:tcPr>
                                  <w:tcW w:w="575" w:type="dxa"/>
                                  <w:tcBorders/>
                                  <w:shd w:fill="auto" w:val="clear"/>
                                  <w:vAlign w:val="center"/>
                                </w:tcPr>
                                <w:p>
                                  <w:pPr>
                                    <w:pStyle w:val="TableContents"/>
                                    <w:spacing w:before="0" w:after="283"/>
                                    <w:jc w:val="center"/>
                                    <w:rPr/>
                                  </w:pPr>
                                  <w:r>
                                    <w:rPr/>
                                    <w:t>☐</w:t>
                                  </w:r>
                                </w:p>
                              </w:tc>
                              <w:tc>
                                <w:tcPr>
                                  <w:tcW w:w="576" w:type="dxa"/>
                                  <w:tcBorders/>
                                  <w:shd w:fill="auto" w:val="clear"/>
                                  <w:vAlign w:val="center"/>
                                </w:tcPr>
                                <w:p>
                                  <w:pPr>
                                    <w:pStyle w:val="TableContents"/>
                                    <w:spacing w:before="0" w:after="283"/>
                                    <w:jc w:val="center"/>
                                    <w:rPr/>
                                  </w:pPr>
                                  <w:r>
                                    <w:rPr/>
                                    <w:t>☐</w:t>
                                  </w:r>
                                </w:p>
                              </w:tc>
                            </w:tr>
                            <w:tr>
                              <w:trPr/>
                              <w:tc>
                                <w:tcPr>
                                  <w:tcW w:w="234" w:type="dxa"/>
                                  <w:tcBorders/>
                                  <w:shd w:fill="auto" w:val="clear"/>
                                  <w:vAlign w:val="center"/>
                                </w:tcPr>
                                <w:p>
                                  <w:pPr>
                                    <w:pStyle w:val="TableContents"/>
                                    <w:spacing w:before="0" w:after="0"/>
                                    <w:jc w:val="both"/>
                                    <w:rPr>
                                      <w:rFonts w:ascii="Arial" w:hAnsi="Arial"/>
                                      <w:sz w:val="15"/>
                                    </w:rPr>
                                  </w:pPr>
                                  <w:r>
                                    <w:rPr>
                                      <w:rFonts w:ascii="Arial" w:hAnsi="Arial"/>
                                      <w:sz w:val="15"/>
                                    </w:rPr>
                                    <w:t>8.</w:t>
                                  </w:r>
                                </w:p>
                              </w:tc>
                              <w:tc>
                                <w:tcPr>
                                  <w:tcW w:w="8214" w:type="dxa"/>
                                  <w:tcBorders/>
                                  <w:shd w:fill="auto" w:val="clear"/>
                                  <w:vAlign w:val="center"/>
                                </w:tcPr>
                                <w:p>
                                  <w:pPr>
                                    <w:pStyle w:val="TableContents"/>
                                    <w:spacing w:before="0" w:after="0"/>
                                    <w:jc w:val="both"/>
                                    <w:rPr>
                                      <w:rFonts w:ascii="Arial" w:hAnsi="Arial"/>
                                      <w:sz w:val="15"/>
                                    </w:rPr>
                                  </w:pPr>
                                  <w:r>
                                    <w:rPr>
                                      <w:rFonts w:ascii="Arial" w:hAnsi="Arial"/>
                                      <w:sz w:val="15"/>
                                    </w:rPr>
                                    <w:t>To report on climate risk in default retirement plan options</w:t>
                                  </w:r>
                                </w:p>
                              </w:tc>
                              <w:tc>
                                <w:tcPr>
                                  <w:tcW w:w="346" w:type="dxa"/>
                                  <w:tcBorders/>
                                  <w:shd w:fill="auto" w:val="clear"/>
                                  <w:vAlign w:val="center"/>
                                </w:tcPr>
                                <w:p>
                                  <w:pPr>
                                    <w:pStyle w:val="TableContents"/>
                                    <w:spacing w:before="0" w:after="283"/>
                                    <w:jc w:val="left"/>
                                    <w:rPr/>
                                  </w:pPr>
                                  <w:r>
                                    <w:rPr/>
                                    <w:t xml:space="preserve">      </w:t>
                                  </w:r>
                                </w:p>
                              </w:tc>
                              <w:tc>
                                <w:tcPr>
                                  <w:tcW w:w="260" w:type="dxa"/>
                                  <w:tcBorders/>
                                  <w:shd w:fill="auto" w:val="clear"/>
                                  <w:vAlign w:val="center"/>
                                </w:tcPr>
                                <w:p>
                                  <w:pPr>
                                    <w:pStyle w:val="TableContents"/>
                                    <w:spacing w:before="0" w:after="283"/>
                                    <w:jc w:val="center"/>
                                    <w:rPr/>
                                  </w:pPr>
                                  <w:r>
                                    <w:rPr/>
                                    <w:t>☐</w:t>
                                  </w:r>
                                </w:p>
                              </w:tc>
                              <w:tc>
                                <w:tcPr>
                                  <w:tcW w:w="575" w:type="dxa"/>
                                  <w:tcBorders/>
                                  <w:shd w:fill="auto" w:val="clear"/>
                                  <w:vAlign w:val="center"/>
                                </w:tcPr>
                                <w:p>
                                  <w:pPr>
                                    <w:pStyle w:val="TableContents"/>
                                    <w:spacing w:before="0" w:after="283"/>
                                    <w:jc w:val="center"/>
                                    <w:rPr/>
                                  </w:pPr>
                                  <w:r>
                                    <w:rPr/>
                                    <w:t>☐</w:t>
                                  </w:r>
                                </w:p>
                              </w:tc>
                              <w:tc>
                                <w:tcPr>
                                  <w:tcW w:w="576" w:type="dxa"/>
                                  <w:tcBorders/>
                                  <w:shd w:fill="auto" w:val="clear"/>
                                  <w:vAlign w:val="center"/>
                                </w:tcPr>
                                <w:p>
                                  <w:pPr>
                                    <w:pStyle w:val="TableContents"/>
                                    <w:spacing w:before="0" w:after="283"/>
                                    <w:jc w:val="center"/>
                                    <w:rPr/>
                                  </w:pPr>
                                  <w:r>
                                    <w:rPr/>
                                    <w:t>☐</w:t>
                                  </w:r>
                                </w:p>
                              </w:tc>
                            </w:tr>
                            <w:tr>
                              <w:trPr/>
                              <w:tc>
                                <w:tcPr>
                                  <w:tcW w:w="234" w:type="dxa"/>
                                  <w:tcBorders/>
                                  <w:shd w:fill="auto" w:val="clear"/>
                                  <w:vAlign w:val="center"/>
                                </w:tcPr>
                                <w:p>
                                  <w:pPr>
                                    <w:pStyle w:val="TableContents"/>
                                    <w:spacing w:before="0" w:after="0"/>
                                    <w:jc w:val="both"/>
                                    <w:rPr>
                                      <w:rFonts w:ascii="Arial" w:hAnsi="Arial"/>
                                      <w:sz w:val="15"/>
                                    </w:rPr>
                                  </w:pPr>
                                  <w:r>
                                    <w:rPr>
                                      <w:rFonts w:ascii="Arial" w:hAnsi="Arial"/>
                                      <w:sz w:val="15"/>
                                    </w:rPr>
                                    <w:t>9.</w:t>
                                  </w:r>
                                </w:p>
                              </w:tc>
                              <w:tc>
                                <w:tcPr>
                                  <w:tcW w:w="8214" w:type="dxa"/>
                                  <w:tcBorders/>
                                  <w:shd w:fill="auto" w:val="clear"/>
                                  <w:vAlign w:val="center"/>
                                </w:tcPr>
                                <w:p>
                                  <w:pPr>
                                    <w:pStyle w:val="TableContents"/>
                                    <w:spacing w:before="0" w:after="0"/>
                                    <w:jc w:val="both"/>
                                    <w:rPr>
                                      <w:rFonts w:ascii="Arial" w:hAnsi="Arial"/>
                                      <w:sz w:val="15"/>
                                    </w:rPr>
                                  </w:pPr>
                                  <w:r>
                                    <w:rPr>
                                      <w:rFonts w:ascii="Arial" w:hAnsi="Arial"/>
                                      <w:sz w:val="15"/>
                                    </w:rPr>
                                    <w:t>To set different greenhouse gas emissions reduction targets</w:t>
                                  </w:r>
                                </w:p>
                              </w:tc>
                              <w:tc>
                                <w:tcPr>
                                  <w:tcW w:w="346" w:type="dxa"/>
                                  <w:tcBorders/>
                                  <w:shd w:fill="auto" w:val="clear"/>
                                  <w:vAlign w:val="center"/>
                                </w:tcPr>
                                <w:p>
                                  <w:pPr>
                                    <w:pStyle w:val="TableContents"/>
                                    <w:spacing w:before="0" w:after="283"/>
                                    <w:jc w:val="left"/>
                                    <w:rPr/>
                                  </w:pPr>
                                  <w:r>
                                    <w:rPr/>
                                    <w:t xml:space="preserve">      </w:t>
                                  </w:r>
                                </w:p>
                              </w:tc>
                              <w:tc>
                                <w:tcPr>
                                  <w:tcW w:w="260" w:type="dxa"/>
                                  <w:tcBorders/>
                                  <w:shd w:fill="auto" w:val="clear"/>
                                  <w:vAlign w:val="center"/>
                                </w:tcPr>
                                <w:p>
                                  <w:pPr>
                                    <w:pStyle w:val="TableContents"/>
                                    <w:spacing w:before="0" w:after="283"/>
                                    <w:jc w:val="center"/>
                                    <w:rPr/>
                                  </w:pPr>
                                  <w:r>
                                    <w:rPr/>
                                    <w:t>☐</w:t>
                                  </w:r>
                                </w:p>
                              </w:tc>
                              <w:tc>
                                <w:tcPr>
                                  <w:tcW w:w="575" w:type="dxa"/>
                                  <w:tcBorders/>
                                  <w:shd w:fill="auto" w:val="clear"/>
                                  <w:vAlign w:val="center"/>
                                </w:tcPr>
                                <w:p>
                                  <w:pPr>
                                    <w:pStyle w:val="TableContents"/>
                                    <w:spacing w:before="0" w:after="283"/>
                                    <w:jc w:val="center"/>
                                    <w:rPr/>
                                  </w:pPr>
                                  <w:r>
                                    <w:rPr/>
                                    <w:t>☐</w:t>
                                  </w:r>
                                </w:p>
                              </w:tc>
                              <w:tc>
                                <w:tcPr>
                                  <w:tcW w:w="576" w:type="dxa"/>
                                  <w:tcBorders/>
                                  <w:shd w:fill="auto" w:val="clear"/>
                                  <w:vAlign w:val="center"/>
                                </w:tcPr>
                                <w:p>
                                  <w:pPr>
                                    <w:pStyle w:val="TableContents"/>
                                    <w:spacing w:before="0" w:after="283"/>
                                    <w:jc w:val="center"/>
                                    <w:rPr/>
                                  </w:pPr>
                                  <w:r>
                                    <w:rPr/>
                                    <w:t>☐</w:t>
                                  </w:r>
                                </w:p>
                              </w:tc>
                            </w:tr>
                            <w:tr>
                              <w:trPr/>
                              <w:tc>
                                <w:tcPr>
                                  <w:tcW w:w="234" w:type="dxa"/>
                                  <w:tcBorders/>
                                  <w:shd w:fill="auto" w:val="clear"/>
                                  <w:vAlign w:val="center"/>
                                </w:tcPr>
                                <w:p>
                                  <w:pPr>
                                    <w:pStyle w:val="TableContents"/>
                                    <w:spacing w:before="0" w:after="0"/>
                                    <w:jc w:val="both"/>
                                    <w:rPr>
                                      <w:rFonts w:ascii="Arial" w:hAnsi="Arial"/>
                                      <w:sz w:val="15"/>
                                    </w:rPr>
                                  </w:pPr>
                                  <w:r>
                                    <w:rPr>
                                      <w:rFonts w:ascii="Arial" w:hAnsi="Arial"/>
                                      <w:sz w:val="15"/>
                                    </w:rPr>
                                    <w:t>10.</w:t>
                                  </w:r>
                                </w:p>
                              </w:tc>
                              <w:tc>
                                <w:tcPr>
                                  <w:tcW w:w="8214" w:type="dxa"/>
                                  <w:tcBorders/>
                                  <w:shd w:fill="auto" w:val="clear"/>
                                  <w:vAlign w:val="center"/>
                                </w:tcPr>
                                <w:p>
                                  <w:pPr>
                                    <w:pStyle w:val="TableContents"/>
                                    <w:spacing w:before="0" w:after="0"/>
                                    <w:jc w:val="both"/>
                                    <w:rPr>
                                      <w:rFonts w:ascii="Arial" w:hAnsi="Arial"/>
                                      <w:sz w:val="15"/>
                                    </w:rPr>
                                  </w:pPr>
                                  <w:r>
                                    <w:rPr>
                                      <w:rFonts w:ascii="Arial" w:hAnsi="Arial"/>
                                      <w:sz w:val="15"/>
                                    </w:rPr>
                                    <w:t>To report on political contributions and company values alignment</w:t>
                                  </w:r>
                                </w:p>
                              </w:tc>
                              <w:tc>
                                <w:tcPr>
                                  <w:tcW w:w="34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jc w:val="center"/>
                                    <w:rPr/>
                                  </w:pPr>
                                  <w:r>
                                    <w:rPr/>
                                    <w:t>☐</w:t>
                                  </w:r>
                                </w:p>
                              </w:tc>
                              <w:tc>
                                <w:tcPr>
                                  <w:tcW w:w="575" w:type="dxa"/>
                                  <w:tcBorders/>
                                  <w:shd w:fill="auto" w:val="clear"/>
                                  <w:vAlign w:val="center"/>
                                </w:tcPr>
                                <w:p>
                                  <w:pPr>
                                    <w:pStyle w:val="TableContents"/>
                                    <w:spacing w:before="0" w:after="283"/>
                                    <w:jc w:val="center"/>
                                    <w:rPr/>
                                  </w:pPr>
                                  <w:r>
                                    <w:rPr/>
                                    <w:t>☐</w:t>
                                  </w:r>
                                </w:p>
                              </w:tc>
                              <w:tc>
                                <w:tcPr>
                                  <w:tcW w:w="576" w:type="dxa"/>
                                  <w:tcBorders/>
                                  <w:shd w:fill="auto" w:val="clear"/>
                                  <w:vAlign w:val="center"/>
                                </w:tcPr>
                                <w:p>
                                  <w:pPr>
                                    <w:pStyle w:val="TableContents"/>
                                    <w:spacing w:before="0" w:after="283"/>
                                    <w:jc w:val="center"/>
                                    <w:rPr/>
                                  </w:pPr>
                                  <w:r>
                                    <w:rPr/>
                                    <w:t>☐</w:t>
                                  </w:r>
                                </w:p>
                              </w:tc>
                            </w:tr>
                            <w:tr>
                              <w:trPr/>
                              <w:tc>
                                <w:tcPr>
                                  <w:tcW w:w="234" w:type="dxa"/>
                                  <w:tcBorders/>
                                  <w:shd w:fill="auto" w:val="clear"/>
                                  <w:vAlign w:val="center"/>
                                </w:tcPr>
                                <w:p>
                                  <w:pPr>
                                    <w:pStyle w:val="TableContents"/>
                                    <w:spacing w:before="0" w:after="0"/>
                                    <w:jc w:val="both"/>
                                    <w:rPr>
                                      <w:rFonts w:ascii="Arial" w:hAnsi="Arial"/>
                                      <w:sz w:val="15"/>
                                    </w:rPr>
                                  </w:pPr>
                                  <w:r>
                                    <w:rPr>
                                      <w:rFonts w:ascii="Arial" w:hAnsi="Arial"/>
                                      <w:sz w:val="15"/>
                                    </w:rPr>
                                    <w:t>11.</w:t>
                                  </w:r>
                                </w:p>
                              </w:tc>
                              <w:tc>
                                <w:tcPr>
                                  <w:tcW w:w="8214" w:type="dxa"/>
                                  <w:tcBorders/>
                                  <w:shd w:fill="auto" w:val="clear"/>
                                  <w:vAlign w:val="center"/>
                                </w:tcPr>
                                <w:p>
                                  <w:pPr>
                                    <w:pStyle w:val="TableContents"/>
                                    <w:spacing w:before="0" w:after="0"/>
                                    <w:jc w:val="both"/>
                                    <w:rPr>
                                      <w:rFonts w:ascii="Arial" w:hAnsi="Arial"/>
                                      <w:sz w:val="15"/>
                                    </w:rPr>
                                  </w:pPr>
                                  <w:r>
                                    <w:rPr>
                                      <w:rFonts w:ascii="Arial" w:hAnsi="Arial"/>
                                      <w:sz w:val="15"/>
                                    </w:rPr>
                                    <w:t>To report on business in China</w:t>
                                  </w:r>
                                </w:p>
                              </w:tc>
                              <w:tc>
                                <w:tcPr>
                                  <w:tcW w:w="34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jc w:val="center"/>
                                    <w:rPr/>
                                  </w:pPr>
                                  <w:r>
                                    <w:rPr/>
                                    <w:t>☐</w:t>
                                  </w:r>
                                </w:p>
                              </w:tc>
                              <w:tc>
                                <w:tcPr>
                                  <w:tcW w:w="575" w:type="dxa"/>
                                  <w:tcBorders/>
                                  <w:shd w:fill="auto" w:val="clear"/>
                                  <w:vAlign w:val="center"/>
                                </w:tcPr>
                                <w:p>
                                  <w:pPr>
                                    <w:pStyle w:val="TableContents"/>
                                    <w:spacing w:before="0" w:after="283"/>
                                    <w:jc w:val="center"/>
                                    <w:rPr/>
                                  </w:pPr>
                                  <w:r>
                                    <w:rPr/>
                                    <w:t>☐</w:t>
                                  </w:r>
                                </w:p>
                              </w:tc>
                              <w:tc>
                                <w:tcPr>
                                  <w:tcW w:w="576" w:type="dxa"/>
                                  <w:tcBorders/>
                                  <w:shd w:fill="auto" w:val="clear"/>
                                  <w:vAlign w:val="center"/>
                                </w:tcPr>
                                <w:p>
                                  <w:pPr>
                                    <w:pStyle w:val="TableContents"/>
                                    <w:spacing w:before="0" w:after="283"/>
                                    <w:jc w:val="center"/>
                                    <w:rPr/>
                                  </w:pPr>
                                  <w:r>
                                    <w:rPr/>
                                    <w:t>☐</w:t>
                                  </w:r>
                                </w:p>
                              </w:tc>
                            </w:tr>
                          </w:tbl>
                          <w:p>
                            <w:pPr>
                              <w:pStyle w:val="TextBody"/>
                              <w:spacing w:before="0" w:after="283"/>
                              <w:rPr/>
                            </w:pPr>
                            <w:r>
                              <w:rPr/>
                            </w:r>
                          </w:p>
                        </w:txbxContent>
                      </wps:txbx>
                      <wps:bodyPr anchor="t" lIns="0" tIns="0" rIns="0" bIns="0">
                        <a:noAutofit/>
                      </wps:bodyPr>
                    </wps:wsp>
                  </a:graphicData>
                </a:graphic>
                <wp14:sizeRelH relativeFrom="margin">
                  <wp14:pctWidth>42000</wp14:pctWidth>
                </wp14:sizeRelH>
              </wp:anchor>
            </w:drawing>
          </mc:Choice>
          <mc:Fallback>
            <w:pict>
              <v:rect style="position:absolute;rotation:0;width:214.3pt;height:340.35pt;mso-wrap-distance-left:0pt;mso-wrap-distance-right:0pt;mso-wrap-distance-top:0pt;mso-wrap-distance-bottom:0pt;margin-top:0pt;mso-position-vertical:top;mso-position-vertical-relative:text;margin-left:295.95pt;mso-position-horizontal:right;mso-position-horizontal-relative:text">
                <v:textbox>
                  <w:txbxContent>
                    <w:tbl>
                      <w:tblPr>
                        <w:tblW w:w="10205" w:type="dxa"/>
                        <w:jc w:val="left"/>
                        <w:tblInd w:w="0" w:type="dxa"/>
                        <w:tblCellMar>
                          <w:top w:w="0" w:type="dxa"/>
                          <w:left w:w="0" w:type="dxa"/>
                          <w:bottom w:w="0" w:type="dxa"/>
                          <w:right w:w="0" w:type="dxa"/>
                        </w:tblCellMar>
                      </w:tblPr>
                      <w:tblGrid>
                        <w:gridCol w:w="8784"/>
                        <w:gridCol w:w="353"/>
                        <w:gridCol w:w="713"/>
                        <w:gridCol w:w="355"/>
                      </w:tblGrid>
                      <w:tr>
                        <w:trPr/>
                        <w:tc>
                          <w:tcPr>
                            <w:tcW w:w="8784" w:type="dxa"/>
                            <w:vMerge w:val="restart"/>
                            <w:tcBorders/>
                            <w:shd w:fill="auto" w:val="clear"/>
                            <w:vAlign w:val="center"/>
                          </w:tcPr>
                          <w:p>
                            <w:pPr>
                              <w:pStyle w:val="TableContents"/>
                              <w:spacing w:before="0" w:after="0"/>
                              <w:jc w:val="both"/>
                              <w:rPr>
                                <w:rFonts w:ascii="Arial" w:hAnsi="Arial"/>
                                <w:sz w:val="15"/>
                              </w:rPr>
                            </w:pPr>
                            <w:r>
                              <w:rPr>
                                <w:rFonts w:ascii="Arial" w:hAnsi="Arial"/>
                                <w:sz w:val="15"/>
                              </w:rPr>
                              <w:t>To withhold authority to vote for any individual nominee(s), mark "For All Except" and write the number(s) of the nominee(s) on the line below.</w:t>
                            </w:r>
                          </w:p>
                        </w:tc>
                        <w:tc>
                          <w:tcPr>
                            <w:tcW w:w="353"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jc w:val="left"/>
                              <w:rPr/>
                            </w:pPr>
                            <w:r>
                              <w:rPr/>
                              <w:t> </w:t>
                            </w:r>
                          </w:p>
                        </w:tc>
                        <w:tc>
                          <w:tcPr>
                            <w:tcW w:w="355" w:type="dxa"/>
                            <w:tcBorders/>
                            <w:shd w:fill="auto" w:val="clear"/>
                            <w:vAlign w:val="center"/>
                          </w:tcPr>
                          <w:p>
                            <w:pPr>
                              <w:pStyle w:val="TableContents"/>
                              <w:spacing w:before="0" w:after="283"/>
                              <w:rPr>
                                <w:sz w:val="4"/>
                                <w:szCs w:val="4"/>
                              </w:rPr>
                            </w:pPr>
                            <w:r>
                              <w:rPr>
                                <w:sz w:val="4"/>
                                <w:szCs w:val="4"/>
                              </w:rPr>
                            </w:r>
                          </w:p>
                        </w:tc>
                      </w:tr>
                      <w:tr>
                        <w:trPr/>
                        <w:tc>
                          <w:tcPr>
                            <w:tcW w:w="8784" w:type="dxa"/>
                            <w:vMerge w:val="continue"/>
                            <w:tcBorders/>
                            <w:shd w:fill="auto" w:val="clear"/>
                            <w:vAlign w:val="center"/>
                          </w:tcPr>
                          <w:p>
                            <w:pPr>
                              <w:pStyle w:val="Normal"/>
                              <w:rPr/>
                            </w:pPr>
                            <w:r>
                              <w:rPr/>
                            </w:r>
                          </w:p>
                        </w:tc>
                        <w:tc>
                          <w:tcPr>
                            <w:tcW w:w="353" w:type="dxa"/>
                            <w:tcBorders/>
                            <w:shd w:fill="auto" w:val="clear"/>
                            <w:vAlign w:val="center"/>
                          </w:tcPr>
                          <w:p>
                            <w:pPr>
                              <w:pStyle w:val="TableContents"/>
                              <w:spacing w:before="0" w:after="283"/>
                              <w:jc w:val="left"/>
                              <w:rPr/>
                            </w:pPr>
                            <w:r>
                              <w:rPr/>
                              <w:t xml:space="preserve">      </w:t>
                            </w:r>
                          </w:p>
                        </w:tc>
                        <w:tc>
                          <w:tcPr>
                            <w:tcW w:w="713" w:type="dxa"/>
                            <w:tcBorders>
                              <w:top w:val="single" w:sz="12" w:space="0" w:color="000000"/>
                              <w:right w:val="single" w:sz="12" w:space="0" w:color="000000"/>
                            </w:tcBorders>
                            <w:shd w:fill="auto" w:val="clear"/>
                            <w:tcMar>
                              <w:top w:w="28" w:type="dxa"/>
                              <w:right w:w="28" w:type="dxa"/>
                            </w:tcMar>
                            <w:vAlign w:val="center"/>
                          </w:tcPr>
                          <w:p>
                            <w:pPr>
                              <w:pStyle w:val="TableContents"/>
                              <w:spacing w:before="0" w:after="283"/>
                              <w:jc w:val="left"/>
                              <w:rPr/>
                            </w:pPr>
                            <w:r>
                              <w:rPr/>
                              <w:t xml:space="preserve">            </w:t>
                            </w:r>
                          </w:p>
                        </w:tc>
                        <w:tc>
                          <w:tcPr>
                            <w:tcW w:w="355" w:type="dxa"/>
                            <w:tcBorders/>
                            <w:shd w:fill="auto" w:val="clear"/>
                            <w:vAlign w:val="center"/>
                          </w:tcPr>
                          <w:p>
                            <w:pPr>
                              <w:pStyle w:val="TableContents"/>
                              <w:spacing w:before="0" w:after="283"/>
                              <w:jc w:val="left"/>
                              <w:rPr/>
                            </w:pPr>
                            <w:r>
                              <w:rPr/>
                              <w:t xml:space="preserve">      </w:t>
                            </w:r>
                          </w:p>
                        </w:tc>
                      </w:tr>
                      <w:tr>
                        <w:trPr/>
                        <w:tc>
                          <w:tcPr>
                            <w:tcW w:w="8784"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353" w:type="dxa"/>
                            <w:tcBorders/>
                            <w:shd w:fill="auto" w:val="clear"/>
                            <w:vAlign w:val="center"/>
                          </w:tcPr>
                          <w:p>
                            <w:pPr>
                              <w:pStyle w:val="TableContents"/>
                              <w:spacing w:before="0" w:after="283"/>
                              <w:rPr>
                                <w:sz w:val="4"/>
                                <w:szCs w:val="4"/>
                              </w:rPr>
                            </w:pPr>
                            <w:r>
                              <w:rPr>
                                <w:sz w:val="4"/>
                                <w:szCs w:val="4"/>
                              </w:rPr>
                            </w:r>
                          </w:p>
                        </w:tc>
                        <w:tc>
                          <w:tcPr>
                            <w:tcW w:w="713" w:type="dxa"/>
                            <w:tcBorders>
                              <w:right w:val="single" w:sz="12" w:space="0" w:color="000000"/>
                            </w:tcBorders>
                            <w:shd w:fill="auto" w:val="clear"/>
                            <w:tcMar>
                              <w:right w:w="28" w:type="dxa"/>
                            </w:tcM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r>
                    </w:tbl>
                    <w:p>
                      <w:pPr>
                        <w:pStyle w:val="TextBody"/>
                        <w:rPr/>
                      </w:pPr>
                      <w:r>
                        <w:rPr/>
                        <w:br/>
                      </w:r>
                    </w:p>
                    <w:tbl>
                      <w:tblPr>
                        <w:tblW w:w="10205" w:type="dxa"/>
                        <w:jc w:val="left"/>
                        <w:tblInd w:w="0" w:type="dxa"/>
                        <w:tblCellMar>
                          <w:top w:w="0" w:type="dxa"/>
                          <w:left w:w="0" w:type="dxa"/>
                          <w:bottom w:w="0" w:type="dxa"/>
                          <w:right w:w="0" w:type="dxa"/>
                        </w:tblCellMar>
                      </w:tblPr>
                      <w:tblGrid>
                        <w:gridCol w:w="234"/>
                        <w:gridCol w:w="8214"/>
                        <w:gridCol w:w="346"/>
                        <w:gridCol w:w="260"/>
                        <w:gridCol w:w="575"/>
                        <w:gridCol w:w="576"/>
                      </w:tblGrid>
                      <w:tr>
                        <w:trPr/>
                        <w:tc>
                          <w:tcPr>
                            <w:tcW w:w="234" w:type="dxa"/>
                            <w:tcBorders/>
                            <w:shd w:fill="000000" w:val="clear"/>
                            <w:vAlign w:val="center"/>
                          </w:tcPr>
                          <w:p>
                            <w:pPr>
                              <w:pStyle w:val="TableContents"/>
                              <w:spacing w:before="0" w:after="283"/>
                              <w:jc w:val="left"/>
                              <w:rPr>
                                <w:rFonts w:ascii="Arial" w:hAnsi="Arial"/>
                                <w:b/>
                                <w:color w:val="FFFFFF"/>
                                <w:sz w:val="24"/>
                              </w:rPr>
                            </w:pPr>
                            <w:r>
                              <w:rPr>
                                <w:rFonts w:ascii="Arial" w:hAnsi="Arial"/>
                                <w:b/>
                                <w:color w:val="FFFFFF"/>
                                <w:sz w:val="24"/>
                              </w:rPr>
                              <w:t>B</w:t>
                            </w:r>
                          </w:p>
                        </w:tc>
                        <w:tc>
                          <w:tcPr>
                            <w:tcW w:w="8214" w:type="dxa"/>
                            <w:vMerge w:val="restart"/>
                            <w:tcBorders/>
                            <w:shd w:fill="auto" w:val="clear"/>
                            <w:vAlign w:val="center"/>
                          </w:tcPr>
                          <w:p>
                            <w:pPr>
                              <w:pStyle w:val="TableContents"/>
                              <w:spacing w:before="0" w:after="0"/>
                              <w:jc w:val="both"/>
                              <w:rPr>
                                <w:rFonts w:ascii="Arial" w:hAnsi="Arial"/>
                                <w:b/>
                                <w:sz w:val="15"/>
                              </w:rPr>
                            </w:pPr>
                            <w:r>
                              <w:rPr>
                                <w:rFonts w:ascii="Arial" w:hAnsi="Arial"/>
                                <w:b/>
                                <w:sz w:val="15"/>
                              </w:rPr>
                              <w:t>Shareholder Proposals — The Board of Directors recommends a vote "AGAINST" Proposals 7-11 if properly presented at the Annual Meeting:</w:t>
                            </w:r>
                          </w:p>
                        </w:tc>
                        <w:tc>
                          <w:tcPr>
                            <w:tcW w:w="346" w:type="dxa"/>
                            <w:vMerge w:val="restart"/>
                            <w:tcBorders/>
                            <w:shd w:fill="auto" w:val="clear"/>
                            <w:vAlign w:val="center"/>
                          </w:tcPr>
                          <w:p>
                            <w:pPr>
                              <w:pStyle w:val="TableContents"/>
                              <w:spacing w:before="0" w:after="283"/>
                              <w:rPr>
                                <w:sz w:val="4"/>
                                <w:szCs w:val="4"/>
                              </w:rPr>
                            </w:pPr>
                            <w:r>
                              <w:rPr>
                                <w:sz w:val="4"/>
                                <w:szCs w:val="4"/>
                              </w:rPr>
                            </w:r>
                          </w:p>
                        </w:tc>
                        <w:tc>
                          <w:tcPr>
                            <w:tcW w:w="260" w:type="dxa"/>
                            <w:vMerge w:val="restart"/>
                            <w:tcBorders/>
                            <w:shd w:fill="auto" w:val="clear"/>
                            <w:vAlign w:val="center"/>
                          </w:tcPr>
                          <w:p>
                            <w:pPr>
                              <w:pStyle w:val="TableContents"/>
                              <w:spacing w:before="0" w:after="0"/>
                              <w:jc w:val="center"/>
                              <w:rPr>
                                <w:rFonts w:ascii="Arial" w:hAnsi="Arial"/>
                                <w:b/>
                                <w:sz w:val="15"/>
                              </w:rPr>
                            </w:pPr>
                            <w:r>
                              <w:rPr>
                                <w:rFonts w:ascii="Arial" w:hAnsi="Arial"/>
                                <w:b/>
                                <w:sz w:val="15"/>
                              </w:rPr>
                              <w:t>For</w:t>
                            </w:r>
                          </w:p>
                        </w:tc>
                        <w:tc>
                          <w:tcPr>
                            <w:tcW w:w="575" w:type="dxa"/>
                            <w:vMerge w:val="restart"/>
                            <w:tcBorders/>
                            <w:shd w:fill="auto" w:val="clear"/>
                            <w:vAlign w:val="center"/>
                          </w:tcPr>
                          <w:p>
                            <w:pPr>
                              <w:pStyle w:val="TableContents"/>
                              <w:spacing w:before="0" w:after="0"/>
                              <w:jc w:val="center"/>
                              <w:rPr>
                                <w:rFonts w:ascii="Arial" w:hAnsi="Arial"/>
                                <w:b/>
                                <w:sz w:val="15"/>
                              </w:rPr>
                            </w:pPr>
                            <w:r>
                              <w:rPr>
                                <w:rFonts w:ascii="Arial" w:hAnsi="Arial"/>
                                <w:b/>
                                <w:sz w:val="15"/>
                              </w:rPr>
                              <w:t>Against</w:t>
                            </w:r>
                          </w:p>
                        </w:tc>
                        <w:tc>
                          <w:tcPr>
                            <w:tcW w:w="576" w:type="dxa"/>
                            <w:vMerge w:val="restart"/>
                            <w:tcBorders/>
                            <w:shd w:fill="auto" w:val="clear"/>
                            <w:vAlign w:val="center"/>
                          </w:tcPr>
                          <w:p>
                            <w:pPr>
                              <w:pStyle w:val="TableContents"/>
                              <w:spacing w:before="0" w:after="0"/>
                              <w:jc w:val="center"/>
                              <w:rPr>
                                <w:rFonts w:ascii="Arial" w:hAnsi="Arial"/>
                                <w:b/>
                                <w:sz w:val="15"/>
                              </w:rPr>
                            </w:pPr>
                            <w:r>
                              <w:rPr>
                                <w:rFonts w:ascii="Arial" w:hAnsi="Arial"/>
                                <w:b/>
                                <w:sz w:val="15"/>
                              </w:rPr>
                              <w:t>Abstain</w:t>
                            </w:r>
                          </w:p>
                        </w:tc>
                      </w:tr>
                      <w:tr>
                        <w:trPr/>
                        <w:tc>
                          <w:tcPr>
                            <w:tcW w:w="234" w:type="dxa"/>
                            <w:tcBorders/>
                            <w:shd w:fill="auto" w:val="clear"/>
                            <w:vAlign w:val="center"/>
                          </w:tcPr>
                          <w:p>
                            <w:pPr>
                              <w:pStyle w:val="TableContents"/>
                              <w:spacing w:before="0" w:after="283"/>
                              <w:jc w:val="left"/>
                              <w:rPr/>
                            </w:pPr>
                            <w:r>
                              <w:rPr/>
                              <w:t> </w:t>
                            </w:r>
                          </w:p>
                        </w:tc>
                        <w:tc>
                          <w:tcPr>
                            <w:tcW w:w="8214" w:type="dxa"/>
                            <w:vMerge w:val="continue"/>
                            <w:tcBorders/>
                            <w:shd w:fill="auto" w:val="clear"/>
                            <w:vAlign w:val="center"/>
                          </w:tcPr>
                          <w:p>
                            <w:pPr>
                              <w:pStyle w:val="Normal"/>
                              <w:rPr/>
                            </w:pPr>
                            <w:r>
                              <w:rPr/>
                            </w:r>
                          </w:p>
                        </w:tc>
                        <w:tc>
                          <w:tcPr>
                            <w:tcW w:w="346" w:type="dxa"/>
                            <w:vMerge w:val="continue"/>
                            <w:tcBorders/>
                            <w:shd w:fill="auto" w:val="clear"/>
                            <w:vAlign w:val="center"/>
                          </w:tcPr>
                          <w:p>
                            <w:pPr>
                              <w:pStyle w:val="Normal"/>
                              <w:rPr/>
                            </w:pPr>
                            <w:r>
                              <w:rPr/>
                            </w:r>
                          </w:p>
                        </w:tc>
                        <w:tc>
                          <w:tcPr>
                            <w:tcW w:w="260" w:type="dxa"/>
                            <w:vMerge w:val="continue"/>
                            <w:tcBorders/>
                            <w:shd w:fill="auto" w:val="clear"/>
                            <w:vAlign w:val="center"/>
                          </w:tcPr>
                          <w:p>
                            <w:pPr>
                              <w:pStyle w:val="Normal"/>
                              <w:rPr/>
                            </w:pPr>
                            <w:r>
                              <w:rPr/>
                            </w:r>
                          </w:p>
                        </w:tc>
                        <w:tc>
                          <w:tcPr>
                            <w:tcW w:w="575" w:type="dxa"/>
                            <w:vMerge w:val="continue"/>
                            <w:tcBorders/>
                            <w:shd w:fill="auto" w:val="clear"/>
                            <w:vAlign w:val="center"/>
                          </w:tcPr>
                          <w:p>
                            <w:pPr>
                              <w:pStyle w:val="Normal"/>
                              <w:rPr/>
                            </w:pPr>
                            <w:r>
                              <w:rPr/>
                            </w:r>
                          </w:p>
                        </w:tc>
                        <w:tc>
                          <w:tcPr>
                            <w:tcW w:w="576" w:type="dxa"/>
                            <w:vMerge w:val="continue"/>
                            <w:tcBorders/>
                            <w:shd w:fill="auto" w:val="clear"/>
                            <w:vAlign w:val="center"/>
                          </w:tcPr>
                          <w:p>
                            <w:pPr>
                              <w:pStyle w:val="Normal"/>
                              <w:rPr/>
                            </w:pPr>
                            <w:r>
                              <w:rPr/>
                            </w:r>
                          </w:p>
                        </w:tc>
                      </w:tr>
                      <w:tr>
                        <w:trPr/>
                        <w:tc>
                          <w:tcPr>
                            <w:tcW w:w="234" w:type="dxa"/>
                            <w:tcBorders/>
                            <w:shd w:fill="auto" w:val="clear"/>
                            <w:vAlign w:val="center"/>
                          </w:tcPr>
                          <w:p>
                            <w:pPr>
                              <w:pStyle w:val="TableContents"/>
                              <w:spacing w:before="0" w:after="0"/>
                              <w:jc w:val="both"/>
                              <w:rPr>
                                <w:rFonts w:ascii="Arial" w:hAnsi="Arial"/>
                                <w:sz w:val="15"/>
                              </w:rPr>
                            </w:pPr>
                            <w:r>
                              <w:rPr>
                                <w:rFonts w:ascii="Arial" w:hAnsi="Arial"/>
                                <w:sz w:val="15"/>
                              </w:rPr>
                              <w:t>7.</w:t>
                            </w:r>
                          </w:p>
                        </w:tc>
                        <w:tc>
                          <w:tcPr>
                            <w:tcW w:w="8214" w:type="dxa"/>
                            <w:tcBorders/>
                            <w:shd w:fill="auto" w:val="clear"/>
                            <w:vAlign w:val="center"/>
                          </w:tcPr>
                          <w:p>
                            <w:pPr>
                              <w:pStyle w:val="TableContents"/>
                              <w:spacing w:before="0" w:after="0"/>
                              <w:jc w:val="both"/>
                              <w:rPr>
                                <w:rFonts w:ascii="Arial" w:hAnsi="Arial"/>
                                <w:sz w:val="15"/>
                              </w:rPr>
                            </w:pPr>
                            <w:r>
                              <w:rPr>
                                <w:rFonts w:ascii="Arial" w:hAnsi="Arial"/>
                                <w:sz w:val="15"/>
                              </w:rPr>
                              <w:t>To perform independent racial equity audit</w:t>
                            </w:r>
                          </w:p>
                        </w:tc>
                        <w:tc>
                          <w:tcPr>
                            <w:tcW w:w="346" w:type="dxa"/>
                            <w:tcBorders/>
                            <w:shd w:fill="auto" w:val="clear"/>
                            <w:vAlign w:val="center"/>
                          </w:tcPr>
                          <w:p>
                            <w:pPr>
                              <w:pStyle w:val="TableContents"/>
                              <w:spacing w:before="0" w:after="283"/>
                              <w:jc w:val="left"/>
                              <w:rPr/>
                            </w:pPr>
                            <w:r>
                              <w:rPr/>
                              <w:t xml:space="preserve">      </w:t>
                            </w:r>
                          </w:p>
                        </w:tc>
                        <w:tc>
                          <w:tcPr>
                            <w:tcW w:w="260" w:type="dxa"/>
                            <w:tcBorders/>
                            <w:shd w:fill="auto" w:val="clear"/>
                            <w:vAlign w:val="center"/>
                          </w:tcPr>
                          <w:p>
                            <w:pPr>
                              <w:pStyle w:val="TableContents"/>
                              <w:spacing w:before="0" w:after="283"/>
                              <w:jc w:val="center"/>
                              <w:rPr/>
                            </w:pPr>
                            <w:r>
                              <w:rPr/>
                              <w:t>☐</w:t>
                            </w:r>
                          </w:p>
                        </w:tc>
                        <w:tc>
                          <w:tcPr>
                            <w:tcW w:w="575" w:type="dxa"/>
                            <w:tcBorders/>
                            <w:shd w:fill="auto" w:val="clear"/>
                            <w:vAlign w:val="center"/>
                          </w:tcPr>
                          <w:p>
                            <w:pPr>
                              <w:pStyle w:val="TableContents"/>
                              <w:spacing w:before="0" w:after="283"/>
                              <w:jc w:val="center"/>
                              <w:rPr/>
                            </w:pPr>
                            <w:r>
                              <w:rPr/>
                              <w:t>☐</w:t>
                            </w:r>
                          </w:p>
                        </w:tc>
                        <w:tc>
                          <w:tcPr>
                            <w:tcW w:w="576" w:type="dxa"/>
                            <w:tcBorders/>
                            <w:shd w:fill="auto" w:val="clear"/>
                            <w:vAlign w:val="center"/>
                          </w:tcPr>
                          <w:p>
                            <w:pPr>
                              <w:pStyle w:val="TableContents"/>
                              <w:spacing w:before="0" w:after="283"/>
                              <w:jc w:val="center"/>
                              <w:rPr/>
                            </w:pPr>
                            <w:r>
                              <w:rPr/>
                              <w:t>☐</w:t>
                            </w:r>
                          </w:p>
                        </w:tc>
                      </w:tr>
                      <w:tr>
                        <w:trPr/>
                        <w:tc>
                          <w:tcPr>
                            <w:tcW w:w="234" w:type="dxa"/>
                            <w:tcBorders/>
                            <w:shd w:fill="auto" w:val="clear"/>
                            <w:vAlign w:val="center"/>
                          </w:tcPr>
                          <w:p>
                            <w:pPr>
                              <w:pStyle w:val="TableContents"/>
                              <w:spacing w:before="0" w:after="0"/>
                              <w:jc w:val="both"/>
                              <w:rPr>
                                <w:rFonts w:ascii="Arial" w:hAnsi="Arial"/>
                                <w:sz w:val="15"/>
                              </w:rPr>
                            </w:pPr>
                            <w:r>
                              <w:rPr>
                                <w:rFonts w:ascii="Arial" w:hAnsi="Arial"/>
                                <w:sz w:val="15"/>
                              </w:rPr>
                              <w:t>8.</w:t>
                            </w:r>
                          </w:p>
                        </w:tc>
                        <w:tc>
                          <w:tcPr>
                            <w:tcW w:w="8214" w:type="dxa"/>
                            <w:tcBorders/>
                            <w:shd w:fill="auto" w:val="clear"/>
                            <w:vAlign w:val="center"/>
                          </w:tcPr>
                          <w:p>
                            <w:pPr>
                              <w:pStyle w:val="TableContents"/>
                              <w:spacing w:before="0" w:after="0"/>
                              <w:jc w:val="both"/>
                              <w:rPr>
                                <w:rFonts w:ascii="Arial" w:hAnsi="Arial"/>
                                <w:sz w:val="15"/>
                              </w:rPr>
                            </w:pPr>
                            <w:r>
                              <w:rPr>
                                <w:rFonts w:ascii="Arial" w:hAnsi="Arial"/>
                                <w:sz w:val="15"/>
                              </w:rPr>
                              <w:t>To report on climate risk in default retirement plan options</w:t>
                            </w:r>
                          </w:p>
                        </w:tc>
                        <w:tc>
                          <w:tcPr>
                            <w:tcW w:w="346" w:type="dxa"/>
                            <w:tcBorders/>
                            <w:shd w:fill="auto" w:val="clear"/>
                            <w:vAlign w:val="center"/>
                          </w:tcPr>
                          <w:p>
                            <w:pPr>
                              <w:pStyle w:val="TableContents"/>
                              <w:spacing w:before="0" w:after="283"/>
                              <w:jc w:val="left"/>
                              <w:rPr/>
                            </w:pPr>
                            <w:r>
                              <w:rPr/>
                              <w:t xml:space="preserve">      </w:t>
                            </w:r>
                          </w:p>
                        </w:tc>
                        <w:tc>
                          <w:tcPr>
                            <w:tcW w:w="260" w:type="dxa"/>
                            <w:tcBorders/>
                            <w:shd w:fill="auto" w:val="clear"/>
                            <w:vAlign w:val="center"/>
                          </w:tcPr>
                          <w:p>
                            <w:pPr>
                              <w:pStyle w:val="TableContents"/>
                              <w:spacing w:before="0" w:after="283"/>
                              <w:jc w:val="center"/>
                              <w:rPr/>
                            </w:pPr>
                            <w:r>
                              <w:rPr/>
                              <w:t>☐</w:t>
                            </w:r>
                          </w:p>
                        </w:tc>
                        <w:tc>
                          <w:tcPr>
                            <w:tcW w:w="575" w:type="dxa"/>
                            <w:tcBorders/>
                            <w:shd w:fill="auto" w:val="clear"/>
                            <w:vAlign w:val="center"/>
                          </w:tcPr>
                          <w:p>
                            <w:pPr>
                              <w:pStyle w:val="TableContents"/>
                              <w:spacing w:before="0" w:after="283"/>
                              <w:jc w:val="center"/>
                              <w:rPr/>
                            </w:pPr>
                            <w:r>
                              <w:rPr/>
                              <w:t>☐</w:t>
                            </w:r>
                          </w:p>
                        </w:tc>
                        <w:tc>
                          <w:tcPr>
                            <w:tcW w:w="576" w:type="dxa"/>
                            <w:tcBorders/>
                            <w:shd w:fill="auto" w:val="clear"/>
                            <w:vAlign w:val="center"/>
                          </w:tcPr>
                          <w:p>
                            <w:pPr>
                              <w:pStyle w:val="TableContents"/>
                              <w:spacing w:before="0" w:after="283"/>
                              <w:jc w:val="center"/>
                              <w:rPr/>
                            </w:pPr>
                            <w:r>
                              <w:rPr/>
                              <w:t>☐</w:t>
                            </w:r>
                          </w:p>
                        </w:tc>
                      </w:tr>
                      <w:tr>
                        <w:trPr/>
                        <w:tc>
                          <w:tcPr>
                            <w:tcW w:w="234" w:type="dxa"/>
                            <w:tcBorders/>
                            <w:shd w:fill="auto" w:val="clear"/>
                            <w:vAlign w:val="center"/>
                          </w:tcPr>
                          <w:p>
                            <w:pPr>
                              <w:pStyle w:val="TableContents"/>
                              <w:spacing w:before="0" w:after="0"/>
                              <w:jc w:val="both"/>
                              <w:rPr>
                                <w:rFonts w:ascii="Arial" w:hAnsi="Arial"/>
                                <w:sz w:val="15"/>
                              </w:rPr>
                            </w:pPr>
                            <w:r>
                              <w:rPr>
                                <w:rFonts w:ascii="Arial" w:hAnsi="Arial"/>
                                <w:sz w:val="15"/>
                              </w:rPr>
                              <w:t>9.</w:t>
                            </w:r>
                          </w:p>
                        </w:tc>
                        <w:tc>
                          <w:tcPr>
                            <w:tcW w:w="8214" w:type="dxa"/>
                            <w:tcBorders/>
                            <w:shd w:fill="auto" w:val="clear"/>
                            <w:vAlign w:val="center"/>
                          </w:tcPr>
                          <w:p>
                            <w:pPr>
                              <w:pStyle w:val="TableContents"/>
                              <w:spacing w:before="0" w:after="0"/>
                              <w:jc w:val="both"/>
                              <w:rPr>
                                <w:rFonts w:ascii="Arial" w:hAnsi="Arial"/>
                                <w:sz w:val="15"/>
                              </w:rPr>
                            </w:pPr>
                            <w:r>
                              <w:rPr>
                                <w:rFonts w:ascii="Arial" w:hAnsi="Arial"/>
                                <w:sz w:val="15"/>
                              </w:rPr>
                              <w:t>To set different greenhouse gas emissions reduction targets</w:t>
                            </w:r>
                          </w:p>
                        </w:tc>
                        <w:tc>
                          <w:tcPr>
                            <w:tcW w:w="346" w:type="dxa"/>
                            <w:tcBorders/>
                            <w:shd w:fill="auto" w:val="clear"/>
                            <w:vAlign w:val="center"/>
                          </w:tcPr>
                          <w:p>
                            <w:pPr>
                              <w:pStyle w:val="TableContents"/>
                              <w:spacing w:before="0" w:after="283"/>
                              <w:jc w:val="left"/>
                              <w:rPr/>
                            </w:pPr>
                            <w:r>
                              <w:rPr/>
                              <w:t xml:space="preserve">      </w:t>
                            </w:r>
                          </w:p>
                        </w:tc>
                        <w:tc>
                          <w:tcPr>
                            <w:tcW w:w="260" w:type="dxa"/>
                            <w:tcBorders/>
                            <w:shd w:fill="auto" w:val="clear"/>
                            <w:vAlign w:val="center"/>
                          </w:tcPr>
                          <w:p>
                            <w:pPr>
                              <w:pStyle w:val="TableContents"/>
                              <w:spacing w:before="0" w:after="283"/>
                              <w:jc w:val="center"/>
                              <w:rPr/>
                            </w:pPr>
                            <w:r>
                              <w:rPr/>
                              <w:t>☐</w:t>
                            </w:r>
                          </w:p>
                        </w:tc>
                        <w:tc>
                          <w:tcPr>
                            <w:tcW w:w="575" w:type="dxa"/>
                            <w:tcBorders/>
                            <w:shd w:fill="auto" w:val="clear"/>
                            <w:vAlign w:val="center"/>
                          </w:tcPr>
                          <w:p>
                            <w:pPr>
                              <w:pStyle w:val="TableContents"/>
                              <w:spacing w:before="0" w:after="283"/>
                              <w:jc w:val="center"/>
                              <w:rPr/>
                            </w:pPr>
                            <w:r>
                              <w:rPr/>
                              <w:t>☐</w:t>
                            </w:r>
                          </w:p>
                        </w:tc>
                        <w:tc>
                          <w:tcPr>
                            <w:tcW w:w="576" w:type="dxa"/>
                            <w:tcBorders/>
                            <w:shd w:fill="auto" w:val="clear"/>
                            <w:vAlign w:val="center"/>
                          </w:tcPr>
                          <w:p>
                            <w:pPr>
                              <w:pStyle w:val="TableContents"/>
                              <w:spacing w:before="0" w:after="283"/>
                              <w:jc w:val="center"/>
                              <w:rPr/>
                            </w:pPr>
                            <w:r>
                              <w:rPr/>
                              <w:t>☐</w:t>
                            </w:r>
                          </w:p>
                        </w:tc>
                      </w:tr>
                      <w:tr>
                        <w:trPr/>
                        <w:tc>
                          <w:tcPr>
                            <w:tcW w:w="234" w:type="dxa"/>
                            <w:tcBorders/>
                            <w:shd w:fill="auto" w:val="clear"/>
                            <w:vAlign w:val="center"/>
                          </w:tcPr>
                          <w:p>
                            <w:pPr>
                              <w:pStyle w:val="TableContents"/>
                              <w:spacing w:before="0" w:after="0"/>
                              <w:jc w:val="both"/>
                              <w:rPr>
                                <w:rFonts w:ascii="Arial" w:hAnsi="Arial"/>
                                <w:sz w:val="15"/>
                              </w:rPr>
                            </w:pPr>
                            <w:r>
                              <w:rPr>
                                <w:rFonts w:ascii="Arial" w:hAnsi="Arial"/>
                                <w:sz w:val="15"/>
                              </w:rPr>
                              <w:t>10.</w:t>
                            </w:r>
                          </w:p>
                        </w:tc>
                        <w:tc>
                          <w:tcPr>
                            <w:tcW w:w="8214" w:type="dxa"/>
                            <w:tcBorders/>
                            <w:shd w:fill="auto" w:val="clear"/>
                            <w:vAlign w:val="center"/>
                          </w:tcPr>
                          <w:p>
                            <w:pPr>
                              <w:pStyle w:val="TableContents"/>
                              <w:spacing w:before="0" w:after="0"/>
                              <w:jc w:val="both"/>
                              <w:rPr>
                                <w:rFonts w:ascii="Arial" w:hAnsi="Arial"/>
                                <w:sz w:val="15"/>
                              </w:rPr>
                            </w:pPr>
                            <w:r>
                              <w:rPr>
                                <w:rFonts w:ascii="Arial" w:hAnsi="Arial"/>
                                <w:sz w:val="15"/>
                              </w:rPr>
                              <w:t>To report on political contributions and company values alignment</w:t>
                            </w:r>
                          </w:p>
                        </w:tc>
                        <w:tc>
                          <w:tcPr>
                            <w:tcW w:w="34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jc w:val="center"/>
                              <w:rPr/>
                            </w:pPr>
                            <w:r>
                              <w:rPr/>
                              <w:t>☐</w:t>
                            </w:r>
                          </w:p>
                        </w:tc>
                        <w:tc>
                          <w:tcPr>
                            <w:tcW w:w="575" w:type="dxa"/>
                            <w:tcBorders/>
                            <w:shd w:fill="auto" w:val="clear"/>
                            <w:vAlign w:val="center"/>
                          </w:tcPr>
                          <w:p>
                            <w:pPr>
                              <w:pStyle w:val="TableContents"/>
                              <w:spacing w:before="0" w:after="283"/>
                              <w:jc w:val="center"/>
                              <w:rPr/>
                            </w:pPr>
                            <w:r>
                              <w:rPr/>
                              <w:t>☐</w:t>
                            </w:r>
                          </w:p>
                        </w:tc>
                        <w:tc>
                          <w:tcPr>
                            <w:tcW w:w="576" w:type="dxa"/>
                            <w:tcBorders/>
                            <w:shd w:fill="auto" w:val="clear"/>
                            <w:vAlign w:val="center"/>
                          </w:tcPr>
                          <w:p>
                            <w:pPr>
                              <w:pStyle w:val="TableContents"/>
                              <w:spacing w:before="0" w:after="283"/>
                              <w:jc w:val="center"/>
                              <w:rPr/>
                            </w:pPr>
                            <w:r>
                              <w:rPr/>
                              <w:t>☐</w:t>
                            </w:r>
                          </w:p>
                        </w:tc>
                      </w:tr>
                      <w:tr>
                        <w:trPr/>
                        <w:tc>
                          <w:tcPr>
                            <w:tcW w:w="234" w:type="dxa"/>
                            <w:tcBorders/>
                            <w:shd w:fill="auto" w:val="clear"/>
                            <w:vAlign w:val="center"/>
                          </w:tcPr>
                          <w:p>
                            <w:pPr>
                              <w:pStyle w:val="TableContents"/>
                              <w:spacing w:before="0" w:after="0"/>
                              <w:jc w:val="both"/>
                              <w:rPr>
                                <w:rFonts w:ascii="Arial" w:hAnsi="Arial"/>
                                <w:sz w:val="15"/>
                              </w:rPr>
                            </w:pPr>
                            <w:r>
                              <w:rPr>
                                <w:rFonts w:ascii="Arial" w:hAnsi="Arial"/>
                                <w:sz w:val="15"/>
                              </w:rPr>
                              <w:t>11.</w:t>
                            </w:r>
                          </w:p>
                        </w:tc>
                        <w:tc>
                          <w:tcPr>
                            <w:tcW w:w="8214" w:type="dxa"/>
                            <w:tcBorders/>
                            <w:shd w:fill="auto" w:val="clear"/>
                            <w:vAlign w:val="center"/>
                          </w:tcPr>
                          <w:p>
                            <w:pPr>
                              <w:pStyle w:val="TableContents"/>
                              <w:spacing w:before="0" w:after="0"/>
                              <w:jc w:val="both"/>
                              <w:rPr>
                                <w:rFonts w:ascii="Arial" w:hAnsi="Arial"/>
                                <w:sz w:val="15"/>
                              </w:rPr>
                            </w:pPr>
                            <w:r>
                              <w:rPr>
                                <w:rFonts w:ascii="Arial" w:hAnsi="Arial"/>
                                <w:sz w:val="15"/>
                              </w:rPr>
                              <w:t>To report on business in China</w:t>
                            </w:r>
                          </w:p>
                        </w:tc>
                        <w:tc>
                          <w:tcPr>
                            <w:tcW w:w="34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jc w:val="center"/>
                              <w:rPr/>
                            </w:pPr>
                            <w:r>
                              <w:rPr/>
                              <w:t>☐</w:t>
                            </w:r>
                          </w:p>
                        </w:tc>
                        <w:tc>
                          <w:tcPr>
                            <w:tcW w:w="575" w:type="dxa"/>
                            <w:tcBorders/>
                            <w:shd w:fill="auto" w:val="clear"/>
                            <w:vAlign w:val="center"/>
                          </w:tcPr>
                          <w:p>
                            <w:pPr>
                              <w:pStyle w:val="TableContents"/>
                              <w:spacing w:before="0" w:after="283"/>
                              <w:jc w:val="center"/>
                              <w:rPr/>
                            </w:pPr>
                            <w:r>
                              <w:rPr/>
                              <w:t>☐</w:t>
                            </w:r>
                          </w:p>
                        </w:tc>
                        <w:tc>
                          <w:tcPr>
                            <w:tcW w:w="576" w:type="dxa"/>
                            <w:tcBorders/>
                            <w:shd w:fill="auto" w:val="clear"/>
                            <w:vAlign w:val="center"/>
                          </w:tcPr>
                          <w:p>
                            <w:pPr>
                              <w:pStyle w:val="TableContents"/>
                              <w:spacing w:before="0" w:after="283"/>
                              <w:jc w:val="center"/>
                              <w:rPr/>
                            </w:pPr>
                            <w:r>
                              <w:rPr/>
                              <w:t>☐</w:t>
                            </w:r>
                          </w:p>
                        </w:tc>
                      </w:tr>
                    </w:tbl>
                    <w:p>
                      <w:pPr>
                        <w:pStyle w:val="TextBody"/>
                        <w:spacing w:before="0" w:after="283"/>
                        <w:rPr/>
                      </w:pPr>
                      <w:r>
                        <w:rPr/>
                      </w:r>
                    </w:p>
                  </w:txbxContent>
                </v:textbox>
                <w10:wrap type="square" side="left"/>
              </v:rect>
            </w:pict>
          </mc:Fallback>
        </mc:AlternateContent>
      </w:r>
    </w:p>
    <w:tbl>
      <w:tblPr>
        <w:tblW w:w="9649" w:type="dxa"/>
        <w:jc w:val="left"/>
        <w:tblInd w:w="0" w:type="dxa"/>
        <w:tblCellMar>
          <w:top w:w="0" w:type="dxa"/>
          <w:left w:w="0" w:type="dxa"/>
          <w:bottom w:w="0" w:type="dxa"/>
          <w:right w:w="0" w:type="dxa"/>
        </w:tblCellMar>
      </w:tblPr>
      <w:tblGrid>
        <w:gridCol w:w="180"/>
        <w:gridCol w:w="204"/>
        <w:gridCol w:w="9265"/>
      </w:tblGrid>
      <w:tr>
        <w:trPr/>
        <w:tc>
          <w:tcPr>
            <w:tcW w:w="180" w:type="dxa"/>
            <w:tcBorders/>
            <w:shd w:fill="auto" w:val="clear"/>
            <w:vAlign w:val="center"/>
          </w:tcPr>
          <w:p>
            <w:pPr>
              <w:pStyle w:val="TableContents"/>
              <w:spacing w:before="0" w:after="283"/>
              <w:jc w:val="left"/>
              <w:rPr/>
            </w:pPr>
            <w:r>
              <w:rPr/>
              <w:t>   </w:t>
            </w:r>
          </w:p>
        </w:tc>
        <w:tc>
          <w:tcPr>
            <w:tcW w:w="204" w:type="dxa"/>
            <w:tcBorders/>
            <w:shd w:fill="000000" w:val="clear"/>
            <w:vAlign w:val="center"/>
          </w:tcPr>
          <w:p>
            <w:pPr>
              <w:pStyle w:val="TableContents"/>
              <w:spacing w:before="0" w:after="0"/>
              <w:jc w:val="both"/>
              <w:rPr>
                <w:rFonts w:ascii="Arial" w:hAnsi="Arial"/>
                <w:b/>
                <w:color w:val="FFFFFF"/>
                <w:sz w:val="24"/>
              </w:rPr>
            </w:pPr>
            <w:r>
              <w:rPr>
                <w:rFonts w:ascii="Arial" w:hAnsi="Arial"/>
                <w:b/>
                <w:color w:val="FFFFFF"/>
                <w:sz w:val="24"/>
              </w:rPr>
              <w:t>C</w:t>
            </w:r>
          </w:p>
        </w:tc>
        <w:tc>
          <w:tcPr>
            <w:tcW w:w="9265" w:type="dxa"/>
            <w:tcBorders/>
            <w:shd w:fill="auto" w:val="clear"/>
            <w:vAlign w:val="center"/>
          </w:tcPr>
          <w:p>
            <w:pPr>
              <w:pStyle w:val="TableContents"/>
              <w:spacing w:before="0" w:after="283"/>
              <w:jc w:val="left"/>
              <w:rPr>
                <w:rFonts w:ascii="Arial" w:hAnsi="Arial"/>
                <w:b/>
                <w:sz w:val="15"/>
              </w:rPr>
            </w:pPr>
            <w:r>
              <w:rPr>
                <w:rFonts w:ascii="Arial" w:hAnsi="Arial"/>
                <w:b/>
                <w:sz w:val="15"/>
              </w:rPr>
              <w:t>Authorized Signatures — This section must be completed for your vote to be counted — Date and Sign Within the Box Below</w:t>
            </w:r>
          </w:p>
        </w:tc>
      </w:tr>
      <w:tr>
        <w:trPr/>
        <w:tc>
          <w:tcPr>
            <w:tcW w:w="180" w:type="dxa"/>
            <w:tcBorders/>
            <w:shd w:fill="auto" w:val="clear"/>
            <w:vAlign w:val="center"/>
          </w:tcPr>
          <w:p>
            <w:pPr>
              <w:pStyle w:val="TableContents"/>
              <w:spacing w:before="0" w:after="283"/>
              <w:rPr>
                <w:sz w:val="4"/>
                <w:szCs w:val="4"/>
              </w:rPr>
            </w:pPr>
            <w:r>
              <w:rPr>
                <w:sz w:val="4"/>
                <w:szCs w:val="4"/>
              </w:rPr>
            </w:r>
          </w:p>
        </w:tc>
        <w:tc>
          <w:tcPr>
            <w:tcW w:w="9469" w:type="dxa"/>
            <w:gridSpan w:val="2"/>
            <w:tcBorders/>
            <w:shd w:fill="auto" w:val="clear"/>
            <w:vAlign w:val="center"/>
          </w:tcPr>
          <w:p>
            <w:pPr>
              <w:pStyle w:val="TableContents"/>
              <w:spacing w:before="0" w:after="0"/>
              <w:jc w:val="both"/>
              <w:rPr>
                <w:rFonts w:ascii="Arial" w:hAnsi="Arial"/>
                <w:sz w:val="15"/>
              </w:rPr>
            </w:pPr>
            <w:r>
              <w:rPr>
                <w:rFonts w:ascii="Arial" w:hAnsi="Arial"/>
                <w:sz w:val="15"/>
              </w:rPr>
              <w:t xml:space="preserve">Please sign as name(s) appear(s) hereon. Give full title if you are signing for a corporation, partnership or other entity, or as an attorney, </w:t>
              <w:br/>
              <w:t>administrator, executor, guardian, trustee or in any other representative capacity.</w:t>
            </w:r>
          </w:p>
        </w:tc>
      </w:tr>
    </w:tbl>
    <w:p>
      <w:pPr>
        <w:pStyle w:val="TextBody"/>
        <w:spacing w:before="0" w:after="0"/>
        <w:rPr/>
      </w:pPr>
      <w:r>
        <w:rPr/>
      </w:r>
    </w:p>
    <w:tbl>
      <w:tblPr>
        <w:tblW w:w="6140" w:type="dxa"/>
        <w:jc w:val="left"/>
        <w:tblInd w:w="0" w:type="dxa"/>
        <w:tblCellMar>
          <w:top w:w="0" w:type="dxa"/>
          <w:left w:w="0" w:type="dxa"/>
          <w:bottom w:w="0" w:type="dxa"/>
          <w:right w:w="0" w:type="dxa"/>
        </w:tblCellMar>
      </w:tblPr>
      <w:tblGrid>
        <w:gridCol w:w="180"/>
        <w:gridCol w:w="2810"/>
        <w:gridCol w:w="350"/>
        <w:gridCol w:w="360"/>
        <w:gridCol w:w="1730"/>
        <w:gridCol w:w="350"/>
        <w:gridCol w:w="360"/>
      </w:tblGrid>
      <w:tr>
        <w:trPr/>
        <w:tc>
          <w:tcPr>
            <w:tcW w:w="180" w:type="dxa"/>
            <w:tcBorders/>
            <w:shd w:fill="auto" w:val="clear"/>
            <w:vAlign w:val="center"/>
          </w:tcPr>
          <w:p>
            <w:pPr>
              <w:pStyle w:val="TableContents"/>
              <w:spacing w:before="0" w:after="283"/>
              <w:jc w:val="left"/>
              <w:rPr/>
            </w:pPr>
            <w:r>
              <w:rPr/>
              <w:t>   </w:t>
            </w:r>
          </w:p>
        </w:tc>
        <w:tc>
          <w:tcPr>
            <w:tcW w:w="2810"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vAlign w:val="center"/>
          </w:tcPr>
          <w:p>
            <w:pPr>
              <w:pStyle w:val="TableContents"/>
              <w:spacing w:before="0" w:after="283"/>
              <w:jc w:val="left"/>
              <w:rPr/>
            </w:pPr>
            <w:r>
              <w:rPr/>
              <w:t> </w:t>
            </w:r>
          </w:p>
        </w:tc>
        <w:tc>
          <w:tcPr>
            <w:tcW w:w="350"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vAlign w:val="center"/>
          </w:tcPr>
          <w:p>
            <w:pPr>
              <w:pStyle w:val="TableContents"/>
              <w:spacing w:before="0" w:after="283"/>
              <w:jc w:val="left"/>
              <w:rPr/>
            </w:pPr>
            <w:r>
              <w:rPr/>
              <w:t> </w:t>
            </w:r>
          </w:p>
        </w:tc>
        <w:tc>
          <w:tcPr>
            <w:tcW w:w="360" w:type="dxa"/>
            <w:tcBorders/>
            <w:shd w:fill="auto" w:val="clear"/>
            <w:vAlign w:val="center"/>
          </w:tcPr>
          <w:p>
            <w:pPr>
              <w:pStyle w:val="TableContents"/>
              <w:spacing w:before="0" w:after="283"/>
              <w:jc w:val="left"/>
              <w:rPr/>
            </w:pPr>
            <w:r>
              <w:rPr/>
              <w:t xml:space="preserve">      </w:t>
            </w:r>
          </w:p>
        </w:tc>
        <w:tc>
          <w:tcPr>
            <w:tcW w:w="1730"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vAlign w:val="center"/>
          </w:tcPr>
          <w:p>
            <w:pPr>
              <w:pStyle w:val="TableContents"/>
              <w:spacing w:before="0" w:after="283"/>
              <w:jc w:val="left"/>
              <w:rPr/>
            </w:pPr>
            <w:r>
              <w:rPr/>
              <w:t> </w:t>
            </w:r>
          </w:p>
        </w:tc>
        <w:tc>
          <w:tcPr>
            <w:tcW w:w="350"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28" w:type="dxa"/>
            </w:tcMar>
            <w:vAlign w:val="center"/>
          </w:tcPr>
          <w:p>
            <w:pPr>
              <w:pStyle w:val="TableContents"/>
              <w:spacing w:before="0" w:after="283"/>
              <w:jc w:val="left"/>
              <w:rPr/>
            </w:pPr>
            <w:r>
              <w:rPr/>
              <w:t> </w:t>
            </w:r>
          </w:p>
        </w:tc>
        <w:tc>
          <w:tcPr>
            <w:tcW w:w="360" w:type="dxa"/>
            <w:tcBorders/>
            <w:shd w:fill="auto" w:val="clear"/>
            <w:vAlign w:val="center"/>
          </w:tcPr>
          <w:p>
            <w:pPr>
              <w:pStyle w:val="TableContents"/>
              <w:spacing w:before="0" w:after="283"/>
              <w:jc w:val="left"/>
              <w:rPr/>
            </w:pPr>
            <w:r>
              <w:rPr/>
              <w:t xml:space="preserve">      </w:t>
            </w:r>
          </w:p>
        </w:tc>
      </w:tr>
      <w:tr>
        <w:trPr/>
        <w:tc>
          <w:tcPr>
            <w:tcW w:w="180" w:type="dxa"/>
            <w:tcBorders/>
            <w:shd w:fill="auto" w:val="clear"/>
            <w:vAlign w:val="center"/>
          </w:tcPr>
          <w:p>
            <w:pPr>
              <w:pStyle w:val="TableContents"/>
              <w:spacing w:before="0" w:after="283"/>
              <w:rPr>
                <w:sz w:val="4"/>
                <w:szCs w:val="4"/>
              </w:rPr>
            </w:pPr>
            <w:r>
              <w:rPr>
                <w:sz w:val="4"/>
                <w:szCs w:val="4"/>
              </w:rPr>
            </w:r>
          </w:p>
        </w:tc>
        <w:tc>
          <w:tcPr>
            <w:tcW w:w="2810" w:type="dxa"/>
            <w:tcBorders/>
            <w:shd w:fill="auto" w:val="clear"/>
            <w:vAlign w:val="center"/>
          </w:tcPr>
          <w:p>
            <w:pPr>
              <w:pStyle w:val="TableContents"/>
              <w:spacing w:before="0" w:after="0"/>
              <w:jc w:val="both"/>
              <w:rPr>
                <w:rFonts w:ascii="Arial" w:hAnsi="Arial"/>
                <w:sz w:val="15"/>
              </w:rPr>
            </w:pPr>
            <w:r>
              <w:rPr>
                <w:rFonts w:ascii="Arial" w:hAnsi="Arial"/>
                <w:sz w:val="15"/>
              </w:rPr>
              <w:t>Signature [PLEASE SIGN WITHIN BOX]</w:t>
            </w:r>
          </w:p>
        </w:tc>
        <w:tc>
          <w:tcPr>
            <w:tcW w:w="350" w:type="dxa"/>
            <w:tcBorders/>
            <w:shd w:fill="auto" w:val="clear"/>
            <w:vAlign w:val="center"/>
          </w:tcPr>
          <w:p>
            <w:pPr>
              <w:pStyle w:val="TableContents"/>
              <w:spacing w:before="0" w:after="0"/>
              <w:jc w:val="both"/>
              <w:rPr>
                <w:rFonts w:ascii="Arial" w:hAnsi="Arial"/>
                <w:sz w:val="15"/>
              </w:rPr>
            </w:pPr>
            <w:r>
              <w:rPr>
                <w:rFonts w:ascii="Arial" w:hAnsi="Arial"/>
                <w:sz w:val="15"/>
              </w:rPr>
              <w:t>Date</w:t>
            </w:r>
          </w:p>
        </w:tc>
        <w:tc>
          <w:tcPr>
            <w:tcW w:w="360" w:type="dxa"/>
            <w:tcBorders/>
            <w:shd w:fill="auto" w:val="clear"/>
            <w:vAlign w:val="center"/>
          </w:tcPr>
          <w:p>
            <w:pPr>
              <w:pStyle w:val="TableContents"/>
              <w:spacing w:before="0" w:after="283"/>
              <w:rPr>
                <w:sz w:val="4"/>
                <w:szCs w:val="4"/>
              </w:rPr>
            </w:pPr>
            <w:r>
              <w:rPr>
                <w:sz w:val="4"/>
                <w:szCs w:val="4"/>
              </w:rPr>
            </w:r>
          </w:p>
        </w:tc>
        <w:tc>
          <w:tcPr>
            <w:tcW w:w="1730" w:type="dxa"/>
            <w:tcBorders/>
            <w:shd w:fill="auto" w:val="clear"/>
            <w:vAlign w:val="center"/>
          </w:tcPr>
          <w:p>
            <w:pPr>
              <w:pStyle w:val="TableContents"/>
              <w:spacing w:before="0" w:after="0"/>
              <w:jc w:val="both"/>
              <w:rPr>
                <w:rFonts w:ascii="Arial" w:hAnsi="Arial"/>
                <w:sz w:val="15"/>
              </w:rPr>
            </w:pPr>
            <w:r>
              <w:rPr>
                <w:rFonts w:ascii="Arial" w:hAnsi="Arial"/>
                <w:sz w:val="15"/>
              </w:rPr>
              <w:t>Signature (Joint Owners)</w:t>
            </w:r>
          </w:p>
        </w:tc>
        <w:tc>
          <w:tcPr>
            <w:tcW w:w="350" w:type="dxa"/>
            <w:tcBorders/>
            <w:shd w:fill="auto" w:val="clear"/>
            <w:vAlign w:val="center"/>
          </w:tcPr>
          <w:p>
            <w:pPr>
              <w:pStyle w:val="TableContents"/>
              <w:spacing w:before="0" w:after="0"/>
              <w:jc w:val="both"/>
              <w:rPr>
                <w:rFonts w:ascii="Arial" w:hAnsi="Arial"/>
                <w:sz w:val="15"/>
              </w:rPr>
            </w:pPr>
            <w:r>
              <w:rPr>
                <w:rFonts w:ascii="Arial" w:hAnsi="Arial"/>
                <w:sz w:val="15"/>
              </w:rPr>
              <w:t>Date</w:t>
            </w:r>
          </w:p>
        </w:tc>
        <w:tc>
          <w:tcPr>
            <w:tcW w:w="360"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p>
    <w:p>
      <w:pPr>
        <w:pStyle w:val="TextBody"/>
        <w:jc w:val="left"/>
        <w:rPr/>
      </w:pPr>
      <w:hyperlink w:anchor="toc">
        <w:r>
          <w:rPr>
            <w:rStyle w:val="InternetLink"/>
            <w:rFonts w:ascii="Arial" w:hAnsi="Arial"/>
            <w:b/>
            <w:sz w:val="20"/>
          </w:rPr>
          <w:t>Table of Contents</w:t>
        </w:r>
      </w:hyperlink>
    </w:p>
    <w:p>
      <w:pPr>
        <w:pStyle w:val="TextBody"/>
        <w:jc w:val="center"/>
        <w:rPr>
          <w:rFonts w:ascii="Arial" w:hAnsi="Arial"/>
          <w:b/>
          <w:sz w:val="24"/>
        </w:rPr>
      </w:pPr>
      <w:r>
        <w:rPr>
          <w:rFonts w:ascii="Arial" w:hAnsi="Arial"/>
          <w:b/>
          <w:sz w:val="24"/>
        </w:rPr>
        <w:t xml:space="preserve">2023 Annual Meeting of Shareholders </w:t>
      </w:r>
    </w:p>
    <w:p>
      <w:pPr>
        <w:pStyle w:val="TextBody"/>
        <w:jc w:val="center"/>
        <w:rPr>
          <w:rFonts w:ascii="Arial" w:hAnsi="Arial"/>
          <w:b/>
          <w:sz w:val="24"/>
        </w:rPr>
      </w:pPr>
      <w:r>
        <w:rPr>
          <w:rFonts w:ascii="Arial" w:hAnsi="Arial"/>
          <w:b/>
          <w:sz w:val="24"/>
        </w:rPr>
        <w:t xml:space="preserve">Wednesday, June 7, 2023 </w:t>
      </w:r>
    </w:p>
    <w:p>
      <w:pPr>
        <w:pStyle w:val="TextBody"/>
        <w:jc w:val="center"/>
        <w:rPr>
          <w:rFonts w:ascii="Arial" w:hAnsi="Arial"/>
          <w:b/>
          <w:sz w:val="24"/>
        </w:rPr>
      </w:pPr>
      <w:r>
        <w:rPr>
          <w:rFonts w:ascii="Arial" w:hAnsi="Arial"/>
          <w:b/>
          <w:sz w:val="24"/>
        </w:rPr>
        <w:t xml:space="preserve">9:00 a.m. Eastern Time </w:t>
      </w:r>
    </w:p>
    <w:p>
      <w:pPr>
        <w:pStyle w:val="TextBody"/>
        <w:jc w:val="center"/>
        <w:rPr>
          <w:rFonts w:ascii="Arial" w:hAnsi="Arial"/>
          <w:b/>
          <w:sz w:val="24"/>
        </w:rPr>
      </w:pPr>
      <w:r>
        <w:rPr>
          <w:rFonts w:ascii="Arial" w:hAnsi="Arial"/>
          <w:b/>
          <w:sz w:val="24"/>
        </w:rPr>
        <w:t>comcast.onlineshareholdermeeting.com</w:t>
      </w:r>
    </w:p>
    <w:p>
      <w:pPr>
        <w:pStyle w:val="TextBody"/>
        <w:pBdr/>
        <w:jc w:val="both"/>
        <w:rPr/>
      </w:pPr>
      <w:r>
        <w:rPr>
          <w:rFonts w:ascii="Arial" w:hAnsi="Arial"/>
          <w:b/>
          <w:sz w:val="20"/>
        </w:rPr>
        <w:t>ELECTRONIC DELIVERY OF FUTURE PROXY MATERIALS</w:t>
        <w:br/>
      </w:r>
      <w:r>
        <w:rPr>
          <w:rFonts w:ascii="Arial" w:hAnsi="Arial"/>
          <w:sz w:val="20"/>
        </w:rPr>
        <w:t>If you would like to reduce the impact on the environment and save our company money on the costs incurred in mailing proxy materials, you can consent to receiving all future Notices of Internet Availability of Proxy Materials, proxy statements, proxy cards and Annual Reports on Form 10-K electronically via e-mail or the Internet. To sign up, please follow the instructions on the reverse side to vote by Internet before the Meeting and, when prompted, indicate that you agree to receive or access shareholder communications electronically in future years. For further details regarding electronic delivery, please see the "General Information — Notice of Electronic Availability of Proxy Materials" section of our proxy statement.</w:t>
      </w:r>
    </w:p>
    <w:p>
      <w:pPr>
        <w:pStyle w:val="TextBody"/>
        <w:jc w:val="center"/>
        <w:rPr/>
      </w:pPr>
      <w:r>
        <w:rPr>
          <w:rFonts w:ascii="Arial" w:hAnsi="Arial"/>
          <w:b/>
          <w:sz w:val="20"/>
          <w:u w:val="single"/>
        </w:rPr>
        <w:t>Important Notice Regarding the Availability of Proxy Materials for the Annual Meeting:</w:t>
        <w:br/>
      </w:r>
      <w:r>
        <w:rPr>
          <w:rFonts w:ascii="Arial" w:hAnsi="Arial"/>
          <w:sz w:val="20"/>
        </w:rPr>
        <w:t xml:space="preserve">The Notice of Internet Availability of Proxy Materials, the Proxy Statement and the Annual Report are available </w:t>
        <w:br/>
        <w:t>at www.proxyvote.com.</w:t>
      </w:r>
    </w:p>
    <w:p>
      <w:pPr>
        <w:pStyle w:val="TextBody"/>
        <w:rPr/>
      </w:pPr>
      <w:r>
        <w:rPr/>
        <w:br/>
      </w:r>
    </w:p>
    <w:tbl>
      <w:tblPr>
        <w:tblW w:w="10205" w:type="dxa"/>
        <w:jc w:val="left"/>
        <w:tblInd w:w="0" w:type="dxa"/>
        <w:tblCellMar>
          <w:top w:w="0" w:type="dxa"/>
          <w:left w:w="0" w:type="dxa"/>
          <w:bottom w:w="40" w:type="dxa"/>
          <w:right w:w="0" w:type="dxa"/>
        </w:tblCellMar>
      </w:tblPr>
      <w:tblGrid>
        <w:gridCol w:w="10205"/>
      </w:tblGrid>
      <w:tr>
        <w:trPr/>
        <w:tc>
          <w:tcPr>
            <w:tcW w:w="10205" w:type="dxa"/>
            <w:tcBorders>
              <w:bottom w:val="dashed" w:sz="8" w:space="0" w:color="000000"/>
            </w:tcBorders>
            <w:shd w:fill="auto" w:val="clear"/>
            <w:vAlign w:val="center"/>
          </w:tcPr>
          <w:p>
            <w:pPr>
              <w:pStyle w:val="TableContents"/>
              <w:spacing w:before="0" w:after="283"/>
              <w:jc w:val="center"/>
              <w:rPr/>
            </w:pPr>
            <w:r>
              <w:rPr/>
              <w:t>▼  </w:t>
            </w:r>
            <w:r>
              <w:rPr>
                <w:rFonts w:ascii="Arial" w:hAnsi="Arial"/>
                <w:b/>
                <w:sz w:val="12"/>
              </w:rPr>
              <w:t>IF YOU HAVE NOT VOTED VIA THE INTERNET OR TELEPHONE, FOLD ALONG THE PERFORATION, DETACH AND RETURN THE BOTTOM PORTION IN THE ENCLOSED ENVELOPE.  ▼</w:t>
            </w:r>
          </w:p>
        </w:tc>
      </w:tr>
      <w:tr>
        <w:trPr/>
        <w:tc>
          <w:tcPr>
            <w:tcW w:w="10205" w:type="dxa"/>
            <w:tcBorders/>
            <w:shd w:fill="auto" w:val="clear"/>
            <w:tcMar>
              <w:bottom w:w="0" w:type="dxa"/>
            </w:tcMar>
            <w:vAlign w:val="center"/>
          </w:tcPr>
          <w:p>
            <w:pPr>
              <w:pStyle w:val="TableContents"/>
              <w:spacing w:before="0" w:after="283"/>
              <w:jc w:val="right"/>
              <w:rPr>
                <w:rFonts w:ascii="Arial" w:hAnsi="Arial"/>
                <w:sz w:val="15"/>
              </w:rPr>
            </w:pPr>
            <w:r>
              <w:rPr>
                <w:rFonts w:ascii="Arial" w:hAnsi="Arial"/>
                <w:sz w:val="15"/>
              </w:rPr>
              <w:t>V06933-P89907</w:t>
            </w:r>
          </w:p>
        </w:tc>
      </w:tr>
    </w:tbl>
    <w:p>
      <w:pPr>
        <w:pStyle w:val="TextBody"/>
        <w:spacing w:before="0" w:after="0"/>
        <w:rPr/>
      </w:pPr>
      <w:r>
        <w:rPr/>
      </w:r>
    </w:p>
    <w:p>
      <w:pPr>
        <w:pStyle w:val="TextBody"/>
        <w:spacing w:before="0" w:after="0"/>
        <w:jc w:val="center"/>
        <w:rPr>
          <w:rFonts w:ascii="Arial" w:hAnsi="Arial"/>
          <w:b/>
          <w:sz w:val="20"/>
          <w:bdr w:val="single" w:sz="16" w:space="15" w:color="000000"/>
        </w:rPr>
      </w:pPr>
      <w:r>
        <w:rPr>
          <w:rFonts w:ascii="Arial" w:hAnsi="Arial"/>
          <w:b/>
          <w:sz w:val="20"/>
          <w:bdr w:val="single" w:sz="16" w:space="15" w:color="000000"/>
        </w:rPr>
        <w:t>COMCAST CORPORATION</w:t>
        <w:br/>
        <w:t xml:space="preserve">THIS PROXY IS SOLICITED ON BEHALF OF THE BOARD OF DIRECTORS FOR </w:t>
        <w:br/>
        <w:t>THE ANNUAL MEETING OF SHAREHOLDERS ON JUNE 7, 2023.</w:t>
      </w:r>
    </w:p>
    <w:p>
      <w:pPr>
        <w:pStyle w:val="TextBody"/>
        <w:spacing w:before="240" w:after="283"/>
        <w:jc w:val="both"/>
        <w:rPr>
          <w:rFonts w:ascii="Arial" w:hAnsi="Arial"/>
          <w:sz w:val="15"/>
          <w:bdr w:val="single" w:sz="16" w:space="15" w:color="000000"/>
        </w:rPr>
      </w:pPr>
      <w:r>
        <w:rPr>
          <w:rFonts w:ascii="Arial" w:hAnsi="Arial"/>
          <w:sz w:val="15"/>
          <w:bdr w:val="single" w:sz="16" w:space="15" w:color="000000"/>
        </w:rPr>
        <w:t>I hereby appoint Michael J. Cavanagh and Thomas J. Reid, and each of them acting individually, as proxies, with the powers I would possess if personally present, and with full power of substitution, to vote all shares in Comcast Corporation at the Annual Meeting of Shareholders to be held live via the Internet at comcast.onlineshareholdermeeting.com at 9:00 a.m. Eastern Time on June 7, 2023, and at any adjournment or postponement thereof, upon all matters described in the proxy statement that may properly come before the meeting, in accordance with my instructions on the reverse side of this proxy card. In the event that any other matter may properly come before the meeting, or any adjournment or postponement thereof, the proxies are each authorized to vote on such matter in their discretion, including for any replacement nominee nominated for director by the Board of Directors of Comcast Corporation if a director nominee on this proxy card becomes unavailable to serve. I hereby revoke all previous proxies given to vote at the Annual Meeting or any adjournment or postponement thereof.</w:t>
      </w:r>
    </w:p>
    <w:p>
      <w:pPr>
        <w:pStyle w:val="TextBody"/>
        <w:spacing w:before="240" w:after="283"/>
        <w:jc w:val="both"/>
        <w:rPr>
          <w:rFonts w:ascii="Arial" w:hAnsi="Arial"/>
          <w:sz w:val="15"/>
          <w:bdr w:val="single" w:sz="16" w:space="15" w:color="000000"/>
        </w:rPr>
      </w:pPr>
      <w:r>
        <w:rPr>
          <w:rFonts w:ascii="Arial" w:hAnsi="Arial"/>
          <w:sz w:val="15"/>
          <w:bdr w:val="single" w:sz="16" w:space="15" w:color="000000"/>
        </w:rPr>
        <w:t>I acknowledge receipt of the notice of Annual Meeting of Shareholders, the proxy statement and the Annual Report on Form 10-K of Comcast Corporation.</w:t>
      </w:r>
    </w:p>
    <w:p>
      <w:pPr>
        <w:pStyle w:val="TextBody"/>
        <w:spacing w:before="240" w:after="283"/>
        <w:jc w:val="both"/>
        <w:rPr>
          <w:bdr w:val="single" w:sz="16" w:space="15" w:color="000000"/>
        </w:rPr>
      </w:pPr>
      <w:r>
        <w:rPr>
          <w:rFonts w:ascii="Arial" w:hAnsi="Arial"/>
          <w:sz w:val="15"/>
          <w:bdr w:val="single" w:sz="16" w:space="15" w:color="000000"/>
        </w:rPr>
        <w:t xml:space="preserve">The shares represented by this proxy card will be voted in accordance with your instructions if the card is signed and returned. If you are voting with this proxy card, please mark your choices on the other side of this proxy card, sign it where indicated on the other side and return it promptly to Vote Processing, Comcast Corporation, c/o Broadridge Financial Solutions, 51 Mercedes Way, Edgewood, NY 11717. </w:t>
      </w:r>
      <w:r>
        <w:rPr>
          <w:rFonts w:ascii="Arial" w:hAnsi="Arial"/>
          <w:b/>
          <w:sz w:val="15"/>
          <w:bdr w:val="single" w:sz="16" w:space="15" w:color="000000"/>
        </w:rPr>
        <w:t xml:space="preserve">If your card is signed and returned without instructions, the shares will be voted in favor of all of the director nominees and any replacement nominee, in favor of Proposals 2-5 and every "1 Year" for Proposal 6, and against Proposals 7-11. </w:t>
      </w:r>
      <w:r>
        <w:rPr>
          <w:rFonts w:ascii="Arial" w:hAnsi="Arial"/>
          <w:sz w:val="15"/>
          <w:bdr w:val="single" w:sz="16" w:space="15" w:color="000000"/>
        </w:rPr>
        <w:t>If you are voting shares held in the Comcast Employee Stock Purchase Plan or the Comcast-NBCUniversal Employee Stock Purchase Plan, voting by Internet, telephone, mail or in person by ballot will vote all of the shares held by you in such plans, as well as any shares held by you as a shareholder of record. If you hold shares that are not represented by this proxy card, you will receive additional proxy card(s) by mail that will allow you to vote the remaining shares.</w:t>
      </w:r>
    </w:p>
    <w:p>
      <w:pPr>
        <w:pStyle w:val="TextBody"/>
        <w:rPr>
          <w:bdr w:val="single" w:sz="16" w:space="15" w:color="000000"/>
        </w:rPr>
      </w:pPr>
      <w:r>
        <w:rPr>
          <w:bdr w:val="single" w:sz="16" w:space="15" w:color="000000"/>
        </w:rPr>
        <w:br/>
        <w:br/>
      </w:r>
    </w:p>
    <w:p>
      <w:pPr>
        <w:pStyle w:val="TextBody"/>
        <w:spacing w:before="240" w:after="283"/>
        <w:jc w:val="center"/>
        <w:rPr>
          <w:rFonts w:ascii="Arial" w:hAnsi="Arial"/>
          <w:b/>
          <w:sz w:val="15"/>
          <w:bdr w:val="single" w:sz="16" w:space="15" w:color="000000"/>
        </w:rPr>
      </w:pPr>
      <w:r>
        <w:rPr>
          <w:rFonts w:ascii="Arial" w:hAnsi="Arial"/>
          <w:b/>
          <w:sz w:val="15"/>
          <w:bdr w:val="single" w:sz="16" w:space="15" w:color="000000"/>
        </w:rPr>
        <w:t>Continued and to be signed on reverse side</w:t>
      </w:r>
    </w:p>
    <w:p>
      <w:pPr>
        <w:pStyle w:val="TextBody"/>
        <w:spacing w:before="0" w:after="0"/>
        <w:rPr/>
      </w:pPr>
      <w:r>
        <w:rPr/>
      </w:r>
    </w:p>
    <w:p>
      <w:pPr>
        <w:pStyle w:val="HorizontalLine"/>
        <w:pBdr>
          <w:bottom w:val="double" w:sz="2" w:space="0" w:color="808080"/>
        </w:pBdr>
        <w:spacing w:before="0" w:after="283"/>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charset w:val="00"/>
    <w:family w:val="auto"/>
    <w:pitch w:val="default"/>
  </w:font>
  <w:font w:name="arial">
    <w:charset w:val="00"/>
    <w:family w:val="auto"/>
    <w:pitch w:val="default"/>
  </w:font>
  <w:font w:name="ARIA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StrongEmphasis">
    <w:name w:val="Strong Emphasis"/>
    <w:qFormat/>
    <w:rPr>
      <w:b/>
      <w:bCs/>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image" Target="media/image105.jpeg"/><Relationship Id="rId107" Type="http://schemas.openxmlformats.org/officeDocument/2006/relationships/image" Target="media/image106.jpeg"/><Relationship Id="rId108" Type="http://schemas.openxmlformats.org/officeDocument/2006/relationships/image" Target="media/image107.jpeg"/><Relationship Id="rId109" Type="http://schemas.openxmlformats.org/officeDocument/2006/relationships/image" Target="media/image108.jpeg"/><Relationship Id="rId110" Type="http://schemas.openxmlformats.org/officeDocument/2006/relationships/image" Target="media/image109.jpeg"/><Relationship Id="rId111" Type="http://schemas.openxmlformats.org/officeDocument/2006/relationships/image" Target="media/image110.jpeg"/><Relationship Id="rId112" Type="http://schemas.openxmlformats.org/officeDocument/2006/relationships/image" Target="media/image111.jpeg"/><Relationship Id="rId113" Type="http://schemas.openxmlformats.org/officeDocument/2006/relationships/image" Target="media/image112.jpeg"/><Relationship Id="rId114" Type="http://schemas.openxmlformats.org/officeDocument/2006/relationships/image" Target="media/image113.jpeg"/><Relationship Id="rId115" Type="http://schemas.openxmlformats.org/officeDocument/2006/relationships/image" Target="media/image114.jpeg"/><Relationship Id="rId116" Type="http://schemas.openxmlformats.org/officeDocument/2006/relationships/image" Target="media/image115.jpeg"/><Relationship Id="rId117" Type="http://schemas.openxmlformats.org/officeDocument/2006/relationships/image" Target="media/image116.jpeg"/><Relationship Id="rId118" Type="http://schemas.openxmlformats.org/officeDocument/2006/relationships/image" Target="media/image117.jpeg"/><Relationship Id="rId119" Type="http://schemas.openxmlformats.org/officeDocument/2006/relationships/image" Target="media/image118.jpeg"/><Relationship Id="rId120" Type="http://schemas.openxmlformats.org/officeDocument/2006/relationships/image" Target="media/image119.jpeg"/><Relationship Id="rId121" Type="http://schemas.openxmlformats.org/officeDocument/2006/relationships/image" Target="media/image120.jpeg"/><Relationship Id="rId122" Type="http://schemas.openxmlformats.org/officeDocument/2006/relationships/image" Target="media/image121.jpeg"/><Relationship Id="rId123" Type="http://schemas.openxmlformats.org/officeDocument/2006/relationships/image" Target="media/image122.jpeg"/><Relationship Id="rId124" Type="http://schemas.openxmlformats.org/officeDocument/2006/relationships/image" Target="media/image123.jpeg"/><Relationship Id="rId125" Type="http://schemas.openxmlformats.org/officeDocument/2006/relationships/image" Target="media/image124.jpeg"/><Relationship Id="rId126" Type="http://schemas.openxmlformats.org/officeDocument/2006/relationships/image" Target="media/image125.jpeg"/><Relationship Id="rId127" Type="http://schemas.openxmlformats.org/officeDocument/2006/relationships/image" Target="media/image126.jpeg"/><Relationship Id="rId128" Type="http://schemas.openxmlformats.org/officeDocument/2006/relationships/image" Target="media/image127.jpeg"/><Relationship Id="rId129" Type="http://schemas.openxmlformats.org/officeDocument/2006/relationships/image" Target="media/image128.jpeg"/><Relationship Id="rId130" Type="http://schemas.openxmlformats.org/officeDocument/2006/relationships/image" Target="media/image129.jpeg"/><Relationship Id="rId131" Type="http://schemas.openxmlformats.org/officeDocument/2006/relationships/image" Target="media/image130.jpeg"/><Relationship Id="rId132" Type="http://schemas.openxmlformats.org/officeDocument/2006/relationships/image" Target="media/image131.jpeg"/><Relationship Id="rId133" Type="http://schemas.openxmlformats.org/officeDocument/2006/relationships/image" Target="media/image132.jpeg"/><Relationship Id="rId134" Type="http://schemas.openxmlformats.org/officeDocument/2006/relationships/image" Target="media/image133.jpeg"/><Relationship Id="rId135" Type="http://schemas.openxmlformats.org/officeDocument/2006/relationships/image" Target="media/image134.jpeg"/><Relationship Id="rId136" Type="http://schemas.openxmlformats.org/officeDocument/2006/relationships/image" Target="media/image135.jpeg"/><Relationship Id="rId137" Type="http://schemas.openxmlformats.org/officeDocument/2006/relationships/image" Target="media/image136.jpeg"/><Relationship Id="rId138" Type="http://schemas.openxmlformats.org/officeDocument/2006/relationships/image" Target="media/image137.jpeg"/><Relationship Id="rId139" Type="http://schemas.openxmlformats.org/officeDocument/2006/relationships/image" Target="media/image138.jpeg"/><Relationship Id="rId140" Type="http://schemas.openxmlformats.org/officeDocument/2006/relationships/image" Target="media/image139.jpeg"/><Relationship Id="rId141" Type="http://schemas.openxmlformats.org/officeDocument/2006/relationships/image" Target="media/image140.jpeg"/><Relationship Id="rId142" Type="http://schemas.openxmlformats.org/officeDocument/2006/relationships/image" Target="media/image141.jpeg"/><Relationship Id="rId143" Type="http://schemas.openxmlformats.org/officeDocument/2006/relationships/image" Target="media/image142.jpeg"/><Relationship Id="rId144" Type="http://schemas.openxmlformats.org/officeDocument/2006/relationships/image" Target="media/image143.jpeg"/><Relationship Id="rId145" Type="http://schemas.openxmlformats.org/officeDocument/2006/relationships/image" Target="media/image144.jpeg"/><Relationship Id="rId146" Type="http://schemas.openxmlformats.org/officeDocument/2006/relationships/image" Target="media/image145.jpeg"/><Relationship Id="rId147" Type="http://schemas.openxmlformats.org/officeDocument/2006/relationships/image" Target="media/image146.jpeg"/><Relationship Id="rId148" Type="http://schemas.openxmlformats.org/officeDocument/2006/relationships/image" Target="media/image147.jpeg"/><Relationship Id="rId149" Type="http://schemas.openxmlformats.org/officeDocument/2006/relationships/image" Target="media/image148.jpeg"/><Relationship Id="rId150" Type="http://schemas.openxmlformats.org/officeDocument/2006/relationships/fontTable" Target="fontTable.xml"/><Relationship Id="rId15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10</Pages>
  <Words>73714</Words>
  <CharactersWithSpaces>477865</CharactersWithSpaces>
  <Paragraphs>5012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