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August 25,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37" w:lineRule="auto"/>
        <w:rPr>
          <w:sz w:val="20"/>
          <w:szCs w:val="20"/>
          <w:color w:val="auto"/>
        </w:rPr>
      </w:pPr>
      <w:r>
        <w:rPr>
          <w:rFonts w:ascii="Arial" w:cs="Arial" w:eastAsia="Arial" w:hAnsi="Arial"/>
          <w:sz w:val="19"/>
          <w:szCs w:val="19"/>
          <w:b w:val="1"/>
          <w:bCs w:val="1"/>
          <w:i w:val="1"/>
          <w:iCs w:val="1"/>
          <w:color w:val="auto"/>
        </w:rPr>
        <w:t>UNDER</w:t>
      </w:r>
    </w:p>
    <w:p>
      <w:pPr>
        <w:jc w:val="center"/>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45720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COMCAST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190"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Pennsylvania</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4841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27-0000798</w:t>
      </w:r>
    </w:p>
    <w:p>
      <w:pPr>
        <w:spacing w:after="0" w:line="36" w:lineRule="exact"/>
        <w:rPr>
          <w:sz w:val="24"/>
          <w:szCs w:val="24"/>
          <w:color w:val="auto"/>
        </w:rPr>
      </w:pPr>
    </w:p>
    <w:p>
      <w:pPr>
        <w:sectPr>
          <w:pgSz w:w="11900" w:h="16838" w:orient="portrait"/>
          <w:cols w:equalWidth="0" w:num="3">
            <w:col w:w="4960" w:space="720"/>
            <w:col w:w="2800" w:space="720"/>
            <w:col w:w="2220"/>
          </w:cols>
          <w:pgMar w:left="240" w:top="230" w:right="2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4"/>
          <w:szCs w:val="14"/>
          <w:b w:val="1"/>
          <w:bCs w:val="1"/>
          <w:color w:val="auto"/>
        </w:rPr>
        <w:t>(I.R.S. Employer</w:t>
      </w:r>
    </w:p>
    <w:p>
      <w:pPr>
        <w:jc w:val="center"/>
        <w:ind w:right="110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3">
            <w:col w:w="4200" w:space="720"/>
            <w:col w:w="3240" w:space="720"/>
            <w:col w:w="25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Comcast Center</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Philadelphia, Pennsylvania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(215) 286-1700</w:t>
      </w:r>
    </w:p>
    <w:p>
      <w:pPr>
        <w:sectPr>
          <w:pgSz w:w="11900" w:h="16838" w:orient="portrait"/>
          <w:cols w:equalWidth="0" w:num="1">
            <w:col w:w="11420"/>
          </w:cols>
          <w:pgMar w:left="240" w:top="230" w:right="2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Arthur R. Block,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Comcast Center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Pennsylvania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(215) 286-1700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47625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940" w:type="dxa"/>
            <w:vAlign w:val="bottom"/>
          </w:tcPr>
          <w:p>
            <w:pPr>
              <w:jc w:val="center"/>
              <w:ind w:left="60"/>
              <w:spacing w:after="0"/>
              <w:rPr>
                <w:sz w:val="20"/>
                <w:szCs w:val="20"/>
                <w:color w:val="auto"/>
              </w:rPr>
            </w:pPr>
            <w:r>
              <w:rPr>
                <w:rFonts w:ascii="Arial" w:cs="Arial" w:eastAsia="Arial" w:hAnsi="Arial"/>
                <w:sz w:val="14"/>
                <w:szCs w:val="14"/>
                <w:b w:val="1"/>
                <w:bCs w:val="1"/>
                <w:i w:val="1"/>
                <w:iCs w:val="1"/>
                <w:color w:val="auto"/>
                <w:w w:val="87"/>
              </w:rPr>
              <w:t>Copies to:</w:t>
            </w:r>
          </w:p>
        </w:tc>
        <w:tc>
          <w:tcPr>
            <w:tcW w:w="3000" w:type="dxa"/>
            <w:vAlign w:val="bottom"/>
          </w:tcPr>
          <w:p>
            <w:pPr>
              <w:spacing w:after="0"/>
              <w:rPr>
                <w:sz w:val="14"/>
                <w:szCs w:val="14"/>
                <w:color w:val="auto"/>
              </w:rPr>
            </w:pP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David L. Caplan,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Marc Lawrence-Apfelbaum, Esq.</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0"/>
              </w:rPr>
              <w:t>Robert B. Schumer,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William J. Chudd,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Executive Vice President, General</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2"/>
              </w:rPr>
              <w:t>Ariel J. Deckelbaum, Esq.</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Bruce K. Dallas,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89"/>
              </w:rPr>
              <w:t>Counsel and Secretary</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88"/>
              </w:rPr>
              <w:t>Ross A. Fieldston,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5"/>
              </w:rPr>
              <w:t>Davis Polk &amp; Wardwell LLP</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Time Warner Cable Inc.</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4"/>
              </w:rPr>
              <w:t>Paul, Weiss, Rifkind, Wharton &amp;</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0"/>
              </w:rPr>
              <w:t>450 Lexington Ave.</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60 Columbus Circle</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6"/>
              </w:rPr>
              <w:t>Garrison LLP</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New York, New York 10017</w:t>
            </w:r>
          </w:p>
        </w:tc>
        <w:tc>
          <w:tcPr>
            <w:tcW w:w="394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New York, New York 10023</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1285 Avenue of the Americas</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(212) 450-4000</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(212) 364-8200</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3"/>
              </w:rPr>
              <w:t>New York, New York 10019</w:t>
            </w:r>
          </w:p>
        </w:tc>
      </w:tr>
      <w:tr>
        <w:trPr>
          <w:trHeight w:val="210"/>
        </w:trPr>
        <w:tc>
          <w:tcPr>
            <w:tcW w:w="2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ind w:right="20" w:firstLine="342"/>
        <w:spacing w:after="0" w:line="303"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 and upon completion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merger of Tango Acquisition Sub, Inc., a wholly owned subsidiary of Comcast Corporation (“Comcast”), with and into Time Warner Cable Inc. (“TWC”).</w:t>
      </w:r>
    </w:p>
    <w:p>
      <w:pPr>
        <w:spacing w:after="0" w:line="1"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4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right="20" w:firstLine="34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 w:lineRule="exact"/>
        <w:rPr>
          <w:sz w:val="24"/>
          <w:szCs w:val="24"/>
          <w:color w:val="auto"/>
        </w:rPr>
      </w:pPr>
    </w:p>
    <w:p>
      <w:pPr>
        <w:ind w:firstLine="342"/>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00" w:type="dxa"/>
        <w:tblCellMar>
          <w:top w:w="0" w:type="dxa"/>
          <w:left w:w="0" w:type="dxa"/>
          <w:bottom w:w="0" w:type="dxa"/>
          <w:right w:w="0" w:type="dxa"/>
        </w:tblCellMar>
      </w:tblPr>
      <w:tr>
        <w:trPr>
          <w:trHeight w:val="183"/>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80" w:type="dxa"/>
            <w:vAlign w:val="bottom"/>
          </w:tcPr>
          <w:p>
            <w:pPr>
              <w:ind w:left="35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6"/>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386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5480" w:type="dxa"/>
            <w:vAlign w:val="bottom"/>
          </w:tcPr>
          <w:p>
            <w:pPr>
              <w:ind w:left="35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6"/>
        </w:trPr>
        <w:tc>
          <w:tcPr>
            <w:tcW w:w="10980" w:type="dxa"/>
            <w:vAlign w:val="bottom"/>
            <w:gridSpan w:val="3"/>
          </w:tcPr>
          <w:p>
            <w:pPr>
              <w:ind w:left="2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500" w:type="dxa"/>
            <w:vAlign w:val="bottom"/>
            <w:gridSpan w:val="2"/>
          </w:tcPr>
          <w:p>
            <w:pPr>
              <w:ind w:left="260"/>
              <w:spacing w:after="0" w:line="184" w:lineRule="exact"/>
              <w:rPr>
                <w:sz w:val="20"/>
                <w:szCs w:val="20"/>
                <w:color w:val="auto"/>
              </w:rPr>
            </w:pPr>
            <w:r>
              <w:rPr>
                <w:rFonts w:ascii="Arial" w:cs="Arial" w:eastAsia="Arial" w:hAnsi="Arial"/>
                <w:sz w:val="16"/>
                <w:szCs w:val="16"/>
                <w:color w:val="auto"/>
                <w:w w:val="95"/>
              </w:rPr>
              <w:t xml:space="preserve">Securities Exchange Act Rule 13e-4(i) (Cross-Border Issuer Tender Offer) </w:t>
            </w:r>
            <w:r>
              <w:rPr>
                <w:rFonts w:ascii="MS PGothic" w:cs="MS PGothic" w:eastAsia="MS PGothic" w:hAnsi="MS PGothic"/>
                <w:sz w:val="16"/>
                <w:szCs w:val="16"/>
                <w:color w:val="auto"/>
                <w:w w:val="95"/>
              </w:rPr>
              <w:t>☐</w:t>
            </w:r>
          </w:p>
        </w:tc>
        <w:tc>
          <w:tcPr>
            <w:tcW w:w="54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6"/>
                <w:szCs w:val="16"/>
                <w:color w:val="auto"/>
                <w:w w:val="93"/>
              </w:rPr>
              <w:t>Securities Exchange Act Rule 14d-l(d) (Cross-Border Third-Party Tender Offer)</w:t>
            </w:r>
          </w:p>
        </w:tc>
        <w:tc>
          <w:tcPr>
            <w:tcW w:w="5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78105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Corporation (“Comcast”) is filing this registration statement on Form S-4 to register the issuance of its Class A common stock, par value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 per share, in connection with the proposed merger (the “Merger”) of Tango Acquisition Sub, Inc., a wholly owned subsidiary of Comcast, with and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 (“TWC”). The proxy statement information that forms a part of this registration statement is also deemed filed pursuant to Comcast’s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TWC’s obligations under Regulation 14A in connection with Comcast’s special meeting of its shareholders to approve the issuance of shares of Comcast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in connection with the Merger and in connection with TWC’s special meeting of its stockholders to approve the Merger.</w:t>
      </w:r>
    </w:p>
    <w:p>
      <w:pPr>
        <w:spacing w:after="0" w:line="211" w:lineRule="exact"/>
        <w:rPr>
          <w:sz w:val="20"/>
          <w:szCs w:val="20"/>
          <w:color w:val="auto"/>
        </w:rPr>
      </w:pPr>
    </w:p>
    <w:p>
      <w:pPr>
        <w:ind w:right="600" w:firstLine="456"/>
        <w:spacing w:after="0" w:line="291" w:lineRule="auto"/>
        <w:rPr>
          <w:sz w:val="20"/>
          <w:szCs w:val="20"/>
          <w:color w:val="auto"/>
        </w:rPr>
      </w:pPr>
      <w:r>
        <w:rPr>
          <w:rFonts w:ascii="Arial" w:cs="Arial" w:eastAsia="Arial" w:hAnsi="Arial"/>
          <w:sz w:val="16"/>
          <w:szCs w:val="16"/>
          <w:color w:val="auto"/>
        </w:rPr>
        <w:t>Separately, and subject to the satisfaction or waiver of applicable conditions, following the Merger, Comcast and Charter Communications, Inc. (“Charter”) will consummate three sets of transactions: (i) a spin-off (the “Spin-Off”) of specified Comcast cable systems into a newly formed entity</w:t>
      </w:r>
    </w:p>
    <w:p>
      <w:pPr>
        <w:ind w:right="100"/>
        <w:spacing w:after="0" w:line="285" w:lineRule="auto"/>
        <w:rPr>
          <w:sz w:val="20"/>
          <w:szCs w:val="20"/>
          <w:color w:val="auto"/>
        </w:rPr>
      </w:pPr>
      <w:r>
        <w:rPr>
          <w:rFonts w:ascii="Arial" w:cs="Arial" w:eastAsia="Arial" w:hAnsi="Arial"/>
          <w:sz w:val="16"/>
          <w:szCs w:val="16"/>
          <w:color w:val="auto"/>
        </w:rPr>
        <w:t>(“SpinCo”) followed by the SpinCo Merger (as defined below), (ii) an exchange of specified cable systems between Comcast (transferring former TWC systems) and Charter (the “Exchange”) and (iii) a sale by Comcast to Charter of specified former TWC systems (the “Sale”, and, together with the Spin-Off and the Exchange, the “divestiture transactions”). The applicable conditions to the divestiture transactions include, among other things, completion of the Merger, the requisite vote by the Charter stockholders, satisfaction of specified regulatory approvals, receipt of franchise approvals, completion of specified financing transactions and other conditions. In addition, the divestiture transactions may be terminated by either Comcast or Charter if, following receipt of carveout financial statements for the systems to be transferred pursuant to the Sale and Exchange, Charter is unable to obtain committed financing for the Sale. In the alternative, if the applicable conditions to the divestiture transactions are not met or waived or if the divestiture transactions are terminated, then following the Merger, Comcast is prepared to divest cable systems serving an aggregate of up to approximately 3 million subscribers in a spin-off, sale or other transaction, or combination thereof (the “Alternate Disposition Transaction”). Neither Comcast shareholders nor TWC stockholders are entitled to vote on the divestiture transactions or on the Alternate Disposition Transaction, if any,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described in this joint proxy statement/prospectus.</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connection with the Spin-Off, SpinCo will file a registration statement on Form S-1 to register the pro rata distribution of shares of its common stock to Comcast shareholders (including any legacy TWC stockholders who are Comcast shareholders as of the record date for the Spin-Off). SpinCo will file its registration statement on Form S-1 with the Securities and Exchange Commission (the “SEC”) prior to the anticipated closing of the Merger. The registration statement will need to be declared effective by the SEC prior to the record date for the distribution of shares of SpinCo to Comcast shareholders (including former TWC stockholders) and prior to the SpinCo Merger. In connection with the divestiture transactions, a registration statement (the “Charter Registration Statement”) is expected to be filed on Form S-4 to register the issuance of common stock of a Charter successor (“New Charter”) formed in connection with the divestiture transactions. The Charter Registration Statement is expected to include proxy statement information that will be deemed filed pursuant to Charter’s obligation under Regulation 14A in connection with Charter’s special meeting of its stockholders to approve the requisite proposals for the divestiture transactions, including the SpinCo Merger (as defined below).</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Charter stockholders provide the requisite stockholder approvals and the other applicable conditions to the divestiture transactions are met or waived, then Comcast will distribute the shares of SpinCo common stock pro rata to Comcast shareholders (including any legacy TWC stockholders who are Comcast shareholders as of the record date for the Spin-Off). Immediately following the distribution of SpinCo shares, another newly formed, wholly owned subsidiary of New Charter will merge with and into SpinCo with SpinCo surviving the merger (the “SpinCo Merger”). In connection with the SpinCo Merger, New Charter or a subsidiary of New Charter will receive shares of SpinCo common stock (currently estimated to represent approximately 33% of SpinCo’s outstanding common stock after giving effect to the SpinCo Merger), and SpinCo’s stockholders immediately prior to giving effect to the SpinCo Merger will receive shares of New Charter common stock and will continue to hold shares of SpinCo common stock, which are currently estimated to represent 67% of</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SpinCo’s outstanding common stock in the aggregate. No Comcast shareholders, TWC stockholders or SpinCo stockholders (other than Comcast as the initial sole stockholder of SpinCo) will be entitled to vote on the SpinCo Merger and no vote with respect thereto is or will be solicited by Comcast, TWC or SpinCo. In addition to registering the issuance of common stock of New Charter to Charter’s existing stockholders, the Charter Registration Statement is expected to register the issuance of New Charter shares in connection with the SpinCo Merger.</w:t>
      </w:r>
    </w:p>
    <w:p>
      <w:pPr>
        <w:spacing w:after="0" w:line="17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connection with the divestiture transactions and prior to the Spin-Off, Comcast, Charter and SpinCo will use reasonable best efforts to cause SpinCo to incur new indebtedness, including through the issuance of newly issued SpinCo notes to Comcast, which will enable Comcast to complete a debt-for-debt exchange (the “debt-for-debt exchange”). The divestiture transactions (including the Spin-Off, the SpinCo Merger, the Exchange, the Sale and the debt-for-debt exchange) are further described in “The Divestiture Transactions” beginning on page [—] of this joint proxy statement/prospectus.</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If the Charter stockholders do not approve the divestiture transactions or any other applicable conditions to the divestiture transactions are not met or waived, then in connection with the Alternate Disposition Transaction, if any, Comcast will determine whether the Alternate Disposition Transaction will be in the form of a spin-off, sale or other transaction, or combination thereof (any spun-off entity in the Alternate Disposition Transaction, if any, being referred to as “Alternate SpinCo”). In a spin-off, all of Comcast’s shareholders (including any legacy TWC stockholders who are Comcast shareholders as of the record date of any such spin-off) would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Alternate SpinCo, and Alternate SpinCo would file a registration statement on the appropriate form. Neither Comcast shareholders nor TWC stockholders would be entitled to vote on the form of any Alternate Disposition Transaction and no vote with respect thereto is being solicited by Comcast or TWC or would be solicited by Comcast following the Merger.</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PRELIMINARY—SUBJECT TO COMPLETION—DATED 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2905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46291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94615</wp:posOffset>
            </wp:positionV>
            <wp:extent cx="1329055"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2014</w:t>
      </w:r>
    </w:p>
    <w:p>
      <w:pPr>
        <w:spacing w:after="0" w:line="123" w:lineRule="exact"/>
        <w:rPr>
          <w:sz w:val="20"/>
          <w:szCs w:val="20"/>
          <w:color w:val="auto"/>
        </w:rPr>
      </w:pPr>
    </w:p>
    <w:p>
      <w:pPr>
        <w:ind w:right="3460" w:firstLine="3453"/>
        <w:spacing w:after="0" w:line="372" w:lineRule="auto"/>
        <w:rPr>
          <w:sz w:val="20"/>
          <w:szCs w:val="20"/>
          <w:color w:val="auto"/>
        </w:rPr>
      </w:pPr>
      <w:r>
        <w:rPr>
          <w:rFonts w:ascii="Arial" w:cs="Arial" w:eastAsia="Arial" w:hAnsi="Arial"/>
          <w:sz w:val="16"/>
          <w:szCs w:val="16"/>
          <w:b w:val="1"/>
          <w:bCs w:val="1"/>
          <w:color w:val="auto"/>
        </w:rPr>
        <w:t>MERGER PROPOSAL—YOUR VOTE IS VERY IMPORTANT Dear Comcast Corporation Shareholders and Time Warner Cable Inc. Stockholders:</w:t>
      </w:r>
    </w:p>
    <w:p>
      <w:pPr>
        <w:spacing w:after="0" w:line="1" w:lineRule="exact"/>
        <w:rPr>
          <w:sz w:val="20"/>
          <w:szCs w:val="20"/>
          <w:color w:val="auto"/>
        </w:rPr>
      </w:pPr>
    </w:p>
    <w:p>
      <w:pPr>
        <w:ind w:right="200" w:firstLine="342"/>
        <w:spacing w:after="0" w:line="269" w:lineRule="auto"/>
        <w:rPr>
          <w:sz w:val="20"/>
          <w:szCs w:val="20"/>
          <w:color w:val="auto"/>
        </w:rPr>
      </w:pPr>
      <w:r>
        <w:rPr>
          <w:rFonts w:ascii="Arial" w:cs="Arial" w:eastAsia="Arial" w:hAnsi="Arial"/>
          <w:sz w:val="16"/>
          <w:szCs w:val="16"/>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83" w:lineRule="exact"/>
        <w:rPr>
          <w:sz w:val="20"/>
          <w:szCs w:val="20"/>
          <w:color w:val="auto"/>
        </w:rPr>
      </w:pPr>
    </w:p>
    <w:p>
      <w:pPr>
        <w:ind w:right="40" w:firstLine="342"/>
        <w:spacing w:after="0" w:line="293" w:lineRule="auto"/>
        <w:rPr>
          <w:sz w:val="20"/>
          <w:szCs w:val="20"/>
          <w:color w:val="auto"/>
        </w:rPr>
      </w:pPr>
      <w:r>
        <w:rPr>
          <w:rFonts w:ascii="Arial" w:cs="Arial" w:eastAsia="Arial" w:hAnsi="Arial"/>
          <w:sz w:val="16"/>
          <w:szCs w:val="16"/>
          <w:color w:val="auto"/>
        </w:rPr>
        <w:t>Each of TWC and Comcast will be holding a special meeting for TWC stockholders and Comcast shareholders, respectively, to vote on certain matters in connection with the proposed merger.</w:t>
      </w:r>
    </w:p>
    <w:p>
      <w:pPr>
        <w:spacing w:after="0" w:line="64" w:lineRule="exact"/>
        <w:rPr>
          <w:sz w:val="20"/>
          <w:szCs w:val="20"/>
          <w:color w:val="auto"/>
        </w:rPr>
      </w:pPr>
    </w:p>
    <w:p>
      <w:pPr>
        <w:ind w:right="160" w:firstLine="342"/>
        <w:spacing w:after="0" w:line="273" w:lineRule="auto"/>
        <w:rPr>
          <w:sz w:val="20"/>
          <w:szCs w:val="20"/>
          <w:color w:val="auto"/>
        </w:rPr>
      </w:pPr>
      <w:r>
        <w:rPr>
          <w:rFonts w:ascii="Arial" w:cs="Arial" w:eastAsia="Arial" w:hAnsi="Arial"/>
          <w:sz w:val="16"/>
          <w:szCs w:val="16"/>
          <w:color w:val="auto"/>
        </w:rPr>
        <w:t>TWC stockholders are cordially invited to attend a special meeting of TWC stockholders to be held on [—], 2014 at [—]. At the TWC special meeting, TWC stockholders will be asked to adopt the merger agreement. Comcast shareholders are cordially invited to attend a special meeting of Comcast shareholders to be held on [—], 2014 at [—]. At the Comcast special meeting, Comcast shareholders will be asked to approve the issuance of shares of Comcast Class A common stock to TWC stockholders in the merger, which is referred to as the stock issuance.</w:t>
      </w:r>
    </w:p>
    <w:p>
      <w:pPr>
        <w:spacing w:after="0" w:line="77" w:lineRule="exact"/>
        <w:rPr>
          <w:sz w:val="20"/>
          <w:szCs w:val="20"/>
          <w:color w:val="auto"/>
        </w:rPr>
      </w:pPr>
    </w:p>
    <w:p>
      <w:pPr>
        <w:ind w:right="80" w:firstLine="342"/>
        <w:spacing w:after="0" w:line="272" w:lineRule="auto"/>
        <w:rPr>
          <w:sz w:val="20"/>
          <w:szCs w:val="20"/>
          <w:color w:val="auto"/>
        </w:rPr>
      </w:pPr>
      <w:r>
        <w:rPr>
          <w:rFonts w:ascii="Arial" w:cs="Arial" w:eastAsia="Arial" w:hAnsi="Arial"/>
          <w:sz w:val="16"/>
          <w:szCs w:val="16"/>
          <w:color w:val="auto"/>
        </w:rPr>
        <w:t xml:space="preserve">We cannot complete the merger unless TWC stockholders adopt the merger agreement and Comcast shareholders approve the stock issuance. </w:t>
      </w:r>
      <w:r>
        <w:rPr>
          <w:rFonts w:ascii="Arial" w:cs="Arial" w:eastAsia="Arial" w:hAnsi="Arial"/>
          <w:sz w:val="16"/>
          <w:szCs w:val="16"/>
          <w:b w:val="1"/>
          <w:bCs w:val="1"/>
          <w:color w:val="auto"/>
        </w:rPr>
        <w:t>Your vote is very</w:t>
      </w:r>
      <w:r>
        <w:rPr>
          <w:rFonts w:ascii="Arial" w:cs="Arial" w:eastAsia="Arial" w:hAnsi="Arial"/>
          <w:sz w:val="16"/>
          <w:szCs w:val="16"/>
          <w:color w:val="auto"/>
        </w:rPr>
        <w:t xml:space="preserve"> </w:t>
      </w:r>
      <w:r>
        <w:rPr>
          <w:rFonts w:ascii="Arial" w:cs="Arial" w:eastAsia="Arial" w:hAnsi="Arial"/>
          <w:sz w:val="16"/>
          <w:szCs w:val="16"/>
          <w:b w:val="1"/>
          <w:bCs w:val="1"/>
          <w:color w:val="auto"/>
        </w:rPr>
        <w:t>important, 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6"/>
          <w:szCs w:val="16"/>
          <w:color w:val="auto"/>
        </w:rPr>
        <w:t>.</w:t>
      </w:r>
    </w:p>
    <w:p>
      <w:pPr>
        <w:spacing w:after="0" w:line="82" w:lineRule="exact"/>
        <w:rPr>
          <w:sz w:val="20"/>
          <w:szCs w:val="20"/>
          <w:color w:val="auto"/>
        </w:rPr>
      </w:pPr>
    </w:p>
    <w:p>
      <w:pPr>
        <w:ind w:right="20" w:firstLine="342"/>
        <w:spacing w:after="0" w:line="278" w:lineRule="auto"/>
        <w:rPr>
          <w:sz w:val="20"/>
          <w:szCs w:val="20"/>
          <w:color w:val="auto"/>
        </w:rPr>
      </w:pPr>
      <w:r>
        <w:rPr>
          <w:rFonts w:ascii="Arial" w:cs="Arial" w:eastAsia="Arial" w:hAnsi="Arial"/>
          <w:sz w:val="16"/>
          <w:szCs w:val="16"/>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72" w:lineRule="exact"/>
        <w:rPr>
          <w:sz w:val="20"/>
          <w:szCs w:val="20"/>
          <w:color w:val="auto"/>
        </w:rPr>
      </w:pPr>
    </w:p>
    <w:p>
      <w:pPr>
        <w:ind w:right="360" w:firstLine="342"/>
        <w:spacing w:after="0" w:line="298" w:lineRule="auto"/>
        <w:rPr>
          <w:sz w:val="20"/>
          <w:szCs w:val="20"/>
          <w:color w:val="auto"/>
        </w:rPr>
      </w:pPr>
      <w:r>
        <w:rPr>
          <w:rFonts w:ascii="Arial" w:cs="Arial" w:eastAsia="Arial" w:hAnsi="Arial"/>
          <w:sz w:val="16"/>
          <w:szCs w:val="16"/>
          <w:b w:val="1"/>
          <w:bCs w:val="1"/>
          <w:color w:val="auto"/>
        </w:rPr>
        <w:t>The TWC board of directors unanimously recommends that TWC stockholders vote “FOR” the adoption of the merger agreement and “FOR” the “golden parachute” compensation proposal.</w:t>
      </w:r>
    </w:p>
    <w:p>
      <w:pPr>
        <w:spacing w:after="0" w:line="56" w:lineRule="exact"/>
        <w:rPr>
          <w:sz w:val="20"/>
          <w:szCs w:val="20"/>
          <w:color w:val="auto"/>
        </w:rPr>
      </w:pPr>
    </w:p>
    <w:p>
      <w:pPr>
        <w:ind w:right="400" w:firstLine="342"/>
        <w:spacing w:after="0" w:line="281" w:lineRule="auto"/>
        <w:rPr>
          <w:sz w:val="20"/>
          <w:szCs w:val="20"/>
          <w:color w:val="auto"/>
        </w:rPr>
      </w:pPr>
      <w:r>
        <w:rPr>
          <w:rFonts w:ascii="Arial" w:cs="Arial" w:eastAsia="Arial" w:hAnsi="Arial"/>
          <w:sz w:val="16"/>
          <w:szCs w:val="16"/>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74" w:lineRule="exact"/>
        <w:rPr>
          <w:sz w:val="20"/>
          <w:szCs w:val="20"/>
          <w:color w:val="auto"/>
        </w:rPr>
      </w:pPr>
    </w:p>
    <w:p>
      <w:pPr>
        <w:ind w:right="100" w:firstLine="456"/>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6"/>
          <w:szCs w:val="16"/>
          <w:b w:val="1"/>
          <w:bCs w:val="1"/>
          <w:color w:val="auto"/>
        </w:rPr>
        <w:t>We urge you to read the accompanying joint proxy statement/prospectus (and any documents</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incorporated by reference into the accompanying joint proxy statement/prospectus) carefully. Please pay particular attention to the section entitled “</w:t>
      </w:r>
      <w:hyperlink w:anchor="page8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68.</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hope to see you at the special meetings and look forward to the successful completion of the merger.</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Sincerely,</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Chairman and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Robert D. Marcus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Chairman and Chief Executive Officer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19"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right="10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joint proxy statement/prospectus is dated [—], 2014, and is first being mailed to Comcast shareholders and TWC stockholders on or about [—], 2014.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Comcast Corporation</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0"/>
              </w:rPr>
              <w:t>Time Warner Cable Inc.</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88"/>
              </w:rPr>
              <w:t>One Comcast Center</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1"/>
              </w:rPr>
              <w:t>60 Columbus Circle</w:t>
            </w:r>
          </w:p>
        </w:tc>
      </w:tr>
      <w:tr>
        <w:trPr>
          <w:trHeight w:val="216"/>
        </w:trPr>
        <w:tc>
          <w:tcPr>
            <w:tcW w:w="4520" w:type="dxa"/>
            <w:vAlign w:val="bottom"/>
          </w:tcPr>
          <w:p>
            <w:pPr>
              <w:jc w:val="center"/>
              <w:ind w:right="1570"/>
              <w:spacing w:after="0"/>
              <w:rPr>
                <w:sz w:val="20"/>
                <w:szCs w:val="20"/>
                <w:color w:val="auto"/>
              </w:rPr>
            </w:pPr>
            <w:r>
              <w:rPr>
                <w:rFonts w:ascii="Arial" w:cs="Arial" w:eastAsia="Arial" w:hAnsi="Arial"/>
                <w:sz w:val="18"/>
                <w:szCs w:val="18"/>
                <w:color w:val="auto"/>
                <w:w w:val="90"/>
              </w:rPr>
              <w:t>Philadelphia, Pennsylvania 19103-2838</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New York, New York 10023</w:t>
            </w:r>
          </w:p>
        </w:tc>
      </w:tr>
      <w:tr>
        <w:trPr>
          <w:trHeight w:val="216"/>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92"/>
              </w:rPr>
              <w:t>Attention: Investor Relations</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92"/>
              </w:rPr>
              <w:t>Attention: Investor Relations</w:t>
            </w:r>
          </w:p>
        </w:tc>
      </w:tr>
      <w:tr>
        <w:trPr>
          <w:trHeight w:val="230"/>
        </w:trPr>
        <w:tc>
          <w:tcPr>
            <w:tcW w:w="4520" w:type="dxa"/>
            <w:vAlign w:val="bottom"/>
          </w:tcPr>
          <w:p>
            <w:pPr>
              <w:jc w:val="center"/>
              <w:ind w:right="1590"/>
              <w:spacing w:after="0"/>
              <w:rPr>
                <w:sz w:val="20"/>
                <w:szCs w:val="20"/>
                <w:color w:val="auto"/>
              </w:rPr>
            </w:pPr>
            <w:r>
              <w:rPr>
                <w:rFonts w:ascii="Arial" w:cs="Arial" w:eastAsia="Arial" w:hAnsi="Arial"/>
                <w:sz w:val="18"/>
                <w:szCs w:val="18"/>
                <w:color w:val="auto"/>
                <w:w w:val="89"/>
              </w:rPr>
              <w:t>Telephone: (866) 281-2100</w:t>
            </w:r>
          </w:p>
        </w:tc>
        <w:tc>
          <w:tcPr>
            <w:tcW w:w="3760" w:type="dxa"/>
            <w:vAlign w:val="bottom"/>
          </w:tcPr>
          <w:p>
            <w:pPr>
              <w:jc w:val="center"/>
              <w:ind w:left="1590"/>
              <w:spacing w:after="0"/>
              <w:rPr>
                <w:sz w:val="20"/>
                <w:szCs w:val="20"/>
                <w:color w:val="auto"/>
              </w:rPr>
            </w:pPr>
            <w:r>
              <w:rPr>
                <w:rFonts w:ascii="Arial" w:cs="Arial" w:eastAsia="Arial" w:hAnsi="Arial"/>
                <w:sz w:val="18"/>
                <w:szCs w:val="18"/>
                <w:color w:val="auto"/>
                <w:w w:val="89"/>
              </w:rPr>
              <w:t>Telephone: (877) 446-3689</w:t>
            </w: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67"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b w:val="1"/>
          <w:bCs w:val="1"/>
          <w:color w:val="auto"/>
        </w:rPr>
        <w:t>If you would like to request documents, please do so no later than five business days before the date of Comcast’s special meeting of shareholders (which is [</w:t>
      </w:r>
      <w:r>
        <w:rPr>
          <w:rFonts w:ascii="Arial" w:cs="Arial" w:eastAsia="Arial" w:hAnsi="Arial"/>
          <w:sz w:val="16"/>
          <w:szCs w:val="16"/>
          <w:color w:val="auto"/>
        </w:rPr>
        <w:t>—</w:t>
      </w:r>
      <w:r>
        <w:rPr>
          <w:rFonts w:ascii="Arial" w:cs="Arial" w:eastAsia="Arial" w:hAnsi="Arial"/>
          <w:sz w:val="16"/>
          <w:szCs w:val="16"/>
          <w:b w:val="1"/>
          <w:bCs w:val="1"/>
          <w:color w:val="auto"/>
        </w:rPr>
        <w:t>], 2014) or five business days before the date of TWC’s special meeting of stockholders (which is [</w:t>
      </w:r>
      <w:r>
        <w:rPr>
          <w:rFonts w:ascii="Arial" w:cs="Arial" w:eastAsia="Arial" w:hAnsi="Arial"/>
          <w:sz w:val="16"/>
          <w:szCs w:val="16"/>
          <w:color w:val="auto"/>
        </w:rPr>
        <w:t>—</w:t>
      </w:r>
      <w:r>
        <w:rPr>
          <w:rFonts w:ascii="Arial" w:cs="Arial" w:eastAsia="Arial" w:hAnsi="Arial"/>
          <w:sz w:val="16"/>
          <w:szCs w:val="16"/>
          <w:b w:val="1"/>
          <w:bCs w:val="1"/>
          <w:color w:val="auto"/>
        </w:rPr>
        <w:t>], 2014), as applicable.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 of the accompanying joint proxy statement/prospectus for further information.</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of Comcast Corporation:</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special meeting of shareholders of Comcast Corporation, a Pennsylvania corporation, will be held on [—], 2014, at [—], located at [—], at [—], local time, for the following purposes:</w:t>
      </w:r>
    </w:p>
    <w:p>
      <w:pPr>
        <w:spacing w:after="0" w:line="76" w:lineRule="exact"/>
        <w:rPr>
          <w:sz w:val="20"/>
          <w:szCs w:val="20"/>
          <w:color w:val="auto"/>
        </w:rPr>
      </w:pPr>
    </w:p>
    <w:p>
      <w:pPr>
        <w:ind w:left="900" w:right="160" w:hanging="446"/>
        <w:spacing w:after="0" w:line="279"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76"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5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hold shares of Comcast common stock in your name at the record date, please be prepared to provide proper identification, such as a driver’s license, to gain admission to the Comcast special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 votes per share and each holder of Comcast Class B common stock is entitled to 15 votes per share. Holders of shares of Comcast Class A Special common stock are not</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entitled to vote at the meeting. </w:t>
      </w:r>
      <w:r>
        <w:rPr>
          <w:rFonts w:ascii="Arial" w:cs="Arial" w:eastAsia="Arial" w:hAnsi="Arial"/>
          <w:sz w:val="16"/>
          <w:szCs w:val="16"/>
          <w:b w:val="1"/>
          <w:bCs w:val="1"/>
          <w:color w:val="auto"/>
        </w:rPr>
        <w:t>After consideration and consultation with its advisors, the members of the Comcast board of directors present at the</w:t>
      </w:r>
      <w:r>
        <w:rPr>
          <w:rFonts w:ascii="Arial" w:cs="Arial" w:eastAsia="Arial" w:hAnsi="Arial"/>
          <w:sz w:val="16"/>
          <w:szCs w:val="16"/>
          <w:color w:val="auto"/>
        </w:rPr>
        <w:t xml:space="preserve"> </w:t>
      </w:r>
      <w:r>
        <w:rPr>
          <w:rFonts w:ascii="Arial" w:cs="Arial" w:eastAsia="Arial" w:hAnsi="Arial"/>
          <w:sz w:val="16"/>
          <w:szCs w:val="16"/>
          <w:b w:val="1"/>
          <w:bCs w:val="1"/>
          <w:color w:val="auto"/>
        </w:rPr>
        <w:t>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COMCAST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CABLE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2014</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Time Warner Cable Inc.:</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 special meeting of stockholders of Time Warner Cable Inc., a Delaware corporation, will be held on [—], 2014, at [—] located at [—], at [—], local time, for the following purposes:</w:t>
      </w:r>
    </w:p>
    <w:p>
      <w:pPr>
        <w:spacing w:after="0" w:line="76" w:lineRule="exact"/>
        <w:rPr>
          <w:sz w:val="20"/>
          <w:szCs w:val="20"/>
          <w:color w:val="auto"/>
        </w:rPr>
      </w:pPr>
    </w:p>
    <w:p>
      <w:pPr>
        <w:ind w:left="90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3"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proposal to approve, on an advisory (non-binding) basis, the “golden parachute” compensation payments that will or may be paid by TWC to its named executive officers in connection with the merger.</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TWC board of directors has fixed the close of business on [—],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 consideration and consultation with its advisors, the TWC board of directors unanimously determined that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 the merger and the other transactions contemplated by the merger agreement are fair to and in the best interests of TWC’s</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 Lawrence-Apfelbaum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2014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ir@twcable.com</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35"/>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Questions And Answers About The Merger And The Matters To Be Addressed At The Special Meetings</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3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0000EE"/>
            </w:tcBorders>
            <w:gridSpan w:val="3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Summary</w:t>
              </w:r>
            </w:hyperlink>
          </w:p>
        </w:tc>
        <w:tc>
          <w:tcPr>
            <w:tcW w:w="346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Selected Historical Consolidated Financial Data of Comcast</w:t>
              </w:r>
            </w:hyperlink>
          </w:p>
        </w:tc>
        <w:tc>
          <w:tcPr>
            <w:tcW w:w="66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Selected Historical Consolidated Financial Data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Comparative Historical and Unaudited Pro Forma Per Share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Comparative Per Share Market Price and Dividend Information</w:t>
              </w:r>
            </w:hyperlink>
          </w:p>
        </w:tc>
        <w:tc>
          <w:tcPr>
            <w:tcW w:w="62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Comcast Unaudited Pro Forma Condensed Combined Financial Statements</w:t>
              </w:r>
            </w:hyperlink>
          </w:p>
        </w:tc>
        <w:tc>
          <w:tcPr>
            <w:tcW w:w="55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Risk Factors</w:t>
              </w:r>
            </w:hyperlink>
          </w:p>
        </w:tc>
        <w:tc>
          <w:tcPr>
            <w:tcW w:w="1008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The Companies</w:t>
              </w:r>
            </w:hyperlink>
          </w:p>
        </w:tc>
        <w:tc>
          <w:tcPr>
            <w:tcW w:w="3420" w:type="dxa"/>
            <w:vAlign w:val="bottom"/>
            <w:tcBorders>
              <w:top w:val="single" w:sz="8" w:color="0000EE"/>
            </w:tcBorders>
            <w:gridSpan w:val="16"/>
          </w:tcPr>
          <w:p>
            <w:pPr>
              <w:spacing w:after="0"/>
              <w:rPr>
                <w:sz w:val="17"/>
                <w:szCs w:val="17"/>
                <w:color w:val="auto"/>
              </w:rPr>
            </w:pPr>
          </w:p>
        </w:tc>
        <w:tc>
          <w:tcPr>
            <w:tcW w:w="6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Special Meeting of Shareholders of Comcast</w:t>
              </w:r>
            </w:hyperlink>
          </w:p>
        </w:tc>
        <w:tc>
          <w:tcPr>
            <w:tcW w:w="77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Date, Time and Location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2">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Recommendations of the Comcast Board of Directors</w:t>
              </w:r>
            </w:hyperlink>
          </w:p>
        </w:tc>
        <w:tc>
          <w:tcPr>
            <w:tcW w:w="67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Comcast Record Date; Outstanding Shares; Shareholders Entitled to Vote</w:t>
              </w:r>
            </w:hyperlink>
          </w:p>
        </w:tc>
        <w:tc>
          <w:tcPr>
            <w:tcW w:w="53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Quorum</w:t>
              </w:r>
            </w:hyperlink>
          </w:p>
        </w:tc>
        <w:tc>
          <w:tcPr>
            <w:tcW w:w="10020" w:type="dxa"/>
            <w:vAlign w:val="bottom"/>
            <w:gridSpan w:val="2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6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Share Ownership of and Voting by Comcast Directors and Executive Officers</w:t>
              </w:r>
            </w:hyperlink>
          </w:p>
        </w:tc>
        <w:tc>
          <w:tcPr>
            <w:tcW w:w="50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Voting of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3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Special Meeting of Stockholders of TWC</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Date, Time and Location</w:t>
              </w:r>
            </w:hyperlink>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8">
              <w:r>
                <w:rPr>
                  <w:rFonts w:ascii="Arial" w:cs="Arial" w:eastAsia="Arial" w:hAnsi="Arial"/>
                  <w:sz w:val="18"/>
                  <w:szCs w:val="18"/>
                  <w:color w:val="0000EE"/>
                  <w:w w:val="86"/>
                </w:rPr>
                <w:t>Purpose</w:t>
              </w:r>
            </w:hyperlink>
          </w:p>
        </w:tc>
        <w:tc>
          <w:tcPr>
            <w:tcW w:w="1200" w:type="dxa"/>
            <w:vAlign w:val="bottom"/>
            <w:tcBorders>
              <w:top w:val="single" w:sz="8" w:color="0000EE"/>
            </w:tcBorders>
            <w:gridSpan w:val="9"/>
          </w:tcPr>
          <w:p>
            <w:pPr>
              <w:spacing w:after="0"/>
              <w:rPr>
                <w:sz w:val="17"/>
                <w:szCs w:val="17"/>
                <w:color w:val="auto"/>
              </w:rPr>
            </w:pPr>
          </w:p>
        </w:tc>
        <w:tc>
          <w:tcPr>
            <w:tcW w:w="88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Recommendations of the TWC Board of Directors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TWC Record Date; Outstanding Shares; Stockholders Entitled to Vote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Quorum</w:t>
              </w:r>
            </w:hyperlink>
          </w:p>
        </w:tc>
        <w:tc>
          <w:tcPr>
            <w:tcW w:w="4440" w:type="dxa"/>
            <w:vAlign w:val="bottom"/>
            <w:tcBorders>
              <w:top w:val="single" w:sz="8" w:color="0000EE"/>
            </w:tcBorders>
            <w:gridSpan w:val="20"/>
          </w:tcPr>
          <w:p>
            <w:pPr>
              <w:spacing w:after="0"/>
              <w:rPr>
                <w:sz w:val="17"/>
                <w:szCs w:val="17"/>
                <w:color w:val="auto"/>
              </w:rPr>
            </w:pPr>
          </w:p>
        </w:tc>
        <w:tc>
          <w:tcPr>
            <w:tcW w:w="55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Required Vote</w:t>
              </w:r>
            </w:hyperlink>
          </w:p>
        </w:tc>
        <w:tc>
          <w:tcPr>
            <w:tcW w:w="96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Share Ownership of and Voting by TWC Directors and Executive Officers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Voting of Shares</w:t>
              </w:r>
            </w:hyperlink>
          </w:p>
        </w:tc>
        <w:tc>
          <w:tcPr>
            <w:tcW w:w="5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Revocability of Proxies; Changing Your Vote</w:t>
              </w:r>
            </w:hyperlink>
          </w:p>
        </w:tc>
        <w:tc>
          <w:tcPr>
            <w:tcW w:w="73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Solicitation of Proxies; Expenses of Solicitation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Householding</w:t>
              </w:r>
            </w:hyperlink>
          </w:p>
        </w:tc>
        <w:tc>
          <w:tcPr>
            <w:tcW w:w="2440" w:type="dxa"/>
            <w:vAlign w:val="bottom"/>
            <w:tcBorders>
              <w:top w:val="single" w:sz="8" w:color="0000EE"/>
            </w:tcBorders>
            <w:gridSpan w:val="9"/>
          </w:tcPr>
          <w:p>
            <w:pPr>
              <w:spacing w:after="0"/>
              <w:rPr>
                <w:sz w:val="17"/>
                <w:szCs w:val="17"/>
                <w:color w:val="auto"/>
              </w:rPr>
            </w:pPr>
          </w:p>
        </w:tc>
        <w:tc>
          <w:tcPr>
            <w:tcW w:w="71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Adjournment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46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Assistance</w:t>
              </w:r>
            </w:hyperlink>
          </w:p>
        </w:tc>
        <w:tc>
          <w:tcPr>
            <w:tcW w:w="540" w:type="dxa"/>
            <w:vAlign w:val="bottom"/>
            <w:tcBorders>
              <w:top w:val="single" w:sz="8" w:color="0000EE"/>
            </w:tcBorders>
            <w:gridSpan w:val="6"/>
          </w:tcPr>
          <w:p>
            <w:pPr>
              <w:spacing w:after="0"/>
              <w:rPr>
                <w:sz w:val="17"/>
                <w:szCs w:val="17"/>
                <w:color w:val="auto"/>
              </w:rPr>
            </w:pPr>
          </w:p>
        </w:tc>
        <w:tc>
          <w:tcPr>
            <w:tcW w:w="93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TWC Proposal I: Adoption of the Merger Agreement and Comcast Proposal I: Approval of the Stock Issuance</w:t>
              </w:r>
            </w:hyperlink>
          </w:p>
        </w:tc>
        <w:tc>
          <w:tcPr>
            <w:tcW w:w="30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General</w:t>
              </w:r>
            </w:hyperlink>
          </w:p>
        </w:tc>
        <w:tc>
          <w:tcPr>
            <w:tcW w:w="1006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Background of the Merger</w:t>
              </w:r>
            </w:hyperlink>
          </w:p>
        </w:tc>
        <w:tc>
          <w:tcPr>
            <w:tcW w:w="87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40" w:type="dxa"/>
            <w:vAlign w:val="bottom"/>
            <w:gridSpan w:val="3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TWC’s Reasons for the Merger; Recommendation of the Merger by the TWC Board of Directors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980" w:type="dxa"/>
            <w:vAlign w:val="bottom"/>
            <w:tcBorders>
              <w:top w:val="single" w:sz="8" w:color="0000EE"/>
            </w:tcBorders>
            <w:gridSpan w:val="31"/>
          </w:tcPr>
          <w:p>
            <w:pPr>
              <w:spacing w:after="0" w:line="196" w:lineRule="exact"/>
              <w:rPr>
                <w:rFonts w:ascii="Arial" w:cs="Arial" w:eastAsia="Arial" w:hAnsi="Arial"/>
                <w:sz w:val="18"/>
                <w:szCs w:val="18"/>
                <w:color w:val="0000EE"/>
                <w:w w:val="98"/>
              </w:rPr>
            </w:pPr>
            <w:hyperlink w:anchor="page121">
              <w:r>
                <w:rPr>
                  <w:rFonts w:ascii="Arial" w:cs="Arial" w:eastAsia="Arial" w:hAnsi="Arial"/>
                  <w:sz w:val="18"/>
                  <w:szCs w:val="18"/>
                  <w:color w:val="0000EE"/>
                  <w:w w:val="98"/>
                </w:rPr>
                <w:t>Comcast’s Reasons for the Merger; Recommendation of the Comcast Board of Directors</w:t>
              </w:r>
            </w:hyperlink>
          </w:p>
        </w:tc>
        <w:tc>
          <w:tcPr>
            <w:tcW w:w="36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840" w:type="dxa"/>
            <w:vAlign w:val="bottom"/>
            <w:gridSpan w:val="16"/>
            <w:vMerge w:val="restart"/>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Opinions of TWC’s Financial Advisors</w:t>
              </w:r>
            </w:hyperlink>
          </w:p>
        </w:tc>
        <w:tc>
          <w:tcPr>
            <w:tcW w:w="7780" w:type="dxa"/>
            <w:vAlign w:val="bottom"/>
            <w:gridSpan w:val="14"/>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2840" w:type="dxa"/>
            <w:vAlign w:val="bottom"/>
            <w:tcBorders>
              <w:bottom w:val="single" w:sz="8" w:color="0000EE"/>
            </w:tcBorders>
            <w:gridSpan w:val="16"/>
            <w:vMerge w:val="continue"/>
          </w:tcPr>
          <w:p>
            <w:pPr>
              <w:spacing w:after="0"/>
              <w:rPr>
                <w:sz w:val="13"/>
                <w:szCs w:val="13"/>
                <w:color w:val="auto"/>
              </w:rPr>
            </w:pPr>
          </w:p>
        </w:tc>
        <w:tc>
          <w:tcPr>
            <w:tcW w:w="7780" w:type="dxa"/>
            <w:vAlign w:val="bottom"/>
            <w:gridSpan w:val="14"/>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Opinion of Financial Advisor to the TWC Independent Directors</w:t>
              </w:r>
            </w:hyperlink>
          </w:p>
        </w:tc>
        <w:tc>
          <w:tcPr>
            <w:tcW w:w="5940" w:type="dxa"/>
            <w:vAlign w:val="bottom"/>
            <w:gridSpan w:val="2"/>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Opinion of Comcast’s Financial Advisor</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Unaudited Prospective Financial Information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Certain Relationships between Comcast and TWC</w:t>
              </w:r>
            </w:hyperlink>
          </w:p>
        </w:tc>
        <w:tc>
          <w:tcPr>
            <w:tcW w:w="69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Regulatory Approvals Required for the Merger</w:t>
              </w:r>
            </w:hyperlink>
          </w:p>
        </w:tc>
        <w:tc>
          <w:tcPr>
            <w:tcW w:w="72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No Appraisal Rights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Material U.S. Federal Income Tax Consequences of the Merger</w:t>
              </w:r>
            </w:hyperlink>
          </w:p>
        </w:tc>
        <w:tc>
          <w:tcPr>
            <w:tcW w:w="60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30"/>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Accounting Treatment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Listing of Shares of Comcast Class A Common Stock and Delisting and Deregistration of TWC Common Stock</w:t>
              </w:r>
            </w:hyperlink>
          </w:p>
        </w:tc>
        <w:tc>
          <w:tcPr>
            <w:tcW w:w="254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72">
              <w:r>
                <w:rPr>
                  <w:rFonts w:ascii="Arial" w:cs="Arial" w:eastAsia="Arial" w:hAnsi="Arial"/>
                  <w:sz w:val="18"/>
                  <w:szCs w:val="18"/>
                  <w:color w:val="0000EE"/>
                  <w:w w:val="93"/>
                </w:rPr>
                <w:t>Litigation Relating to the Merger</w:t>
              </w:r>
            </w:hyperlink>
          </w:p>
        </w:tc>
        <w:tc>
          <w:tcPr>
            <w:tcW w:w="822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The Merger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1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The Voting Agreement</w:t>
              </w:r>
            </w:hyperlink>
          </w:p>
        </w:tc>
        <w:tc>
          <w:tcPr>
            <w:tcW w:w="40" w:type="dxa"/>
            <w:vAlign w:val="bottom"/>
            <w:tcBorders>
              <w:top w:val="single" w:sz="8" w:color="0000EE"/>
            </w:tcBorders>
          </w:tcPr>
          <w:p>
            <w:pPr>
              <w:spacing w:after="0"/>
              <w:rPr>
                <w:sz w:val="17"/>
                <w:szCs w:val="17"/>
                <w:color w:val="auto"/>
              </w:rPr>
            </w:pPr>
          </w:p>
        </w:tc>
        <w:tc>
          <w:tcPr>
            <w:tcW w:w="9280" w:type="dxa"/>
            <w:vAlign w:val="bottom"/>
            <w:gridSpan w:val="2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Interests of Certain Persons in the Merger</w:t>
              </w:r>
            </w:hyperlink>
          </w:p>
        </w:tc>
        <w:tc>
          <w:tcPr>
            <w:tcW w:w="796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TWC Proposal II: Advisory Vote on Golden Parachute Compensation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w:anchor="page213">
              <w:r>
                <w:rPr>
                  <w:rFonts w:ascii="Arial" w:cs="Arial" w:eastAsia="Arial" w:hAnsi="Arial"/>
                  <w:sz w:val="18"/>
                  <w:szCs w:val="18"/>
                  <w:color w:val="0000EE"/>
                  <w:w w:val="93"/>
                </w:rPr>
                <w:t>Comcast Proposal II: Adjournment of the Comcast Special Meeting</w:t>
              </w:r>
            </w:hyperlink>
          </w:p>
        </w:tc>
        <w:tc>
          <w:tcPr>
            <w:tcW w:w="596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14">
              <w:r>
                <w:rPr>
                  <w:rFonts w:ascii="Arial" w:cs="Arial" w:eastAsia="Arial" w:hAnsi="Arial"/>
                  <w:sz w:val="18"/>
                  <w:szCs w:val="18"/>
                  <w:color w:val="0000EE"/>
                  <w:w w:val="90"/>
                </w:rPr>
                <w:t>The Divestiture Transactions</w:t>
              </w:r>
            </w:hyperlink>
          </w:p>
        </w:tc>
        <w:tc>
          <w:tcPr>
            <w:tcW w:w="2780" w:type="dxa"/>
            <w:vAlign w:val="bottom"/>
            <w:tcBorders>
              <w:top w:val="single" w:sz="8" w:color="0000EE"/>
            </w:tcBorders>
            <w:gridSpan w:val="17"/>
          </w:tcPr>
          <w:p>
            <w:pPr>
              <w:spacing w:after="0"/>
              <w:rPr>
                <w:sz w:val="17"/>
                <w:szCs w:val="17"/>
                <w:color w:val="auto"/>
              </w:rPr>
            </w:pPr>
          </w:p>
        </w:tc>
        <w:tc>
          <w:tcPr>
            <w:tcW w:w="610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225">
              <w:r>
                <w:rPr>
                  <w:rFonts w:ascii="Arial" w:cs="Arial" w:eastAsia="Arial" w:hAnsi="Arial"/>
                  <w:sz w:val="18"/>
                  <w:szCs w:val="18"/>
                  <w:color w:val="0000EE"/>
                  <w:w w:val="92"/>
                </w:rPr>
                <w:t>Certain Beneficial Owners of TWC Common Stock</w:t>
              </w:r>
            </w:hyperlink>
          </w:p>
        </w:tc>
        <w:tc>
          <w:tcPr>
            <w:tcW w:w="72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Certain Beneficial Owners of Comcast Common Stock</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30">
              <w:r>
                <w:rPr>
                  <w:rFonts w:ascii="Arial" w:cs="Arial" w:eastAsia="Arial" w:hAnsi="Arial"/>
                  <w:sz w:val="18"/>
                  <w:szCs w:val="18"/>
                  <w:color w:val="0000EE"/>
                  <w:w w:val="91"/>
                </w:rPr>
                <w:t>Description of Comcast Capital Stock</w:t>
              </w:r>
            </w:hyperlink>
          </w:p>
        </w:tc>
        <w:tc>
          <w:tcPr>
            <w:tcW w:w="1220" w:type="dxa"/>
            <w:vAlign w:val="bottom"/>
            <w:tcBorders>
              <w:top w:val="single" w:sz="8" w:color="0000EE"/>
            </w:tcBorders>
            <w:gridSpan w:val="12"/>
          </w:tcPr>
          <w:p>
            <w:pPr>
              <w:spacing w:after="0"/>
              <w:rPr>
                <w:sz w:val="17"/>
                <w:szCs w:val="17"/>
                <w:color w:val="auto"/>
              </w:rPr>
            </w:pPr>
          </w:p>
        </w:tc>
        <w:tc>
          <w:tcPr>
            <w:tcW w:w="702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36">
              <w:r>
                <w:rPr>
                  <w:rFonts w:ascii="Arial" w:cs="Arial" w:eastAsia="Arial" w:hAnsi="Arial"/>
                  <w:sz w:val="18"/>
                  <w:szCs w:val="18"/>
                  <w:color w:val="0000EE"/>
                  <w:w w:val="91"/>
                </w:rPr>
                <w:t>Comparison of Stockholder Rights</w:t>
              </w:r>
            </w:hyperlink>
          </w:p>
        </w:tc>
        <w:tc>
          <w:tcPr>
            <w:tcW w:w="8460" w:type="dxa"/>
            <w:vAlign w:val="bottom"/>
            <w:gridSpan w:val="2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Legal Matters</w:t>
              </w:r>
            </w:hyperlink>
          </w:p>
        </w:tc>
        <w:tc>
          <w:tcPr>
            <w:tcW w:w="996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52">
              <w:r>
                <w:rPr>
                  <w:rFonts w:ascii="Arial" w:cs="Arial" w:eastAsia="Arial" w:hAnsi="Arial"/>
                  <w:sz w:val="18"/>
                  <w:szCs w:val="18"/>
                  <w:color w:val="0000EE"/>
                  <w:w w:val="88"/>
                </w:rPr>
                <w:t>Experts</w:t>
              </w:r>
            </w:hyperlink>
          </w:p>
        </w:tc>
        <w:tc>
          <w:tcPr>
            <w:tcW w:w="1042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53">
              <w:r>
                <w:rPr>
                  <w:rFonts w:ascii="Arial" w:cs="Arial" w:eastAsia="Arial" w:hAnsi="Arial"/>
                  <w:sz w:val="18"/>
                  <w:szCs w:val="18"/>
                  <w:color w:val="0000EE"/>
                  <w:w w:val="88"/>
                </w:rPr>
                <w:t>Future Shareholder Proposals</w:t>
              </w:r>
            </w:hyperlink>
          </w:p>
        </w:tc>
        <w:tc>
          <w:tcPr>
            <w:tcW w:w="884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55">
              <w:r>
                <w:rPr>
                  <w:rFonts w:ascii="Arial" w:cs="Arial" w:eastAsia="Arial" w:hAnsi="Arial"/>
                  <w:sz w:val="18"/>
                  <w:szCs w:val="18"/>
                  <w:color w:val="0000EE"/>
                  <w:w w:val="92"/>
                </w:rPr>
                <w:t>Where You Can Find More Information</w:t>
              </w:r>
            </w:hyperlink>
          </w:p>
        </w:tc>
        <w:tc>
          <w:tcPr>
            <w:tcW w:w="810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330"/>
        </w:trPr>
        <w:tc>
          <w:tcPr>
            <w:tcW w:w="10980" w:type="dxa"/>
            <w:vAlign w:val="bottom"/>
            <w:gridSpan w:val="31"/>
          </w:tcPr>
          <w:p>
            <w:pPr>
              <w:spacing w:after="0"/>
              <w:rPr>
                <w:sz w:val="20"/>
                <w:szCs w:val="20"/>
                <w:color w:val="auto"/>
              </w:rPr>
            </w:pPr>
            <w:r>
              <w:rPr>
                <w:rFonts w:ascii="Arial" w:cs="Arial" w:eastAsia="Arial" w:hAnsi="Arial"/>
                <w:sz w:val="18"/>
                <w:szCs w:val="18"/>
                <w:color w:val="auto"/>
              </w:rPr>
              <w:t>Annexes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w:anchor="page257">
              <w:r>
                <w:rPr>
                  <w:rFonts w:ascii="Arial" w:cs="Arial" w:eastAsia="Arial" w:hAnsi="Arial"/>
                  <w:sz w:val="18"/>
                  <w:szCs w:val="18"/>
                  <w:color w:val="0000EE"/>
                  <w:w w:val="91"/>
                </w:rPr>
                <w:t>Annex A: Agreement and Plan of Merger</w:t>
              </w:r>
            </w:hyperlink>
          </w:p>
        </w:tc>
        <w:tc>
          <w:tcPr>
            <w:tcW w:w="7980" w:type="dxa"/>
            <w:vAlign w:val="bottom"/>
            <w:gridSpan w:val="16"/>
          </w:tcPr>
          <w:p>
            <w:pPr>
              <w:spacing w:after="0"/>
              <w:rPr>
                <w:sz w:val="16"/>
                <w:szCs w:val="16"/>
                <w:color w:val="auto"/>
              </w:rPr>
            </w:pPr>
          </w:p>
        </w:tc>
        <w:tc>
          <w:tcPr>
            <w:tcW w:w="3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Annex B: Voting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2060" w:type="dxa"/>
            <w:vAlign w:val="bottom"/>
            <w:gridSpan w:val="8"/>
            <w:shd w:val="clear" w:color="auto" w:fill="0000EE"/>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2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23">
              <w:r>
                <w:rPr>
                  <w:rFonts w:ascii="Arial" w:cs="Arial" w:eastAsia="Arial" w:hAnsi="Arial"/>
                  <w:sz w:val="18"/>
                  <w:szCs w:val="18"/>
                  <w:color w:val="0000EE"/>
                  <w:w w:val="95"/>
                </w:rPr>
                <w:t>Annex C: Opinion of Allen &amp; Company LLC</w:t>
              </w:r>
            </w:hyperlink>
          </w:p>
        </w:tc>
        <w:tc>
          <w:tcPr>
            <w:tcW w:w="768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31"/>
          </w:tcPr>
          <w:p>
            <w:pPr>
              <w:spacing w:after="0" w:line="196" w:lineRule="exact"/>
              <w:rPr>
                <w:rFonts w:ascii="Arial" w:cs="Arial" w:eastAsia="Arial" w:hAnsi="Arial"/>
                <w:sz w:val="18"/>
                <w:szCs w:val="18"/>
                <w:color w:val="0000EE"/>
              </w:rPr>
            </w:pPr>
            <w:hyperlink w:anchor="page326">
              <w:r>
                <w:rPr>
                  <w:rFonts w:ascii="Arial" w:cs="Arial" w:eastAsia="Arial" w:hAnsi="Arial"/>
                  <w:sz w:val="18"/>
                  <w:szCs w:val="18"/>
                  <w:color w:val="0000EE"/>
                </w:rPr>
                <w:t>Annex D: Opinion of Citigroup Global Markets Inc.</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w:anchor="page329">
              <w:r>
                <w:rPr>
                  <w:rFonts w:ascii="Arial" w:cs="Arial" w:eastAsia="Arial" w:hAnsi="Arial"/>
                  <w:sz w:val="18"/>
                  <w:szCs w:val="18"/>
                  <w:color w:val="0000EE"/>
                  <w:w w:val="98"/>
                </w:rPr>
                <w:t>Annex E: Opinion of Morgan Stanley &amp; Co. LLC</w:t>
              </w:r>
            </w:hyperlink>
          </w:p>
        </w:tc>
        <w:tc>
          <w:tcPr>
            <w:tcW w:w="722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w:anchor="page332">
              <w:r>
                <w:rPr>
                  <w:rFonts w:ascii="Arial" w:cs="Arial" w:eastAsia="Arial" w:hAnsi="Arial"/>
                  <w:sz w:val="18"/>
                  <w:szCs w:val="18"/>
                  <w:color w:val="0000EE"/>
                  <w:w w:val="98"/>
                </w:rPr>
                <w:t>Annex F: Opinion of Centerview Partners LLC</w:t>
              </w:r>
            </w:hyperlink>
          </w:p>
        </w:tc>
        <w:tc>
          <w:tcPr>
            <w:tcW w:w="736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3400" w:type="dxa"/>
            <w:vAlign w:val="bottom"/>
            <w:gridSpan w:val="2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335">
              <w:r>
                <w:rPr>
                  <w:rFonts w:ascii="Arial" w:cs="Arial" w:eastAsia="Arial" w:hAnsi="Arial"/>
                  <w:sz w:val="18"/>
                  <w:szCs w:val="18"/>
                  <w:color w:val="0000EE"/>
                  <w:w w:val="92"/>
                </w:rPr>
                <w:t>Annex G: Opinion of J.P. Morgan Securities LLC</w:t>
              </w:r>
            </w:hyperlink>
          </w:p>
        </w:tc>
        <w:tc>
          <w:tcPr>
            <w:tcW w:w="736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G-1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QUESTIONS AND ANSWERS ABOUT THE MERGER AND THE MATTERS TO BE ADDRESSED AT THE SPECIAL MEETINGS</w:t>
      </w:r>
    </w:p>
    <w:p>
      <w:pPr>
        <w:spacing w:after="0" w:line="2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document?</w:t>
      </w:r>
    </w:p>
    <w:p>
      <w:pPr>
        <w:spacing w:after="0" w:line="131" w:lineRule="exact"/>
        <w:rPr>
          <w:sz w:val="20"/>
          <w:szCs w:val="20"/>
          <w:color w:val="auto"/>
        </w:rPr>
      </w:pPr>
    </w:p>
    <w:p>
      <w:pPr>
        <w:ind w:left="460" w:right="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85"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78"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78" w:lineRule="exact"/>
        <w:rPr>
          <w:rFonts w:ascii="Arial" w:cs="Arial" w:eastAsia="Arial" w:hAnsi="Arial"/>
          <w:sz w:val="18"/>
          <w:szCs w:val="18"/>
          <w:color w:val="auto"/>
        </w:rPr>
      </w:pPr>
    </w:p>
    <w:p>
      <w:pPr>
        <w:ind w:left="460" w:right="20"/>
        <w:spacing w:after="0" w:line="271" w:lineRule="auto"/>
        <w:rPr>
          <w:rFonts w:ascii="Arial" w:cs="Arial" w:eastAsia="Arial" w:hAnsi="Arial"/>
          <w:sz w:val="18"/>
          <w:szCs w:val="18"/>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Your vote is important. We encourage you to vote as soon as possible.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TWC stockholders receive in the merger?</w:t>
      </w:r>
    </w:p>
    <w:p>
      <w:pPr>
        <w:spacing w:after="0" w:line="131" w:lineRule="exact"/>
        <w:rPr>
          <w:sz w:val="20"/>
          <w:szCs w:val="20"/>
          <w:color w:val="auto"/>
        </w:rPr>
      </w:pPr>
    </w:p>
    <w:p>
      <w:pPr>
        <w:ind w:left="460" w:right="40" w:hanging="452"/>
        <w:spacing w:after="0" w:line="29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50" w:lineRule="exact"/>
        <w:rPr>
          <w:rFonts w:ascii="Arial" w:cs="Arial" w:eastAsia="Arial" w:hAnsi="Arial"/>
          <w:sz w:val="16"/>
          <w:szCs w:val="16"/>
          <w:color w:val="auto"/>
        </w:rPr>
      </w:pPr>
    </w:p>
    <w:p>
      <w:pPr>
        <w:ind w:left="460"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6"/>
          <w:szCs w:val="16"/>
          <w:b w:val="1"/>
          <w:bCs w:val="1"/>
          <w:color w:val="auto"/>
        </w:rPr>
        <w:t>Because Comcast will issue a fixed</w:t>
      </w:r>
      <w:r>
        <w:rPr>
          <w:rFonts w:ascii="Arial" w:cs="Arial" w:eastAsia="Arial" w:hAnsi="Arial"/>
          <w:sz w:val="16"/>
          <w:szCs w:val="16"/>
          <w:color w:val="auto"/>
        </w:rPr>
        <w:t xml:space="preserve"> </w:t>
      </w:r>
      <w:r>
        <w:rPr>
          <w:rFonts w:ascii="Arial" w:cs="Arial" w:eastAsia="Arial" w:hAnsi="Arial"/>
          <w:sz w:val="16"/>
          <w:szCs w:val="16"/>
          <w:b w:val="1"/>
          <w:bCs w:val="1"/>
          <w:color w:val="auto"/>
        </w:rPr>
        <w:t>number of shares of Comcast Class A common stock 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61" w:lineRule="exact"/>
        <w:rPr>
          <w:rFonts w:ascii="Arial" w:cs="Arial" w:eastAsia="Arial" w:hAnsi="Arial"/>
          <w:sz w:val="16"/>
          <w:szCs w:val="16"/>
          <w:color w:val="auto"/>
        </w:rPr>
      </w:pPr>
    </w:p>
    <w:p>
      <w:pPr>
        <w:ind w:left="460" w:right="1060"/>
        <w:spacing w:after="0" w:line="277" w:lineRule="auto"/>
        <w:rPr>
          <w:rFonts w:ascii="Arial" w:cs="Arial" w:eastAsia="Arial" w:hAnsi="Arial"/>
          <w:sz w:val="16"/>
          <w:szCs w:val="16"/>
          <w:color w:val="auto"/>
        </w:rPr>
      </w:pPr>
      <w:r>
        <w:rPr>
          <w:rFonts w:ascii="Arial" w:cs="Arial" w:eastAsia="Arial" w:hAnsi="Arial"/>
          <w:sz w:val="18"/>
          <w:szCs w:val="18"/>
          <w:color w:val="auto"/>
        </w:rPr>
        <w:t>For information with respect to the divestiture transactions, see “The Divestiture Transactions” beginning on page [—] of this joint proxy statement/prospectus.</w:t>
      </w:r>
    </w:p>
    <w:p>
      <w:pPr>
        <w:spacing w:after="0" w:line="19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merger is not completed?</w:t>
      </w:r>
    </w:p>
    <w:p>
      <w:pPr>
        <w:spacing w:after="0" w:line="131" w:lineRule="exact"/>
        <w:rPr>
          <w:sz w:val="20"/>
          <w:szCs w:val="20"/>
          <w:color w:val="auto"/>
        </w:rPr>
      </w:pPr>
    </w:p>
    <w:p>
      <w:pPr>
        <w:ind w:left="460" w:right="28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TWC stockholders being asked to vote on?</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TWC stockholders are being asked to vote on the following proposals:</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paid by TWC to its named executive officers in connection with the merger.</w:t>
      </w:r>
    </w:p>
    <w:p>
      <w:pPr>
        <w:spacing w:after="0" w:line="62" w:lineRule="exact"/>
        <w:rPr>
          <w:sz w:val="20"/>
          <w:szCs w:val="20"/>
          <w:color w:val="auto"/>
        </w:rPr>
      </w:pPr>
    </w:p>
    <w:p>
      <w:pPr>
        <w:ind w:left="460" w:right="580"/>
        <w:spacing w:after="0" w:line="34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Comcast shareholders being asked to vote on?</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shareholders are being asked to vote on the following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62"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adopt the merger agreement?</w:t>
      </w:r>
    </w:p>
    <w:p>
      <w:pPr>
        <w:spacing w:after="0" w:line="131" w:lineRule="exact"/>
        <w:rPr>
          <w:sz w:val="20"/>
          <w:szCs w:val="20"/>
          <w:color w:val="auto"/>
        </w:rPr>
      </w:pPr>
    </w:p>
    <w:p>
      <w:pPr>
        <w:ind w:left="460" w:hanging="452"/>
        <w:spacing w:after="0" w:line="27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20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“golden parachute” compensation and why am I being asked to vote on it?</w:t>
      </w:r>
    </w:p>
    <w:p>
      <w:pPr>
        <w:spacing w:after="0" w:line="131" w:lineRule="exact"/>
        <w:rPr>
          <w:sz w:val="20"/>
          <w:szCs w:val="20"/>
          <w:color w:val="auto"/>
        </w:rPr>
      </w:pPr>
    </w:p>
    <w:p>
      <w:pPr>
        <w:ind w:left="460" w:right="4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19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TWC board of directors recommend that TWC stockholders approve the “golden parachute” compensation proposal?</w:t>
      </w:r>
    </w:p>
    <w:p>
      <w:pPr>
        <w:spacing w:after="0" w:line="127" w:lineRule="exact"/>
        <w:rPr>
          <w:sz w:val="20"/>
          <w:szCs w:val="20"/>
          <w:color w:val="auto"/>
        </w:rPr>
      </w:pPr>
    </w:p>
    <w:p>
      <w:pPr>
        <w:ind w:left="460" w:right="520" w:hanging="452"/>
        <w:spacing w:after="0" w:line="289"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 of this joint proxy statement/prospectus.</w:t>
      </w:r>
    </w:p>
    <w:p>
      <w:pPr>
        <w:spacing w:after="0" w:line="1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“golden parachute” compensation proposal is not approved?</w:t>
      </w:r>
    </w:p>
    <w:p>
      <w:pPr>
        <w:spacing w:after="0" w:line="131" w:lineRule="exact"/>
        <w:rPr>
          <w:sz w:val="20"/>
          <w:szCs w:val="20"/>
          <w:color w:val="auto"/>
        </w:rPr>
      </w:pPr>
    </w:p>
    <w:p>
      <w:pPr>
        <w:ind w:left="46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the Comcast board of directors recommend that Comcast shareholders approve the stock issuance?</w:t>
      </w:r>
    </w:p>
    <w:p>
      <w:pPr>
        <w:spacing w:after="0" w:line="131" w:lineRule="exact"/>
        <w:rPr>
          <w:sz w:val="20"/>
          <w:szCs w:val="20"/>
          <w:color w:val="auto"/>
        </w:rPr>
      </w:pPr>
    </w:p>
    <w:p>
      <w:pPr>
        <w:ind w:left="460" w:right="20" w:hanging="452"/>
        <w:spacing w:after="0" w:line="29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 of this joint proxy statement/prospectus.</w:t>
      </w:r>
    </w:p>
    <w:p>
      <w:pPr>
        <w:spacing w:after="0" w:line="19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61" w:lineRule="exact"/>
        <w:rPr>
          <w:sz w:val="20"/>
          <w:szCs w:val="20"/>
          <w:color w:val="auto"/>
        </w:rPr>
      </w:pPr>
    </w:p>
    <w:p>
      <w:pPr>
        <w:ind w:left="460" w:right="300" w:hanging="452"/>
        <w:spacing w:after="0" w:line="31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is 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9" w:lineRule="exact"/>
        <w:rPr>
          <w:rFonts w:ascii="Arial" w:cs="Arial" w:eastAsia="Arial" w:hAnsi="Arial"/>
          <w:sz w:val="16"/>
          <w:szCs w:val="16"/>
          <w:color w:val="auto"/>
        </w:rPr>
      </w:pPr>
    </w:p>
    <w:p>
      <w:pPr>
        <w:ind w:left="900" w:hanging="446"/>
        <w:spacing w:after="0" w:line="255"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Approval of Golden Parachute Compensation</w:t>
      </w:r>
      <w:r>
        <w:rPr>
          <w:rFonts w:ascii="Arial" w:cs="Arial" w:eastAsia="Arial" w:hAnsi="Arial"/>
          <w:sz w:val="18"/>
          <w:szCs w:val="18"/>
          <w:color w:val="auto"/>
        </w:rPr>
        <w:t>: The affirmative vote of a majority of the votes cast at the TWC special meeting by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TWC 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2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5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are the vote requirements for the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Stock Issuance</w:t>
      </w:r>
      <w:r>
        <w:rPr>
          <w:rFonts w:ascii="Arial" w:cs="Arial" w:eastAsia="Arial" w:hAnsi="Arial"/>
          <w:sz w:val="18"/>
          <w:szCs w:val="18"/>
          <w:color w:val="auto"/>
        </w:rPr>
        <w:t>: There are two vote requirements required to approve the stock issuance:</w:t>
      </w:r>
    </w:p>
    <w:p>
      <w:pPr>
        <w:spacing w:after="0" w:line="130" w:lineRule="exact"/>
        <w:rPr>
          <w:rFonts w:ascii="Arial" w:cs="Arial" w:eastAsia="Arial" w:hAnsi="Arial"/>
          <w:sz w:val="18"/>
          <w:szCs w:val="18"/>
          <w:color w:val="auto"/>
        </w:rPr>
      </w:pPr>
    </w:p>
    <w:p>
      <w:pPr>
        <w:ind w:left="1480" w:right="80" w:hanging="567"/>
        <w:spacing w:after="0" w:line="297" w:lineRule="auto"/>
        <w:tabs>
          <w:tab w:leader="none" w:pos="14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63" w:lineRule="exact"/>
        <w:rPr>
          <w:rFonts w:ascii="Arial" w:cs="Arial" w:eastAsia="Arial" w:hAnsi="Arial"/>
          <w:sz w:val="16"/>
          <w:szCs w:val="16"/>
          <w:color w:val="auto"/>
        </w:rPr>
      </w:pPr>
    </w:p>
    <w:p>
      <w:pPr>
        <w:ind w:left="1480" w:right="160" w:hanging="567"/>
        <w:spacing w:after="0" w:line="264" w:lineRule="auto"/>
        <w:tabs>
          <w:tab w:leader="none" w:pos="14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3" w:lineRule="exact"/>
        <w:rPr>
          <w:sz w:val="20"/>
          <w:szCs w:val="20"/>
          <w:color w:val="auto"/>
        </w:rPr>
      </w:pPr>
    </w:p>
    <w:p>
      <w:pPr>
        <w:ind w:left="920" w:right="260"/>
        <w:spacing w:after="0" w:line="288" w:lineRule="auto"/>
        <w:rPr>
          <w:sz w:val="20"/>
          <w:szCs w:val="20"/>
          <w:color w:val="auto"/>
        </w:rPr>
      </w:pPr>
      <w:r>
        <w:rPr>
          <w:rFonts w:ascii="Arial" w:cs="Arial" w:eastAsia="Arial" w:hAnsi="Arial"/>
          <w:sz w:val="16"/>
          <w:szCs w:val="16"/>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w:t>
      </w:r>
    </w:p>
    <w:p>
      <w:pPr>
        <w:ind w:left="920" w:right="240"/>
        <w:spacing w:after="0" w:line="302" w:lineRule="auto"/>
        <w:rPr>
          <w:sz w:val="20"/>
          <w:szCs w:val="20"/>
          <w:color w:val="auto"/>
        </w:rPr>
      </w:pPr>
      <w:r>
        <w:rPr>
          <w:rFonts w:ascii="Arial" w:cs="Arial" w:eastAsia="Arial" w:hAnsi="Arial"/>
          <w:sz w:val="16"/>
          <w:szCs w:val="16"/>
          <w:color w:val="auto"/>
        </w:rPr>
        <w:t>[0.02]% of the outstanding shares of Comcast Class A common stock and 100% of the outstanding shares of Comcast Class B common stock, which together represent approximately [33.35]% of the combined voting power of Comcast Class A common stock and Comcast Class B common stock for purposes of the single class vote. The voting agreement may be terminated under certain circumstances.</w:t>
      </w:r>
    </w:p>
    <w:p>
      <w:pPr>
        <w:spacing w:after="0" w:line="47" w:lineRule="exact"/>
        <w:rPr>
          <w:sz w:val="20"/>
          <w:szCs w:val="20"/>
          <w:color w:val="auto"/>
        </w:rPr>
      </w:pPr>
    </w:p>
    <w:p>
      <w:pPr>
        <w:ind w:left="920" w:right="360"/>
        <w:spacing w:after="0" w:line="279"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6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written consent is sufficient to approve the stock issuance for purposes of the separate Class B vote. Accordingly, the only vote being sought at the Comcast special meeting on the proposal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302" w:lineRule="auto"/>
        <w:rPr>
          <w:sz w:val="20"/>
          <w:szCs w:val="20"/>
          <w:color w:val="auto"/>
        </w:rPr>
      </w:pPr>
      <w:r>
        <w:rPr>
          <w:rFonts w:ascii="Arial" w:cs="Arial" w:eastAsia="Arial" w:hAnsi="Arial"/>
          <w:sz w:val="16"/>
          <w:szCs w:val="16"/>
          <w:color w:val="auto"/>
        </w:rPr>
        <w:t>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0" w:lineRule="exact"/>
        <w:rPr>
          <w:sz w:val="20"/>
          <w:szCs w:val="20"/>
          <w:color w:val="auto"/>
        </w:rPr>
      </w:pPr>
    </w:p>
    <w:p>
      <w:pPr>
        <w:ind w:left="900" w:right="120" w:hanging="446"/>
        <w:spacing w:after="0" w:line="255"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Adjournment (if necessary)</w:t>
      </w:r>
      <w:r>
        <w:rPr>
          <w:rFonts w:ascii="Arial" w:cs="Arial" w:eastAsia="Arial" w:hAnsi="Arial"/>
          <w:sz w:val="18"/>
          <w:szCs w:val="18"/>
          <w:color w:val="auto"/>
        </w:rPr>
        <w:t>: Whether or not a quorum is present, the affirmative vote of a majority of the votes cast at the Comcast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by 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22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TWC special meeting?</w:t>
      </w:r>
    </w:p>
    <w:p>
      <w:pPr>
        <w:spacing w:after="0" w:line="131" w:lineRule="exact"/>
        <w:rPr>
          <w:sz w:val="20"/>
          <w:szCs w:val="20"/>
          <w:color w:val="auto"/>
        </w:rPr>
      </w:pPr>
    </w:p>
    <w:p>
      <w:pPr>
        <w:ind w:left="460" w:right="60" w:hanging="452"/>
        <w:spacing w:after="0" w:line="279"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9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 for the Comcast special meeting?</w:t>
      </w:r>
    </w:p>
    <w:p>
      <w:pPr>
        <w:spacing w:after="0" w:line="131" w:lineRule="exact"/>
        <w:rPr>
          <w:sz w:val="20"/>
          <w:szCs w:val="20"/>
          <w:color w:val="auto"/>
        </w:rPr>
      </w:pPr>
    </w:p>
    <w:p>
      <w:pPr>
        <w:ind w:left="460" w:right="2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46" w:lineRule="exact"/>
        <w:rPr>
          <w:rFonts w:ascii="Arial" w:cs="Arial" w:eastAsia="Arial" w:hAnsi="Arial"/>
          <w:sz w:val="16"/>
          <w:szCs w:val="16"/>
          <w:color w:val="auto"/>
        </w:rPr>
      </w:pPr>
    </w:p>
    <w:p>
      <w:pPr>
        <w:ind w:left="460" w:right="40"/>
        <w:spacing w:after="0" w:line="31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TWC special meeting, and how many votes does each holder of TWC common stock have?</w:t>
      </w:r>
    </w:p>
    <w:p>
      <w:pPr>
        <w:spacing w:after="0" w:line="131" w:lineRule="exact"/>
        <w:rPr>
          <w:sz w:val="20"/>
          <w:szCs w:val="20"/>
          <w:color w:val="auto"/>
        </w:rPr>
      </w:pPr>
    </w:p>
    <w:p>
      <w:pPr>
        <w:ind w:left="460" w:right="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holders of TWC common stock who held shares at the record date for the TWC special meeting (the close of business on [—], 2014) are entitled to receive notice of, and to vote at, the TWC special meeting, provided that those shares remain outstanding on the date of the TWC special meeting. As of the close of business on [—], 2014, there were [—] shares of TWC common stock outstanding. Each holder of TWC common stock is entitled to one vote for each share of TWC common stock owned at the record date.</w:t>
      </w:r>
    </w:p>
    <w:p>
      <w:pPr>
        <w:spacing w:after="0" w:line="21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Comcast special meeting?</w:t>
      </w:r>
    </w:p>
    <w:p>
      <w:pPr>
        <w:spacing w:after="0" w:line="131" w:lineRule="exact"/>
        <w:rPr>
          <w:sz w:val="20"/>
          <w:szCs w:val="20"/>
          <w:color w:val="auto"/>
        </w:rPr>
      </w:pPr>
    </w:p>
    <w:p>
      <w:pPr>
        <w:ind w:left="460" w:right="160" w:hanging="452"/>
        <w:spacing w:after="0" w:line="25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 Class A shareholders and Comcast Class B shareholders who held shares at the record date for the Comcast special meeting (the close of business on [—], 2014) are entitled to receive notice of, and to vote at, the Comcast special meeting, provided that those shares remain outstanding on the date of the Comcast 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80"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 2014, there were [—] shares of Comcast Class A common stock outstanding and 9,444,375 shares of Comcast Class B common stock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votes does each Comcast shareholder have?</w:t>
      </w:r>
    </w:p>
    <w:p>
      <w:pPr>
        <w:spacing w:after="0" w:line="131" w:lineRule="exact"/>
        <w:rPr>
          <w:sz w:val="20"/>
          <w:szCs w:val="20"/>
          <w:color w:val="auto"/>
        </w:rPr>
      </w:pPr>
    </w:p>
    <w:p>
      <w:pPr>
        <w:ind w:left="460" w:right="160" w:hanging="452"/>
        <w:spacing w:after="0" w:line="26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hold shares in both TWC and Comcast?</w:t>
      </w:r>
    </w:p>
    <w:p>
      <w:pPr>
        <w:spacing w:after="0" w:line="131" w:lineRule="exact"/>
        <w:rPr>
          <w:sz w:val="20"/>
          <w:szCs w:val="20"/>
          <w:color w:val="auto"/>
        </w:rPr>
      </w:pPr>
    </w:p>
    <w:p>
      <w:pPr>
        <w:ind w:left="460" w:right="1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8"/>
          <w:szCs w:val="18"/>
          <w:b w:val="1"/>
          <w:bCs w:val="1"/>
          <w:color w:val="auto"/>
        </w:rPr>
        <w:t>Therefore, please sign, date, mark and return all proxy cards and/or voting instructions that you receive from TWC or Comcast, or</w:t>
      </w:r>
      <w:r>
        <w:rPr>
          <w:rFonts w:ascii="Arial" w:cs="Arial" w:eastAsia="Arial" w:hAnsi="Arial"/>
          <w:sz w:val="18"/>
          <w:szCs w:val="18"/>
          <w:color w:val="auto"/>
        </w:rPr>
        <w:t xml:space="preserve"> </w:t>
      </w:r>
      <w:r>
        <w:rPr>
          <w:rFonts w:ascii="Arial" w:cs="Arial" w:eastAsia="Arial" w:hAnsi="Arial"/>
          <w:sz w:val="18"/>
          <w:szCs w:val="18"/>
          <w:b w:val="1"/>
          <w:bCs w:val="1"/>
          <w:color w:val="auto"/>
        </w:rPr>
        <w:t>submit them over the Internet or by telephone.</w:t>
      </w:r>
    </w:p>
    <w:p>
      <w:pPr>
        <w:spacing w:after="0" w:line="2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TWC special meeting?</w:t>
      </w:r>
    </w:p>
    <w:p>
      <w:pPr>
        <w:spacing w:after="0" w:line="13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TWC special meeting will be held on [—], 2014, at [—], located at [—], at [—], local time.</w:t>
      </w:r>
    </w:p>
    <w:p>
      <w:pPr>
        <w:spacing w:after="0" w:line="25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Comcast special meeting?</w:t>
      </w:r>
    </w:p>
    <w:p>
      <w:pPr>
        <w:spacing w:after="0" w:line="13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Comcast special meeting will be held on [—], 2014, at [—], located at [—], at [—], local time.</w:t>
      </w:r>
    </w:p>
    <w:p>
      <w:pPr>
        <w:spacing w:after="0" w:line="25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TWC special meeting?</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78" w:lineRule="exact"/>
        <w:rPr>
          <w:rFonts w:ascii="Arial" w:cs="Arial" w:eastAsia="Arial" w:hAnsi="Arial"/>
          <w:sz w:val="18"/>
          <w:szCs w:val="18"/>
          <w:color w:val="auto"/>
        </w:rPr>
      </w:pPr>
    </w:p>
    <w:p>
      <w:pPr>
        <w:jc w:val="both"/>
        <w:ind w:left="460" w:right="420"/>
        <w:spacing w:after="0" w:line="264"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63"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Person</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9"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in TWC’s 401(k) Plan</w:t>
      </w:r>
    </w:p>
    <w:p>
      <w:pPr>
        <w:spacing w:after="0" w:line="117"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 2014, your interest will be voted at the TWC special meeting in the same proportion as other participants’ interests in the TWC Savings Plan for which Fidelity Management Trust Company has received voting instructions.</w:t>
      </w:r>
    </w:p>
    <w:p>
      <w:pPr>
        <w:spacing w:after="0" w:line="77"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2"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 2014, or TWC’s agent must receive your paper proxy card by mail no later than the close of business on [—], 2014.</w:t>
      </w:r>
    </w:p>
    <w:p>
      <w:pPr>
        <w:spacing w:after="0" w:line="193" w:lineRule="exact"/>
        <w:rPr>
          <w:sz w:val="20"/>
          <w:szCs w:val="20"/>
          <w:color w:val="auto"/>
        </w:rPr>
      </w:pPr>
    </w:p>
    <w:p>
      <w:pPr>
        <w:ind w:left="460" w:right="500" w:hanging="452"/>
        <w:spacing w:after="0" w:line="277"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my shares of TWC common stock are held in “street name,” will my broker, bank, nominee or other holder of record automatically vote my shares for me?</w:t>
      </w:r>
    </w:p>
    <w:p>
      <w:pPr>
        <w:spacing w:after="0" w:line="76" w:lineRule="exact"/>
        <w:rPr>
          <w:sz w:val="20"/>
          <w:szCs w:val="20"/>
          <w:color w:val="auto"/>
        </w:rPr>
      </w:pPr>
    </w:p>
    <w:p>
      <w:pPr>
        <w:ind w:left="460" w:right="180" w:hanging="452"/>
        <w:spacing w:after="0" w:line="31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54" w:lineRule="exact"/>
        <w:rPr>
          <w:sz w:val="20"/>
          <w:szCs w:val="20"/>
          <w:color w:val="auto"/>
        </w:rPr>
      </w:pPr>
    </w:p>
    <w:p>
      <w:pPr>
        <w:ind w:left="460" w:right="48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proxy card and return it without indicating how to vote on any particular proposal, the shares of TWC common stock represented by your proxy will be voted in favor of that proposal.</w:t>
      </w:r>
    </w:p>
    <w:p>
      <w:pPr>
        <w:spacing w:after="0" w:line="19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 my shares at the Comcast special meeting?</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Via the Internet or by Telephone</w:t>
      </w:r>
    </w:p>
    <w:p>
      <w:pPr>
        <w:spacing w:after="0" w:line="117" w:lineRule="exact"/>
        <w:rPr>
          <w:rFonts w:ascii="Arial" w:cs="Arial" w:eastAsia="Arial" w:hAnsi="Arial"/>
          <w:sz w:val="18"/>
          <w:szCs w:val="18"/>
          <w:color w:val="auto"/>
        </w:rPr>
      </w:pPr>
    </w:p>
    <w:p>
      <w:pPr>
        <w:ind w:left="460" w:right="160"/>
        <w:spacing w:after="0" w:line="342" w:lineRule="auto"/>
        <w:rPr>
          <w:rFonts w:ascii="Arial" w:cs="Arial" w:eastAsia="Arial" w:hAnsi="Arial"/>
          <w:sz w:val="18"/>
          <w:szCs w:val="18"/>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15" w:lineRule="exact"/>
        <w:rPr>
          <w:rFonts w:ascii="Arial" w:cs="Arial" w:eastAsia="Arial" w:hAnsi="Arial"/>
          <w:sz w:val="18"/>
          <w:szCs w:val="18"/>
          <w:color w:val="auto"/>
        </w:rPr>
      </w:pPr>
    </w:p>
    <w:p>
      <w:pPr>
        <w:ind w:left="460" w:right="22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By Mail</w:t>
      </w:r>
    </w:p>
    <w:p>
      <w:pPr>
        <w:spacing w:after="0" w:line="117" w:lineRule="exact"/>
        <w:rPr>
          <w:rFonts w:ascii="Arial" w:cs="Arial" w:eastAsia="Arial" w:hAnsi="Arial"/>
          <w:sz w:val="18"/>
          <w:szCs w:val="18"/>
          <w:color w:val="auto"/>
        </w:rPr>
      </w:pPr>
    </w:p>
    <w:p>
      <w:pPr>
        <w:ind w:left="460" w:right="40"/>
        <w:spacing w:after="0" w:line="312" w:lineRule="auto"/>
        <w:rPr>
          <w:rFonts w:ascii="Arial" w:cs="Arial" w:eastAsia="Arial" w:hAnsi="Arial"/>
          <w:sz w:val="18"/>
          <w:szCs w:val="18"/>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38"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 Person</w:t>
      </w:r>
    </w:p>
    <w:p>
      <w:pPr>
        <w:spacing w:after="0" w:line="117" w:lineRule="exact"/>
        <w:rPr>
          <w:rFonts w:ascii="Arial" w:cs="Arial" w:eastAsia="Arial" w:hAnsi="Arial"/>
          <w:sz w:val="18"/>
          <w:szCs w:val="18"/>
          <w:color w:val="auto"/>
        </w:rPr>
      </w:pPr>
    </w:p>
    <w:p>
      <w:pPr>
        <w:jc w:val="both"/>
        <w:ind w:left="460" w:right="140"/>
        <w:spacing w:after="0" w:line="286" w:lineRule="auto"/>
        <w:rPr>
          <w:rFonts w:ascii="Arial" w:cs="Arial" w:eastAsia="Arial" w:hAnsi="Arial"/>
          <w:sz w:val="18"/>
          <w:szCs w:val="18"/>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Shares held in Comcast Corporation Retirement-Investment Plan and Comcast Spectacor 401(k) Plan</w:t>
      </w:r>
    </w:p>
    <w:p>
      <w:pPr>
        <w:spacing w:after="0" w:line="117" w:lineRule="exact"/>
        <w:rPr>
          <w:rFonts w:ascii="Arial" w:cs="Arial" w:eastAsia="Arial" w:hAnsi="Arial"/>
          <w:sz w:val="18"/>
          <w:szCs w:val="18"/>
          <w:color w:val="auto"/>
        </w:rPr>
      </w:pPr>
    </w:p>
    <w:p>
      <w:pPr>
        <w:ind w:left="460"/>
        <w:spacing w:after="0" w:line="269" w:lineRule="auto"/>
        <w:rPr>
          <w:rFonts w:ascii="Arial" w:cs="Arial" w:eastAsia="Arial" w:hAnsi="Arial"/>
          <w:sz w:val="18"/>
          <w:szCs w:val="18"/>
          <w:color w:val="auto"/>
        </w:rPr>
      </w:pPr>
      <w:r>
        <w:rPr>
          <w:rFonts w:ascii="Arial" w:cs="Arial" w:eastAsia="Arial" w:hAnsi="Arial"/>
          <w:sz w:val="17"/>
          <w:szCs w:val="17"/>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 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 2014.</w:t>
      </w:r>
    </w:p>
    <w:p>
      <w:pPr>
        <w:spacing w:after="0" w:line="69"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2"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 2014, or Comcast’s agent must receive your paper proxy card by mail no later than the close of business on [—], 2014.</w:t>
      </w:r>
    </w:p>
    <w:p>
      <w:pPr>
        <w:spacing w:after="0" w:line="19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54" w:lineRule="exact"/>
        <w:rPr>
          <w:sz w:val="20"/>
          <w:szCs w:val="20"/>
          <w:color w:val="auto"/>
        </w:rPr>
      </w:pPr>
    </w:p>
    <w:p>
      <w:pPr>
        <w:ind w:left="460" w:right="20" w:hanging="452"/>
        <w:spacing w:after="0" w:line="286"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65" w:lineRule="exact"/>
        <w:rPr>
          <w:sz w:val="20"/>
          <w:szCs w:val="20"/>
          <w:color w:val="auto"/>
        </w:rPr>
      </w:pPr>
    </w:p>
    <w:p>
      <w:pPr>
        <w:ind w:left="460" w:right="4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TWC special meeting?</w:t>
      </w:r>
    </w:p>
    <w:p>
      <w:pPr>
        <w:spacing w:after="0" w:line="131" w:lineRule="exact"/>
        <w:rPr>
          <w:sz w:val="20"/>
          <w:szCs w:val="20"/>
          <w:color w:val="auto"/>
        </w:rPr>
      </w:pPr>
    </w:p>
    <w:p>
      <w:pPr>
        <w:ind w:left="460" w:right="40" w:hanging="452"/>
        <w:spacing w:after="0" w:line="255"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TWC stockholders at the record date (the close of business on [—],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85"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If you are a beneficial owner of shares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TWC stockholders may contact TWC’s Investor Relations Department toll-free at (877) 446-3689 to obtain directions to the location of the TWC special meeting.</w:t>
      </w:r>
    </w:p>
    <w:p>
      <w:pPr>
        <w:spacing w:after="0" w:line="19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attend the Comcast special meeting?</w:t>
      </w:r>
    </w:p>
    <w:p>
      <w:pPr>
        <w:spacing w:after="0" w:line="131" w:lineRule="exact"/>
        <w:rPr>
          <w:sz w:val="20"/>
          <w:szCs w:val="20"/>
          <w:color w:val="auto"/>
        </w:rPr>
      </w:pPr>
    </w:p>
    <w:p>
      <w:pPr>
        <w:jc w:val="both"/>
        <w:ind w:left="460" w:right="50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Comcast shareholders at the record date (the close of business on [—],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3" w:lineRule="exact"/>
        <w:rPr>
          <w:rFonts w:ascii="Arial" w:cs="Arial" w:eastAsia="Arial" w:hAnsi="Arial"/>
          <w:sz w:val="18"/>
          <w:szCs w:val="18"/>
          <w:color w:val="auto"/>
        </w:rPr>
      </w:pPr>
    </w:p>
    <w:p>
      <w:pPr>
        <w:ind w:left="460"/>
        <w:spacing w:after="0" w:line="276" w:lineRule="auto"/>
        <w:rPr>
          <w:rFonts w:ascii="Arial" w:cs="Arial" w:eastAsia="Arial" w:hAnsi="Arial"/>
          <w:sz w:val="18"/>
          <w:szCs w:val="18"/>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64"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Comcast shareholders may contact Comcast’s Investor Relations Department toll-free at (866) 281-2100 to obtain directions to the location of the Comcast special meeting.</w:t>
      </w:r>
    </w:p>
    <w:p>
      <w:pPr>
        <w:spacing w:after="0" w:line="19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my vote important?</w:t>
      </w:r>
    </w:p>
    <w:p>
      <w:pPr>
        <w:spacing w:after="0" w:line="131" w:lineRule="exact"/>
        <w:rPr>
          <w:sz w:val="20"/>
          <w:szCs w:val="20"/>
          <w:color w:val="auto"/>
        </w:rPr>
      </w:pPr>
    </w:p>
    <w:p>
      <w:pPr>
        <w:ind w:left="460" w:right="32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TWC stockholders adopt the merger agreement and Comcast shareholders approve the stock issuance.</w:t>
      </w:r>
    </w:p>
    <w:p>
      <w:pPr>
        <w:spacing w:after="0" w:line="58" w:lineRule="exact"/>
        <w:rPr>
          <w:rFonts w:ascii="Arial" w:cs="Arial" w:eastAsia="Arial" w:hAnsi="Arial"/>
          <w:sz w:val="18"/>
          <w:szCs w:val="18"/>
          <w:color w:val="auto"/>
        </w:rPr>
      </w:pPr>
    </w:p>
    <w:p>
      <w:pPr>
        <w:ind w:left="460" w:right="60"/>
        <w:spacing w:after="0" w:line="258" w:lineRule="auto"/>
        <w:rPr>
          <w:rFonts w:ascii="Arial" w:cs="Arial" w:eastAsia="Arial" w:hAnsi="Arial"/>
          <w:sz w:val="18"/>
          <w:szCs w:val="18"/>
          <w:color w:val="auto"/>
        </w:rPr>
      </w:pPr>
      <w:r>
        <w:rPr>
          <w:rFonts w:ascii="Arial" w:cs="Arial" w:eastAsia="Arial" w:hAnsi="Arial"/>
          <w:sz w:val="18"/>
          <w:szCs w:val="18"/>
          <w:color w:val="auto"/>
        </w:rPr>
        <w:t>For TWC stockholders,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 other holder of record will not be able to vote the shares on the adoption of the merger agreement, and such failure to give those instructions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adoption of the merger agreement.</w:t>
      </w:r>
    </w:p>
    <w:p>
      <w:pPr>
        <w:spacing w:after="0" w:line="75" w:lineRule="exact"/>
        <w:rPr>
          <w:rFonts w:ascii="Arial" w:cs="Arial" w:eastAsia="Arial" w:hAnsi="Arial"/>
          <w:sz w:val="18"/>
          <w:szCs w:val="18"/>
          <w:color w:val="auto"/>
        </w:rPr>
      </w:pPr>
    </w:p>
    <w:p>
      <w:pPr>
        <w:ind w:left="460" w:right="280"/>
        <w:spacing w:after="0" w:line="282" w:lineRule="auto"/>
        <w:rPr>
          <w:rFonts w:ascii="Arial" w:cs="Arial" w:eastAsia="Arial" w:hAnsi="Arial"/>
          <w:sz w:val="18"/>
          <w:szCs w:val="18"/>
          <w:color w:val="auto"/>
        </w:rPr>
      </w:pPr>
      <w:r>
        <w:rPr>
          <w:rFonts w:ascii="Arial" w:cs="Arial" w:eastAsia="Arial" w:hAnsi="Arial"/>
          <w:sz w:val="18"/>
          <w:szCs w:val="18"/>
          <w:color w:val="auto"/>
        </w:rPr>
        <w:t>The TWC board of directors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the Comcast board of directors unanimously recommends that Comcast shareholders vote “</w:t>
      </w:r>
      <w:r>
        <w:rPr>
          <w:rFonts w:ascii="Arial" w:cs="Arial" w:eastAsia="Arial" w:hAnsi="Arial"/>
          <w:sz w:val="18"/>
          <w:szCs w:val="18"/>
          <w:b w:val="1"/>
          <w:bCs w:val="1"/>
          <w:color w:val="auto"/>
        </w:rPr>
        <w:t>FOR</w:t>
      </w:r>
      <w:r>
        <w:rPr>
          <w:rFonts w:ascii="Arial" w:cs="Arial" w:eastAsia="Arial" w:hAnsi="Arial"/>
          <w:sz w:val="18"/>
          <w:szCs w:val="18"/>
          <w:color w:val="auto"/>
        </w:rPr>
        <w:t>” the stock issuance.</w:t>
      </w:r>
    </w:p>
    <w:p>
      <w:pPr>
        <w:spacing w:after="0" w:line="1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I revoke my proxy or change my voting instructions?</w:t>
      </w:r>
    </w:p>
    <w:p>
      <w:pPr>
        <w:spacing w:after="0" w:line="13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Yes. You may revoke your proxy or change your vote at any time before your proxy is voted at the applicable special meeting.</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If you are a stockholder of record at the record date (the close of business on [—], 2014), you can revoke your proxy or change your vote by:</w:t>
      </w:r>
    </w:p>
    <w:p>
      <w:pPr>
        <w:spacing w:after="0" w:line="142"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w:t>
      </w:r>
    </w:p>
    <w:p>
      <w:pPr>
        <w:spacing w:after="0" w:line="130" w:lineRule="exact"/>
        <w:rPr>
          <w:rFonts w:ascii="Arial" w:cs="Arial" w:eastAsia="Arial" w:hAnsi="Arial"/>
          <w:sz w:val="18"/>
          <w:szCs w:val="18"/>
          <w:color w:val="auto"/>
        </w:rPr>
      </w:pPr>
    </w:p>
    <w:p>
      <w:pPr>
        <w:ind w:left="1460" w:right="26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TWC stockholder, to the General Counsel of TWC, at TWC’s offices at 60 Columbus Circle, New York, New York 10023, Attention: General Counsel; or,</w:t>
      </w:r>
    </w:p>
    <w:p>
      <w:pPr>
        <w:spacing w:after="0" w:line="75" w:lineRule="exact"/>
        <w:rPr>
          <w:rFonts w:ascii="Arial" w:cs="Arial" w:eastAsia="Arial" w:hAnsi="Arial"/>
          <w:sz w:val="18"/>
          <w:szCs w:val="18"/>
          <w:color w:val="auto"/>
        </w:rPr>
      </w:pPr>
    </w:p>
    <w:p>
      <w:pPr>
        <w:ind w:left="1460" w:right="200" w:hanging="547"/>
        <w:spacing w:after="0" w:line="277" w:lineRule="auto"/>
        <w:tabs>
          <w:tab w:leader="none" w:pos="14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you are a Comcast shareholder, to the Secretary of Comcast, at Comcast’s offices at One Comcast Center, Philadelphia, Pennsylvania 19103-2838, Attention: Secretary;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that bears a date later than the date of the proxy you want to revoke and is received prior to the applicable special meeting;</w:t>
      </w:r>
    </w:p>
    <w:p>
      <w:pPr>
        <w:spacing w:after="0" w:line="131" w:lineRule="exact"/>
        <w:rPr>
          <w:sz w:val="20"/>
          <w:szCs w:val="20"/>
          <w:color w:val="auto"/>
        </w:rPr>
      </w:pPr>
    </w:p>
    <w:p>
      <w:pPr>
        <w:ind w:left="900" w:right="2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submitting a valid, later-dated proxy via the Internet or by telephone before 11:59 PM (Eastern Time) on [—], 2014, or by mail that is received prior to the applicable special meeting; or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attending the applicable special meeting (or, if the applicable special meeting is adjourned or postponed, attending the adjourned or postponed meeting) and voting in person, which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automatically cancel any proxy previously given, or revoking your proxy in person, but your attendance alone will not revoke any proxy previously given.</w:t>
      </w:r>
    </w:p>
    <w:p>
      <w:pPr>
        <w:spacing w:after="0" w:line="62" w:lineRule="exact"/>
        <w:rPr>
          <w:sz w:val="20"/>
          <w:szCs w:val="20"/>
          <w:color w:val="auto"/>
        </w:rPr>
      </w:pPr>
    </w:p>
    <w:p>
      <w:pPr>
        <w:ind w:left="460" w:right="520"/>
        <w:spacing w:after="0" w:line="264" w:lineRule="auto"/>
        <w:rPr>
          <w:sz w:val="20"/>
          <w:szCs w:val="20"/>
          <w:color w:val="auto"/>
        </w:rPr>
      </w:pPr>
      <w:r>
        <w:rPr>
          <w:rFonts w:ascii="Arial" w:cs="Arial" w:eastAsia="Arial" w:hAnsi="Arial"/>
          <w:sz w:val="18"/>
          <w:szCs w:val="18"/>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20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TWC shares after the record date but before the TWC special meeting?</w:t>
      </w:r>
    </w:p>
    <w:p>
      <w:pPr>
        <w:spacing w:after="0" w:line="131" w:lineRule="exact"/>
        <w:rPr>
          <w:sz w:val="20"/>
          <w:szCs w:val="20"/>
          <w:color w:val="auto"/>
        </w:rPr>
      </w:pPr>
    </w:p>
    <w:p>
      <w:pPr>
        <w:ind w:left="460" w:right="100" w:hanging="452"/>
        <w:spacing w:after="0" w:line="25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record date for the TWC special meeting (the close of business on [—],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21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Comcast shares after the record date but before the Comcast special meeting?</w:t>
      </w:r>
    </w:p>
    <w:p>
      <w:pPr>
        <w:spacing w:after="0" w:line="131" w:lineRule="exact"/>
        <w:rPr>
          <w:sz w:val="20"/>
          <w:szCs w:val="20"/>
          <w:color w:val="auto"/>
        </w:rPr>
      </w:pPr>
    </w:p>
    <w:p>
      <w:pPr>
        <w:ind w:left="460" w:hanging="452"/>
        <w:spacing w:after="0" w:line="286"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record date for the Comcast special meeting (the close of business on [—],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193"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do if I receive more than one set of voting materials?</w:t>
      </w:r>
    </w:p>
    <w:p>
      <w:pPr>
        <w:spacing w:after="0" w:line="131" w:lineRule="exact"/>
        <w:rPr>
          <w:sz w:val="20"/>
          <w:szCs w:val="20"/>
          <w:color w:val="auto"/>
        </w:rPr>
      </w:pPr>
    </w:p>
    <w:p>
      <w:pPr>
        <w:ind w:left="460" w:right="20" w:hanging="452"/>
        <w:spacing w:after="0" w:line="297"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8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completion of the merger subject to any conditions?</w:t>
      </w:r>
    </w:p>
    <w:p>
      <w:pPr>
        <w:spacing w:after="0" w:line="131" w:lineRule="exact"/>
        <w:rPr>
          <w:sz w:val="20"/>
          <w:szCs w:val="20"/>
          <w:color w:val="auto"/>
        </w:rPr>
      </w:pPr>
    </w:p>
    <w:p>
      <w:pPr>
        <w:ind w:left="460" w:right="20" w:hanging="452"/>
        <w:spacing w:after="0" w:line="287"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Yes. Comcast and TWC are not required to complete the merger unless a number of conditions are satisfied (or, to the extent permitted by applicable law, waived). These conditions include, among others,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 of this joint proxy statement/prospectus.</w:t>
      </w:r>
    </w:p>
    <w:p>
      <w:pPr>
        <w:spacing w:after="0" w:line="20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you expect to complete the merger?</w:t>
      </w:r>
    </w:p>
    <w:p>
      <w:pPr>
        <w:spacing w:after="0" w:line="131" w:lineRule="exact"/>
        <w:rPr>
          <w:sz w:val="20"/>
          <w:szCs w:val="20"/>
          <w:color w:val="auto"/>
        </w:rPr>
      </w:pPr>
    </w:p>
    <w:p>
      <w:pPr>
        <w:ind w:left="460" w:right="220" w:hanging="452"/>
        <w:spacing w:after="0" w:line="31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of the date of this joint proxy statement/prospectus, we expect to complete the merger in early 2015 due to our current expectations regarding the timing of certain regulatory approvals, subject to satisfaction (or, to the extent permitted by applicable law, waiver) of the conditions to the parties’ obligations to complete the merger. However, no assurance can be given as to when, or if, the merger will be completed.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the transaction expected to be taxable to TWC stockholders?</w:t>
      </w:r>
    </w:p>
    <w:p>
      <w:pPr>
        <w:spacing w:after="0" w:line="131" w:lineRule="exact"/>
        <w:rPr>
          <w:sz w:val="20"/>
          <w:szCs w:val="20"/>
          <w:color w:val="auto"/>
        </w:rPr>
      </w:pPr>
    </w:p>
    <w:p>
      <w:pPr>
        <w:ind w:left="460" w:right="100" w:hanging="452"/>
        <w:spacing w:after="0" w:line="30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 of this joint proxy statement/prospectus.</w:t>
      </w:r>
    </w:p>
    <w:p>
      <w:pPr>
        <w:spacing w:after="0" w:line="18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need to do now?</w:t>
      </w:r>
    </w:p>
    <w:p>
      <w:pPr>
        <w:spacing w:after="0" w:line="131" w:lineRule="exact"/>
        <w:rPr>
          <w:sz w:val="20"/>
          <w:szCs w:val="20"/>
          <w:color w:val="auto"/>
        </w:rPr>
      </w:pPr>
    </w:p>
    <w:p>
      <w:pPr>
        <w:ind w:left="460" w:hanging="452"/>
        <w:spacing w:after="0" w:line="308"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signing, dating, marking and returning the enclosed proxy card in the accompanying postage-paid return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submitting your proxy via the Internet or by telephone by following the instructions included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attending the applicable special meeting and voting by ballot in person.</w:t>
      </w:r>
    </w:p>
    <w:p>
      <w:pPr>
        <w:spacing w:after="0" w:line="117"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73"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 of this joint proxy statement/prospectus and “—How will my shares be represented at the Comcast special meeting, and what will happen if I return my proxy card without indicating how to vote?” beginning on page [—] of this joint proxy statement/prospectus.</w:t>
      </w:r>
    </w:p>
    <w:p>
      <w:pPr>
        <w:spacing w:after="0" w:line="17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Should I send in my TWC stock certificates now?</w:t>
      </w:r>
    </w:p>
    <w:p>
      <w:pPr>
        <w:spacing w:after="0" w:line="131" w:lineRule="exact"/>
        <w:rPr>
          <w:sz w:val="20"/>
          <w:szCs w:val="20"/>
          <w:color w:val="auto"/>
        </w:rPr>
      </w:pPr>
    </w:p>
    <w:p>
      <w:pPr>
        <w:jc w:val="both"/>
        <w:ind w:left="460" w:right="120" w:hanging="452"/>
        <w:spacing w:after="0" w:line="279"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 Procedures for Surrendering TWC Stock Certificates” beginning on page [—] of this joint proxy statement/prospectus.</w:t>
      </w:r>
    </w:p>
    <w:p>
      <w:pPr>
        <w:spacing w:after="0" w:line="198" w:lineRule="exact"/>
        <w:rPr>
          <w:sz w:val="20"/>
          <w:szCs w:val="20"/>
          <w:color w:val="auto"/>
        </w:rPr>
      </w:pPr>
    </w:p>
    <w:p>
      <w:pPr>
        <w:ind w:left="460" w:right="200" w:hanging="452"/>
        <w:spacing w:after="0" w:line="277" w:lineRule="auto"/>
        <w:tabs>
          <w:tab w:leader="none" w:pos="4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current employee and holder of options issued by TWC to purchase shares of TWC common stock, or a holder of TWC restricted stock units, what will I receive in the merger?</w:t>
      </w:r>
    </w:p>
    <w:p>
      <w:pPr>
        <w:spacing w:after="0" w:line="76" w:lineRule="exact"/>
        <w:rPr>
          <w:sz w:val="20"/>
          <w:szCs w:val="20"/>
          <w:color w:val="auto"/>
        </w:rPr>
      </w:pPr>
    </w:p>
    <w:p>
      <w:pPr>
        <w:ind w:left="460" w:right="20" w:hanging="452"/>
        <w:spacing w:after="0" w:line="25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84"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 of this joint proxy statement/prospectus.</w:t>
      </w:r>
    </w:p>
    <w:p>
      <w:pPr>
        <w:spacing w:after="0" w:line="252" w:lineRule="exact"/>
        <w:rPr>
          <w:sz w:val="20"/>
          <w:szCs w:val="20"/>
          <w:color w:val="auto"/>
        </w:rPr>
      </w:pPr>
    </w:p>
    <w:p>
      <w:pPr>
        <w:ind w:left="460" w:right="560" w:hanging="452"/>
        <w:spacing w:after="0" w:line="277" w:lineRule="auto"/>
        <w:tabs>
          <w:tab w:leader="none" w:pos="4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6" w:lineRule="exact"/>
        <w:rPr>
          <w:sz w:val="20"/>
          <w:szCs w:val="20"/>
          <w:color w:val="auto"/>
        </w:rPr>
      </w:pPr>
    </w:p>
    <w:p>
      <w:pPr>
        <w:ind w:left="460" w:hanging="452"/>
        <w:spacing w:after="0" w:line="271"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70" w:lineRule="exact"/>
        <w:rPr>
          <w:rFonts w:ascii="Arial" w:cs="Arial" w:eastAsia="Arial" w:hAnsi="Arial"/>
          <w:sz w:val="17"/>
          <w:szCs w:val="17"/>
          <w:color w:val="auto"/>
        </w:rPr>
      </w:pPr>
    </w:p>
    <w:p>
      <w:pPr>
        <w:ind w:left="460" w:right="60"/>
        <w:spacing w:after="0" w:line="288" w:lineRule="auto"/>
        <w:rPr>
          <w:rFonts w:ascii="Arial" w:cs="Arial" w:eastAsia="Arial" w:hAnsi="Arial"/>
          <w:sz w:val="17"/>
          <w:szCs w:val="17"/>
          <w:color w:val="auto"/>
        </w:rPr>
      </w:pPr>
      <w:r>
        <w:rPr>
          <w:rFonts w:ascii="Arial" w:cs="Arial" w:eastAsia="Arial" w:hAnsi="Arial"/>
          <w:sz w:val="16"/>
          <w:szCs w:val="16"/>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w:t>
      </w:r>
    </w:p>
    <w:p>
      <w:pPr>
        <w:ind w:left="460" w:right="60" w:firstLine="4"/>
        <w:spacing w:after="0" w:line="261" w:lineRule="auto"/>
        <w:tabs>
          <w:tab w:leader="none" w:pos="715" w:val="left"/>
        </w:tabs>
        <w:numPr>
          <w:ilvl w:val="1"/>
          <w:numId w:val="85"/>
        </w:numPr>
        <w:rPr>
          <w:rFonts w:ascii="Arial" w:cs="Arial" w:eastAsia="Arial" w:hAnsi="Arial"/>
          <w:sz w:val="18"/>
          <w:szCs w:val="18"/>
          <w:color w:val="auto"/>
        </w:rPr>
      </w:pPr>
      <w:r>
        <w:rPr>
          <w:rFonts w:ascii="Arial" w:cs="Arial" w:eastAsia="Arial" w:hAnsi="Arial"/>
          <w:sz w:val="18"/>
          <w:szCs w:val="18"/>
          <w:color w:val="auto"/>
        </w:rPr>
        <w:t>2.875, with any fractional shares rounded down to the next lower whole number of shares of Comcast Class A common stock, and then multiplying the product of (x) and (y) by the Comcast closing price.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TWC Equity Awards” beginning on page [—] of this joint proxy statement/prospectus.</w:t>
      </w:r>
    </w:p>
    <w:p>
      <w:pPr>
        <w:spacing w:after="0" w:line="252"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divestiture transactions, and am I being asked to vote on them?</w:t>
      </w:r>
    </w:p>
    <w:p>
      <w:pPr>
        <w:spacing w:after="0" w:line="131" w:lineRule="exact"/>
        <w:rPr>
          <w:sz w:val="20"/>
          <w:szCs w:val="20"/>
          <w:color w:val="auto"/>
        </w:rPr>
      </w:pPr>
    </w:p>
    <w:p>
      <w:pPr>
        <w:ind w:left="460" w:hanging="452"/>
        <w:spacing w:after="0" w:line="287"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On April 25, 2014, Comcast entered into a binding agreement, which is referred to in this joint proxy statement/prospectus as the transactions agreement, with Charter Communications, Inc., which is referred to in this joint proxy statement/prospectus as Charter. The transactions agreement contemplates three transactions: (1) a contribution, spin-off and merger transaction, (2) an asset exchange and (3) a sale of assets, which are collectively referred to in this joint proxy statement/prospectus as the divestiture transactions,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consent between TWC and Comcast dated April 25, 2014, which is referred to in this joint proxy statement/prospectus as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64" w:lineRule="exact"/>
        <w:rPr>
          <w:rFonts w:ascii="Arial" w:cs="Arial" w:eastAsia="Arial" w:hAnsi="Arial"/>
          <w:sz w:val="16"/>
          <w:szCs w:val="16"/>
          <w:color w:val="auto"/>
        </w:rPr>
      </w:pPr>
    </w:p>
    <w:p>
      <w:pPr>
        <w:ind w:left="460" w:right="360"/>
        <w:spacing w:after="0" w:line="264" w:lineRule="auto"/>
        <w:rPr>
          <w:rFonts w:ascii="Arial" w:cs="Arial" w:eastAsia="Arial" w:hAnsi="Arial"/>
          <w:sz w:val="16"/>
          <w:szCs w:val="16"/>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divestiture transactions are not completed?</w:t>
      </w:r>
    </w:p>
    <w:p>
      <w:pPr>
        <w:spacing w:after="0" w:line="131" w:lineRule="exact"/>
        <w:rPr>
          <w:sz w:val="20"/>
          <w:szCs w:val="20"/>
          <w:color w:val="auto"/>
        </w:rPr>
      </w:pPr>
    </w:p>
    <w:p>
      <w:pPr>
        <w:ind w:left="460" w:hanging="452"/>
        <w:spacing w:after="0" w:line="276"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0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TWC stockholder, whom should I call with questions?</w:t>
      </w:r>
    </w:p>
    <w:p>
      <w:pPr>
        <w:spacing w:after="0" w:line="131" w:lineRule="exact"/>
        <w:rPr>
          <w:sz w:val="20"/>
          <w:szCs w:val="20"/>
          <w:color w:val="auto"/>
        </w:rPr>
      </w:pPr>
    </w:p>
    <w:p>
      <w:pPr>
        <w:ind w:left="460" w:right="32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TWC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proxy@mackenziepartners.com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ir@twcable.com</w:t>
      </w:r>
    </w:p>
    <w:p>
      <w:pPr>
        <w:spacing w:after="0" w:line="23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Comcast shareholder, whom should I call with questions?</w:t>
      </w:r>
    </w:p>
    <w:p>
      <w:pPr>
        <w:spacing w:after="0" w:line="131" w:lineRule="exact"/>
        <w:rPr>
          <w:sz w:val="20"/>
          <w:szCs w:val="20"/>
          <w:color w:val="auto"/>
        </w:rPr>
      </w:pPr>
    </w:p>
    <w:p>
      <w:pPr>
        <w:ind w:left="460" w:right="8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have any questions about the merger or the Comcast special meeting, or desire additional copies of this joint proxy statement/prospectus, proxy cards or voting instruction forms, you should contact:</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 Free: (800) 488-8035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comcast@dfking.com</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(866) 281-2100</w:t>
      </w:r>
    </w:p>
    <w:p>
      <w:pPr>
        <w:spacing w:after="0" w:line="23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find more information about TWC and Comcast?</w:t>
      </w:r>
    </w:p>
    <w:p>
      <w:pPr>
        <w:spacing w:after="0" w:line="131" w:lineRule="exact"/>
        <w:rPr>
          <w:sz w:val="20"/>
          <w:szCs w:val="20"/>
          <w:color w:val="auto"/>
        </w:rPr>
      </w:pPr>
    </w:p>
    <w:p>
      <w:pPr>
        <w:ind w:left="460" w:right="82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You can find more information about TWC and Comcast from the various sources described under the heading “Where You Can Find More Information” beginning on page [—] of this joint proxy statement/prospectus.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 [—] of this joint proxy statement/prospectus. Each item in this summary refers to the page of this joint proxy statement/prospectus on which that subject is discussed in more detail.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117"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66" w:lineRule="exact"/>
        <w:rPr>
          <w:sz w:val="20"/>
          <w:szCs w:val="20"/>
          <w:color w:val="auto"/>
        </w:rPr>
      </w:pPr>
    </w:p>
    <w:p>
      <w:pPr>
        <w:ind w:left="1060" w:right="160" w:hanging="431"/>
        <w:spacing w:after="0" w:line="277"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and voice services to residential customers under the XFINITY brand and also provides similar services to businesses and sells advertising. As of June 30, 2014, Comcast’s cable systems served 22.5 million video customers, 21.3 million high-speed Internet customers and 11.0 million voice customers and passed more than 54 million homes and businesses. As of June 30, 2014, Comcast had customer relationships with approximately 25.1 million residential customers and 1.6 million business customers.</w:t>
      </w:r>
    </w:p>
    <w:p>
      <w:pPr>
        <w:spacing w:after="0" w:line="73" w:lineRule="exact"/>
        <w:rPr>
          <w:rFonts w:ascii="Arial" w:cs="Arial" w:eastAsia="Arial" w:hAnsi="Arial"/>
          <w:sz w:val="17"/>
          <w:szCs w:val="17"/>
          <w:color w:val="auto"/>
        </w:rPr>
      </w:pPr>
    </w:p>
    <w:p>
      <w:pPr>
        <w:ind w:left="1060" w:right="360" w:hanging="431"/>
        <w:spacing w:after="0" w:line="282"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1060" w:right="340" w:hanging="431"/>
        <w:spacing w:after="0" w:line="282"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w:t>
      </w:r>
      <w:r>
        <w:rPr>
          <w:rFonts w:ascii="Arial" w:cs="Arial" w:eastAsia="Arial" w:hAnsi="Arial"/>
          <w:sz w:val="18"/>
          <w:szCs w:val="18"/>
          <w:b w:val="1"/>
          <w:bCs w:val="1"/>
          <w:color w:val="auto"/>
        </w:rPr>
        <w:t xml:space="preserve"> </w:t>
      </w:r>
      <w:r>
        <w:rPr>
          <w:rFonts w:ascii="Arial" w:cs="Arial" w:eastAsia="Arial" w:hAnsi="Arial"/>
          <w:sz w:val="18"/>
          <w:szCs w:val="18"/>
          <w:color w:val="auto"/>
        </w:rPr>
        <w:t>local broadcast television stations, and Comcast’s broadcast television production operations.</w:t>
      </w:r>
    </w:p>
    <w:p>
      <w:pPr>
        <w:spacing w:after="0" w:line="67" w:lineRule="exact"/>
        <w:rPr>
          <w:rFonts w:ascii="Arial" w:cs="Arial" w:eastAsia="Arial" w:hAnsi="Arial"/>
          <w:sz w:val="18"/>
          <w:szCs w:val="18"/>
          <w:color w:val="auto"/>
        </w:rPr>
      </w:pPr>
    </w:p>
    <w:p>
      <w:pPr>
        <w:ind w:left="1060" w:right="80" w:hanging="431"/>
        <w:spacing w:after="0" w:line="282"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431"/>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37"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trading market for shares of Comcast Class A common stock (NASDAQ: CMCSA) and shares of Comcast Class A Special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(NASDAQ: CMCSK) is NASDAQ. There is no established public</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920"/>
        <w:spacing w:after="0" w:line="342" w:lineRule="auto"/>
        <w:rPr>
          <w:sz w:val="20"/>
          <w:szCs w:val="20"/>
          <w:color w:val="auto"/>
        </w:rPr>
      </w:pPr>
      <w:r>
        <w:rPr>
          <w:rFonts w:ascii="Arial" w:cs="Arial" w:eastAsia="Arial" w:hAnsi="Arial"/>
          <w:sz w:val="16"/>
          <w:szCs w:val="16"/>
          <w:color w:val="auto"/>
        </w:rPr>
        <w:t>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124"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Time Warner Cable Inc.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June 30, 2014, TWC served approximately 14.5 million residential customers and 658,000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78"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87"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Tango Acquisition Sub, Inc.</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81"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The principal executive offices of Merger Sub are located at One Comcast Center, Philadelphia, Pennsylvania 19103-2838; and its telephone number is (215) 286-1700.</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0" w:lineRule="exact"/>
        <w:rPr>
          <w:sz w:val="20"/>
          <w:szCs w:val="20"/>
          <w:color w:val="auto"/>
        </w:rPr>
      </w:pPr>
    </w:p>
    <w:p>
      <w:pPr>
        <w:ind w:left="200" w:right="620" w:firstLine="443"/>
        <w:spacing w:after="0" w:line="282" w:lineRule="auto"/>
        <w:rPr>
          <w:sz w:val="20"/>
          <w:szCs w:val="20"/>
          <w:color w:val="auto"/>
        </w:rPr>
      </w:pPr>
      <w:r>
        <w:rPr>
          <w:rFonts w:ascii="Arial" w:cs="Arial" w:eastAsia="Arial" w:hAnsi="Arial"/>
          <w:sz w:val="18"/>
          <w:szCs w:val="18"/>
          <w:color w:val="auto"/>
        </w:rPr>
        <w:t xml:space="preserve">A copy of the merger agreement is attached as Annex A to this joint proxy statement/prospectus. </w:t>
      </w:r>
      <w:r>
        <w:rPr>
          <w:rFonts w:ascii="Arial" w:cs="Arial" w:eastAsia="Arial" w:hAnsi="Arial"/>
          <w:sz w:val="18"/>
          <w:szCs w:val="18"/>
          <w:b w:val="1"/>
          <w:bCs w:val="1"/>
          <w:color w:val="auto"/>
        </w:rPr>
        <w:t>You should read 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 because it is the legal document that governs the merger</w:t>
      </w:r>
      <w:r>
        <w:rPr>
          <w:rFonts w:ascii="Arial" w:cs="Arial" w:eastAsia="Arial" w:hAnsi="Arial"/>
          <w:sz w:val="18"/>
          <w:szCs w:val="18"/>
          <w:color w:val="auto"/>
        </w:rPr>
        <w: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Stockholders of TWC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b w:val="1"/>
          <w:bCs w:val="1"/>
          <w:i w:val="1"/>
          <w:iCs w:val="1"/>
          <w:color w:val="auto"/>
        </w:rPr>
        <w:t>Meeting</w:t>
      </w:r>
      <w:r>
        <w:rPr>
          <w:rFonts w:ascii="Arial" w:cs="Arial" w:eastAsia="Arial" w:hAnsi="Arial"/>
          <w:sz w:val="18"/>
          <w:szCs w:val="18"/>
          <w:color w:val="auto"/>
        </w:rPr>
        <w:t>. The TWC special meeting will be held on [—], 2014, at [—], located at [—], at [—], local time. At the TWC special meeting, TWC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will be asked to consider and vote on the following proposals:</w:t>
      </w:r>
    </w:p>
    <w:p>
      <w:pPr>
        <w:spacing w:after="0" w:line="76" w:lineRule="exact"/>
        <w:rPr>
          <w:sz w:val="20"/>
          <w:szCs w:val="20"/>
          <w:color w:val="auto"/>
        </w:rPr>
      </w:pPr>
    </w:p>
    <w:p>
      <w:pPr>
        <w:ind w:left="1060" w:right="300" w:hanging="431"/>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approve, on an advisory (non-binding) basis, “golden parachute” compensation payments that will or may be paid by TWC to its named executive officers in connection with the merger.</w:t>
      </w:r>
    </w:p>
    <w:p>
      <w:pPr>
        <w:spacing w:after="0" w:line="170" w:lineRule="exact"/>
        <w:rPr>
          <w:sz w:val="20"/>
          <w:szCs w:val="20"/>
          <w:color w:val="auto"/>
        </w:rPr>
      </w:pPr>
    </w:p>
    <w:p>
      <w:pPr>
        <w:jc w:val="both"/>
        <w:ind w:left="200" w:right="140" w:firstLine="443"/>
        <w:spacing w:after="0" w:line="257" w:lineRule="auto"/>
        <w:rPr>
          <w:sz w:val="20"/>
          <w:szCs w:val="20"/>
          <w:color w:val="auto"/>
        </w:rPr>
      </w:pP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The TWC board of directors has fixed the close of business on [—], 2014, as the record date for determination of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8"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b w:val="1"/>
          <w:bCs w:val="1"/>
          <w:i w:val="1"/>
          <w:iCs w:val="1"/>
          <w:color w:val="auto"/>
        </w:rPr>
        <w:t>Quorum</w:t>
      </w:r>
      <w:r>
        <w:rPr>
          <w:rFonts w:ascii="Arial" w:cs="Arial" w:eastAsia="Arial" w:hAnsi="Arial"/>
          <w:sz w:val="18"/>
          <w:szCs w:val="18"/>
          <w:color w:val="auto"/>
        </w:rPr>
        <w:t>. The presence at the TWC special meeting, in person or by proxy, of the holders of a majority of the votes entitled to be cast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89" w:lineRule="exact"/>
        <w:rPr>
          <w:sz w:val="20"/>
          <w:szCs w:val="20"/>
          <w:color w:val="auto"/>
        </w:rPr>
      </w:pPr>
    </w:p>
    <w:p>
      <w:pPr>
        <w:ind w:left="200" w:right="460" w:firstLine="443"/>
        <w:spacing w:after="0" w:line="342" w:lineRule="auto"/>
        <w:rPr>
          <w:sz w:val="20"/>
          <w:szCs w:val="20"/>
          <w:color w:val="auto"/>
        </w:rPr>
      </w:pPr>
      <w:r>
        <w:rPr>
          <w:rFonts w:ascii="Arial" w:cs="Arial" w:eastAsia="Arial" w:hAnsi="Arial"/>
          <w:sz w:val="16"/>
          <w:szCs w:val="16"/>
          <w:b w:val="1"/>
          <w:bCs w:val="1"/>
          <w:i w:val="1"/>
          <w:iCs w:val="1"/>
          <w:color w:val="auto"/>
        </w:rPr>
        <w:t>Adjournment</w:t>
      </w:r>
      <w:r>
        <w:rPr>
          <w:rFonts w:ascii="Arial" w:cs="Arial" w:eastAsia="Arial" w:hAnsi="Arial"/>
          <w:sz w:val="16"/>
          <w:szCs w:val="16"/>
          <w:color w:val="auto"/>
        </w:rPr>
        <w:t>. In accordance with TWC’s by-laws, the TWC special meeting may be adjourned by the Chairman of the meeting. If the TWC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meeting is adjourned, stockholders who have already submitted their proxies will be able to revoke them at any time prior to their use.</w:t>
      </w:r>
    </w:p>
    <w:p>
      <w:pPr>
        <w:spacing w:after="0" w:line="124"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entitled to vote 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w:t>
      </w:r>
      <w:r>
        <w:rPr>
          <w:rFonts w:ascii="Arial" w:cs="Arial" w:eastAsia="Arial" w:hAnsi="Arial"/>
          <w:sz w:val="17"/>
          <w:szCs w:val="17"/>
          <w:color w:val="auto"/>
        </w:rPr>
        <w:t xml:space="preserve"> </w:t>
      </w:r>
      <w:r>
        <w:rPr>
          <w:rFonts w:ascii="Arial" w:cs="Arial" w:eastAsia="Arial" w:hAnsi="Arial"/>
          <w:sz w:val="17"/>
          <w:szCs w:val="17"/>
          <w:b w:val="1"/>
          <w:bCs w:val="1"/>
          <w:color w:val="auto"/>
        </w:rPr>
        <w:t>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78"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78"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b w:val="1"/>
          <w:bCs w:val="1"/>
          <w:i w:val="1"/>
          <w:iCs w:val="1"/>
          <w:color w:val="auto"/>
        </w:rPr>
        <w:t>Stock Ownership of and Voting by TWC Directors and Executive Officers</w:t>
      </w:r>
      <w:r>
        <w:rPr>
          <w:rFonts w:ascii="Arial" w:cs="Arial" w:eastAsia="Arial" w:hAnsi="Arial"/>
          <w:sz w:val="18"/>
          <w:szCs w:val="18"/>
          <w:color w:val="auto"/>
        </w:rPr>
        <w:t>. At the record date for the TWC special meeting (the close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 2014), TWC’s directors and executive officers and their affiliates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beneficially owned and had the right to vote [—] shares of TWC common stock at the TWC special meeting, which represents approximately [—]% of the shares of TWC common stock entitled to vote at the TWC special meeting.</w:t>
      </w:r>
    </w:p>
    <w:p>
      <w:pPr>
        <w:spacing w:after="0" w:line="166" w:lineRule="exact"/>
        <w:rPr>
          <w:sz w:val="20"/>
          <w:szCs w:val="20"/>
          <w:color w:val="auto"/>
        </w:rPr>
      </w:pPr>
    </w:p>
    <w:p>
      <w:pPr>
        <w:ind w:left="200" w:right="440" w:firstLine="443"/>
        <w:spacing w:after="0" w:line="313"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Shareholders of Comcast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Comcast special meeting will be held on [—], 2014, at [—], located at [—], at [—], local time. At the Comcast special meeting,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Comcast shareholders will be asked to consider and vote on the following proposals:</w:t>
      </w:r>
    </w:p>
    <w:p>
      <w:pPr>
        <w:spacing w:after="0" w:line="116" w:lineRule="exact"/>
        <w:rPr>
          <w:sz w:val="20"/>
          <w:szCs w:val="20"/>
          <w:color w:val="auto"/>
        </w:rPr>
      </w:pPr>
    </w:p>
    <w:p>
      <w:pPr>
        <w:ind w:left="1060" w:hanging="431"/>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1060" w:right="560" w:hanging="431"/>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w:t>
      </w:r>
    </w:p>
    <w:p>
      <w:pPr>
        <w:spacing w:after="0" w:line="170" w:lineRule="exact"/>
        <w:rPr>
          <w:sz w:val="20"/>
          <w:szCs w:val="20"/>
          <w:color w:val="auto"/>
        </w:rPr>
      </w:pPr>
    </w:p>
    <w:p>
      <w:pPr>
        <w:ind w:left="200" w:firstLine="443"/>
        <w:spacing w:after="0" w:line="270" w:lineRule="auto"/>
        <w:rPr>
          <w:sz w:val="20"/>
          <w:szCs w:val="20"/>
          <w:color w:val="auto"/>
        </w:rPr>
      </w:pP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Comcast board of directors has fixed the close of business on [—], 2014, as the record date for determination of the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entitled to 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 2014, there were [—]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187"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b w:val="1"/>
          <w:bCs w:val="1"/>
          <w:i w:val="1"/>
          <w:iCs w:val="1"/>
          <w:color w:val="auto"/>
        </w:rPr>
        <w:t>Quorum</w:t>
      </w:r>
      <w:r>
        <w:rPr>
          <w:rFonts w:ascii="Arial" w:cs="Arial" w:eastAsia="Arial" w:hAnsi="Arial"/>
          <w:sz w:val="17"/>
          <w:szCs w:val="17"/>
          <w:color w:val="auto"/>
        </w:rPr>
        <w:t>. The presence at the Comcast special meeting, in person or by proxy, of the holders of a majority of votes entitled to be cast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 at the record date (the close of business on [—],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82"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approve the stock issuance, the affirmative vote of a majority of the votes cast at the Comcast special meeting by Comcast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A shareholders and Comcast Class B shareholders, voting together as a single class, is required. </w:t>
      </w:r>
      <w:r>
        <w:rPr>
          <w:rFonts w:ascii="Arial" w:cs="Arial" w:eastAsia="Arial" w:hAnsi="Arial"/>
          <w:sz w:val="17"/>
          <w:szCs w:val="17"/>
          <w:b w:val="1"/>
          <w:bCs w:val="1"/>
          <w:color w:val="auto"/>
        </w:rPr>
        <w:t>Comcast cannot complete the merger unless its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shareholders approve the stock issuance. </w:t>
      </w:r>
      <w:r>
        <w:rPr>
          <w:rFonts w:ascii="Arial" w:cs="Arial" w:eastAsia="Arial" w:hAnsi="Arial"/>
          <w:sz w:val="17"/>
          <w:szCs w:val="17"/>
          <w:color w:val="auto"/>
        </w:rPr>
        <w:t>An abstention is not considered a vote cast. Accordingly, assuming a quorum is present, a Comcast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abstention from voting, the failure of a Comcast shareholder who holds his or her shares in “street</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8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89"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b w:val="1"/>
          <w:bCs w:val="1"/>
          <w:i w:val="1"/>
          <w:iCs w:val="1"/>
          <w:color w:val="auto"/>
        </w:rPr>
        <w:t xml:space="preserve">Stock Ownership of and Voting by Comcast Directors and Executive Officers. </w:t>
      </w:r>
      <w:r>
        <w:rPr>
          <w:rFonts w:ascii="Arial" w:cs="Arial" w:eastAsia="Arial" w:hAnsi="Arial"/>
          <w:sz w:val="16"/>
          <w:szCs w:val="16"/>
          <w:color w:val="auto"/>
        </w:rPr>
        <w:t>At the record date for the Comcast special meeting (the close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on [—], 2014), Comcast’s directors and executive officers and their affiliates beneficially owned and had the right to vote [—] shares of Comcast Class A common stock at the Comcast special meeting, which represents approximately [—]%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58"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Voting Agreement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right="260" w:firstLine="443"/>
        <w:spacing w:after="0" w:line="264" w:lineRule="auto"/>
        <w:rPr>
          <w:sz w:val="20"/>
          <w:szCs w:val="20"/>
          <w:color w:val="auto"/>
        </w:rPr>
      </w:pPr>
      <w:r>
        <w:rPr>
          <w:rFonts w:ascii="Arial" w:cs="Arial" w:eastAsia="Arial" w:hAnsi="Arial"/>
          <w:sz w:val="18"/>
          <w:szCs w:val="18"/>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8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81" w:lineRule="exact"/>
        <w:rPr>
          <w:sz w:val="20"/>
          <w:szCs w:val="20"/>
          <w:color w:val="auto"/>
        </w:rPr>
      </w:pPr>
    </w:p>
    <w:p>
      <w:pPr>
        <w:jc w:val="both"/>
        <w:ind w:left="200" w:right="100" w:firstLine="443"/>
        <w:spacing w:after="0" w:line="259" w:lineRule="auto"/>
        <w:rPr>
          <w:sz w:val="20"/>
          <w:szCs w:val="20"/>
          <w:color w:val="auto"/>
        </w:rPr>
      </w:pPr>
      <w:r>
        <w:rPr>
          <w:rFonts w:ascii="Arial" w:cs="Arial" w:eastAsia="Arial" w:hAnsi="Arial"/>
          <w:sz w:val="18"/>
          <w:szCs w:val="18"/>
          <w:color w:val="auto"/>
        </w:rPr>
        <w:t>In addition, the Comcast shareholders who are parties to the voting agreement have agreed to vote all of their shares of Comcast Class A common stock and Comcast Class B common stock (i) in favor of the stock 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merger. The voting agreement imposes certain restrictions on these Comcast shareholders’ right to transfer shares of Comcast Class B common stock, as described under “The Voting Agreement,” beginning on page [—] of this joint proxy statement/prospectus. The voting agreement will terminate upon the earliest to occur of: (i) 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9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As of February 12, 2014, the Comcast shareholders who are parties to the voting agreement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 which together represent approximately [33.35]% of the combined voting power of Comcast Class A common stock and Comcast Class B common stock. Based on [—] outstanding shares of Comcast Class A common stock and 9,444,375 outstanding shares of Comcast Class B common stock on the record date for the Comcast special meeting, and after taking into account the expected votes of the directors and executive officers of Comcast and the Comcast shareholders who are parties to the voting agreement, approval of the proposal for the stock issuance will require the affirmative vote of the holders of an additional [—] outstanding shares of Comcast Class A common stock at the Comcast special meeting (representing approximately [—]% of the outstanding shares of Comcast Class A common stock that are not owned by the directors and executive officers of Comcast or the Comcast shareholders who are parties to the voting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voting agreement is attached as Annex B to this joint proxy statement/prospectus.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TWC Stockholders Will Receive in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24"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8"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18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The ratio of 2.875 shares of Comcast Class A common stock for each share of TWC common stock, which is referred to in this joint proxy statement/prospectus as the exchange ratio, is fixed, which means that it will not</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 xml:space="preserve">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7"/>
          <w:szCs w:val="17"/>
          <w:b w:val="1"/>
          <w:bCs w:val="1"/>
          <w:color w:val="auto"/>
        </w:rPr>
        <w:t>The market price of shares of Comcast Class A</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180" w:lineRule="exact"/>
        <w:rPr>
          <w:sz w:val="20"/>
          <w:szCs w:val="20"/>
          <w:color w:val="auto"/>
        </w:rPr>
      </w:pPr>
    </w:p>
    <w:p>
      <w:pPr>
        <w:ind w:left="200" w:right="700" w:firstLine="443"/>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Dissenters’ or Appraisal Rights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TWC stockholders nor Comcast shareholders have dissenters’ or appraisal rights with respect to the merger.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TWC Equity Awards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80" w:firstLine="443"/>
        <w:spacing w:after="0" w:line="293" w:lineRule="auto"/>
        <w:rPr>
          <w:sz w:val="20"/>
          <w:szCs w:val="20"/>
          <w:color w:val="auto"/>
        </w:rPr>
      </w:pPr>
      <w:r>
        <w:rPr>
          <w:rFonts w:ascii="Arial" w:cs="Arial" w:eastAsia="Arial" w:hAnsi="Arial"/>
          <w:sz w:val="16"/>
          <w:szCs w:val="16"/>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6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93"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187"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For restricted stock units, the cash amount will be determined by multiplying (x) the number of shares of TWC common stock subject to such unit immediately prior to completion of the merger by (y) 2.875, with any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fractional shares rounded down to the next lower whole number of shares of Comcast Class A common stock, and then multiplying the product of (x) and (y) by the Comcast closing price.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TWC Board of Directors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8"/>
          <w:szCs w:val="18"/>
          <w:b w:val="1"/>
          <w:bCs w:val="1"/>
          <w:color w:val="auto"/>
        </w:rPr>
        <w:t>The TWC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directors unanimously recommends that TWC stockholders vote “FOR” the adoption of the merger agreement. </w:t>
      </w:r>
      <w:r>
        <w:rPr>
          <w:rFonts w:ascii="Arial" w:cs="Arial" w:eastAsia="Arial" w:hAnsi="Arial"/>
          <w:sz w:val="18"/>
          <w:szCs w:val="18"/>
          <w:color w:val="auto"/>
        </w:rPr>
        <w:t>For the factors considered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TWC board of directors in reaching this decision,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185" w:lineRule="exact"/>
        <w:rPr>
          <w:sz w:val="20"/>
          <w:szCs w:val="20"/>
          <w:color w:val="auto"/>
        </w:rPr>
      </w:pPr>
    </w:p>
    <w:p>
      <w:pPr>
        <w:ind w:left="200" w:right="180" w:firstLine="443"/>
        <w:spacing w:after="0" w:line="34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 of this joint proxy statement/prospectus.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Comcast Board of Directors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00" w:firstLine="443"/>
        <w:spacing w:after="0" w:line="291"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shareholders vote “FOR” the stock issuance. </w:t>
      </w:r>
      <w:r>
        <w:rPr>
          <w:rFonts w:ascii="Arial" w:cs="Arial" w:eastAsia="Arial" w:hAnsi="Arial"/>
          <w:sz w:val="16"/>
          <w:szCs w:val="16"/>
          <w:color w:val="auto"/>
        </w:rPr>
        <w:t>For the factors considered by the Comcast board of directors in reaching this decision, see “TWC</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I: Adoption of the Merger Agreement and Comcast Proposal I: Approval of the Stock Issuance—Comcast’s Reasons for the Merger; Recommendation of the Comcast Board of Directors” beginning on page [—] of this joint proxy statement/prospectus.</w:t>
      </w:r>
    </w:p>
    <w:p>
      <w:pPr>
        <w:spacing w:after="0" w:line="163"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7"/>
          <w:szCs w:val="17"/>
          <w:color w:val="auto"/>
        </w:rPr>
        <w:t>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Divestiture Transactions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00" w:firstLine="443"/>
        <w:spacing w:after="0" w:line="290"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81" w:lineRule="exact"/>
        <w:rPr>
          <w:sz w:val="20"/>
          <w:szCs w:val="20"/>
          <w:color w:val="auto"/>
        </w:rPr>
      </w:pPr>
    </w:p>
    <w:p>
      <w:pPr>
        <w:ind w:left="200" w:right="180" w:firstLine="443"/>
        <w:spacing w:after="0" w:line="276"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of TWC’s Financial Advisors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9"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7"/>
          <w:szCs w:val="17"/>
          <w:b w:val="1"/>
          <w:bCs w:val="1"/>
          <w:color w:val="auto"/>
        </w:rPr>
        <w:t>Allen &amp; Company’s</w:t>
      </w:r>
      <w:r>
        <w:rPr>
          <w:rFonts w:ascii="Arial" w:cs="Arial" w:eastAsia="Arial" w:hAnsi="Arial"/>
          <w:sz w:val="17"/>
          <w:szCs w:val="17"/>
          <w:color w:val="auto"/>
        </w:rPr>
        <w:t xml:space="preserve"> </w:t>
      </w:r>
      <w:r>
        <w:rPr>
          <w:rFonts w:ascii="Arial" w:cs="Arial" w:eastAsia="Arial" w:hAnsi="Arial"/>
          <w:sz w:val="17"/>
          <w:szCs w:val="17"/>
          <w:b w:val="1"/>
          <w:bCs w:val="1"/>
          <w:color w:val="auto"/>
        </w:rPr>
        <w:t>opinion was 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5"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The full text of Citi’s written opinion, dated February 12, 2014, which describes the assumptions made, procedures followed, matters considered and limitations on the review undertaken, is attached as Annex D to this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 xml:space="preserve">joint proxy statement/prospectus and is incorporated herein by reference. The description of Citi’s opinion set forth below is qualified in its entirety by reference to the full text of Citi’s opinion. </w:t>
      </w:r>
      <w:r>
        <w:rPr>
          <w:rFonts w:ascii="Arial" w:cs="Arial" w:eastAsia="Arial" w:hAnsi="Arial"/>
          <w:sz w:val="16"/>
          <w:szCs w:val="16"/>
          <w:b w:val="1"/>
          <w:bCs w:val="1"/>
          <w:color w:val="auto"/>
        </w:rPr>
        <w:t>Citi’s opinion was provided for the information of the TWC board of directors (in its capacity as such)</w:t>
      </w:r>
      <w:r>
        <w:rPr>
          <w:rFonts w:ascii="Arial" w:cs="Arial" w:eastAsia="Arial" w:hAnsi="Arial"/>
          <w:sz w:val="16"/>
          <w:szCs w:val="16"/>
          <w:color w:val="auto"/>
        </w:rPr>
        <w:t xml:space="preserve"> </w:t>
      </w:r>
      <w:r>
        <w:rPr>
          <w:rFonts w:ascii="Arial" w:cs="Arial" w:eastAsia="Arial" w:hAnsi="Arial"/>
          <w:sz w:val="16"/>
          <w:szCs w:val="16"/>
          <w:b w:val="1"/>
          <w:bCs w:val="1"/>
          <w:color w:val="auto"/>
        </w:rPr>
        <w:t>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7"/>
          <w:szCs w:val="17"/>
          <w:b w:val="1"/>
          <w:bCs w:val="1"/>
          <w:color w:val="auto"/>
        </w:rPr>
        <w:t>Morgan Stanley’s opinion was directed to the TWC board of directors and addressed only the fairness from a</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Financial Advisor to the TWC Independent Directors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TWC as treasury stock or owned by Comcast prior to the effective time of the merger, which are referred to in this joint proxy statement/prospectus as excluded shares).</w:t>
      </w:r>
    </w:p>
    <w:p>
      <w:pPr>
        <w:spacing w:after="0" w:line="170" w:lineRule="exact"/>
        <w:rPr>
          <w:sz w:val="20"/>
          <w:szCs w:val="20"/>
          <w:color w:val="auto"/>
        </w:rPr>
      </w:pPr>
    </w:p>
    <w:p>
      <w:pPr>
        <w:ind w:left="200" w:right="100" w:firstLine="443"/>
        <w:spacing w:after="0" w:line="288" w:lineRule="auto"/>
        <w:rPr>
          <w:sz w:val="20"/>
          <w:szCs w:val="20"/>
          <w:color w:val="auto"/>
        </w:rPr>
      </w:pPr>
      <w:r>
        <w:rPr>
          <w:rFonts w:ascii="Arial" w:cs="Arial" w:eastAsia="Arial" w:hAnsi="Arial"/>
          <w:sz w:val="16"/>
          <w:szCs w:val="16"/>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6"/>
          <w:szCs w:val="16"/>
          <w:b w:val="1"/>
          <w:bCs w:val="1"/>
          <w:color w:val="auto"/>
        </w:rPr>
        <w:t>Centerview’s opinion was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Comcast’s Financial Advisor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On February 12, 2014, at the meeting of the Comcast board of directors at which the proposed merger was approved, J.P. Morgan Securities LLC, which is referred to in this joint proxy statement/prospectus as 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82"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For further information, see “TWC Proposal I: Adoption of the Merger Agreement and Comcast Proposal I: Approval of the Stock Issuance— Opinion of Comcast’s Financial Advisor” beginning on page [—] of this joint proxy statement/prospectus.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Shares of Comcast Class A Common Stock After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 2014, Comcast expects to issue approximately [—] shares of Comcast Class A common stock to TWC stockholders pursuant to the merger and reserve for issuance approximately [—] additional shares of Comcast Class A common stock in connection with the conversion, exercise or settlement of outstanding</w:t>
      </w: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TWC options and restricted stock units and future equity compensation awards.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Directors and Executive Officers of TWC in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interests include the following:</w:t>
      </w:r>
    </w:p>
    <w:p>
      <w:pPr>
        <w:spacing w:after="0" w:line="131" w:lineRule="exact"/>
        <w:rPr>
          <w:sz w:val="20"/>
          <w:szCs w:val="20"/>
          <w:color w:val="auto"/>
        </w:rPr>
      </w:pPr>
    </w:p>
    <w:p>
      <w:pPr>
        <w:ind w:left="1060" w:right="80" w:hanging="431"/>
        <w:spacing w:after="0" w:line="25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93" w:lineRule="exact"/>
        <w:rPr>
          <w:rFonts w:ascii="Arial" w:cs="Arial" w:eastAsia="Arial" w:hAnsi="Arial"/>
          <w:sz w:val="18"/>
          <w:szCs w:val="18"/>
          <w:color w:val="auto"/>
        </w:rPr>
      </w:pPr>
    </w:p>
    <w:p>
      <w:pPr>
        <w:jc w:val="both"/>
        <w:ind w:left="1060" w:right="280" w:hanging="431"/>
        <w:spacing w:after="0" w:line="342" w:lineRule="auto"/>
        <w:tabs>
          <w:tab w:leader="none" w:pos="10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29" w:lineRule="exact"/>
        <w:rPr>
          <w:rFonts w:ascii="Arial" w:cs="Arial" w:eastAsia="Arial" w:hAnsi="Arial"/>
          <w:sz w:val="16"/>
          <w:szCs w:val="16"/>
          <w:color w:val="auto"/>
        </w:rPr>
      </w:pPr>
    </w:p>
    <w:p>
      <w:pPr>
        <w:ind w:left="1060" w:hanging="431"/>
        <w:spacing w:after="0" w:line="268"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 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9"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76" w:lineRule="exact"/>
        <w:rPr>
          <w:rFonts w:ascii="Arial" w:cs="Arial" w:eastAsia="Arial" w:hAnsi="Arial"/>
          <w:sz w:val="17"/>
          <w:szCs w:val="17"/>
          <w:color w:val="auto"/>
        </w:rPr>
      </w:pPr>
    </w:p>
    <w:p>
      <w:pPr>
        <w:ind w:left="1060" w:right="240" w:hanging="431"/>
        <w:spacing w:after="0" w:line="27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83" w:lineRule="exact"/>
        <w:rPr>
          <w:rFonts w:ascii="Arial" w:cs="Arial" w:eastAsia="Arial" w:hAnsi="Arial"/>
          <w:sz w:val="17"/>
          <w:szCs w:val="17"/>
          <w:color w:val="auto"/>
        </w:rPr>
      </w:pPr>
    </w:p>
    <w:p>
      <w:pPr>
        <w:ind w:left="1060" w:right="40" w:hanging="431"/>
        <w:spacing w:after="0" w:line="297"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 retention equity grant and supplement to the 2014 annual bonus are not taken into account in determining whether such compensation is not less favorable than it was before the completion of the merger.</w:t>
      </w:r>
    </w:p>
    <w:p>
      <w:pPr>
        <w:spacing w:after="0" w:line="63" w:lineRule="exact"/>
        <w:rPr>
          <w:rFonts w:ascii="Arial" w:cs="Arial" w:eastAsia="Arial" w:hAnsi="Arial"/>
          <w:sz w:val="16"/>
          <w:szCs w:val="16"/>
          <w:color w:val="auto"/>
        </w:rPr>
      </w:pPr>
    </w:p>
    <w:p>
      <w:pPr>
        <w:ind w:left="1060" w:right="380" w:hanging="431"/>
        <w:spacing w:after="0" w:line="308"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51" w:lineRule="exact"/>
        <w:rPr>
          <w:rFonts w:ascii="Arial" w:cs="Arial" w:eastAsia="Arial" w:hAnsi="Arial"/>
          <w:sz w:val="17"/>
          <w:szCs w:val="17"/>
          <w:color w:val="auto"/>
        </w:rPr>
      </w:pPr>
    </w:p>
    <w:p>
      <w:pPr>
        <w:jc w:val="both"/>
        <w:ind w:left="1060" w:right="360" w:hanging="431"/>
        <w:spacing w:after="0" w:line="286"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w:t>
      </w:r>
    </w:p>
    <w:p>
      <w:pPr>
        <w:spacing w:after="0" w:line="70" w:lineRule="exact"/>
        <w:rPr>
          <w:rFonts w:ascii="Arial" w:cs="Arial" w:eastAsia="Arial" w:hAnsi="Arial"/>
          <w:sz w:val="17"/>
          <w:szCs w:val="17"/>
          <w:color w:val="auto"/>
        </w:rPr>
      </w:pPr>
    </w:p>
    <w:p>
      <w:pPr>
        <w:ind w:left="1060" w:right="940" w:hanging="431"/>
        <w:spacing w:after="0" w:line="342"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Certain former directors and officers of TWC will have rights to indemnification from Comcast. See “The Merger Agreement— Indemnification and Insurance” beginning on page [—] of this joint proxy statement/prospectus for further details.</w:t>
      </w:r>
    </w:p>
    <w:p>
      <w:pPr>
        <w:spacing w:after="0" w:line="124" w:lineRule="exact"/>
        <w:rPr>
          <w:sz w:val="20"/>
          <w:szCs w:val="20"/>
          <w:color w:val="auto"/>
        </w:rPr>
      </w:pPr>
    </w:p>
    <w:p>
      <w:pPr>
        <w:jc w:val="both"/>
        <w:ind w:left="200" w:right="180" w:firstLine="443"/>
        <w:spacing w:after="0" w:line="264" w:lineRule="auto"/>
        <w:rPr>
          <w:sz w:val="20"/>
          <w:szCs w:val="20"/>
          <w:color w:val="auto"/>
        </w:rPr>
      </w:pPr>
      <w:r>
        <w:rPr>
          <w:rFonts w:ascii="Arial" w:cs="Arial" w:eastAsia="Arial" w:hAnsi="Arial"/>
          <w:sz w:val="18"/>
          <w:szCs w:val="18"/>
          <w:color w:val="auto"/>
        </w:rPr>
        <w:t>These interests are described in further detail under “Interests of Certain Persons in the Merger—Interests of Directors and Executive Officers of TWC in the Merger” and “The Merger Agreement—Indemnification and Insurance” beginning on pages [—] and [—], respectively,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Comcast will apply for listing on NASDAQ, where shares of Comcast Class A common stock are currently traded, of the shares of Comcast Class A common stock to be issued in the merger. If the merger is completed, the shares of Comcast Class A common stock to be issued in the merger will be listed on NASDAQ, and TWC shares will no longer be listed on the New York Stock Exchange and will be deregistered under the Exchange Act.</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87" w:lineRule="exact"/>
        <w:rPr>
          <w:sz w:val="20"/>
          <w:szCs w:val="20"/>
          <w:color w:val="auto"/>
        </w:rPr>
      </w:pPr>
    </w:p>
    <w:p>
      <w:pPr>
        <w:ind w:left="1060" w:right="140" w:hanging="431"/>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adoption of the merger agreement by the affirmative vote of holders of a majority of the outstanding shares of TWC common stock entitled to vote;</w:t>
      </w:r>
    </w:p>
    <w:p>
      <w:pPr>
        <w:spacing w:after="0" w:line="75" w:lineRule="exact"/>
        <w:rPr>
          <w:rFonts w:ascii="Arial" w:cs="Arial" w:eastAsia="Arial" w:hAnsi="Arial"/>
          <w:sz w:val="18"/>
          <w:szCs w:val="18"/>
          <w:color w:val="auto"/>
        </w:rPr>
      </w:pPr>
    </w:p>
    <w:p>
      <w:pPr>
        <w:ind w:left="1060" w:right="100" w:hanging="431"/>
        <w:spacing w:after="0" w:line="279"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76" w:lineRule="exact"/>
        <w:rPr>
          <w:rFonts w:ascii="Arial" w:cs="Arial" w:eastAsia="Arial" w:hAnsi="Arial"/>
          <w:sz w:val="17"/>
          <w:szCs w:val="17"/>
          <w:color w:val="auto"/>
        </w:rPr>
      </w:pPr>
    </w:p>
    <w:p>
      <w:pPr>
        <w:ind w:left="1060" w:right="40" w:hanging="431"/>
        <w:spacing w:after="0" w:line="259"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 —Reasonable Best Efforts Covenant” beginning on page [—] of this joint proxy statement/prospectus for a definition of burdensome condition));</w:t>
      </w:r>
    </w:p>
    <w:p>
      <w:pPr>
        <w:spacing w:after="0" w:line="92" w:lineRule="exact"/>
        <w:rPr>
          <w:rFonts w:ascii="Arial" w:cs="Arial" w:eastAsia="Arial" w:hAnsi="Arial"/>
          <w:sz w:val="18"/>
          <w:szCs w:val="18"/>
          <w:color w:val="auto"/>
        </w:rPr>
      </w:pPr>
    </w:p>
    <w:p>
      <w:pPr>
        <w:ind w:left="1060" w:hanging="431"/>
        <w:spacing w:after="0" w:line="25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 of this joint proxy statement/prospectus);</w:t>
      </w:r>
    </w:p>
    <w:p>
      <w:pPr>
        <w:spacing w:after="0" w:line="97" w:lineRule="exact"/>
        <w:rPr>
          <w:rFonts w:ascii="Arial" w:cs="Arial" w:eastAsia="Arial" w:hAnsi="Arial"/>
          <w:sz w:val="18"/>
          <w:szCs w:val="18"/>
          <w:color w:val="auto"/>
        </w:rPr>
      </w:pPr>
    </w:p>
    <w:p>
      <w:pPr>
        <w:jc w:val="both"/>
        <w:ind w:left="1060" w:right="40" w:hanging="431"/>
        <w:spacing w:after="0" w:line="30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59" w:lineRule="exact"/>
        <w:rPr>
          <w:rFonts w:ascii="Arial" w:cs="Arial" w:eastAsia="Arial" w:hAnsi="Arial"/>
          <w:sz w:val="16"/>
          <w:szCs w:val="16"/>
          <w:color w:val="auto"/>
        </w:rPr>
      </w:pPr>
    </w:p>
    <w:p>
      <w:pPr>
        <w:ind w:left="1060" w:right="20" w:hanging="431"/>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6"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153" w:lineRule="exact"/>
        <w:rPr>
          <w:rFonts w:ascii="Arial" w:cs="Arial" w:eastAsia="Arial" w:hAnsi="Arial"/>
          <w:sz w:val="16"/>
          <w:szCs w:val="16"/>
          <w:color w:val="auto"/>
        </w:rPr>
      </w:pPr>
    </w:p>
    <w:p>
      <w:pPr>
        <w:ind w:left="1060" w:right="140" w:hanging="431"/>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performance in all material respects by the other party of the material obligations required to be performed by it at or prior to completion of the merger;</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absence of a material adverse effect on the other party (see “The Merger Agreement—Definition of ‘Material Adverse Effect’” beginning on page [—] of this joint proxy statement/prospectus for the definition of material adverse effect);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431"/>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the other party as to the satisfaction of the conditions described in the preceding three bullets with respect to such other party; and</w:t>
      </w:r>
    </w:p>
    <w:p>
      <w:pPr>
        <w:spacing w:after="0" w:line="75"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248"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See “The Divestiture Transactions” beginning on page [—] of this joint proxy statement/prospectus.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May Not Be Completed Without All Required Regulatory Approvals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81"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9"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78"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Comcast and TWC have agreed to use their respective reasonable best efforts to obtain all regulatory approvals required to complete the merger. In furtherance of the foregoing, Comcast and TWC agreed in the merger agreement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88"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seven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73" w:lineRule="exact"/>
        <w:rPr>
          <w:sz w:val="20"/>
          <w:szCs w:val="20"/>
          <w:color w:val="auto"/>
        </w:rPr>
      </w:pPr>
    </w:p>
    <w:p>
      <w:pPr>
        <w:jc w:val="both"/>
        <w:ind w:left="200" w:right="160" w:firstLine="443"/>
        <w:spacing w:after="0" w:line="312" w:lineRule="auto"/>
        <w:rPr>
          <w:sz w:val="20"/>
          <w:szCs w:val="20"/>
          <w:color w:val="auto"/>
        </w:rPr>
      </w:pPr>
      <w:r>
        <w:rPr>
          <w:rFonts w:ascii="Arial" w:cs="Arial" w:eastAsia="Arial" w:hAnsi="Arial"/>
          <w:sz w:val="16"/>
          <w:szCs w:val="16"/>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47"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Comcast’s obligation to use reasonable best efforts to obtain all regulatory approvals required to complete the merger does not require Comcast to (and, without Comcast’s prior written consent, TWC is not permitted to):</w:t>
      </w:r>
    </w:p>
    <w:p>
      <w:pPr>
        <w:spacing w:after="0" w:line="76" w:lineRule="exact"/>
        <w:rPr>
          <w:sz w:val="20"/>
          <w:szCs w:val="20"/>
          <w:color w:val="auto"/>
        </w:rPr>
      </w:pPr>
    </w:p>
    <w:p>
      <w:pPr>
        <w:ind w:left="1060" w:hanging="431"/>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1060" w:right="300" w:hanging="431"/>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Notwithstanding the first two bullets above, (i) Comcast is prepared to divest up to approximately three million subscribers of the combined company and (ii) 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8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67"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 of this joint proxy statement/prospectus.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Expect to Complete the Merger in Early 2015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we expect to complete the merger in early 2015 due to our current expectations regarding the timing of certain regulatory approvals. However, there can be no assurance as to when, or if, the merger will occur.</w:t>
      </w:r>
    </w:p>
    <w:p>
      <w:pPr>
        <w:spacing w:after="0" w:line="187"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TWC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 of this joint proxy statement/prospectus),</w:t>
      </w:r>
    </w:p>
    <w:p>
      <w:pPr>
        <w:spacing w:after="0" w:line="2" w:lineRule="exact"/>
        <w:rPr>
          <w:sz w:val="20"/>
          <w:szCs w:val="20"/>
          <w:color w:val="auto"/>
        </w:rPr>
      </w:pPr>
    </w:p>
    <w:p>
      <w:pPr>
        <w:ind w:left="200" w:right="60" w:hanging="3"/>
        <w:spacing w:after="0" w:line="286" w:lineRule="auto"/>
        <w:tabs>
          <w:tab w:leader="none" w:pos="46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Agreement—No Solicitation by TWC,” beginning on page [—] of this joint proxy statement/prospectus).</w:t>
      </w:r>
    </w:p>
    <w:p>
      <w:pPr>
        <w:spacing w:after="0" w:line="167" w:lineRule="exact"/>
        <w:rPr>
          <w:sz w:val="20"/>
          <w:szCs w:val="20"/>
          <w:color w:val="auto"/>
        </w:rPr>
      </w:pPr>
    </w:p>
    <w:p>
      <w:pPr>
        <w:ind w:left="200" w:right="780" w:firstLine="443"/>
        <w:spacing w:after="0" w:line="277" w:lineRule="auto"/>
        <w:rPr>
          <w:sz w:val="20"/>
          <w:szCs w:val="20"/>
          <w:color w:val="auto"/>
        </w:rPr>
      </w:pPr>
      <w:r>
        <w:rPr>
          <w:rFonts w:ascii="Arial" w:cs="Arial" w:eastAsia="Arial" w:hAnsi="Arial"/>
          <w:sz w:val="18"/>
          <w:szCs w:val="18"/>
          <w:color w:val="auto"/>
        </w:rPr>
        <w:t>Notwithstanding the foregoing, at any time prior to the adoption of the merger agreement by TWC stockholders, subject to the terms and conditions described in the merger agreement, TWC is permitted to:</w:t>
      </w:r>
    </w:p>
    <w:p>
      <w:pPr>
        <w:spacing w:after="0" w:line="76" w:lineRule="exact"/>
        <w:rPr>
          <w:sz w:val="20"/>
          <w:szCs w:val="20"/>
          <w:color w:val="auto"/>
        </w:rPr>
      </w:pPr>
    </w:p>
    <w:p>
      <w:pPr>
        <w:ind w:left="1060" w:hanging="431"/>
        <w:spacing w:after="0" w:line="270"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 and</w:t>
      </w:r>
    </w:p>
    <w:p>
      <w:pPr>
        <w:spacing w:after="0" w:line="83" w:lineRule="exact"/>
        <w:rPr>
          <w:rFonts w:ascii="Arial" w:cs="Arial" w:eastAsia="Arial" w:hAnsi="Arial"/>
          <w:sz w:val="17"/>
          <w:szCs w:val="17"/>
          <w:color w:val="auto"/>
        </w:rPr>
      </w:pPr>
    </w:p>
    <w:p>
      <w:pPr>
        <w:ind w:left="1060" w:right="180" w:hanging="431"/>
        <w:spacing w:after="0" w:line="264"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under “The Merger Agreement—No Solicitation by TWC,” beginning on page [—] of this joint proxy statement/prospectus).</w:t>
      </w:r>
    </w:p>
    <w:p>
      <w:pPr>
        <w:spacing w:after="0" w:line="18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hanging="3"/>
        <w:spacing w:after="0" w:line="259" w:lineRule="auto"/>
        <w:tabs>
          <w:tab w:leader="none" w:pos="4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w:t>
      </w:r>
    </w:p>
    <w:p>
      <w:pPr>
        <w:spacing w:after="0" w:line="46" w:lineRule="exact"/>
        <w:rPr>
          <w:sz w:val="20"/>
          <w:szCs w:val="20"/>
          <w:color w:val="auto"/>
        </w:rPr>
      </w:pPr>
    </w:p>
    <w:p>
      <w:pPr>
        <w:ind w:left="200" w:right="180" w:hanging="3"/>
        <w:spacing w:after="0" w:line="252" w:lineRule="auto"/>
        <w:tabs>
          <w:tab w:leader="none" w:pos="41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93"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three preceding paragraphs to three business days. The litigation and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171"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 of this joint proxy statement/prospectus.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80" w:firstLine="443"/>
        <w:spacing w:after="0" w:line="34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29" w:lineRule="exact"/>
        <w:rPr>
          <w:sz w:val="20"/>
          <w:szCs w:val="20"/>
          <w:color w:val="auto"/>
        </w:rPr>
      </w:pPr>
    </w:p>
    <w:p>
      <w:pPr>
        <w:ind w:left="1060" w:hanging="431"/>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620" w:right="20" w:hanging="437"/>
        <w:spacing w:after="0" w:line="293" w:lineRule="auto"/>
        <w:tabs>
          <w:tab w:leader="none" w:pos="16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80" w:hanging="437"/>
        <w:spacing w:after="0" w:line="25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93" w:lineRule="exact"/>
        <w:rPr>
          <w:rFonts w:ascii="Arial" w:cs="Arial" w:eastAsia="Arial" w:hAnsi="Arial"/>
          <w:sz w:val="18"/>
          <w:szCs w:val="18"/>
          <w:color w:val="auto"/>
        </w:rPr>
      </w:pPr>
    </w:p>
    <w:p>
      <w:pPr>
        <w:ind w:left="1620" w:right="360" w:hanging="437"/>
        <w:spacing w:after="0" w:line="27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620" w:right="80" w:hanging="437"/>
        <w:spacing w:after="0" w:line="27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98" w:lineRule="exact"/>
        <w:rPr>
          <w:rFonts w:ascii="Arial" w:cs="Arial" w:eastAsia="Arial" w:hAnsi="Arial"/>
          <w:sz w:val="18"/>
          <w:szCs w:val="18"/>
          <w:color w:val="auto"/>
        </w:rPr>
      </w:pPr>
    </w:p>
    <w:p>
      <w:pPr>
        <w:ind w:left="1060" w:hanging="431"/>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620" w:right="40" w:hanging="437"/>
        <w:spacing w:after="0" w:line="25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ind w:left="1620" w:right="60" w:hanging="437"/>
        <w:spacing w:after="0" w:line="264"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620" w:hanging="437"/>
        <w:spacing w:after="0"/>
        <w:tabs>
          <w:tab w:leader="none" w:pos="16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prior to the adoption of the merger agreement by TWC stockholders, there has been an intentional and material breach by TWC of</w:t>
      </w:r>
    </w:p>
    <w:p>
      <w:pPr>
        <w:spacing w:after="0" w:line="46" w:lineRule="exact"/>
        <w:rPr>
          <w:rFonts w:ascii="Arial" w:cs="Arial" w:eastAsia="Arial" w:hAnsi="Arial"/>
          <w:sz w:val="16"/>
          <w:szCs w:val="16"/>
          <w:color w:val="auto"/>
        </w:rPr>
      </w:pPr>
    </w:p>
    <w:p>
      <w:pPr>
        <w:ind w:left="1620"/>
        <w:spacing w:after="0" w:line="254" w:lineRule="auto"/>
        <w:rPr>
          <w:rFonts w:ascii="Arial" w:cs="Arial" w:eastAsia="Arial" w:hAnsi="Arial"/>
          <w:sz w:val="16"/>
          <w:szCs w:val="16"/>
          <w:color w:val="auto"/>
        </w:rPr>
      </w:pPr>
      <w:r>
        <w:rPr>
          <w:rFonts w:ascii="Arial" w:cs="Arial" w:eastAsia="Arial" w:hAnsi="Arial"/>
          <w:sz w:val="18"/>
          <w:szCs w:val="18"/>
          <w:color w:val="auto"/>
        </w:rPr>
        <w:t>(i) any of its obligations described under “The Merger Agreement—No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5" w:lineRule="exact"/>
        <w:rPr>
          <w:rFonts w:ascii="Arial" w:cs="Arial" w:eastAsia="Arial" w:hAnsi="Arial"/>
          <w:sz w:val="16"/>
          <w:szCs w:val="16"/>
          <w:color w:val="auto"/>
        </w:rPr>
      </w:pPr>
    </w:p>
    <w:p>
      <w:pPr>
        <w:ind w:left="1060" w:hanging="431"/>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620" w:hanging="437"/>
        <w:spacing w:after="0" w:line="27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620" w:right="60" w:hanging="437"/>
        <w:spacing w:after="0" w:line="277" w:lineRule="auto"/>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 Remedies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of the “Comcast Unaudited Pro Forma Condensed Combined Financial Statements —Notes to Unaudited Pro Forma Financial Information Giving Effect to the TWC Merger” beginning on page [—] of this joint proxy statement/prospectus) over the net fair value of such assets and liabilities will be recorded as goodwill.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TWC Stockholders Will Change as a Result of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140" w:firstLine="443"/>
        <w:spacing w:after="0" w:line="312" w:lineRule="auto"/>
        <w:rPr>
          <w:sz w:val="20"/>
          <w:szCs w:val="20"/>
          <w:color w:val="auto"/>
        </w:rPr>
      </w:pPr>
      <w:r>
        <w:rPr>
          <w:rFonts w:ascii="Arial" w:cs="Arial" w:eastAsia="Arial" w:hAnsi="Arial"/>
          <w:sz w:val="16"/>
          <w:szCs w:val="16"/>
          <w:color w:val="auto"/>
        </w:rPr>
        <w:t>TWC stockholders will have different rights once they become Comcast shareholders due to differences between the organizational documents of Comcast and TWC and differences between Pennsylvania law, where Comcast is incorporated, and Delaware law, where TWC is incorporated. These differences are described in more detail under “Comparison of Stockholder Rights” beginning on page [—] of this joint proxy statement/prospectus.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(See Page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Following the announcement of the merger, eight putative class action complaints challenging the merger have been filed on behalf of purported TWC stockholders in the Supreme Court of the State of New York, County of New York (the “New York Supreme Court”) and the Court of Chancery of the State of Delaware. Five of the actions have been consolidated in the New York Supreme Court, and three of the actions are pending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w:t>
      </w:r>
    </w:p>
    <w:p>
      <w:pPr>
        <w:spacing w:after="0" w:line="192" w:lineRule="exact"/>
        <w:rPr>
          <w:sz w:val="20"/>
          <w:szCs w:val="20"/>
          <w:color w:val="auto"/>
        </w:rPr>
      </w:pPr>
    </w:p>
    <w:p>
      <w:pPr>
        <w:ind w:left="200" w:right="80" w:firstLine="443"/>
        <w:spacing w:after="0" w:line="253" w:lineRule="auto"/>
        <w:rPr>
          <w:sz w:val="20"/>
          <w:szCs w:val="20"/>
          <w:color w:val="auto"/>
        </w:rPr>
      </w:pPr>
      <w:r>
        <w:rPr>
          <w:rFonts w:ascii="Arial" w:cs="Arial" w:eastAsia="Arial" w:hAnsi="Arial"/>
          <w:sz w:val="18"/>
          <w:szCs w:val="18"/>
          <w:color w:val="auto"/>
        </w:rPr>
        <w:t>On July 22, 2014, the parties to the litigation entered into a memorandum of understanding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otherwise is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settlement will not affect the timing of the merger or the amount of consideration to be paid in the merger. The litigation and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COMCAST</w:t>
      </w:r>
    </w:p>
    <w:p>
      <w:pPr>
        <w:spacing w:after="0" w:line="229"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89" w:lineRule="exact"/>
        <w:rPr>
          <w:sz w:val="20"/>
          <w:szCs w:val="20"/>
          <w:color w:val="auto"/>
        </w:rPr>
      </w:pPr>
    </w:p>
    <w:p>
      <w:pPr>
        <w:ind w:left="200" w:right="300" w:firstLine="443"/>
        <w:spacing w:after="0" w:line="293" w:lineRule="auto"/>
        <w:rPr>
          <w:sz w:val="20"/>
          <w:szCs w:val="20"/>
          <w:color w:val="auto"/>
        </w:rPr>
      </w:pPr>
      <w:r>
        <w:rPr>
          <w:rFonts w:ascii="Arial" w:cs="Arial" w:eastAsia="Arial" w:hAnsi="Arial"/>
          <w:sz w:val="16"/>
          <w:szCs w:val="16"/>
          <w:color w:val="auto"/>
        </w:rPr>
        <w:t>The selected financial data for Comcast as of June 30, 2014, and for the six months ended June 30, 2014 and June 30, 2013 are derived from Comcast’s unaudited condensed consolidated financial statements and related notes contained in its Quarterly Report on Form 10-Q for the six months ended June 30, 2014, which is incorporated by reference into this joint proxy statement/prospectus. The unaudited financial data presented have been prepared on a basis consistent with Comcast’s audited consolidated financial statements. In the opinion of Comcast’s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vMerge w:val="restart"/>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5"/>
              </w:rPr>
              <w:t>2011(2)</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w w:val="98"/>
              </w:rPr>
              <w:t>(in millions, except per share data)</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34,252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31,580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64,657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62,570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55,842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37,937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7,372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13,563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12,179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10,721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7,980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 attributable to Comcast(1)</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3,863</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6,816</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4,160</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common share attributable to</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Diluted earnings per common share attributable to</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Comcast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6"/>
              </w:rPr>
              <w:t>157,459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156,819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158,813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164,971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9"/>
              </w:rPr>
              <w:t>157,818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6"/>
              </w:rPr>
              <w:t>118,534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debt, including current portion</w:t>
            </w:r>
          </w:p>
        </w:tc>
        <w:tc>
          <w:tcPr>
            <w:tcW w:w="10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46,549</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46,649</w:t>
            </w:r>
          </w:p>
        </w:tc>
        <w:tc>
          <w:tcPr>
            <w:tcW w:w="1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47,847</w:t>
            </w:r>
          </w:p>
        </w:tc>
        <w:tc>
          <w:tcPr>
            <w:tcW w:w="2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40,458</w:t>
            </w:r>
          </w:p>
        </w:tc>
        <w:tc>
          <w:tcPr>
            <w:tcW w:w="2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39,309</w:t>
            </w:r>
          </w:p>
        </w:tc>
        <w:tc>
          <w:tcPr>
            <w:tcW w:w="2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31,415</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Comcast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51,971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50,694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49,356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47,274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44,354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7,547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14,160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14,854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14,345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(3,888)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(9,514)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(12,508)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(3,848)</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(12,287)</w:t>
            </w:r>
          </w:p>
        </w:tc>
        <w:tc>
          <w:tcPr>
            <w:tcW w:w="10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2"/>
              </w:rPr>
              <w:t>(13,879)</w:t>
            </w:r>
          </w:p>
        </w:tc>
        <w:tc>
          <w:tcPr>
            <w:tcW w:w="24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(4,037)</w:t>
            </w:r>
          </w:p>
        </w:tc>
        <w:tc>
          <w:tcPr>
            <w:tcW w:w="2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(6,201)</w:t>
            </w:r>
          </w:p>
        </w:tc>
        <w:tc>
          <w:tcPr>
            <w:tcW w:w="2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93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7" w:lineRule="auto"/>
        <w:tabs>
          <w:tab w:leader="none" w:pos="6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2013, 2012 and 2011 and the six months ended June 30, 2014 and 2013, see Management’s Discussion and Analysis of Financial Condition and Results of Operations included in the Comcast 2013 10-K and the Comcast June 30, 2014 10-Q for a discussion of the effects of items impacting net income attributable to Comcast. In 2013, 2012 and 2011, net income attributable to Comcast is stated after deducting net income attributable to noncontrolling interests of $319 million, $1.7 billion and $1 billion, respectively. For the six months ended June 30, 2014 and 2013, net income attributable to Comcast is stated after deducting net income attributable to noncontrolling interests of $100 million and $218 million, respectively. The reduction in net income attributable to noncontrolling interests in 2014 and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1" w:lineRule="exact"/>
        <w:rPr>
          <w:rFonts w:ascii="Arial" w:cs="Arial" w:eastAsia="Arial" w:hAnsi="Arial"/>
          <w:sz w:val="17"/>
          <w:szCs w:val="17"/>
          <w:color w:val="auto"/>
        </w:rPr>
      </w:pPr>
    </w:p>
    <w:p>
      <w:pPr>
        <w:ind w:left="620" w:right="120" w:hanging="423"/>
        <w:spacing w:after="0" w:line="302" w:lineRule="auto"/>
        <w:tabs>
          <w:tab w:leader="none" w:pos="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TWC</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set forth in TWC’s Current Report on Form 8-K dated April 24, 2014, which recast TWC’s audited consolidated financial statements and related notes contained in its Annual Report on Form 10-K for the year ended December 31, 2013, which is referred to in this joint proxy statement/prospectus as the TWC 2013 10-K. Both of the filings are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67" w:lineRule="exact"/>
        <w:rPr>
          <w:sz w:val="20"/>
          <w:szCs w:val="20"/>
          <w:color w:val="auto"/>
        </w:rPr>
      </w:pPr>
    </w:p>
    <w:p>
      <w:pPr>
        <w:ind w:left="200" w:right="200" w:firstLine="443"/>
        <w:spacing w:after="0" w:line="271" w:lineRule="auto"/>
        <w:rPr>
          <w:sz w:val="20"/>
          <w:szCs w:val="20"/>
          <w:color w:val="auto"/>
        </w:rPr>
      </w:pPr>
      <w:r>
        <w:rPr>
          <w:rFonts w:ascii="Arial" w:cs="Arial" w:eastAsia="Arial" w:hAnsi="Arial"/>
          <w:sz w:val="17"/>
          <w:szCs w:val="17"/>
          <w:color w:val="auto"/>
        </w:rPr>
        <w:t>The selected financial data of TWC as of June 30, 2014, and for the six months ended June 30, 2014 and June 30, 2013 are derived from TWC’s unaudited consolidated financial statements and related notes contained in its Quarterly Report on Form 10-Q for the six months ended June 30, 2014, which is incorporated by reference into this joint proxy statement/prospectus. The selected financial data of TWC as of June 30, 2013 are derived from TWC’s unaudited consolidated financial statements for such period, which have not been incorporated by reference into this joint proxy statement/prospectus. The unaudited financial data presented have been prepared on a basis consistent with TWC’s audited consolidated financial statements. In the opinion of TWC’s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 Data</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11,308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11,025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22,120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21,386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19,675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18,868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17,868</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2,255</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4,580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4,069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3,689</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Net income attributable to TWC shareholders</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978</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1,954</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2,155</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1,665</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1,308</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6"/>
              </w:rPr>
              <w:t>Basic net income per common share attributable to TWC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3"/>
        </w:trPr>
        <w:tc>
          <w:tcPr>
            <w:tcW w:w="5480" w:type="dxa"/>
            <w:vAlign w:val="bottom"/>
          </w:tcPr>
          <w:p>
            <w:pPr>
              <w:spacing w:after="0"/>
              <w:rPr>
                <w:sz w:val="20"/>
                <w:szCs w:val="20"/>
                <w:color w:val="auto"/>
              </w:rPr>
            </w:pPr>
            <w:r>
              <w:rPr>
                <w:rFonts w:ascii="Arial" w:cs="Arial" w:eastAsia="Arial" w:hAnsi="Arial"/>
                <w:sz w:val="16"/>
                <w:szCs w:val="16"/>
                <w:color w:val="auto"/>
              </w:rPr>
              <w:t>Diluted net income per common share attributable to TWC common</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160"/>
              <w:spacing w:after="0"/>
              <w:rPr>
                <w:sz w:val="20"/>
                <w:szCs w:val="20"/>
                <w:color w:val="auto"/>
              </w:rPr>
            </w:pPr>
            <w:r>
              <w:rPr>
                <w:rFonts w:ascii="Arial" w:cs="Arial" w:eastAsia="Arial" w:hAnsi="Arial"/>
                <w:sz w:val="16"/>
                <w:szCs w:val="16"/>
                <w:color w:val="auto"/>
              </w:rPr>
              <w:t>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3.46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6.90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4.97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3.64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48,456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9"/>
              </w:rPr>
              <w:t>49,228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49,809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5"/>
              </w:rPr>
              <w:t>48,276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45,822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5"/>
              </w:rPr>
              <w:t>43,694</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Total debt, including current portion(2)</w:t>
            </w:r>
          </w:p>
        </w:tc>
        <w:tc>
          <w:tcPr>
            <w:tcW w:w="80" w:type="dxa"/>
            <w:vAlign w:val="bottom"/>
          </w:tcPr>
          <w:p>
            <w:pPr>
              <w:spacing w:after="0"/>
              <w:rPr>
                <w:sz w:val="17"/>
                <w:szCs w:val="17"/>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w w:val="89"/>
              </w:rPr>
              <w:t>24,580</w:t>
            </w:r>
          </w:p>
        </w:tc>
        <w:tc>
          <w:tcPr>
            <w:tcW w:w="2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26,392</w:t>
            </w:r>
          </w:p>
        </w:tc>
        <w:tc>
          <w:tcPr>
            <w:tcW w:w="1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25,052</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26,689</w:t>
            </w:r>
          </w:p>
        </w:tc>
        <w:tc>
          <w:tcPr>
            <w:tcW w:w="20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26,442</w:t>
            </w:r>
          </w:p>
        </w:tc>
        <w:tc>
          <w:tcPr>
            <w:tcW w:w="200" w:type="dxa"/>
            <w:vAlign w:val="bottom"/>
          </w:tcPr>
          <w:p>
            <w:pPr>
              <w:spacing w:after="0"/>
              <w:rPr>
                <w:sz w:val="17"/>
                <w:szCs w:val="17"/>
                <w:color w:val="auto"/>
              </w:rPr>
            </w:pPr>
          </w:p>
        </w:tc>
        <w:tc>
          <w:tcPr>
            <w:tcW w:w="640" w:type="dxa"/>
            <w:vAlign w:val="bottom"/>
          </w:tcPr>
          <w:p>
            <w:pPr>
              <w:jc w:val="right"/>
              <w:ind w:right="100"/>
              <w:spacing w:after="0"/>
              <w:rPr>
                <w:sz w:val="20"/>
                <w:szCs w:val="20"/>
                <w:color w:val="auto"/>
              </w:rPr>
            </w:pPr>
            <w:r>
              <w:rPr>
                <w:rFonts w:ascii="Arial" w:cs="Arial" w:eastAsia="Arial" w:hAnsi="Arial"/>
                <w:sz w:val="16"/>
                <w:szCs w:val="16"/>
                <w:color w:val="auto"/>
                <w:w w:val="89"/>
              </w:rPr>
              <w:t>23,121</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22,331</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Mandatorily redeemable preferred equity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Statement of Cash Flows Data</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(used) by: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rPr>
                <w:sz w:val="20"/>
                <w:szCs w:val="20"/>
                <w:color w:val="auto"/>
              </w:rPr>
            </w:pPr>
            <w:r>
              <w:rPr>
                <w:rFonts w:ascii="Arial" w:cs="Arial" w:eastAsia="Arial" w:hAnsi="Arial"/>
                <w:sz w:val="16"/>
                <w:szCs w:val="16"/>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3,092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2,945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5,753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5,525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5,688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0"/>
              <w:spacing w:after="0"/>
              <w:rPr>
                <w:sz w:val="20"/>
                <w:szCs w:val="20"/>
                <w:color w:val="auto"/>
              </w:rPr>
            </w:pPr>
            <w:r>
              <w:rPr>
                <w:rFonts w:ascii="Arial" w:cs="Arial" w:eastAsia="Arial" w:hAnsi="Arial"/>
                <w:sz w:val="16"/>
                <w:szCs w:val="16"/>
                <w:color w:val="auto"/>
              </w:rPr>
              <w:t>5,218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Investing activities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4"/>
              </w:rPr>
              <w:t>(2,067)</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(2,027)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(3,476)</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(3,345)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4"/>
              </w:rPr>
              <w:t>(3,530)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4"/>
              </w:rPr>
              <w:t>(2,872)</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(3,307)</w:t>
            </w:r>
          </w:p>
        </w:tc>
        <w:tc>
          <w:tcPr>
            <w:tcW w:w="0" w:type="dxa"/>
            <w:vAlign w:val="bottom"/>
          </w:tcPr>
          <w:p>
            <w:pPr>
              <w:spacing w:after="0"/>
              <w:rPr>
                <w:sz w:val="1"/>
                <w:szCs w:val="1"/>
                <w:color w:val="auto"/>
              </w:rPr>
            </w:pPr>
          </w:p>
        </w:tc>
      </w:tr>
      <w:tr>
        <w:trPr>
          <w:trHeight w:val="206"/>
        </w:trPr>
        <w:tc>
          <w:tcPr>
            <w:tcW w:w="5480" w:type="dxa"/>
            <w:vAlign w:val="bottom"/>
          </w:tcPr>
          <w:p>
            <w:pPr>
              <w:ind w:left="320"/>
              <w:spacing w:after="0"/>
              <w:rPr>
                <w:sz w:val="20"/>
                <w:szCs w:val="20"/>
                <w:color w:val="auto"/>
              </w:rPr>
            </w:pPr>
            <w:r>
              <w:rPr>
                <w:rFonts w:ascii="Arial" w:cs="Arial" w:eastAsia="Arial" w:hAnsi="Arial"/>
                <w:sz w:val="16"/>
                <w:szCs w:val="16"/>
                <w:color w:val="auto"/>
              </w:rPr>
              <w:t>Financing activities</w:t>
            </w:r>
          </w:p>
        </w:tc>
        <w:tc>
          <w:tcPr>
            <w:tcW w:w="8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4"/>
              </w:rPr>
              <w:t>(1,147)</w:t>
            </w:r>
          </w:p>
        </w:tc>
        <w:tc>
          <w:tcPr>
            <w:tcW w:w="2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(1,599)</w:t>
            </w:r>
          </w:p>
        </w:tc>
        <w:tc>
          <w:tcPr>
            <w:tcW w:w="1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(5,056)</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w w:val="94"/>
              </w:rPr>
              <w:t>(4,053)</w:t>
            </w:r>
          </w:p>
        </w:tc>
        <w:tc>
          <w:tcPr>
            <w:tcW w:w="2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7"/>
                <w:szCs w:val="17"/>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(347)</w:t>
            </w:r>
          </w:p>
        </w:tc>
        <w:tc>
          <w:tcPr>
            <w:tcW w:w="2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(6,273)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right="300" w:hanging="423"/>
        <w:spacing w:after="0" w:line="271" w:lineRule="auto"/>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Operating Income includes merger-related and restructuring costs of $141 million in the six months ended June 30, 2014, $58 million in the six months ended June 30, 2013, $119 million in 2013, $115 million in 2012, $70 million in 2011, $52 million in 2010 and $81 million in 2009. Operating Income in 2011 includes a $60 million impairment charge on wireless assets that will no longer be utilized.</w:t>
      </w:r>
    </w:p>
    <w:p>
      <w:pPr>
        <w:ind w:left="620" w:right="80" w:hanging="423"/>
        <w:spacing w:after="0" w:line="261" w:lineRule="auto"/>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Total debt includes $1.663 billion of debt due within one year as of June 30, 2014 and $1.767 billion, $1.518 billion and $2.122 billion of debt due within one year as of December 31, 2013, 2012 and 2011, respectively.</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selected historical and unaudited pro forma combined per share information for Comcast and TWC.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Per Share Information of Comcast and TWC</w:t>
      </w:r>
    </w:p>
    <w:p>
      <w:pPr>
        <w:spacing w:after="0" w:line="12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historical per share information of each of Comcast and TWC below is derived from the audited consolidated financial statements of each of Comcast and TWC as of, and for the year ended, December 31, 2013 and the unaudited condensed consolidated financial statements of each of Comcast and TWC as of, and for the six months ended, June 30, 2014.</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Comcast Common Share Data</w:t>
      </w:r>
    </w:p>
    <w:p>
      <w:pPr>
        <w:spacing w:after="0" w:line="12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The unaudited pro forma combined per Comcast common share data set forth below gives effect to the merger under the acquisition method of accounting, as if the merger had occurred on January 1, 2013, the first day of Comcast’s fiscal year ended December 31, 2013, in the case of net income, and at June 30, 2014, in the case of book value per share data, and assuming that each outstanding share of TWC common stock had been converted into Comcast common shares based on the exchange ratio.</w:t>
      </w:r>
    </w:p>
    <w:p>
      <w:pPr>
        <w:spacing w:after="0" w:line="187"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is derived from the unaudited condensed consolidated financial statements of each of Comcast and TWC as of, and for the six months ended, June 30, 2014 and the audited consolidated financial statements for each of Comcast and TWC for the year ended December 31, 2013.</w:t>
      </w:r>
    </w:p>
    <w:p>
      <w:pPr>
        <w:spacing w:after="0" w:line="18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92"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merger.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Combined per TWC Equivalent Share Data</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 unaudited pro forma combined per TWC equivalent share data set forth below shows the effect of the merger from the perspective of an owner of TWC common stock. The information was calculated by multiplying the unaudited pro forma combined per Comcast common share amounts by the exchange ratio.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Generally</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You should read the below information in conjunction with the selected historical consolidated financial information included elsewhere in this joint proxy statement/prospectus and the historical consolidated financial</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statements of Comcast and TWC and related notes that have been filed with the SEC, certain of which are incorporated by reference into this joint proxy statement/prospectus. See “Selected Historical Consolidated Financial Data of Comcast,” “Selected Historical Consolidated Financial Data of TWC” and “Where You Can Find More Information” beginning on pages [—], [—] and [—], respectively, of this joint proxy statement/prospectus. The unaudited pro forma combined per Comcast common share data and the unaudited pro forma combined per TWC equivalent share data is derived from, and should be read in conjunction with, the unaudited pro forma condensed combined financial information and related notes included in this joint proxy statement/prospectus. See “Comcast Unaudited Pro Forma Condensed Combined Financial Statements” beginning on page [—] of this joint proxy statement/prospectus.</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2"/>
              </w:rPr>
              <w:t>As of/For the</w:t>
            </w:r>
          </w:p>
        </w:tc>
        <w:tc>
          <w:tcPr>
            <w:tcW w:w="10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of/For the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June 30,</w:t>
            </w:r>
          </w:p>
        </w:tc>
        <w:tc>
          <w:tcPr>
            <w:tcW w:w="1920" w:type="dxa"/>
            <w:vAlign w:val="bottom"/>
            <w:gridSpan w:val="4"/>
          </w:tcPr>
          <w:p>
            <w:pPr>
              <w:ind w:left="100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Comcast Historical per Common Share Data:</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dividends paid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0.42</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TWC Historical per Common Share Data:</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income—diluted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Book value(1)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Combined per Comcast Common Share Data(4):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income—basic</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dividends paid(2)</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Book value(1)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Unaudited Pro Forma Combined per TWC Equivalent Share Data(4):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income—basic(3)</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income—diluted(3)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Book value(1)(3)</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80.59</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423"/>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or shares of common stock, as applicable, outstanding.</w:t>
      </w:r>
    </w:p>
    <w:p>
      <w:pPr>
        <w:spacing w:after="0" w:line="23" w:lineRule="exact"/>
        <w:rPr>
          <w:rFonts w:ascii="Arial" w:cs="Arial" w:eastAsia="Arial" w:hAnsi="Arial"/>
          <w:sz w:val="18"/>
          <w:szCs w:val="18"/>
          <w:color w:val="auto"/>
        </w:rPr>
      </w:pPr>
    </w:p>
    <w:p>
      <w:pPr>
        <w:ind w:left="620" w:right="140" w:hanging="423"/>
        <w:spacing w:after="0" w:line="250" w:lineRule="auto"/>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 forma combined dividends per share is not presented as the dividend policy for the combined entity will be determined by the Comcast board of directors following completion of the merger.</w:t>
      </w:r>
    </w:p>
    <w:p>
      <w:pPr>
        <w:ind w:left="620" w:right="660" w:hanging="423"/>
        <w:spacing w:after="0" w:line="250" w:lineRule="auto"/>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calculated by multiplying unaudited pro forma combined per share amounts by the exchange ratio in the merger (2.875 shares of Comcast Class A common stock for each share of TWC common stock).</w:t>
      </w:r>
    </w:p>
    <w:p>
      <w:pPr>
        <w:ind w:left="620" w:hanging="423"/>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calculated based on pro forma financial statements giving effect to the merger excluding the divestiture transactions.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Comcast Class A</w:t>
            </w:r>
          </w:p>
        </w:tc>
        <w:tc>
          <w:tcPr>
            <w:tcW w:w="1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8"/>
              </w:rPr>
              <w:t>Comcast Class A Special</w:t>
            </w: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TWC Common Stock</w:t>
            </w:r>
          </w:p>
        </w:tc>
      </w:tr>
      <w:tr>
        <w:trPr>
          <w:trHeight w:val="142"/>
        </w:trPr>
        <w:tc>
          <w:tcPr>
            <w:tcW w:w="54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$30.41</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63.93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36.90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35.83</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81.07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89.06</w:t>
            </w: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$42.01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43.74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41.88</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113.06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Third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120.93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106.01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Fourth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52.09</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139.85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108.88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First Calendar Quarter</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$55.28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$49.00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130.53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Second Calendar Quarter</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148.20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132.58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Third Calendar Quarter (through [—], 2014)</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00" w:right="240" w:firstLine="443"/>
        <w:spacing w:after="0" w:line="276"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1"/>
              </w:rPr>
              <w:t>Comcast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Comcast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Implied Per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TWC Common</w:t>
            </w:r>
          </w:p>
        </w:tc>
        <w:tc>
          <w:tcPr>
            <w:tcW w:w="7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 Value of</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Class A</w:t>
            </w:r>
          </w:p>
        </w:tc>
        <w:tc>
          <w:tcPr>
            <w:tcW w:w="76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Class A Special</w:t>
            </w:r>
          </w:p>
        </w:tc>
        <w:tc>
          <w:tcPr>
            <w:tcW w:w="7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1"/>
              </w:rPr>
              <w:t>Common Stock</w:t>
            </w:r>
          </w:p>
        </w:tc>
        <w:tc>
          <w:tcPr>
            <w:tcW w:w="7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Common Stock</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12, 2014</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135.31</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2014</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 market prices of shares of Comcast Class A common stock and Comcast Class A Special common stock will continue to fluctuate after the date the merger is completed. No assurance can be given concerning the market prices of Comcast Class A common stock and Comcast Class A Special common stock and TWC common stock before completion of the merger or Comcast Class A common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38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stock or Comcast Class A Special common stock after completion of the merger. The exchange ratio is fixed in 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currently pays a quarterly dividend on Comcast common shares and last paid a quarterly dividend on July 23, 2014, of $0.225 per share. In addition, on July 24, 2014, Comcast declared a quarterly dividend of $0.225 per share, which will be paid on October 22, 2014 to Comcast shareholders of record at the close of business on October 1,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TWC currently pays a quarterly dividend on TWC common stock, and last paid a quarterly dividend on June 16, 2014, of $0.75 per share. In addition, on July 24, 2014, TWC declared a quarterly dividend of $0.75 per share, which will be paid on September 15, 2014 to TWC stockholders of record at the close of business on August 29, 2014.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9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87"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COMCAST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 FORMA CONDENSED COMBINED FINANCIAL STATEMENTS</w:t>
      </w:r>
    </w:p>
    <w:p>
      <w:pPr>
        <w:spacing w:after="0" w:line="211" w:lineRule="exact"/>
        <w:rPr>
          <w:sz w:val="20"/>
          <w:szCs w:val="20"/>
          <w:color w:val="auto"/>
        </w:rPr>
      </w:pPr>
    </w:p>
    <w:p>
      <w:pPr>
        <w:ind w:left="200" w:right="60" w:firstLine="443"/>
        <w:spacing w:after="0" w:line="287" w:lineRule="auto"/>
        <w:rPr>
          <w:sz w:val="20"/>
          <w:szCs w:val="20"/>
          <w:color w:val="auto"/>
        </w:rPr>
      </w:pPr>
      <w:r>
        <w:rPr>
          <w:rFonts w:ascii="Arial" w:cs="Arial" w:eastAsia="Arial" w:hAnsi="Arial"/>
          <w:sz w:val="16"/>
          <w:szCs w:val="16"/>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June 30, 2014. The Unaudited Pro Forma Condensed Combined Statements of Income for the six months ended June 30,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17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six months ended June 30,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June 30,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169" w:lineRule="exact"/>
        <w:rPr>
          <w:sz w:val="20"/>
          <w:szCs w:val="20"/>
          <w:color w:val="auto"/>
        </w:rPr>
      </w:pPr>
    </w:p>
    <w:p>
      <w:pPr>
        <w:jc w:val="both"/>
        <w:ind w:left="200" w:right="40" w:firstLine="443"/>
        <w:spacing w:after="0" w:line="288" w:lineRule="auto"/>
        <w:rPr>
          <w:sz w:val="20"/>
          <w:szCs w:val="20"/>
          <w:color w:val="auto"/>
        </w:rPr>
      </w:pPr>
      <w:r>
        <w:rPr>
          <w:rFonts w:ascii="Arial" w:cs="Arial" w:eastAsia="Arial" w:hAnsi="Arial"/>
          <w:sz w:val="16"/>
          <w:szCs w:val="16"/>
          <w:color w:val="auto"/>
        </w:rPr>
        <w:t>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w:t>
      </w:r>
    </w:p>
    <w:p>
      <w:pPr>
        <w:ind w:left="200" w:right="120"/>
        <w:spacing w:after="0" w:line="255" w:lineRule="auto"/>
        <w:rPr>
          <w:sz w:val="20"/>
          <w:szCs w:val="20"/>
          <w:color w:val="auto"/>
        </w:rPr>
      </w:pPr>
      <w:r>
        <w:rPr>
          <w:rFonts w:ascii="Arial" w:cs="Arial" w:eastAsia="Arial" w:hAnsi="Arial"/>
          <w:sz w:val="18"/>
          <w:szCs w:val="18"/>
          <w:color w:val="auto"/>
        </w:rPr>
        <w:t>For further information on the synergies expected from the Charter divestiture transactions, the selection of cable systems included in the Charter divestiture transactions and a map highlighting the cable systems relating to the Charter divestiture transactions, refer to “The Divestiture Transactions” beginning on page [—] of this joint proxy statement/prospectus.</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 aggregate consideration to complete the TWC merger would have been $44.5 billion based upon a per share price of $54.50, the closing share price of Comcast Class A common stock on August 19, 2014, and 279.8 million shares of TWC common stock outstanding as of</w:t>
      </w:r>
    </w:p>
    <w:p>
      <w:pPr>
        <w:spacing w:after="0" w:line="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August 19, 2014. The purchase price also includes vested Comcast equity awards with an estimated fair value of $510 million that will be issued in respect of vested equity awards held by employees of TWC and $143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279.8 million shares of TWC common stock outstanding as of August 19, 2014 and the exchange ratio, each dollar increase (decrease) in the per share price of the Comcast Class A common stock will result in an $804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180"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171" w:lineRule="exact"/>
        <w:rPr>
          <w:sz w:val="20"/>
          <w:szCs w:val="20"/>
          <w:color w:val="auto"/>
        </w:rPr>
      </w:pPr>
    </w:p>
    <w:p>
      <w:pPr>
        <w:ind w:left="200" w:right="160" w:firstLine="443"/>
        <w:spacing w:after="0" w:line="257" w:lineRule="auto"/>
        <w:rPr>
          <w:sz w:val="20"/>
          <w:szCs w:val="20"/>
          <w:color w:val="auto"/>
        </w:rPr>
      </w:pPr>
      <w:r>
        <w:rPr>
          <w:rFonts w:ascii="Arial" w:cs="Arial" w:eastAsia="Arial" w:hAnsi="Arial"/>
          <w:sz w:val="18"/>
          <w:szCs w:val="18"/>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188"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In connection with the spin-off transaction, Comcast will form SpinCo, which will hold and operate cable systems serving approximately 2.5 million Comcast subscribers.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and/or term loans used to fund cash distributions to Comcast and SpinCo notes newly issued to Comcast, which will enable Comcast to complete a debt-for-debt exchange (collectively, the “SpinCo financing transactions”).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Following the SpinCo financing transactions, Comcast will then distribute, through the spin-off transaction, the common shares of SpinCo pro rata to the holders of all of Comcast’s outstanding common stock,</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or a subsidiary of New Charter owning the estimated remaining 33% (the “SpinCo merger”). Comcast will have no remaining interest in SpinCo. Comcast shareholders, including former TWC stockholders, will receive in exchange for the SpinCo common stock acquired by New Charter or a subsidiary of New Charter, shares of New Charter common stock. For diagrams illustrating the steps to consummate the divestiture transactions, please see pages [—] and [—] of this joint proxy statement/prospectus.</w:t>
      </w:r>
    </w:p>
    <w:p>
      <w:pPr>
        <w:spacing w:after="0" w:line="166"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$8.0 billion and $7.7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5.50%, TWC cable systems 3.60% and Charter cable systems 8.10%). In addition, the SpinCo indebtedness is estimated to be $7.8 billion using a similar methodology, consisting of $3.0 billion of SpinCo notes and $4.8 billion of other bank debt and/or term loans (to be used to fund cash distributions to Comcast and for general corporate purposes at SpinCo). The cash distributions to Comcast are expected to be up to the amount of Comcast’s tax basis in SpinCo, and Comcast expects to use the proceeds to repay indebtedness, repurchase shares or fund dividends. For purposes of this unaudited pro forma financial information, the aggregate distributions of cash by SpinCo to Comcast have been assumed to be $4.5 billion and the reduction in total debt outstanding has been assumed to be $2.7 billion as a result of the expected debt-for-debt exchange and assuming a hypothetical $300 million premium to par value on the debt-for-debt exchange. The amounts of the reduction in debt and SpinCo cash distributions will be dependent upon the ultimate completion of the SpinCo financing transactions and the detailed analysis to quantify Comcast’s tax basis in SpinCo, and are subject to change.</w:t>
      </w:r>
    </w:p>
    <w:p>
      <w:pPr>
        <w:spacing w:after="0" w:line="17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 (1) upon termination of the TWC merger, (2) by either Comcast or Charter upon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periods from the completion of the TWC merger.</w:t>
      </w:r>
    </w:p>
    <w:p>
      <w:pPr>
        <w:spacing w:after="0" w:line="16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170"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June 30,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TWC Merger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Merger-Related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gridSpan w:val="2"/>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29"/>
        </w:trPr>
        <w:tc>
          <w:tcPr>
            <w:tcW w:w="3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3p</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2,325</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6,232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906</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7,062</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905</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 assets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331</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348</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2,449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(2,587)</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12,173</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5,208</w:t>
            </w:r>
          </w:p>
        </w:tc>
        <w:tc>
          <w:tcPr>
            <w:tcW w:w="1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5,208</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3,072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3,137</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29,970</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15,604</w:t>
            </w:r>
          </w:p>
        </w:tc>
        <w:tc>
          <w:tcPr>
            <w:tcW w:w="260" w:type="dxa"/>
            <w:vAlign w:val="bottom"/>
          </w:tcPr>
          <w:p>
            <w:pPr>
              <w:spacing w:after="0"/>
              <w:rPr>
                <w:sz w:val="12"/>
                <w:szCs w:val="12"/>
                <w:color w:val="auto"/>
              </w:rPr>
            </w:pPr>
          </w:p>
        </w:tc>
        <w:tc>
          <w:tcPr>
            <w:tcW w:w="11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44,864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Franchise rights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59,364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26,012</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14,688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100,064</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27,323</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3,137</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26,099</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56,559</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17,233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576</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8,045</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26,564</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2,517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1,071</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157,459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48,456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46,145</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252,060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tcPr>
          <w:p>
            <w:pPr>
              <w:ind w:left="280"/>
              <w:spacing w:after="0" w:line="130" w:lineRule="exact"/>
              <w:rPr>
                <w:sz w:val="20"/>
                <w:szCs w:val="20"/>
                <w:color w:val="auto"/>
              </w:rPr>
            </w:pPr>
            <w:r>
              <w:rPr>
                <w:rFonts w:ascii="Arial" w:cs="Arial" w:eastAsia="Arial" w:hAnsi="Arial"/>
                <w:sz w:val="14"/>
                <w:szCs w:val="14"/>
                <w:color w:val="auto"/>
              </w:rPr>
              <w:t>Accounts payable and accrued expenses related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6,816</w:t>
            </w:r>
          </w:p>
        </w:tc>
        <w:tc>
          <w:tcPr>
            <w:tcW w:w="0" w:type="dxa"/>
            <w:vAlign w:val="bottom"/>
          </w:tcPr>
          <w:p>
            <w:pPr>
              <w:spacing w:after="0"/>
              <w:rPr>
                <w:sz w:val="1"/>
                <w:szCs w:val="1"/>
                <w:color w:val="auto"/>
              </w:rPr>
            </w:pPr>
          </w:p>
        </w:tc>
      </w:tr>
      <w:tr>
        <w:trPr>
          <w:trHeight w:val="167"/>
        </w:trPr>
        <w:tc>
          <w:tcPr>
            <w:tcW w:w="3720" w:type="dxa"/>
            <w:vAlign w:val="bottom"/>
          </w:tcPr>
          <w:p>
            <w:pPr>
              <w:ind w:left="440"/>
              <w:spacing w:after="0"/>
              <w:rPr>
                <w:sz w:val="20"/>
                <w:szCs w:val="20"/>
                <w:color w:val="auto"/>
              </w:rPr>
            </w:pPr>
            <w:r>
              <w:rPr>
                <w:rFonts w:ascii="Arial" w:cs="Arial" w:eastAsia="Arial" w:hAnsi="Arial"/>
                <w:sz w:val="14"/>
                <w:szCs w:val="14"/>
                <w:color w:val="auto"/>
              </w:rPr>
              <w:t>trade creditors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5,432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565</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540"/>
              <w:spacing w:after="0"/>
              <w:rPr>
                <w:sz w:val="20"/>
                <w:szCs w:val="20"/>
                <w:color w:val="auto"/>
              </w:rPr>
            </w:pPr>
            <w:r>
              <w:rPr>
                <w:rFonts w:ascii="Arial" w:cs="Arial" w:eastAsia="Arial" w:hAnsi="Arial"/>
                <w:sz w:val="14"/>
                <w:szCs w:val="14"/>
                <w:color w:val="auto"/>
              </w:rPr>
              <w:t>895</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(76)</w:t>
            </w:r>
          </w:p>
        </w:tc>
        <w:tc>
          <w:tcPr>
            <w:tcW w:w="1120" w:type="dxa"/>
            <w:vAlign w:val="bottom"/>
            <w:gridSpan w:val="2"/>
          </w:tcPr>
          <w:p>
            <w:pPr>
              <w:spacing w:after="0"/>
              <w:rPr>
                <w:sz w:val="20"/>
                <w:szCs w:val="20"/>
                <w:color w:val="auto"/>
              </w:rPr>
            </w:pPr>
            <w:r>
              <w:rPr>
                <w:rFonts w:ascii="Arial" w:cs="Arial" w:eastAsia="Arial" w:hAnsi="Arial"/>
                <w:sz w:val="14"/>
                <w:szCs w:val="14"/>
                <w:color w:val="auto"/>
              </w:rPr>
              <w:t>3b</w:t>
            </w: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w:t>
            </w:r>
          </w:p>
        </w:tc>
        <w:tc>
          <w:tcPr>
            <w:tcW w:w="260" w:type="dxa"/>
            <w:vAlign w:val="bottom"/>
          </w:tcPr>
          <w:p>
            <w:pPr>
              <w:spacing w:after="0"/>
              <w:rPr>
                <w:sz w:val="12"/>
                <w:szCs w:val="12"/>
                <w:color w:val="auto"/>
              </w:rPr>
            </w:pPr>
          </w:p>
        </w:tc>
        <w:tc>
          <w:tcPr>
            <w:tcW w:w="11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programming expense</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895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6,785</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1,956</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162</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3g, 3m</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9,071</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2,947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1,663</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4,609</w:t>
            </w: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17,375</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5,274</w:t>
            </w: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43,602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22,917</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4,618</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3h</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71,137</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31,854</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12,162</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7,023</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51,039</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11,241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689</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11,930</w:t>
            </w: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1,052</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subsidiary preferred stock</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3c</w:t>
            </w: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51,971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41,832</w:t>
            </w:r>
          </w:p>
        </w:tc>
        <w:tc>
          <w:tcPr>
            <w:tcW w:w="1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 3j, 3m, 3p</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93,803</w:t>
            </w:r>
          </w:p>
        </w:tc>
        <w:tc>
          <w:tcPr>
            <w:tcW w:w="0" w:type="dxa"/>
            <w:vAlign w:val="bottom"/>
          </w:tcPr>
          <w:p>
            <w:pPr>
              <w:spacing w:after="0"/>
              <w:rPr>
                <w:sz w:val="1"/>
                <w:szCs w:val="1"/>
                <w:color w:val="auto"/>
              </w:rPr>
            </w:pPr>
          </w:p>
        </w:tc>
      </w:tr>
      <w:tr>
        <w:trPr>
          <w:trHeight w:val="149"/>
        </w:trPr>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Time Warner Cable Inc. total stockholders’ equity</w:t>
            </w:r>
          </w:p>
        </w:tc>
        <w:tc>
          <w:tcPr>
            <w:tcW w:w="100" w:type="dxa"/>
            <w:vAlign w:val="bottom"/>
          </w:tcPr>
          <w:p>
            <w:pPr>
              <w:spacing w:after="0"/>
              <w:rPr>
                <w:sz w:val="12"/>
                <w:szCs w:val="12"/>
                <w:color w:val="auto"/>
              </w:rPr>
            </w:pPr>
          </w:p>
        </w:tc>
        <w:tc>
          <w:tcPr>
            <w:tcW w:w="10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7,410</w:t>
            </w:r>
          </w:p>
        </w:tc>
        <w:tc>
          <w:tcPr>
            <w:tcW w:w="26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(7,410)</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3k</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163"/>
        </w:trPr>
        <w:tc>
          <w:tcPr>
            <w:tcW w:w="3720" w:type="dxa"/>
            <w:vAlign w:val="bottom"/>
          </w:tcPr>
          <w:p>
            <w:pPr>
              <w:spacing w:after="0" w:line="155" w:lineRule="exact"/>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52,332</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7,414</w:t>
            </w:r>
          </w:p>
        </w:tc>
        <w:tc>
          <w:tcPr>
            <w:tcW w:w="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34,422</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94,168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157,459</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48,456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46,145</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252,060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TWC</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Merger-Related</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92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34,252</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11,308</w:t>
            </w: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(256)</w:t>
            </w:r>
          </w:p>
        </w:tc>
        <w:tc>
          <w:tcPr>
            <w:tcW w:w="4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45,304</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10,782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(243)</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13,189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9,676</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2,371</w:t>
            </w:r>
          </w:p>
        </w:tc>
        <w:tc>
          <w:tcPr>
            <w:tcW w:w="260" w:type="dxa"/>
            <w:vAlign w:val="bottom"/>
          </w:tcPr>
          <w:p>
            <w:pPr>
              <w:spacing w:after="0"/>
              <w:rPr>
                <w:sz w:val="14"/>
                <w:szCs w:val="14"/>
                <w:color w:val="auto"/>
              </w:rPr>
            </w:pPr>
          </w:p>
        </w:tc>
        <w:tc>
          <w:tcPr>
            <w:tcW w:w="11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1,295</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(111)</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3g, 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13,231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2,452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1,099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(13)</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3,538</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742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(742)</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412</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(412)</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3,168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1,570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4,588</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802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470</w:t>
            </w:r>
          </w:p>
        </w:tc>
        <w:tc>
          <w:tcPr>
            <w:tcW w:w="9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1,490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141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(141)</w:t>
            </w:r>
          </w:p>
        </w:tc>
        <w:tc>
          <w:tcPr>
            <w:tcW w:w="10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26,880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9,053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103</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36,036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7,372</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2,255</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(359)</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9,268</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(1,290)</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(713)</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226</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(1,777)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233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300"/>
              <w:spacing w:after="0" w:line="149" w:lineRule="exact"/>
              <w:rPr>
                <w:sz w:val="20"/>
                <w:szCs w:val="20"/>
                <w:color w:val="auto"/>
              </w:rPr>
            </w:pPr>
            <w:r>
              <w:rPr>
                <w:rFonts w:ascii="Arial" w:cs="Arial" w:eastAsia="Arial" w:hAnsi="Arial"/>
                <w:sz w:val="15"/>
                <w:szCs w:val="15"/>
                <w:color w:val="auto"/>
              </w:rPr>
              <w:t>Equity in net income (losses) of investees,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b w:val="1"/>
                <w:bCs w:val="1"/>
                <w:color w:val="auto"/>
              </w:rPr>
              <w:t>77</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460"/>
              <w:spacing w:after="0"/>
              <w:rPr>
                <w:sz w:val="20"/>
                <w:szCs w:val="20"/>
                <w:color w:val="auto"/>
              </w:rPr>
            </w:pPr>
            <w:r>
              <w:rPr>
                <w:rFonts w:ascii="Arial" w:cs="Arial" w:eastAsia="Arial" w:hAnsi="Arial"/>
                <w:sz w:val="15"/>
                <w:szCs w:val="15"/>
                <w:color w:val="auto"/>
              </w:rPr>
              <w:t>net</w:t>
            </w:r>
          </w:p>
        </w:tc>
        <w:tc>
          <w:tcPr>
            <w:tcW w:w="10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23</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(53)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(1,057)</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(690)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227</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(1,520)</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6,315</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1,565</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(132)</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7,748</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(2,352)</w:t>
            </w:r>
          </w:p>
        </w:tc>
        <w:tc>
          <w:tcPr>
            <w:tcW w:w="8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(587)</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52</w:t>
            </w:r>
          </w:p>
        </w:tc>
        <w:tc>
          <w:tcPr>
            <w:tcW w:w="920" w:type="dxa"/>
            <w:vAlign w:val="bottom"/>
            <w:gridSpan w:val="2"/>
          </w:tcPr>
          <w:p>
            <w:pPr>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(2,887)</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3,963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978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(80)</w:t>
            </w: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4,861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interests and redeemable subsidiary preferred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(101)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16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5"/>
                <w:szCs w:val="15"/>
                <w:color w:val="auto"/>
              </w:rPr>
              <w:t>(1)</w:t>
            </w:r>
          </w:p>
        </w:tc>
        <w:tc>
          <w:tcPr>
            <w:tcW w:w="920" w:type="dxa"/>
            <w:vAlign w:val="bottom"/>
            <w:gridSpan w:val="2"/>
          </w:tcPr>
          <w:p>
            <w:pPr>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Net income attributable to Comcast</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Corporation</w:t>
            </w: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b w:val="1"/>
                <w:bCs w:val="1"/>
                <w:color w:val="auto"/>
              </w:rPr>
              <w:t>3,863</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b w:val="1"/>
                <w:bCs w:val="1"/>
                <w:color w:val="auto"/>
              </w:rPr>
              <w:t>978</w:t>
            </w:r>
          </w:p>
        </w:tc>
        <w:tc>
          <w:tcPr>
            <w:tcW w:w="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b w:val="1"/>
                <w:bCs w:val="1"/>
                <w:color w:val="auto"/>
              </w:rPr>
              <w:t>(81)</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4,760</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1.49</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3.48</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1.42</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1.47</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3.46</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1.40</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2,598</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278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3,356</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2,636</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282</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3,406</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Giving Effect to the TWC Merger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Pro Forma for</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TWC</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Comcast</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Warner</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Merger-Related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Pro Forma</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Cable Inc.</w:t>
            </w: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3a</w:t>
            </w: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700" w:type="dxa"/>
            <w:vAlign w:val="bottom"/>
            <w:gridSpan w:val="2"/>
            <w:vMerge w:val="continue"/>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Transactions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64,657</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22,120</w:t>
            </w:r>
          </w:p>
        </w:tc>
        <w:tc>
          <w:tcPr>
            <w:tcW w:w="4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(448)</w:t>
            </w:r>
          </w:p>
        </w:tc>
        <w:tc>
          <w:tcPr>
            <w:tcW w:w="3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3b</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86,329</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Programming and production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19,670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4,950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(396)</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24,224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Other operating and administrative</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18,584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4,876</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2,385</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106</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3l, 3m</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25,951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Advertising, marketing and promotion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4,969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2,048</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(52)</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3b</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6,965</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Technical operations</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1,500</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(1,500)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Customer care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766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(766)</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6,254</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3,155</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(270)</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3d</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9,139</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1,617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126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949</w:t>
            </w:r>
          </w:p>
        </w:tc>
        <w:tc>
          <w:tcPr>
            <w:tcW w:w="7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2,962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Merger-related and restructuring costs</w:t>
            </w:r>
          </w:p>
        </w:tc>
        <w:tc>
          <w:tcPr>
            <w:tcW w:w="100" w:type="dxa"/>
            <w:vAlign w:val="bottom"/>
          </w:tcPr>
          <w:p>
            <w:pPr>
              <w:spacing w:after="0"/>
              <w:rPr>
                <w:sz w:val="14"/>
                <w:szCs w:val="14"/>
                <w:color w:val="auto"/>
              </w:rPr>
            </w:pPr>
          </w:p>
        </w:tc>
        <w:tc>
          <w:tcPr>
            <w:tcW w:w="6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119</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(119)</w:t>
            </w:r>
          </w:p>
        </w:tc>
        <w:tc>
          <w:tcPr>
            <w:tcW w:w="8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51,094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17,540</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607</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69,241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13,563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4,580</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(1,055)</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17,088</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(2,574)</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(1,552)</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454</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3h</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(3,675)</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income (loss),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579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Equity in net income (losses) of investees, net</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(86)</w:t>
            </w:r>
          </w:p>
        </w:tc>
        <w:tc>
          <w:tcPr>
            <w:tcW w:w="100" w:type="dxa"/>
            <w:vAlign w:val="bottom"/>
          </w:tcPr>
          <w:p>
            <w:pPr>
              <w:spacing w:after="0"/>
              <w:rPr>
                <w:sz w:val="14"/>
                <w:szCs w:val="14"/>
                <w:color w:val="auto"/>
              </w:rPr>
            </w:pPr>
          </w:p>
        </w:tc>
        <w:tc>
          <w:tcPr>
            <w:tcW w:w="11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19</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3c</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(66)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income (expense), net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(372)</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(2,448)</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(1,541)</w:t>
            </w:r>
          </w:p>
        </w:tc>
        <w:tc>
          <w:tcPr>
            <w:tcW w:w="260" w:type="dxa"/>
            <w:vAlign w:val="bottom"/>
          </w:tcPr>
          <w:p>
            <w:pPr>
              <w:spacing w:after="0"/>
              <w:rPr>
                <w:sz w:val="14"/>
                <w:szCs w:val="14"/>
                <w:color w:val="auto"/>
              </w:rPr>
            </w:pPr>
          </w:p>
        </w:tc>
        <w:tc>
          <w:tcPr>
            <w:tcW w:w="1160" w:type="dxa"/>
            <w:vAlign w:val="bottom"/>
            <w:gridSpan w:val="2"/>
          </w:tcPr>
          <w:p>
            <w:pPr>
              <w:ind w:left="5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455</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(3,534)</w:t>
            </w:r>
          </w:p>
        </w:tc>
        <w:tc>
          <w:tcPr>
            <w:tcW w:w="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11,115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3,039</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(600)</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13,554</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14"/>
                <w:szCs w:val="14"/>
                <w:color w:val="auto"/>
              </w:rPr>
            </w:pPr>
          </w:p>
        </w:tc>
        <w:tc>
          <w:tcPr>
            <w:tcW w:w="10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(3,980)</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(1,085)</w:t>
            </w:r>
          </w:p>
        </w:tc>
        <w:tc>
          <w:tcPr>
            <w:tcW w:w="260" w:type="dxa"/>
            <w:vAlign w:val="bottom"/>
          </w:tcPr>
          <w:p>
            <w:pPr>
              <w:spacing w:after="0"/>
              <w:rPr>
                <w:sz w:val="14"/>
                <w:szCs w:val="14"/>
                <w:color w:val="auto"/>
              </w:rPr>
            </w:pPr>
          </w:p>
        </w:tc>
        <w:tc>
          <w:tcPr>
            <w:tcW w:w="116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234</w:t>
            </w:r>
          </w:p>
        </w:tc>
        <w:tc>
          <w:tcPr>
            <w:tcW w:w="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3i</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(4,831)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1,954</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(366)</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8,723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5"/>
                <w:szCs w:val="15"/>
                <w:color w:val="auto"/>
              </w:rPr>
              <w:t>Net (income) loss attributable to 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(320)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60"/>
              <w:spacing w:after="0"/>
              <w:rPr>
                <w:sz w:val="20"/>
                <w:szCs w:val="20"/>
                <w:color w:val="auto"/>
              </w:rPr>
            </w:pPr>
            <w:r>
              <w:rPr>
                <w:rFonts w:ascii="Arial" w:cs="Arial" w:eastAsia="Arial" w:hAnsi="Arial"/>
                <w:sz w:val="15"/>
                <w:szCs w:val="15"/>
                <w:color w:val="auto"/>
                <w:w w:val="99"/>
              </w:rPr>
              <w:t>interests and redeemable subsidiary preferred stock</w:t>
            </w: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rPr>
              <w:t>(1)</w:t>
            </w:r>
          </w:p>
        </w:tc>
        <w:tc>
          <w:tcPr>
            <w:tcW w:w="700" w:type="dxa"/>
            <w:vAlign w:val="bottom"/>
            <w:gridSpan w:val="2"/>
          </w:tcPr>
          <w:p>
            <w:pPr>
              <w:ind w:left="20"/>
              <w:spacing w:after="0"/>
              <w:rPr>
                <w:sz w:val="20"/>
                <w:szCs w:val="20"/>
                <w:color w:val="auto"/>
              </w:rPr>
            </w:pPr>
            <w:r>
              <w:rPr>
                <w:rFonts w:ascii="Arial" w:cs="Arial" w:eastAsia="Arial" w:hAnsi="Arial"/>
                <w:sz w:val="15"/>
                <w:szCs w:val="15"/>
                <w:color w:val="auto"/>
              </w:rPr>
              <w:t>3c</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income attributable to Comcast Corporation</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6,816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b w:val="1"/>
                <w:bCs w:val="1"/>
                <w:color w:val="auto"/>
              </w:rPr>
              <w:t>1,954</w:t>
            </w: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(367)</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8,403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5"/>
                <w:szCs w:val="15"/>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160"/>
              <w:spacing w:after="0"/>
              <w:rPr>
                <w:sz w:val="20"/>
                <w:szCs w:val="20"/>
                <w:color w:val="auto"/>
              </w:rPr>
            </w:pPr>
            <w:r>
              <w:rPr>
                <w:rFonts w:ascii="Arial" w:cs="Arial" w:eastAsia="Arial" w:hAnsi="Arial"/>
                <w:sz w:val="15"/>
                <w:szCs w:val="15"/>
                <w:b w:val="1"/>
                <w:bCs w:val="1"/>
                <w:color w:val="auto"/>
              </w:rPr>
              <w:t>Corporation shareholders: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6.76</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2.48</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2.56</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6.70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2.45</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Weighted average shares outstanding:</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Arial" w:cs="Arial" w:eastAsia="Arial" w:hAnsi="Arial"/>
                <w:sz w:val="15"/>
                <w:szCs w:val="15"/>
                <w:color w:val="auto"/>
              </w:rPr>
              <w:t>Basic</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2,625</w:t>
            </w:r>
          </w:p>
        </w:tc>
        <w:tc>
          <w:tcPr>
            <w:tcW w:w="100" w:type="dxa"/>
            <w:vAlign w:val="bottom"/>
          </w:tcPr>
          <w:p>
            <w:pPr>
              <w:spacing w:after="0"/>
              <w:rPr>
                <w:sz w:val="14"/>
                <w:szCs w:val="14"/>
                <w:color w:val="auto"/>
              </w:rPr>
            </w:pPr>
          </w:p>
        </w:tc>
        <w:tc>
          <w:tcPr>
            <w:tcW w:w="11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288</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b w:val="1"/>
                <w:bCs w:val="1"/>
                <w:color w:val="auto"/>
              </w:rPr>
              <w:t>3,383</w:t>
            </w:r>
          </w:p>
        </w:tc>
        <w:tc>
          <w:tcPr>
            <w:tcW w:w="420" w:type="dxa"/>
            <w:vAlign w:val="bottom"/>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2,665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292</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b w:val="1"/>
                <w:bCs w:val="1"/>
                <w:color w:val="auto"/>
              </w:rPr>
              <w:t>3,435</w:t>
            </w:r>
          </w:p>
        </w:tc>
        <w:tc>
          <w:tcPr>
            <w:tcW w:w="4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3o</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Giving Effect to the TWC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 to [—].</w:t>
      </w:r>
    </w:p>
    <w:p>
      <w:pPr>
        <w:spacing w:after="0" w:line="188"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Merger-related pro forma adjustments are included only to the extent they are (i) directly attributable to the TWC merger, (ii) factually supportable and (iii) with respect to the statements of income, expected to have a continuing impact on the combined results. The accompanying unaudited pro forma financial information is presented for illustrative purposes only.</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178"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June 30, 2014, and the Unaudited Pro Forma Condensed Combined Statements of Income for the six months ended June 30, 2014 and the year ended December 31, 2013 give effect to the TWC merger as if it had occurred on January 1, 2013, the beginning of the earliest period presented.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TWC Merger-Related Adjustments</w:t>
      </w:r>
    </w:p>
    <w:p>
      <w:pPr>
        <w:spacing w:after="0" w:line="121"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The unaudited pro forma financial information reflects certain reclassifications of TWC balance sheet and statements of income categories to conform to Comcast’s presentation.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certain adjustments to eliminate transactions between Comcast and TWC.</w:t>
      </w:r>
    </w:p>
    <w:p>
      <w:pPr>
        <w:spacing w:after="0" w:line="225" w:lineRule="exact"/>
        <w:rPr>
          <w:sz w:val="20"/>
          <w:szCs w:val="20"/>
          <w:color w:val="auto"/>
        </w:rPr>
      </w:pPr>
    </w:p>
    <w:p>
      <w:pPr>
        <w:ind w:left="200" w:right="580" w:firstLine="443"/>
        <w:spacing w:after="0" w:line="342" w:lineRule="auto"/>
        <w:rPr>
          <w:sz w:val="20"/>
          <w:szCs w:val="20"/>
          <w:color w:val="auto"/>
        </w:rPr>
      </w:pPr>
      <w:r>
        <w:rPr>
          <w:rFonts w:ascii="Arial" w:cs="Arial" w:eastAsia="Arial" w:hAnsi="Arial"/>
          <w:sz w:val="16"/>
          <w:szCs w:val="16"/>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124"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4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jc w:val="both"/>
        <w:ind w:left="200" w:right="100" w:firstLine="443"/>
        <w:spacing w:after="0" w:line="286" w:lineRule="auto"/>
        <w:rPr>
          <w:sz w:val="20"/>
          <w:szCs w:val="20"/>
          <w:color w:val="auto"/>
        </w:rPr>
      </w:pPr>
      <w:r>
        <w:rPr>
          <w:rFonts w:ascii="Arial" w:cs="Arial" w:eastAsia="Arial" w:hAnsi="Arial"/>
          <w:sz w:val="16"/>
          <w:szCs w:val="16"/>
          <w:color w:val="auto"/>
        </w:rPr>
        <w:t>Comcast performed an analysis of the cost structure of the Comcast and TWC businesses on a stand alone basis as compared to an estimate of the cost structure of the combined businesses and as a result, Comcast anticipates that the TWC merger will result in significant annual operating synergies that leverage Comcast’s and TWC’s combined platform to create economies of scale that would be unachievable without completing the transaction. In addition, the TWC merger will result in annual compensation expense savings from the elimination of overlapping positions and support functions.</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Comcast 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 For further information on the cost savings and synergies expected from the TWC merger, refer to “Comcast’s Reasons for the Merger; Recommendation of the Comcast Board of Directors—Increase Operating Efficiency” beginning on page [—] of this joint proxy statement/prospectus.</w:t>
      </w:r>
    </w:p>
    <w:p>
      <w:pPr>
        <w:spacing w:after="0" w:line="191"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Unaudited Pro 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18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Comcast and TWC each has investments in certain entities that are accounted for under the equity method of accounting. As a result of the TWC merger, these entities may be required to be consolidated for accounting purposes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9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187"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color w:val="auto"/>
        </w:rPr>
        <w:t>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 In addition, no gain or loss has been assumed related to these transactions.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TWC Merger Transaction</w:t>
      </w:r>
    </w:p>
    <w:p>
      <w:pPr>
        <w:spacing w:after="0" w:line="121" w:lineRule="exact"/>
        <w:rPr>
          <w:sz w:val="20"/>
          <w:szCs w:val="20"/>
          <w:color w:val="auto"/>
        </w:rPr>
      </w:pPr>
    </w:p>
    <w:p>
      <w:pPr>
        <w:ind w:left="200" w:right="260" w:firstLine="443"/>
        <w:spacing w:after="0" w:line="257" w:lineRule="auto"/>
        <w:rPr>
          <w:sz w:val="20"/>
          <w:szCs w:val="20"/>
          <w:color w:val="auto"/>
        </w:rPr>
      </w:pPr>
      <w:r>
        <w:rPr>
          <w:rFonts w:ascii="Arial" w:cs="Arial" w:eastAsia="Arial" w:hAnsi="Arial"/>
          <w:sz w:val="18"/>
          <w:szCs w:val="18"/>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$54.50 closing price of Comcast Class A common stock on August 19, 2014 that is assumed for purposes of this unaudited pro forma financial information, and that difference may be material.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Purchase Price</w:t>
      </w:r>
    </w:p>
    <w:p>
      <w:pPr>
        <w:spacing w:after="0" w:line="117" w:lineRule="exact"/>
        <w:rPr>
          <w:sz w:val="20"/>
          <w:szCs w:val="20"/>
          <w:color w:val="auto"/>
        </w:rPr>
      </w:pPr>
    </w:p>
    <w:p>
      <w:pPr>
        <w:ind w:left="200" w:right="200" w:firstLine="443"/>
        <w:spacing w:after="0" w:line="286" w:lineRule="auto"/>
        <w:rPr>
          <w:sz w:val="20"/>
          <w:szCs w:val="20"/>
          <w:color w:val="auto"/>
        </w:rPr>
      </w:pPr>
      <w:r>
        <w:rPr>
          <w:rFonts w:ascii="Arial" w:cs="Arial" w:eastAsia="Arial" w:hAnsi="Arial"/>
          <w:sz w:val="16"/>
          <w:szCs w:val="16"/>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$44.5 billion. This amount was derived based on the 279.8 million outstanding shares of TWC common stock at August 19, 2014, the exchange ratio and a price per share of Comcast Class A common stock of $54.50, which represents the closing price on August 19,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$510 million and $143 million, respectively.</w:t>
      </w:r>
    </w:p>
    <w:p>
      <w:pPr>
        <w:spacing w:after="0" w:line="172"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The table below presents the preliminary purchase price as if the TWC merger had closed on June 30, 2014, along with a preliminary allocation of purchase price to the assets acquired and liabilities assumed in the TWC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 except per share data)</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of TWC common stock as of August 19, 2014</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Share exchange ratio</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Shares of Comcast Class A common stock to be issued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Price per share as of August 19,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54.50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Comcast Class A common stock to be issued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43,841</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Fair value of Comcast equity awards issued in exchange for vested TWC equity awards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TWC non-employee equity awards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44,494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79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8540" w:type="dxa"/>
            <w:vAlign w:val="bottom"/>
            <w:gridSpan w:val="2"/>
          </w:tcPr>
          <w:p>
            <w:pPr>
              <w:jc w:val="right"/>
              <w:ind w:right="2650"/>
              <w:spacing w:after="0"/>
              <w:rPr>
                <w:sz w:val="20"/>
                <w:szCs w:val="20"/>
                <w:color w:val="auto"/>
              </w:rPr>
            </w:pPr>
            <w:r>
              <w:rPr>
                <w:rFonts w:ascii="Arial" w:cs="Arial" w:eastAsia="Arial" w:hAnsi="Arial"/>
                <w:sz w:val="18"/>
                <w:szCs w:val="18"/>
                <w:color w:val="auto"/>
              </w:rPr>
              <w:t>51</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3n</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1,498</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14,894</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3d</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Franchise rights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40,700</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29,236</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3f</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9,331</w:t>
            </w:r>
          </w:p>
        </w:tc>
        <w:tc>
          <w:tcPr>
            <w:tcW w:w="5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(29,197)</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3h</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(19,185)</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3i</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(4,225)</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3n</w:t>
            </w:r>
          </w:p>
        </w:tc>
      </w:tr>
      <w:tr>
        <w:trPr>
          <w:trHeight w:val="27"/>
        </w:trPr>
        <w:tc>
          <w:tcPr>
            <w:tcW w:w="5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44,494</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3"/>
        <w:spacing w:after="0" w:line="312" w:lineRule="auto"/>
        <w:rPr>
          <w:sz w:val="20"/>
          <w:szCs w:val="20"/>
          <w:color w:val="auto"/>
        </w:rPr>
      </w:pPr>
      <w:r>
        <w:rPr>
          <w:rFonts w:ascii="Arial" w:cs="Arial" w:eastAsia="Arial" w:hAnsi="Arial"/>
          <w:sz w:val="16"/>
          <w:szCs w:val="16"/>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Reclassifications and TWC Merger-Related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TWC merger:</w:t>
      </w:r>
    </w:p>
    <w:p>
      <w:pPr>
        <w:spacing w:after="0" w:line="131" w:lineRule="exact"/>
        <w:rPr>
          <w:sz w:val="20"/>
          <w:szCs w:val="20"/>
          <w:color w:val="auto"/>
        </w:rPr>
      </w:pPr>
    </w:p>
    <w:p>
      <w:pPr>
        <w:ind w:left="1060" w:right="240" w:hanging="431"/>
        <w:spacing w:after="0" w:line="272"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Conforming reclassifications. </w:t>
      </w:r>
      <w:r>
        <w:rPr>
          <w:rFonts w:ascii="Arial" w:cs="Arial" w:eastAsia="Arial" w:hAnsi="Arial"/>
          <w:sz w:val="17"/>
          <w:szCs w:val="17"/>
          <w:color w:val="auto"/>
        </w:rPr>
        <w:t>Certain reclassifications have been made to amounts in the TWC balance sheet and statements of income to</w:t>
      </w:r>
      <w:r>
        <w:rPr>
          <w:rFonts w:ascii="Arial" w:cs="Arial" w:eastAsia="Arial" w:hAnsi="Arial"/>
          <w:sz w:val="17"/>
          <w:szCs w:val="17"/>
          <w:i w:val="1"/>
          <w:iCs w:val="1"/>
          <w:color w:val="auto"/>
        </w:rPr>
        <w:t xml:space="preserve"> </w:t>
      </w:r>
      <w:r>
        <w:rPr>
          <w:rFonts w:ascii="Arial" w:cs="Arial" w:eastAsia="Arial" w:hAnsi="Arial"/>
          <w:sz w:val="17"/>
          <w:szCs w:val="17"/>
          <w:color w:val="auto"/>
        </w:rPr>
        <w:t>conform to 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83" w:lineRule="exact"/>
        <w:rPr>
          <w:rFonts w:ascii="Arial" w:cs="Arial" w:eastAsia="Arial" w:hAnsi="Arial"/>
          <w:sz w:val="17"/>
          <w:szCs w:val="17"/>
          <w:color w:val="auto"/>
        </w:rPr>
      </w:pPr>
    </w:p>
    <w:p>
      <w:pPr>
        <w:ind w:left="1060" w:right="560" w:hanging="431"/>
        <w:spacing w:after="0" w:line="264"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eliminate balances and activity between Comcast and TWC for purposes of the combined pro forma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Transactions relate principally to programming and advertising between Comcast and TWC. The adjustments eliminate the following items as intercompany balances: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gridSpan w:val="5"/>
          </w:tcPr>
          <w:p>
            <w:pPr>
              <w:ind w:left="68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3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June 30, 2014</w:t>
            </w:r>
          </w:p>
        </w:tc>
        <w:tc>
          <w:tcPr>
            <w:tcW w:w="680" w:type="dxa"/>
            <w:vAlign w:val="bottom"/>
          </w:tcPr>
          <w:p>
            <w:pPr>
              <w:spacing w:after="0"/>
              <w:rPr>
                <w:sz w:val="14"/>
                <w:szCs w:val="14"/>
                <w:color w:val="auto"/>
              </w:rPr>
            </w:pPr>
          </w:p>
        </w:tc>
        <w:tc>
          <w:tcPr>
            <w:tcW w:w="23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Statements of Income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(256)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(243)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jc w:val="right"/>
              <w:ind w:right="4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40" w:hanging="431"/>
        <w:spacing w:after="0" w:line="264"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Investments and redeemable noncontrolling interests. </w:t>
      </w:r>
      <w:r>
        <w:rPr>
          <w:rFonts w:ascii="Arial" w:cs="Arial" w:eastAsia="Arial" w:hAnsi="Arial"/>
          <w:sz w:val="18"/>
          <w:szCs w:val="18"/>
          <w:color w:val="auto"/>
        </w:rPr>
        <w:t>Adjustment to eliminate a TWC investment accounted for under the equity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redeemable noncontrolling interest balance recorded at Comcast. The entity is a consolidated subsidiary of Comcast and, therefore, Comcast accounts for the TWC interest as a redeemable noncontrolling interest.</w:t>
      </w:r>
    </w:p>
    <w:p>
      <w:pPr>
        <w:spacing w:after="0" w:line="86" w:lineRule="exact"/>
        <w:rPr>
          <w:rFonts w:ascii="Arial" w:cs="Arial" w:eastAsia="Arial" w:hAnsi="Arial"/>
          <w:sz w:val="18"/>
          <w:szCs w:val="18"/>
          <w:color w:val="auto"/>
        </w:rPr>
      </w:pPr>
    </w:p>
    <w:p>
      <w:pPr>
        <w:ind w:left="1060" w:right="80" w:hanging="431"/>
        <w:spacing w:after="0" w:line="288"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For purposes of this unaudited pro forma financial information, Comcast believes, to the best of its knowledge,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TWC book values represent the best estimate of fair value. No adjustment has been made because it is preliminarily assumed 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annual depreciation expense would increase by approximately $170 million.</w:t>
      </w:r>
    </w:p>
    <w:p>
      <w:pPr>
        <w:spacing w:after="0" w:line="74" w:lineRule="exact"/>
        <w:rPr>
          <w:rFonts w:ascii="Arial" w:cs="Arial" w:eastAsia="Arial" w:hAnsi="Arial"/>
          <w:sz w:val="16"/>
          <w:szCs w:val="16"/>
          <w:color w:val="auto"/>
        </w:rPr>
      </w:pPr>
    </w:p>
    <w:p>
      <w:pPr>
        <w:ind w:left="1060" w:right="100" w:hanging="431"/>
        <w:spacing w:after="0" w:line="302"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TWC’s identifiable intangible assets. The primary assets include cable franchise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and 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46" w:lineRule="exact"/>
        <w:rPr>
          <w:sz w:val="20"/>
          <w:szCs w:val="20"/>
          <w:color w:val="auto"/>
        </w:rPr>
      </w:pPr>
    </w:p>
    <w:p>
      <w:pPr>
        <w:ind w:left="1080" w:right="380"/>
        <w:spacing w:after="0" w:line="264" w:lineRule="auto"/>
        <w:rPr>
          <w:sz w:val="20"/>
          <w:szCs w:val="20"/>
          <w:color w:val="auto"/>
        </w:rPr>
      </w:pPr>
      <w:r>
        <w:rPr>
          <w:rFonts w:ascii="Arial" w:cs="Arial" w:eastAsia="Arial" w:hAnsi="Arial"/>
          <w:sz w:val="18"/>
          <w:szCs w:val="18"/>
          <w:color w:val="auto"/>
        </w:rPr>
        <w:t>No adjustment has been made to software or the related amortization expense because it is preliminarily assumed that the recorded book value in the TWC balance sheet approximates the fair value. The following table presents information about the identifiable intangible assets: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June 30, 2014</w:t>
            </w:r>
          </w:p>
        </w:tc>
        <w:tc>
          <w:tcPr>
            <w:tcW w:w="15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0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0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3"/>
          </w:tcPr>
          <w:p>
            <w:pPr>
              <w:ind w:left="520"/>
              <w:spacing w:after="0"/>
              <w:rPr>
                <w:sz w:val="20"/>
                <w:szCs w:val="20"/>
                <w:color w:val="auto"/>
              </w:rPr>
            </w:pPr>
            <w:r>
              <w:rPr>
                <w:rFonts w:ascii="Arial" w:cs="Arial" w:eastAsia="Arial" w:hAnsi="Arial"/>
                <w:sz w:val="14"/>
                <w:szCs w:val="14"/>
                <w:b w:val="1"/>
                <w:bCs w:val="1"/>
                <w:color w:val="auto"/>
              </w:rPr>
              <w:t>Adjustment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Useful Life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480"/>
              <w:spacing w:after="0"/>
              <w:rPr>
                <w:sz w:val="20"/>
                <w:szCs w:val="20"/>
                <w:color w:val="auto"/>
              </w:rPr>
            </w:pPr>
            <w:r>
              <w:rPr>
                <w:rFonts w:ascii="Arial" w:cs="Arial" w:eastAsia="Arial" w:hAnsi="Arial"/>
                <w:sz w:val="14"/>
                <w:szCs w:val="14"/>
                <w:b w:val="1"/>
                <w:bCs w:val="1"/>
                <w:color w:val="auto"/>
              </w:rPr>
              <w:t>Incremental Amortization</w:t>
            </w: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$ 40,700</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14,688</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8,045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 years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ind w:left="740"/>
              <w:spacing w:after="0"/>
              <w:rPr>
                <w:sz w:val="20"/>
                <w:szCs w:val="20"/>
                <w:color w:val="auto"/>
              </w:rPr>
            </w:pPr>
            <w:r>
              <w:rPr>
                <w:rFonts w:ascii="Arial" w:cs="Arial" w:eastAsia="Arial" w:hAnsi="Arial"/>
                <w:sz w:val="18"/>
                <w:szCs w:val="18"/>
                <w:color w:val="auto"/>
              </w:rPr>
              <w:t>470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w w:val="86"/>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 years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20"/>
        <w:spacing w:after="0" w:line="270" w:lineRule="auto"/>
        <w:rPr>
          <w:sz w:val="20"/>
          <w:szCs w:val="20"/>
          <w:color w:val="auto"/>
        </w:rPr>
      </w:pPr>
      <w:r>
        <w:rPr>
          <w:rFonts w:ascii="Arial" w:cs="Arial" w:eastAsia="Arial" w:hAnsi="Arial"/>
          <w:sz w:val="17"/>
          <w:szCs w:val="17"/>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55%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4"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459"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87" w:lineRule="exact"/>
        <w:rPr>
          <w:sz w:val="20"/>
          <w:szCs w:val="20"/>
          <w:color w:val="auto"/>
        </w:rPr>
      </w:pPr>
    </w:p>
    <w:p>
      <w:pPr>
        <w:ind w:left="1060" w:hanging="431"/>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 to record goodwill resulting from the TWC merger. Goodwill represents the residual of the purchase price over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identified assets acquired and liabilities assumed. Goodwill is not amortized but rather is assessed for impairment at least annually or more frequently whenever events or circumstances indicate that goodwill might be impaired.</w:t>
      </w:r>
    </w:p>
    <w:p>
      <w:pPr>
        <w:spacing w:after="0" w:line="86" w:lineRule="exact"/>
        <w:rPr>
          <w:rFonts w:ascii="Arial" w:cs="Arial" w:eastAsia="Arial" w:hAnsi="Arial"/>
          <w:sz w:val="18"/>
          <w:szCs w:val="18"/>
          <w:color w:val="auto"/>
        </w:rPr>
      </w:pPr>
    </w:p>
    <w:p>
      <w:pPr>
        <w:ind w:left="1060" w:right="200" w:hanging="431"/>
        <w:spacing w:after="0" w:line="302" w:lineRule="auto"/>
        <w:tabs>
          <w:tab w:leader="none" w:pos="106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Transaction-related costs</w:t>
      </w:r>
      <w:r>
        <w:rPr>
          <w:rFonts w:ascii="Arial" w:cs="Arial" w:eastAsia="Arial" w:hAnsi="Arial"/>
          <w:sz w:val="16"/>
          <w:szCs w:val="16"/>
          <w:color w:val="auto"/>
        </w:rPr>
        <w:t>. Adjustment to record liabilities of $75 million, net of related tax benefits, for advisory fees related to the TWC</w:t>
      </w:r>
      <w:r>
        <w:rPr>
          <w:rFonts w:ascii="Arial" w:cs="Arial" w:eastAsia="Arial" w:hAnsi="Arial"/>
          <w:sz w:val="16"/>
          <w:szCs w:val="16"/>
          <w:i w:val="1"/>
          <w:iCs w:val="1"/>
          <w:color w:val="auto"/>
        </w:rPr>
        <w:t xml:space="preserve"> </w:t>
      </w:r>
      <w:r>
        <w:rPr>
          <w:rFonts w:ascii="Arial" w:cs="Arial" w:eastAsia="Arial" w:hAnsi="Arial"/>
          <w:sz w:val="16"/>
          <w:szCs w:val="16"/>
          <w:color w:val="auto"/>
        </w:rPr>
        <w:t>merger with a corresponding adjustment to Comcast Corporation shareholders’ equity. Amount does not include estimates for fees that are not readily determinable or factually supportable. There was also an adjustment to eliminate nonrecurring transaction-related costs of $173 million recorded in the Unaudited Pro Forma Condensed Combined Statement of Income for the six months ended June 30, 2014.</w:t>
      </w:r>
    </w:p>
    <w:p>
      <w:pPr>
        <w:spacing w:after="0" w:line="59" w:lineRule="exact"/>
        <w:rPr>
          <w:rFonts w:ascii="Arial" w:cs="Arial" w:eastAsia="Arial" w:hAnsi="Arial"/>
          <w:sz w:val="16"/>
          <w:szCs w:val="16"/>
          <w:color w:val="auto"/>
        </w:rPr>
      </w:pPr>
    </w:p>
    <w:p>
      <w:pPr>
        <w:ind w:left="1060" w:right="120" w:hanging="431"/>
        <w:spacing w:after="0" w:line="269"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Adjustments to record long-term debt at fair value using quoted market values as of August 19, 2014. TWC deferred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$220 million and $441 million for the six months ended June 30,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$6 million and $13 million for the six months ended June 30, 2014 and the year ended December 31, 2013, respectively.</w:t>
      </w:r>
    </w:p>
    <w:p>
      <w:pPr>
        <w:spacing w:after="0" w:line="88" w:lineRule="exact"/>
        <w:rPr>
          <w:rFonts w:ascii="Arial" w:cs="Arial" w:eastAsia="Arial" w:hAnsi="Arial"/>
          <w:sz w:val="17"/>
          <w:szCs w:val="17"/>
          <w:color w:val="auto"/>
        </w:rPr>
      </w:pPr>
    </w:p>
    <w:p>
      <w:pPr>
        <w:ind w:left="1060" w:right="160" w:hanging="431"/>
        <w:spacing w:after="0" w:line="276"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 to record the deferred tax impact of acquisition accounting adjustments primarily related to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franchise rights, and long-term debt. The incremental deferred tax liabilities were calculated based on the tax effect of the approximately $18.0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77" w:lineRule="exact"/>
        <w:rPr>
          <w:rFonts w:ascii="Arial" w:cs="Arial" w:eastAsia="Arial" w:hAnsi="Arial"/>
          <w:sz w:val="17"/>
          <w:szCs w:val="17"/>
          <w:color w:val="auto"/>
        </w:rPr>
      </w:pPr>
    </w:p>
    <w:p>
      <w:pPr>
        <w:ind w:left="1060" w:right="80" w:hanging="431"/>
        <w:spacing w:after="0" w:line="255"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Comcast Class A common stock issuance. </w:t>
      </w:r>
      <w:r>
        <w:rPr>
          <w:rFonts w:ascii="Arial" w:cs="Arial" w:eastAsia="Arial" w:hAnsi="Arial"/>
          <w:sz w:val="18"/>
          <w:szCs w:val="18"/>
          <w:color w:val="auto"/>
        </w:rPr>
        <w:t>An estimated 804 million shares of Comcast Class A common stock will be issued to TWC’s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based on 279.8 million TWC shares of common stock outstanding as of August 19, 2014, at a per share price of $54.50, which was the closing price on August 19, 2014, for a total value of $43.8 billion. Additionally, the purchase price includes vested Comcast equity awards with an estimated fair value of $510 million that will be issued in respect of vested equity awards held by employees of TWC. The purchase price excludes Comcast equity awards with an estimated fair value of $803 million that will be issued in respect of unvested equity awards held by employees of TWC.</w:t>
      </w:r>
    </w:p>
    <w:p>
      <w:pPr>
        <w:spacing w:after="0" w:line="98" w:lineRule="exact"/>
        <w:rPr>
          <w:rFonts w:ascii="Arial" w:cs="Arial" w:eastAsia="Arial" w:hAnsi="Arial"/>
          <w:sz w:val="18"/>
          <w:szCs w:val="18"/>
          <w:color w:val="auto"/>
        </w:rPr>
      </w:pPr>
    </w:p>
    <w:p>
      <w:pPr>
        <w:ind w:left="1060" w:right="540" w:hanging="431"/>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TWC stockholders’ equity. </w:t>
      </w:r>
      <w:r>
        <w:rPr>
          <w:rFonts w:ascii="Arial" w:cs="Arial" w:eastAsia="Arial" w:hAnsi="Arial"/>
          <w:sz w:val="18"/>
          <w:szCs w:val="18"/>
          <w:color w:val="auto"/>
        </w:rPr>
        <w:t>Adjustment to eliminate all TWC stockholders’ equity, including common stock, additional paid-in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loss, net, and retained earnings.</w:t>
      </w:r>
    </w:p>
    <w:p>
      <w:pPr>
        <w:spacing w:after="0" w:line="75"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Pension amortization. </w:t>
      </w:r>
      <w:r>
        <w:rPr>
          <w:rFonts w:ascii="Arial" w:cs="Arial" w:eastAsia="Arial" w:hAnsi="Arial"/>
          <w:sz w:val="18"/>
          <w:szCs w:val="18"/>
          <w:color w:val="auto"/>
        </w:rPr>
        <w:t>Adjustment to remove the amortization of net actuarial gains and losses and prior service credits for TWC’s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of $1 million of gains and $75 million of losses for the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six months ended June 30,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77" w:lineRule="exact"/>
        <w:rPr>
          <w:sz w:val="20"/>
          <w:szCs w:val="20"/>
          <w:color w:val="auto"/>
        </w:rPr>
      </w:pPr>
    </w:p>
    <w:p>
      <w:pPr>
        <w:ind w:left="1060" w:right="20" w:hanging="431"/>
        <w:spacing w:after="0" w:line="271" w:lineRule="auto"/>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w:t>
      </w:r>
      <w:r>
        <w:rPr>
          <w:rFonts w:ascii="Arial" w:cs="Arial" w:eastAsia="Arial" w:hAnsi="Arial"/>
          <w:sz w:val="17"/>
          <w:szCs w:val="17"/>
          <w:i w:val="1"/>
          <w:iCs w:val="1"/>
          <w:color w:val="auto"/>
        </w:rPr>
        <w:t xml:space="preserve"> </w:t>
      </w:r>
      <w:r>
        <w:rPr>
          <w:rFonts w:ascii="Arial" w:cs="Arial" w:eastAsia="Arial" w:hAnsi="Arial"/>
          <w:sz w:val="17"/>
          <w:szCs w:val="17"/>
          <w:color w:val="auto"/>
        </w:rPr>
        <w:t>$61 million and $181 million for the six months ended June 30,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$143 million for TWC non-employee equity awards. A corresponding tax benefit of $56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84" w:lineRule="exact"/>
        <w:rPr>
          <w:rFonts w:ascii="Arial" w:cs="Arial" w:eastAsia="Arial" w:hAnsi="Arial"/>
          <w:sz w:val="17"/>
          <w:szCs w:val="17"/>
          <w:color w:val="auto"/>
        </w:rPr>
      </w:pPr>
    </w:p>
    <w:p>
      <w:pPr>
        <w:ind w:left="1060" w:right="140" w:hanging="431"/>
        <w:spacing w:after="0" w:line="308" w:lineRule="auto"/>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liquid nature or short duration of the asset or liability, or based upon overall immateriality to the purchase price allocation.</w:t>
      </w:r>
    </w:p>
    <w:p>
      <w:pPr>
        <w:spacing w:after="0" w:line="51" w:lineRule="exact"/>
        <w:rPr>
          <w:rFonts w:ascii="Arial" w:cs="Arial" w:eastAsia="Arial" w:hAnsi="Arial"/>
          <w:sz w:val="17"/>
          <w:szCs w:val="17"/>
          <w:color w:val="auto"/>
        </w:rPr>
      </w:pPr>
    </w:p>
    <w:p>
      <w:pPr>
        <w:ind w:left="1060" w:right="20" w:hanging="431"/>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six months ended June 30,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9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June 30, 2014</w:t>
            </w: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Pro forma net income</w:t>
            </w:r>
          </w:p>
        </w:tc>
        <w:tc>
          <w:tcPr>
            <w:tcW w:w="2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4,760</w:t>
            </w:r>
          </w:p>
        </w:tc>
        <w:tc>
          <w:tcPr>
            <w:tcW w:w="5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8,403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5"/>
                <w:szCs w:val="15"/>
                <w:color w:val="auto"/>
              </w:rPr>
              <w:t>Basic weighted average Comcast shares outstanding</w:t>
            </w:r>
          </w:p>
        </w:tc>
        <w:tc>
          <w:tcPr>
            <w:tcW w:w="2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2,598</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7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TWC shares converted to Comcast shares</w:t>
            </w:r>
          </w:p>
        </w:tc>
        <w:tc>
          <w:tcPr>
            <w:tcW w:w="2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804</w:t>
            </w: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804</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(a)</w:t>
            </w:r>
          </w:p>
        </w:tc>
        <w:tc>
          <w:tcPr>
            <w:tcW w:w="2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tcPr>
          <w:p>
            <w:pPr>
              <w:spacing w:after="0" w:line="162" w:lineRule="exact"/>
              <w:rPr>
                <w:sz w:val="20"/>
                <w:szCs w:val="20"/>
                <w:color w:val="auto"/>
              </w:rPr>
            </w:pPr>
            <w:r>
              <w:rPr>
                <w:rFonts w:ascii="Arial" w:cs="Arial" w:eastAsia="Arial" w:hAnsi="Arial"/>
                <w:sz w:val="15"/>
                <w:szCs w:val="15"/>
                <w:color w:val="auto"/>
              </w:rPr>
              <w:t>Comcast incremental share repurchase—Note 3p</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(46)</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basic weighted average shares outstanding</w:t>
            </w:r>
          </w:p>
        </w:tc>
        <w:tc>
          <w:tcPr>
            <w:tcW w:w="29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3,356</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5"/>
                <w:szCs w:val="15"/>
                <w:color w:val="auto"/>
              </w:rPr>
              <w:t>Dilutive effect of securities:</w:t>
            </w:r>
          </w:p>
        </w:tc>
        <w:tc>
          <w:tcPr>
            <w:tcW w:w="2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ind w:left="280"/>
              <w:spacing w:after="0" w:line="162" w:lineRule="exact"/>
              <w:rPr>
                <w:sz w:val="20"/>
                <w:szCs w:val="20"/>
                <w:color w:val="auto"/>
              </w:rPr>
            </w:pPr>
            <w:r>
              <w:rPr>
                <w:rFonts w:ascii="Arial" w:cs="Arial" w:eastAsia="Arial" w:hAnsi="Arial"/>
                <w:sz w:val="15"/>
                <w:szCs w:val="15"/>
                <w:color w:val="auto"/>
              </w:rPr>
              <w:t>Comcast equity awards</w:t>
            </w: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ind w:left="280"/>
              <w:spacing w:after="0" w:line="122" w:lineRule="exact"/>
              <w:rPr>
                <w:sz w:val="20"/>
                <w:szCs w:val="20"/>
                <w:color w:val="auto"/>
              </w:rPr>
            </w:pPr>
            <w:r>
              <w:rPr>
                <w:rFonts w:ascii="Arial" w:cs="Arial" w:eastAsia="Arial" w:hAnsi="Arial"/>
                <w:sz w:val="14"/>
                <w:szCs w:val="14"/>
                <w:color w:val="auto"/>
                <w:w w:val="98"/>
              </w:rPr>
              <w:t>TWC equity awards converted to Comcast equity awards</w:t>
            </w:r>
          </w:p>
        </w:tc>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(a)</w:t>
            </w: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12</w:t>
            </w: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diluted weighted average shares outstanding</w:t>
            </w:r>
          </w:p>
        </w:tc>
        <w:tc>
          <w:tcPr>
            <w:tcW w:w="29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3,406</w:t>
            </w: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3,435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Pro forma basic earnings per share</w:t>
            </w: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gridSpan w:val="2"/>
            <w:vMerge w:val="continue"/>
          </w:tcPr>
          <w:p>
            <w:pPr>
              <w:spacing w:after="0"/>
              <w:rPr>
                <w:sz w:val="13"/>
                <w:szCs w:val="13"/>
                <w:color w:val="auto"/>
              </w:rPr>
            </w:pPr>
          </w:p>
        </w:tc>
        <w:tc>
          <w:tcPr>
            <w:tcW w:w="3020" w:type="dxa"/>
            <w:vAlign w:val="bottom"/>
            <w:gridSpan w:val="2"/>
          </w:tcPr>
          <w:p>
            <w:pPr>
              <w:ind w:left="2900"/>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1.42</w:t>
            </w:r>
          </w:p>
        </w:tc>
        <w:tc>
          <w:tcPr>
            <w:tcW w:w="580" w:type="dxa"/>
            <w:vAlign w:val="bottom"/>
          </w:tcPr>
          <w:p>
            <w:pPr>
              <w:spacing w:after="0"/>
              <w:rPr>
                <w:sz w:val="13"/>
                <w:szCs w:val="13"/>
                <w:color w:val="auto"/>
              </w:rPr>
            </w:pPr>
          </w:p>
        </w:tc>
        <w:tc>
          <w:tcPr>
            <w:tcW w:w="660" w:type="dxa"/>
            <w:vAlign w:val="bottom"/>
            <w:gridSpan w:val="2"/>
          </w:tcPr>
          <w:p>
            <w:pPr>
              <w:ind w:left="500"/>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5"/>
                <w:szCs w:val="15"/>
                <w:color w:val="auto"/>
              </w:rPr>
              <w:t>2.48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Pro forma diluted earnings per share</w:t>
            </w:r>
          </w:p>
        </w:tc>
        <w:tc>
          <w:tcPr>
            <w:tcW w:w="3020" w:type="dxa"/>
            <w:vAlign w:val="bottom"/>
            <w:gridSpan w:val="2"/>
            <w:shd w:val="clear" w:color="auto" w:fill="CCEEFF"/>
          </w:tcPr>
          <w:p>
            <w:pPr>
              <w:ind w:left="2900"/>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w:t>
            </w:r>
          </w:p>
        </w:tc>
        <w:tc>
          <w:tcPr>
            <w:tcW w:w="5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500"/>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20" w:right="60" w:hanging="545"/>
        <w:spacing w:after="0" w:line="244" w:lineRule="auto"/>
        <w:tabs>
          <w:tab w:leader="none" w:pos="162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Represents the estimated number of shares of Comcast Class A common stock to be issued to TWC shareholders based on the number of shares of TWC common stock outstanding as of August 19, 2014 and after giving effect to the exchange ratio as determined in the TWC merger agreement. TWC basic shares outstanding and the estimated dilutive effect of TWC stock awards for both the six months ended June 30, 2014 and for the year ended December 31, 2013 were 280 million and</w:t>
      </w:r>
    </w:p>
    <w:p>
      <w:pPr>
        <w:spacing w:after="0" w:line="1" w:lineRule="exact"/>
        <w:rPr>
          <w:rFonts w:ascii="Arial" w:cs="Arial" w:eastAsia="Arial" w:hAnsi="Arial"/>
          <w:sz w:val="13"/>
          <w:szCs w:val="13"/>
          <w:color w:val="auto"/>
        </w:rPr>
      </w:pPr>
    </w:p>
    <w:p>
      <w:pPr>
        <w:ind w:left="1620"/>
        <w:spacing w:after="0"/>
        <w:rPr>
          <w:rFonts w:ascii="Arial" w:cs="Arial" w:eastAsia="Arial" w:hAnsi="Arial"/>
          <w:sz w:val="13"/>
          <w:szCs w:val="13"/>
          <w:color w:val="auto"/>
        </w:rPr>
      </w:pPr>
      <w:r>
        <w:rPr>
          <w:rFonts w:ascii="Arial" w:cs="Arial" w:eastAsia="Arial" w:hAnsi="Arial"/>
          <w:sz w:val="14"/>
          <w:szCs w:val="14"/>
          <w:color w:val="auto"/>
        </w:rPr>
        <w:t>4 million, respectively.</w:t>
      </w:r>
    </w:p>
    <w:p>
      <w:pPr>
        <w:spacing w:after="0" w:line="101" w:lineRule="exact"/>
        <w:rPr>
          <w:rFonts w:ascii="Arial" w:cs="Arial" w:eastAsia="Arial" w:hAnsi="Arial"/>
          <w:sz w:val="13"/>
          <w:szCs w:val="13"/>
          <w:color w:val="auto"/>
        </w:rPr>
      </w:pPr>
    </w:p>
    <w:p>
      <w:pPr>
        <w:ind w:left="1060" w:right="40" w:hanging="431"/>
        <w:spacing w:after="0" w:line="289" w:lineRule="auto"/>
        <w:tabs>
          <w:tab w:leader="none" w:pos="106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 </w:t>
      </w:r>
      <w:r>
        <w:rPr>
          <w:rFonts w:ascii="Arial" w:cs="Arial" w:eastAsia="Arial" w:hAnsi="Arial"/>
          <w:sz w:val="16"/>
          <w:szCs w:val="16"/>
          <w:color w:val="auto"/>
        </w:rPr>
        <w:t>Adjustment to reflect the impact of an incremental $2.5 billion share repurchase by Comcast. In addition to its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$54.50 of Comcast Class A common stock on August 19, 2014, the share repurchase would equate to 46 million shares. The resulting negative cash position from the TWC merger-related pro forma reflects a subtotal and not Comcast’s anticipated cash position subsequent to the closing of the TWC merger and the Charter divestiture transactions. It is assumed in this pro forma financial information that both the TWC merger and the Charter divestiture transactions will close on the same day. There will be sufficient liquidity, including through cash on hand and Comcast’s revolving credit facility, for the purpose of Comcast’s anticipated share repurchases and general working capital needs.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Balance Sheet Giving Effect to the TWC Merger and the Charter Divestiture Transactions As of June 30,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Charter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for TWC</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TWC Cable</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Merger</w:t>
            </w:r>
          </w:p>
        </w:tc>
        <w:tc>
          <w:tcPr>
            <w:tcW w:w="940" w:type="dxa"/>
            <w:vAlign w:val="bottom"/>
            <w:gridSpan w:val="3"/>
            <w:vMerge w:val="restart"/>
          </w:tcPr>
          <w:p>
            <w:pPr>
              <w:jc w:val="center"/>
              <w:ind w:right="239"/>
              <w:spacing w:after="0"/>
              <w:rPr>
                <w:sz w:val="20"/>
                <w:szCs w:val="20"/>
                <w:color w:val="auto"/>
              </w:rPr>
            </w:pPr>
            <w:r>
              <w:rPr>
                <w:rFonts w:ascii="Arial" w:cs="Arial" w:eastAsia="Arial" w:hAnsi="Arial"/>
                <w:sz w:val="14"/>
                <w:szCs w:val="14"/>
                <w:b w:val="1"/>
                <w:bCs w:val="1"/>
                <w:color w:val="auto"/>
                <w:w w:val="91"/>
              </w:rPr>
              <w:t>Comcast</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Excluding</w:t>
            </w: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Systems in</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Systems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Transactions-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2"/>
                <w:szCs w:val="12"/>
                <w:color w:val="auto"/>
              </w:rPr>
            </w:pPr>
          </w:p>
        </w:tc>
        <w:tc>
          <w:tcPr>
            <w:tcW w:w="8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Acquired in</w:t>
            </w: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Systems in</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and Sale</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Exchange</w:t>
            </w:r>
          </w:p>
        </w:tc>
        <w:tc>
          <w:tcPr>
            <w:tcW w:w="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Forma</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Transactions</w:t>
            </w:r>
          </w:p>
        </w:tc>
        <w:tc>
          <w:tcPr>
            <w:tcW w:w="80" w:type="dxa"/>
            <w:vAlign w:val="bottom"/>
          </w:tcPr>
          <w:p>
            <w:pPr>
              <w:spacing w:after="0"/>
              <w:rPr>
                <w:sz w:val="14"/>
                <w:szCs w:val="14"/>
                <w:color w:val="auto"/>
              </w:rPr>
            </w:pPr>
          </w:p>
        </w:tc>
        <w:tc>
          <w:tcPr>
            <w:tcW w:w="86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SpinCo</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gridSpan w:val="2"/>
            <w:vMerge w:val="continue"/>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29"/>
        </w:trPr>
        <w:tc>
          <w:tcPr>
            <w:tcW w:w="4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(568)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12,800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11,932</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2,325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7,062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6,698</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Programming rights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905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2,449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2,328</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12,173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(502)</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(388)</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12,820</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and television costs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5,208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5,208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3,137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3,137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44,864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(1,982)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660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43,530</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100,064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(5,561)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1,927</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1,295</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87,484</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56,559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(4,126)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2,996</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54,537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26,564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(2,180)</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851</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25,477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3,491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3,516</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252,060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247,077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6,816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3a</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6,610</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Accrued participations and residuals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1,364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879</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9,071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1,827</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3e, 3j</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10,648</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4,609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4,609</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22,734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(447)</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376</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1,847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24,110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71,137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(7,800)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68,437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51,039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(2,859)</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(3,697)</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912</w:t>
            </w:r>
          </w:p>
        </w:tc>
        <w:tc>
          <w:tcPr>
            <w:tcW w:w="8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475</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3f</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45,870</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11,930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11,868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Redeemable noncontrolling interests and redeemable subsidiary</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1,052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1,052</w:t>
            </w:r>
          </w:p>
        </w:tc>
        <w:tc>
          <w:tcPr>
            <w:tcW w:w="0" w:type="dxa"/>
            <w:vAlign w:val="bottom"/>
          </w:tcPr>
          <w:p>
            <w:pPr>
              <w:spacing w:after="0"/>
              <w:rPr>
                <w:sz w:val="1"/>
                <w:szCs w:val="1"/>
                <w:color w:val="auto"/>
              </w:rPr>
            </w:pPr>
          </w:p>
        </w:tc>
      </w:tr>
      <w:tr>
        <w:trPr>
          <w:trHeight w:val="167"/>
        </w:trPr>
        <w:tc>
          <w:tcPr>
            <w:tcW w:w="4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Comcast Corporation total shareholders’ equity</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93,803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1,755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11,200</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95,375</w:t>
            </w:r>
          </w:p>
        </w:tc>
        <w:tc>
          <w:tcPr>
            <w:tcW w:w="0" w:type="dxa"/>
            <w:vAlign w:val="bottom"/>
          </w:tcPr>
          <w:p>
            <w:pPr>
              <w:spacing w:after="0"/>
              <w:rPr>
                <w:sz w:val="1"/>
                <w:szCs w:val="1"/>
                <w:color w:val="auto"/>
              </w:rPr>
            </w:pPr>
          </w:p>
        </w:tc>
      </w:tr>
      <w:tr>
        <w:trPr>
          <w:trHeight w:val="149"/>
        </w:trPr>
        <w:tc>
          <w:tcPr>
            <w:tcW w:w="4420" w:type="dxa"/>
            <w:vAlign w:val="bottom"/>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94,168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95,740</w:t>
            </w:r>
          </w:p>
        </w:tc>
        <w:tc>
          <w:tcPr>
            <w:tcW w:w="0" w:type="dxa"/>
            <w:vAlign w:val="bottom"/>
          </w:tcPr>
          <w:p>
            <w:pPr>
              <w:spacing w:after="0"/>
              <w:rPr>
                <w:sz w:val="1"/>
                <w:szCs w:val="1"/>
                <w:color w:val="auto"/>
              </w:rPr>
            </w:pPr>
          </w:p>
        </w:tc>
      </w:tr>
      <w:tr>
        <w:trPr>
          <w:trHeight w:val="156"/>
        </w:trPr>
        <w:tc>
          <w:tcPr>
            <w:tcW w:w="44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252,060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(9,385</w:t>
            </w:r>
          </w:p>
        </w:tc>
        <w:tc>
          <w:tcPr>
            <w:tcW w:w="280" w:type="dxa"/>
            <w:vAlign w:val="bottom"/>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(19,830)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247,077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Six Months Ended June 30, 2014</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45,304</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84"/>
              </w:rPr>
              <w:t>1,658</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41,961</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13,189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12,568</w:t>
            </w:r>
          </w:p>
        </w:tc>
        <w:tc>
          <w:tcPr>
            <w:tcW w:w="0" w:type="dxa"/>
            <w:vAlign w:val="bottom"/>
          </w:tcPr>
          <w:p>
            <w:pPr>
              <w:spacing w:after="0"/>
              <w:rPr>
                <w:sz w:val="1"/>
                <w:szCs w:val="1"/>
                <w:color w:val="auto"/>
              </w:rPr>
            </w:pPr>
          </w:p>
        </w:tc>
      </w:tr>
      <w:tr>
        <w:trPr>
          <w:trHeight w:val="213"/>
        </w:trPr>
        <w:tc>
          <w:tcPr>
            <w:tcW w:w="3740" w:type="dxa"/>
            <w:vAlign w:val="bottom"/>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13,231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12,508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3,538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3,236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55</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4,406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36,036</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1,449</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130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34,132</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7,829</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(1,777)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(1,699)</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233</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(1,520)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(1,442)</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7,748</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(206)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6,387</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(2,887)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(2,358)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4,861</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4,029</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4,760</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(489)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3,928</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1.42</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1.17</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1.40</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1.15</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3,356</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3,356</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3,406</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3,406</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440" w:right="26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Year Ended December 31, 2013</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Charter</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for TWC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TWC Cable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for TWC</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Merger</w:t>
            </w: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Comcast</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Cable</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Divestiture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Merger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Excluding</w:t>
            </w: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Systems</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Including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Charter</w:t>
            </w: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Cable</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Exchange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in</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Related Pro</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Systems in</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and Sale</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Forma</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Divestiture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SpinCo</w:t>
            </w: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Transactions</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Transaction</w:t>
            </w: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gridSpan w:val="2"/>
            <w:vMerge w:val="continue"/>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86,329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79"/>
              </w:rPr>
              <w:t>3,112</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79,544</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Costs and Expenses: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Programming and production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24,224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846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22,985</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operating and administrative</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25,951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24,436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Advertising, marketing and promotion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6,965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3a</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6,396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9,139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110</w:t>
            </w: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3b</w:t>
            </w: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8,642</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3c</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2,808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69,241</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(3,933)</w:t>
            </w: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2,737</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245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65,267</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17,088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14,277</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(3,675)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(3,518)</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Investment income (loss), net</w:t>
            </w: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579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579</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 net income (losses) of investees, net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(372)</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(372)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(3,534)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(3,377)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13,554</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(404)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10,900</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(4,831)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158</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3f</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(3,795)</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8,723</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7"/>
                <w:szCs w:val="17"/>
                <w:color w:val="auto"/>
              </w:rPr>
            </w:pP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7,105</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(320)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interests and redeemable subsidiary preferred stock</w:t>
            </w:r>
          </w:p>
        </w:tc>
        <w:tc>
          <w:tcPr>
            <w:tcW w:w="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8,403</w:t>
            </w:r>
          </w:p>
        </w:tc>
        <w:tc>
          <w:tcPr>
            <w:tcW w:w="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(956)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380"/>
              <w:spacing w:after="0"/>
              <w:rPr>
                <w:sz w:val="20"/>
                <w:szCs w:val="20"/>
                <w:color w:val="auto"/>
              </w:rPr>
            </w:pPr>
            <w:r>
              <w:rPr>
                <w:rFonts w:ascii="Arial" w:cs="Arial" w:eastAsia="Arial" w:hAnsi="Arial"/>
                <w:sz w:val="16"/>
                <w:szCs w:val="16"/>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6,785</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attributable to Comcast</w:t>
            </w:r>
          </w:p>
        </w:tc>
        <w:tc>
          <w:tcPr>
            <w:tcW w:w="62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Corporation shareholders:</w:t>
            </w:r>
          </w:p>
        </w:tc>
        <w:tc>
          <w:tcPr>
            <w:tcW w:w="6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3"/>
        </w:trPr>
        <w:tc>
          <w:tcPr>
            <w:tcW w:w="3380" w:type="dxa"/>
            <w:vAlign w:val="bottom"/>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2.48</w:t>
            </w:r>
          </w:p>
        </w:tc>
        <w:tc>
          <w:tcPr>
            <w:tcW w:w="28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2.01</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r>
        <w:trPr>
          <w:trHeight w:val="203"/>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2.45</w:t>
            </w:r>
          </w:p>
        </w:tc>
        <w:tc>
          <w:tcPr>
            <w:tcW w:w="28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1.98</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308"/>
        </w:trPr>
        <w:tc>
          <w:tcPr>
            <w:tcW w:w="33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3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CCEEFF"/>
          </w:tcPr>
          <w:p>
            <w:pPr>
              <w:spacing w:after="0"/>
              <w:rPr>
                <w:sz w:val="17"/>
                <w:szCs w:val="17"/>
                <w:color w:val="auto"/>
              </w:rPr>
            </w:pPr>
          </w:p>
        </w:tc>
        <w:tc>
          <w:tcPr>
            <w:tcW w:w="3120" w:type="dxa"/>
            <w:vAlign w:val="bottom"/>
            <w:shd w:val="clear" w:color="auto" w:fill="CCEEFF"/>
          </w:tcPr>
          <w:p>
            <w:pPr>
              <w:jc w:val="right"/>
              <w:ind w:right="2499"/>
              <w:spacing w:after="0"/>
              <w:rPr>
                <w:sz w:val="20"/>
                <w:szCs w:val="20"/>
                <w:color w:val="auto"/>
              </w:rPr>
            </w:pPr>
            <w:r>
              <w:rPr>
                <w:rFonts w:ascii="Arial" w:cs="Arial" w:eastAsia="Arial" w:hAnsi="Arial"/>
                <w:sz w:val="16"/>
                <w:szCs w:val="16"/>
                <w:b w:val="1"/>
                <w:bCs w:val="1"/>
                <w:color w:val="auto"/>
              </w:rPr>
              <w:t>3,383</w:t>
            </w:r>
          </w:p>
        </w:tc>
        <w:tc>
          <w:tcPr>
            <w:tcW w:w="2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3,383</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3i</w:t>
            </w:r>
          </w:p>
        </w:tc>
      </w:tr>
      <w:tr>
        <w:trPr>
          <w:trHeight w:val="210"/>
        </w:trPr>
        <w:tc>
          <w:tcPr>
            <w:tcW w:w="3380" w:type="dxa"/>
            <w:vAlign w:val="bottom"/>
          </w:tcPr>
          <w:p>
            <w:pPr>
              <w:ind w:left="320"/>
              <w:spacing w:after="0"/>
              <w:rPr>
                <w:sz w:val="20"/>
                <w:szCs w:val="20"/>
                <w:color w:val="auto"/>
              </w:rPr>
            </w:pPr>
            <w:r>
              <w:rPr>
                <w:rFonts w:ascii="Arial" w:cs="Arial" w:eastAsia="Arial" w:hAnsi="Arial"/>
                <w:sz w:val="16"/>
                <w:szCs w:val="16"/>
                <w:color w:val="auto"/>
              </w:rPr>
              <w:t>Diluted</w:t>
            </w:r>
          </w:p>
        </w:tc>
        <w:tc>
          <w:tcPr>
            <w:tcW w:w="620" w:type="dxa"/>
            <w:vAlign w:val="bottom"/>
          </w:tcPr>
          <w:p>
            <w:pPr>
              <w:spacing w:after="0"/>
              <w:rPr>
                <w:sz w:val="18"/>
                <w:szCs w:val="18"/>
                <w:color w:val="auto"/>
              </w:rPr>
            </w:pPr>
          </w:p>
        </w:tc>
        <w:tc>
          <w:tcPr>
            <w:tcW w:w="3120" w:type="dxa"/>
            <w:vAlign w:val="bottom"/>
          </w:tcPr>
          <w:p>
            <w:pPr>
              <w:jc w:val="right"/>
              <w:ind w:right="2499"/>
              <w:spacing w:after="0"/>
              <w:rPr>
                <w:sz w:val="20"/>
                <w:szCs w:val="20"/>
                <w:color w:val="auto"/>
              </w:rPr>
            </w:pPr>
            <w:r>
              <w:rPr>
                <w:rFonts w:ascii="Arial" w:cs="Arial" w:eastAsia="Arial" w:hAnsi="Arial"/>
                <w:sz w:val="16"/>
                <w:szCs w:val="16"/>
                <w:b w:val="1"/>
                <w:bCs w:val="1"/>
                <w:color w:val="auto"/>
              </w:rPr>
              <w:t>3,435</w:t>
            </w:r>
          </w:p>
        </w:tc>
        <w:tc>
          <w:tcPr>
            <w:tcW w:w="28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3,435</w:t>
            </w:r>
          </w:p>
        </w:tc>
        <w:tc>
          <w:tcPr>
            <w:tcW w:w="380" w:type="dxa"/>
            <w:vAlign w:val="bottom"/>
          </w:tcPr>
          <w:p>
            <w:pPr>
              <w:ind w:left="180"/>
              <w:spacing w:after="0"/>
              <w:rPr>
                <w:sz w:val="20"/>
                <w:szCs w:val="20"/>
                <w:color w:val="auto"/>
              </w:rPr>
            </w:pPr>
            <w:r>
              <w:rPr>
                <w:rFonts w:ascii="Arial" w:cs="Arial" w:eastAsia="Arial" w:hAnsi="Arial"/>
                <w:sz w:val="16"/>
                <w:szCs w:val="16"/>
                <w:color w:val="auto"/>
              </w:rPr>
              <w:t>3i</w:t>
            </w:r>
          </w:p>
        </w:tc>
      </w:tr>
    </w:tbl>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Giving Effect to the TWC Merger and Charter Divestiture Transactions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 to [—], and should be read in conjunction with that information and the related notes.</w:t>
      </w:r>
    </w:p>
    <w:p>
      <w:pPr>
        <w:spacing w:after="0" w:line="178"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166"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6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Unaudited Pro Forma Condensed Combined Balance Sheet gives effect to the TWC merger and the Charter divestiture transactions as if they had occurred on June 30, 2014, and the Unaudited Pro Forma Condensed Combined Statements of Income for the six months ended June 30, 2014 and the year ended December 31, 2013 give effect to the TWC merger and the Charter divestiture transactions as if they had occurred on January 1, 2013, the beginning of the earliest period presented.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Charter Divestiture Transactions-Related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TWC and Charter.</w:t>
      </w:r>
    </w:p>
    <w:p>
      <w:pPr>
        <w:spacing w:after="0" w:line="237" w:lineRule="exact"/>
        <w:rPr>
          <w:sz w:val="20"/>
          <w:szCs w:val="20"/>
          <w:color w:val="auto"/>
        </w:rPr>
      </w:pPr>
    </w:p>
    <w:p>
      <w:pPr>
        <w:ind w:left="200" w:right="260" w:firstLine="443"/>
        <w:spacing w:after="0" w:line="264" w:lineRule="auto"/>
        <w:rPr>
          <w:sz w:val="20"/>
          <w:szCs w:val="20"/>
          <w:color w:val="auto"/>
        </w:rPr>
      </w:pPr>
      <w:r>
        <w:rPr>
          <w:rFonts w:ascii="Arial" w:cs="Arial" w:eastAsia="Arial" w:hAnsi="Arial"/>
          <w:sz w:val="18"/>
          <w:szCs w:val="18"/>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181"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121" w:lineRule="exact"/>
        <w:rPr>
          <w:sz w:val="20"/>
          <w:szCs w:val="20"/>
          <w:color w:val="auto"/>
        </w:rPr>
      </w:pPr>
    </w:p>
    <w:p>
      <w:pPr>
        <w:jc w:val="both"/>
        <w:ind w:left="200" w:right="460" w:firstLine="443"/>
        <w:spacing w:after="0" w:line="312" w:lineRule="auto"/>
        <w:rPr>
          <w:sz w:val="20"/>
          <w:szCs w:val="20"/>
          <w:color w:val="auto"/>
        </w:rPr>
      </w:pPr>
      <w:r>
        <w:rPr>
          <w:rFonts w:ascii="Arial" w:cs="Arial" w:eastAsia="Arial" w:hAnsi="Arial"/>
          <w:sz w:val="16"/>
          <w:szCs w:val="16"/>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47" w:lineRule="exact"/>
        <w:rPr>
          <w:sz w:val="20"/>
          <w:szCs w:val="20"/>
          <w:color w:val="auto"/>
        </w:rPr>
      </w:pPr>
    </w:p>
    <w:p>
      <w:pPr>
        <w:ind w:left="200" w:right="260" w:firstLine="443"/>
        <w:spacing w:after="0" w:line="286"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166"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71"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connection with the SpinCo financing transactions, SpinCo is expected to make cash distributions to Comcast up to the amount of Comcast’s tax basis in SpinCo. The aggregate distributions are assumed to be $4.5 billion for purposes of this unaudited pro forma financial information. Comcast expects to use the proceeds to repay indebtedness, repurchase shares or fund dividends. The unaudited pro forma financial information does not assume any use of these proceeds.</w:t>
      </w:r>
    </w:p>
    <w:p>
      <w:pPr>
        <w:spacing w:after="0" w:line="187"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171" w:lineRule="exact"/>
        <w:rPr>
          <w:sz w:val="20"/>
          <w:szCs w:val="20"/>
          <w:color w:val="auto"/>
        </w:rPr>
      </w:pPr>
    </w:p>
    <w:p>
      <w:pPr>
        <w:ind w:left="200" w:right="20" w:firstLine="443"/>
        <w:spacing w:after="0" w:line="284" w:lineRule="auto"/>
        <w:rPr>
          <w:sz w:val="20"/>
          <w:szCs w:val="20"/>
          <w:color w:val="auto"/>
        </w:rPr>
      </w:pPr>
      <w:r>
        <w:rPr>
          <w:rFonts w:ascii="Arial" w:cs="Arial" w:eastAsia="Arial" w:hAnsi="Arial"/>
          <w:sz w:val="16"/>
          <w:szCs w:val="16"/>
          <w:color w:val="auto"/>
        </w:rPr>
        <w:t>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column titled “Comcast Cable Systems in SpinCo” in the unaudited pro forma financial information above, such that, in the case of a spin-off of</w:t>
      </w:r>
    </w:p>
    <w:p>
      <w:pPr>
        <w:spacing w:after="0" w:line="1"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3 million subscribers, the financial position and the results of operations of the divested Comcast cable systems would likely be approximately 20% greater than the amounts included in that column.</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240" w:top="459" w:right="3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Charter Divestiture Transactions</w:t>
      </w:r>
    </w:p>
    <w:p>
      <w:pPr>
        <w:spacing w:after="0" w:line="121" w:lineRule="exact"/>
        <w:rPr>
          <w:sz w:val="20"/>
          <w:szCs w:val="20"/>
          <w:color w:val="auto"/>
        </w:rPr>
      </w:pPr>
    </w:p>
    <w:p>
      <w:pPr>
        <w:ind w:left="200" w:right="20" w:firstLine="443"/>
        <w:spacing w:after="0" w:line="269" w:lineRule="auto"/>
        <w:rPr>
          <w:sz w:val="20"/>
          <w:szCs w:val="20"/>
          <w:color w:val="auto"/>
        </w:rPr>
      </w:pPr>
      <w:r>
        <w:rPr>
          <w:rFonts w:ascii="Arial" w:cs="Arial" w:eastAsia="Arial" w:hAnsi="Arial"/>
          <w:sz w:val="17"/>
          <w:szCs w:val="17"/>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 (2) an exchange of cable systems serving approximately 1.5 million TWC subscribers for cable 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$8.0 billion and $7.7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w:t>
      </w:r>
    </w:p>
    <w:p>
      <w:pPr>
        <w:spacing w:after="0" w:line="183"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Following the closing of the TWC merger, Comcast, Charter and SpinCo will use reasonable best efforts to cause SpinCo to incur new indebtedness in an aggregate amount equal to 5.0 times the 2014 EBITDA of the SpinCo cable systems (as such term is defined by SpinCo’s financing sources for purposes of the financing). This indebtedness will consist of bank debt and/or term loans used to fund cash distributions to Comcast and SpinCo notes newly issued to Comcast, which will enable Comcast to complete a debt-for-debt exchange. 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the terms will reflect the credit characteristics of SpinCo. Comcast anticipates that following the debt-for-debt exchange, the financial institutions will resell the SpinCo notes they receive in a Rule 144A private placement to qualified institutional buyers. For purposes of this unaudited pro forma financial information, the SpinCo indebtedness is estimated to be $7.8 billion, consisting of $3.0 billion of SpinCo notes and $4.8 billion of other bank debt and/or terms loans (to be used to fund cash distributions to Comcast and for general corporate purposes at SpinCo). The cash distributions to Comcast are expected to be up to the amount of Comcast’s tax basis in SpinCo, and Comcast expects to use the proceeds to repay indebtedness, repurchase shares or fund dividends. The aggregate distributions of cash by SpinCo to Comcast have been assumed to be $4.5 billion and the reduction in total debt outstanding has been assumed to be $2.7 billion as a result of the expected debt-for-debt exchange and assuming a hypothetical $300 million premium to par value on the debt-for-debt exchange. The amounts of the reduction in debt and the SpinCo cash distributions are subject to change based on the ultimate completion of the SpinCo financing transactions and the finalization of the detailed analysis to quantify Comcast’s tax basis in SpinCo. A hypothetical 10% decrease in the amount of Comcast debt exchanged would result in an increase to interest expense of $16 million on an annual basis.</w:t>
      </w:r>
    </w:p>
    <w:p>
      <w:pPr>
        <w:spacing w:after="0" w:line="389" w:lineRule="exact"/>
        <w:rPr>
          <w:sz w:val="20"/>
          <w:szCs w:val="20"/>
          <w:color w:val="auto"/>
        </w:rPr>
      </w:pPr>
    </w:p>
    <w:p>
      <w:pPr>
        <w:ind w:left="200" w:right="340" w:firstLine="443"/>
        <w:spacing w:after="0" w:line="297" w:lineRule="auto"/>
        <w:rPr>
          <w:sz w:val="20"/>
          <w:szCs w:val="20"/>
          <w:color w:val="auto"/>
        </w:rPr>
      </w:pPr>
      <w:r>
        <w:rPr>
          <w:rFonts w:ascii="Arial" w:cs="Arial" w:eastAsia="Arial" w:hAnsi="Arial"/>
          <w:sz w:val="16"/>
          <w:szCs w:val="16"/>
          <w:color w:val="auto"/>
        </w:rPr>
        <w:t>Following the spin-off transaction, SpinCo will merge with New Charter, with SpinCo as the surviving public entity, resulting in Comcast shareholders, including former TWC stockholders, owning an estimated aggregate 67% of the outstanding shares of SpinCo common stock and New Charter or a subsidiary of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financial information includes the following separate columns to present the effects of the transactions described above:</w:t>
      </w:r>
    </w:p>
    <w:p>
      <w:pPr>
        <w:spacing w:after="0" w:line="136" w:lineRule="exact"/>
        <w:rPr>
          <w:sz w:val="20"/>
          <w:szCs w:val="20"/>
          <w:color w:val="auto"/>
        </w:rPr>
      </w:pPr>
    </w:p>
    <w:p>
      <w:pPr>
        <w:ind w:left="640" w:right="980"/>
        <w:spacing w:after="0" w:line="282" w:lineRule="auto"/>
        <w:rPr>
          <w:sz w:val="20"/>
          <w:szCs w:val="20"/>
          <w:color w:val="auto"/>
        </w:rPr>
      </w:pPr>
      <w:r>
        <w:rPr>
          <w:rFonts w:ascii="Arial" w:cs="Arial" w:eastAsia="Arial" w:hAnsi="Arial"/>
          <w:sz w:val="18"/>
          <w:szCs w:val="18"/>
          <w:b w:val="1"/>
          <w:bCs w:val="1"/>
          <w:color w:val="auto"/>
        </w:rPr>
        <w:t>Comcast Cable Systems in SpinCo</w:t>
      </w:r>
      <w:r>
        <w:rPr>
          <w:rFonts w:ascii="Arial" w:cs="Arial" w:eastAsia="Arial" w:hAnsi="Arial"/>
          <w:sz w:val="18"/>
          <w:szCs w:val="18"/>
          <w:color w:val="auto"/>
        </w:rPr>
        <w:t>—Presents the historical Comcast financial information of the cable systems divested in the spin-off</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the SpinCo indebtedness incurred immediately prior to the spin-off transaction.</w:t>
      </w:r>
    </w:p>
    <w:p>
      <w:pPr>
        <w:spacing w:after="0" w:line="54" w:lineRule="exact"/>
        <w:rPr>
          <w:sz w:val="20"/>
          <w:szCs w:val="20"/>
          <w:color w:val="auto"/>
        </w:rPr>
      </w:pPr>
    </w:p>
    <w:p>
      <w:pPr>
        <w:ind w:left="640" w:right="400"/>
        <w:spacing w:after="0" w:line="266" w:lineRule="auto"/>
        <w:rPr>
          <w:sz w:val="20"/>
          <w:szCs w:val="20"/>
          <w:color w:val="auto"/>
        </w:rPr>
      </w:pPr>
      <w:r>
        <w:rPr>
          <w:rFonts w:ascii="Arial" w:cs="Arial" w:eastAsia="Arial" w:hAnsi="Arial"/>
          <w:sz w:val="18"/>
          <w:szCs w:val="18"/>
          <w:b w:val="1"/>
          <w:bCs w:val="1"/>
          <w:color w:val="auto"/>
        </w:rPr>
        <w:t>TWC Cable Systems in Exchange and Sale Transactions</w:t>
      </w:r>
      <w:r>
        <w:rPr>
          <w:rFonts w:ascii="Arial" w:cs="Arial" w:eastAsia="Arial" w:hAnsi="Arial"/>
          <w:sz w:val="18"/>
          <w:szCs w:val="18"/>
          <w:color w:val="auto"/>
        </w:rPr>
        <w:t>—Presents the historical TWC financial information of the cable systems divested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and sale of cable systems to Charter adjusted for their proportionate share of the acquisition accounting pro forma adjustments included in the unaudited pro forma financial information giving effect to the TWC merger.</w:t>
      </w:r>
    </w:p>
    <w:p>
      <w:pPr>
        <w:spacing w:after="0" w:line="68" w:lineRule="exact"/>
        <w:rPr>
          <w:sz w:val="20"/>
          <w:szCs w:val="20"/>
          <w:color w:val="auto"/>
        </w:rPr>
      </w:pPr>
    </w:p>
    <w:p>
      <w:pPr>
        <w:ind w:left="640" w:right="240"/>
        <w:spacing w:after="0" w:line="282" w:lineRule="auto"/>
        <w:rPr>
          <w:sz w:val="20"/>
          <w:szCs w:val="20"/>
          <w:color w:val="auto"/>
        </w:rPr>
      </w:pPr>
      <w:r>
        <w:rPr>
          <w:rFonts w:ascii="Arial" w:cs="Arial" w:eastAsia="Arial" w:hAnsi="Arial"/>
          <w:sz w:val="18"/>
          <w:szCs w:val="18"/>
          <w:b w:val="1"/>
          <w:bCs w:val="1"/>
          <w:color w:val="auto"/>
        </w:rPr>
        <w:t>Charter Cable Systems Acquired in Exchange Transaction</w:t>
      </w:r>
      <w:r>
        <w:rPr>
          <w:rFonts w:ascii="Arial" w:cs="Arial" w:eastAsia="Arial" w:hAnsi="Arial"/>
          <w:sz w:val="18"/>
          <w:szCs w:val="18"/>
          <w:color w:val="auto"/>
        </w:rPr>
        <w:t>—Presents the historical Charter financial information of the cable systems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exchange transaction.</w:t>
      </w:r>
    </w:p>
    <w:p>
      <w:pPr>
        <w:spacing w:after="0" w:line="166" w:lineRule="exact"/>
        <w:rPr>
          <w:sz w:val="20"/>
          <w:szCs w:val="20"/>
          <w:color w:val="auto"/>
        </w:rPr>
      </w:pPr>
    </w:p>
    <w:p>
      <w:pPr>
        <w:ind w:left="200" w:right="240" w:firstLine="443"/>
        <w:spacing w:after="0" w:line="287"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 statements are considered reasonable by each company’s respective management. The unaudited financial information does not include costs associated with shared functions (e.g., corporate headquarters and related administrative overhead allocations). Accordingly, the unaudited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annual amount of such costs to be allocated to the Comcast cable systems in SpinCo, the TWC cable systems in the exchange and sale transactions and the Charter cable systems acquired in the exchange transaction are $290 million, $420 million and $80 million, respectively. As such, the carveout financial statements will likely be materially different from the presentation in this unaudited pro forma financial information.</w:t>
      </w:r>
    </w:p>
    <w:p>
      <w:pPr>
        <w:spacing w:after="0" w:line="169" w:lineRule="exact"/>
        <w:rPr>
          <w:sz w:val="20"/>
          <w:szCs w:val="20"/>
          <w:color w:val="auto"/>
        </w:rPr>
      </w:pPr>
    </w:p>
    <w:p>
      <w:pPr>
        <w:ind w:left="200" w:right="300" w:firstLine="443"/>
        <w:spacing w:after="0" w:line="276"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$8.0 billion. This represents the estimated fair value of the TWC cable systems exchanged. The actual value of the exchange transaction will be based on the operations of the exchanged cable systems for 2014 and is subject to change.</w:t>
      </w:r>
    </w:p>
    <w:p>
      <w:pPr>
        <w:spacing w:after="0" w:line="173" w:lineRule="exact"/>
        <w:rPr>
          <w:sz w:val="20"/>
          <w:szCs w:val="20"/>
          <w:color w:val="auto"/>
        </w:rPr>
      </w:pPr>
    </w:p>
    <w:p>
      <w:pPr>
        <w:ind w:left="200" w:right="400" w:firstLine="443"/>
        <w:spacing w:after="0" w:line="342" w:lineRule="auto"/>
        <w:rPr>
          <w:sz w:val="20"/>
          <w:szCs w:val="20"/>
          <w:color w:val="auto"/>
        </w:rPr>
      </w:pPr>
      <w:r>
        <w:rPr>
          <w:rFonts w:ascii="Arial" w:cs="Arial" w:eastAsia="Arial" w:hAnsi="Arial"/>
          <w:sz w:val="16"/>
          <w:szCs w:val="16"/>
          <w:color w:val="auto"/>
        </w:rPr>
        <w:t>The table below presents the preliminary purchase price for the Charter cable systems acquired as if the exchange transaction had closed on June 30, 2014, along with a preliminary allocation of purchase price to the assets acquired and liabilities assumed in the exchange transaction.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Price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6"/>
        </w:trPr>
        <w:tc>
          <w:tcPr>
            <w:tcW w:w="6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TWC cable systems exchanged</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8,000</w:t>
            </w:r>
          </w:p>
        </w:tc>
        <w:tc>
          <w:tcPr>
            <w:tcW w:w="7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840" w:type="dxa"/>
            <w:vAlign w:val="bottom"/>
          </w:tcPr>
          <w:p>
            <w:pPr>
              <w:jc w:val="right"/>
              <w:ind w:right="369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Allocation of Purchase Price</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85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3h,3j</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3b</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Franchise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3,222</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3d</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(2,680)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3f</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(1,013)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23"/>
        </w:trPr>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3"/>
        <w:spacing w:after="0" w:line="276"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Charter Divestiture Transactions-Related Pro Forma Adjustments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Charter divestiture transactions:</w:t>
      </w:r>
    </w:p>
    <w:p>
      <w:pPr>
        <w:spacing w:after="0" w:line="131" w:lineRule="exact"/>
        <w:rPr>
          <w:sz w:val="20"/>
          <w:szCs w:val="20"/>
          <w:color w:val="auto"/>
        </w:rPr>
      </w:pPr>
    </w:p>
    <w:p>
      <w:pPr>
        <w:ind w:left="1060" w:right="320" w:hanging="431"/>
        <w:spacing w:after="0" w:line="259"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reflect the restoration of the intercompany transactions between the SpinCo and TWC divested cable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with 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21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The adjustments include the following intercompany balances: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TWC Cable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Charter Cable</w:t>
            </w:r>
          </w:p>
        </w:tc>
        <w:tc>
          <w:tcPr>
            <w:tcW w:w="34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Charter Divestiture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Comcast Cable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Systems in</w:t>
            </w:r>
          </w:p>
        </w:tc>
        <w:tc>
          <w:tcPr>
            <w:tcW w:w="740" w:type="dxa"/>
            <w:vAlign w:val="bottom"/>
          </w:tcPr>
          <w:p>
            <w:pPr>
              <w:spacing w:after="0"/>
              <w:rPr>
                <w:sz w:val="12"/>
                <w:szCs w:val="12"/>
                <w:color w:val="auto"/>
              </w:rPr>
            </w:pP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Systems Acquired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As of June 30, 2014 (in 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80" w:type="dxa"/>
            <w:vAlign w:val="bottom"/>
            <w:gridSpan w:val="3"/>
          </w:tcPr>
          <w:p>
            <w:pPr>
              <w:jc w:val="center"/>
              <w:ind w:left="636"/>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40" w:type="dxa"/>
            <w:vAlign w:val="bottom"/>
          </w:tcPr>
          <w:p>
            <w:pPr>
              <w:spacing w:after="0"/>
              <w:rPr>
                <w:sz w:val="12"/>
                <w:szCs w:val="12"/>
                <w:color w:val="auto"/>
              </w:rPr>
            </w:pPr>
          </w:p>
        </w:tc>
        <w:tc>
          <w:tcPr>
            <w:tcW w:w="15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Systems in SpinCo</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Transactions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Transaction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Balance Sheet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2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Accounts payable and accrued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expenses related to trade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creditors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10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jc w:val="right"/>
              <w:ind w:right="336"/>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Charter Cable</w:t>
            </w:r>
          </w:p>
        </w:tc>
        <w:tc>
          <w:tcPr>
            <w:tcW w:w="16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6"/>
              </w:rPr>
              <w:t>Charter Divestiture</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2014 (in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Comcast Cable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Systems Acquired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Systems in SpinCo</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9"/>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TWC Cable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Charter Cable</w:t>
            </w:r>
          </w:p>
        </w:tc>
        <w:tc>
          <w:tcPr>
            <w:tcW w:w="16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6"/>
              </w:rPr>
              <w:t>Charter Divestiture</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2013 (in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Comcast Cable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Systems in</w:t>
            </w:r>
          </w:p>
        </w:tc>
        <w:tc>
          <w:tcPr>
            <w:tcW w:w="680" w:type="dxa"/>
            <w:vAlign w:val="bottom"/>
          </w:tcPr>
          <w:p>
            <w:pPr>
              <w:spacing w:after="0"/>
              <w:rPr>
                <w:sz w:val="12"/>
                <w:szCs w:val="12"/>
                <w:color w:val="auto"/>
              </w:rPr>
            </w:pPr>
          </w:p>
        </w:tc>
        <w:tc>
          <w:tcPr>
            <w:tcW w:w="15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Systems Acquired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40" w:type="dxa"/>
            <w:vAlign w:val="bottom"/>
            <w:gridSpan w:val="5"/>
          </w:tcPr>
          <w:p>
            <w:pPr>
              <w:jc w:val="center"/>
              <w:ind w:left="556"/>
              <w:spacing w:after="0" w:line="149" w:lineRule="exact"/>
              <w:rPr>
                <w:sz w:val="20"/>
                <w:szCs w:val="20"/>
                <w:color w:val="auto"/>
              </w:rPr>
            </w:pPr>
            <w:r>
              <w:rPr>
                <w:rFonts w:ascii="Arial" w:cs="Arial" w:eastAsia="Arial" w:hAnsi="Arial"/>
                <w:sz w:val="14"/>
                <w:szCs w:val="14"/>
                <w:b w:val="1"/>
                <w:bCs w:val="1"/>
                <w:color w:val="auto"/>
                <w:w w:val="90"/>
              </w:rPr>
              <w:t>Exchange and Sale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Exchange</w:t>
            </w:r>
          </w:p>
        </w:tc>
        <w:tc>
          <w:tcPr>
            <w:tcW w:w="32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Related Pro Forma</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15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Systems in SpinCo</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Transactions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Statement of Income</w:t>
            </w: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ind w:left="720"/>
              <w:spacing w:after="0" w:line="201" w:lineRule="exact"/>
              <w:rPr>
                <w:sz w:val="20"/>
                <w:szCs w:val="20"/>
                <w:color w:val="auto"/>
              </w:rPr>
            </w:pPr>
            <w:r>
              <w:rPr>
                <w:rFonts w:ascii="Arial" w:cs="Arial" w:eastAsia="Arial" w:hAnsi="Arial"/>
                <w:sz w:val="18"/>
                <w:szCs w:val="18"/>
                <w:color w:val="auto"/>
              </w:rPr>
              <w:t>Programming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900"/>
              <w:spacing w:after="0"/>
              <w:rPr>
                <w:sz w:val="20"/>
                <w:szCs w:val="20"/>
                <w:color w:val="auto"/>
              </w:rPr>
            </w:pPr>
            <w:r>
              <w:rPr>
                <w:rFonts w:ascii="Arial" w:cs="Arial" w:eastAsia="Arial" w:hAnsi="Arial"/>
                <w:sz w:val="18"/>
                <w:szCs w:val="18"/>
                <w:color w:val="auto"/>
              </w:rPr>
              <w:t>production</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Advertising, marketing and</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promotion</w:t>
            </w: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60" w:right="240" w:hanging="431"/>
        <w:spacing w:after="0" w:line="273" w:lineRule="auto"/>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Adjustment to reflect the fair value of the acquired property and equipment from Charter in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fair value adjustment is based on previous valuations performed by Charter for general business purposes and allocated to the cable systems in the exchange transaction pro rata based on subscribers. The property and equipment valuation performed by Charter estimates the replacement cost of the assets less an assumption for depreciation based on the age of the underlying assets. There were corresponding adjustments to depreciation expense for the six months ended June 30, 2014 and year ended December 31, 2013 of $55 million and $110 million, respectively, based on an estimated average useful life of 6 years.</w:t>
      </w:r>
    </w:p>
    <w:p>
      <w:pPr>
        <w:spacing w:after="0" w:line="83" w:lineRule="exact"/>
        <w:rPr>
          <w:rFonts w:ascii="Arial" w:cs="Arial" w:eastAsia="Arial" w:hAnsi="Arial"/>
          <w:sz w:val="17"/>
          <w:szCs w:val="17"/>
          <w:color w:val="auto"/>
        </w:rPr>
      </w:pPr>
    </w:p>
    <w:p>
      <w:pPr>
        <w:ind w:left="1060" w:right="160" w:hanging="431"/>
        <w:spacing w:after="0" w:line="297" w:lineRule="auto"/>
        <w:tabs>
          <w:tab w:leader="none" w:pos="106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the acquired identifiable intangible assets from Charter in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50"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9" w:lineRule="exact"/>
        <w:rPr>
          <w:sz w:val="20"/>
          <w:szCs w:val="20"/>
          <w:color w:val="auto"/>
        </w:rPr>
      </w:pPr>
    </w:p>
    <w:p>
      <w:pPr>
        <w:ind w:left="1080" w:right="80"/>
        <w:spacing w:after="0" w:line="279" w:lineRule="auto"/>
        <w:rPr>
          <w:sz w:val="20"/>
          <w:szCs w:val="20"/>
          <w:color w:val="auto"/>
        </w:rPr>
      </w:pPr>
      <w:r>
        <w:rPr>
          <w:rFonts w:ascii="Arial" w:cs="Arial" w:eastAsia="Arial" w:hAnsi="Arial"/>
          <w:sz w:val="17"/>
          <w:szCs w:val="17"/>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80"/>
          </w:cols>
          <w:pgMar w:left="24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information about the identifiable intangible assets: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ind w:left="5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22"/>
              <w:spacing w:after="0" w:line="149" w:lineRule="exact"/>
              <w:rPr>
                <w:sz w:val="20"/>
                <w:szCs w:val="20"/>
                <w:color w:val="auto"/>
              </w:rPr>
            </w:pPr>
            <w:r>
              <w:rPr>
                <w:rFonts w:ascii="Arial" w:cs="Arial" w:eastAsia="Arial" w:hAnsi="Arial"/>
                <w:sz w:val="14"/>
                <w:szCs w:val="14"/>
                <w:b w:val="1"/>
                <w:bCs w:val="1"/>
                <w:color w:val="auto"/>
                <w:w w:val="94"/>
              </w:rPr>
              <w:t>June 30, 2014</w:t>
            </w:r>
          </w:p>
        </w:tc>
        <w:tc>
          <w:tcPr>
            <w:tcW w:w="162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3"/>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w:t>
            </w:r>
          </w:p>
        </w:tc>
        <w:tc>
          <w:tcPr>
            <w:tcW w:w="13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2"/>
              </w:rPr>
              <w:t>Fair Value</w:t>
            </w: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w:t>
            </w: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7"/>
              </w:rPr>
              <w:t>Useful Life</w:t>
            </w:r>
          </w:p>
        </w:tc>
        <w:tc>
          <w:tcPr>
            <w:tcW w:w="1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2"/>
          </w:tcPr>
          <w:p>
            <w:pPr>
              <w:ind w:left="600"/>
              <w:spacing w:after="0" w:line="142" w:lineRule="exact"/>
              <w:rPr>
                <w:sz w:val="20"/>
                <w:szCs w:val="20"/>
                <w:color w:val="auto"/>
              </w:rPr>
            </w:pPr>
            <w:r>
              <w:rPr>
                <w:rFonts w:ascii="Arial" w:cs="Arial" w:eastAsia="Arial" w:hAnsi="Arial"/>
                <w:sz w:val="14"/>
                <w:szCs w:val="14"/>
                <w:b w:val="1"/>
                <w:bCs w:val="1"/>
                <w:color w:val="auto"/>
              </w:rPr>
              <w:t>Incremental 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Cable franchise</w:t>
            </w:r>
          </w:p>
        </w:tc>
        <w:tc>
          <w:tcPr>
            <w:tcW w:w="2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3,222</w:t>
            </w: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1,295</w:t>
            </w: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Customer relationships and other</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1,185</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851</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8 years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62"/>
              <w:spacing w:after="0"/>
              <w:rPr>
                <w:sz w:val="20"/>
                <w:szCs w:val="20"/>
                <w:color w:val="auto"/>
              </w:rPr>
            </w:pPr>
            <w:r>
              <w:rPr>
                <w:rFonts w:ascii="Arial" w:cs="Arial" w:eastAsia="Arial" w:hAnsi="Arial"/>
                <w:sz w:val="18"/>
                <w:szCs w:val="18"/>
                <w:color w:val="auto"/>
              </w:rPr>
              <w:t>34</w:t>
            </w:r>
          </w:p>
        </w:tc>
        <w:tc>
          <w:tcPr>
            <w:tcW w:w="13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60" w:right="60" w:hanging="431"/>
        <w:spacing w:after="0" w:line="259"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Adjustments to reflect the additional goodwill resulting from the cable systems acquired from Charter in the exchange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92" w:lineRule="exact"/>
        <w:rPr>
          <w:rFonts w:ascii="Arial" w:cs="Arial" w:eastAsia="Arial" w:hAnsi="Arial"/>
          <w:sz w:val="18"/>
          <w:szCs w:val="18"/>
          <w:color w:val="auto"/>
        </w:rPr>
      </w:pPr>
    </w:p>
    <w:p>
      <w:pPr>
        <w:ind w:left="1060" w:right="20" w:hanging="431"/>
        <w:spacing w:after="0" w:line="285" w:lineRule="auto"/>
        <w:tabs>
          <w:tab w:leader="none" w:pos="106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 to reduce the amount in the “Comcast Cable Systems in SpinCo” column of $7.8 billion to the total reduction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debt outstanding of $2.7 billion resulting from the debt-for-debt exchange. SpinCo will incur new indebtedness prior to the completion of the Charter divestiture transactions consisting of bank debt and/or term loans used to fund cash distributions to Comcast and SpinCo notes newly issued to Comcast, which will enable Comcast to complete the debt-for-debt exchange following the TWC merger. Certain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Following the spin-off transaction, the SpinCo indebtedness will no longer be consolidated with Comcast. See “The Charter divestiture transactions— Contribution and Spin-Off” for further information. The SpinCo financing transactions assume a hypothetical $300 million premium to par value on the debt-for-debt exchange, which is expected to result in a loss and is reflected as a pro forma adjustment to shareholders’ equity. This is partially offset by an adjustment to shareholders’ equity for the related tax benefit on this loss of $117 million which is recorded in accrued expenses and other current liabilities. Cash and cash equivalents is adjusted to eliminate $300 million related to the portion of the other bank debt and/or term loans to be used for general corporate purposes at SpinCo, which will no longer be consolidated with Comcast following the spin-off transaction, and to record the aggregate distributions of $4.5 billion by SpinCo to Comcast. There is also a corresponding adjustment to interest expense for the six months ended June 30, 2014 related to the elimination of interest expense on the SpinCo indebtedness of $195 million partially offset by a reduction of interest expense on the tendered notes of $78 million. The corresponding adjustment to interest expense for the year ended December 31, 2013 related to the elimination of interest expense on the SpinCo indebtedness is $390 million partially offset by a reduction of interest expense on the tendered notes of $157 million.</w:t>
      </w:r>
    </w:p>
    <w:p>
      <w:pPr>
        <w:spacing w:after="0" w:line="78" w:lineRule="exact"/>
        <w:rPr>
          <w:rFonts w:ascii="Arial" w:cs="Arial" w:eastAsia="Arial" w:hAnsi="Arial"/>
          <w:sz w:val="16"/>
          <w:szCs w:val="16"/>
          <w:color w:val="auto"/>
        </w:rPr>
      </w:pPr>
    </w:p>
    <w:p>
      <w:pPr>
        <w:ind w:left="1060" w:right="180" w:hanging="431"/>
        <w:spacing w:after="0" w:line="291" w:lineRule="auto"/>
        <w:tabs>
          <w:tab w:leader="none" w:pos="106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Adjustments to record the deferred tax impact of acquisition accounting adjustments for the cable systems acquired from</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in the 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24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11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6465" cy="411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00" w:hanging="431"/>
        <w:spacing w:after="0" w:line="277" w:lineRule="auto"/>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equity. </w:t>
      </w:r>
      <w:r>
        <w:rPr>
          <w:rFonts w:ascii="Arial" w:cs="Arial" w:eastAsia="Arial" w:hAnsi="Arial"/>
          <w:sz w:val="18"/>
          <w:szCs w:val="18"/>
          <w:color w:val="auto"/>
        </w:rPr>
        <w:t>Adjustment to reflect the changes in pro forma Comcast total shareholders’ equity as a result of the Charter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w:t>
      </w:r>
    </w:p>
    <w:p>
      <w:pPr>
        <w:spacing w:after="0" w:line="62" w:lineRule="exact"/>
        <w:rPr>
          <w:sz w:val="20"/>
          <w:szCs w:val="20"/>
          <w:color w:val="auto"/>
        </w:rPr>
      </w:pPr>
    </w:p>
    <w:p>
      <w:pPr>
        <w:ind w:left="1080" w:right="280"/>
        <w:spacing w:after="0" w:line="264" w:lineRule="auto"/>
        <w:rPr>
          <w:sz w:val="20"/>
          <w:szCs w:val="20"/>
          <w:color w:val="auto"/>
        </w:rPr>
      </w:pPr>
      <w:r>
        <w:rPr>
          <w:rFonts w:ascii="Arial" w:cs="Arial" w:eastAsia="Arial" w:hAnsi="Arial"/>
          <w:sz w:val="18"/>
          <w:szCs w:val="18"/>
          <w:color w:val="auto"/>
        </w:rPr>
        <w:t>The amounts in the column titled “Comcast Cable Systems in SpinCo” represents the impact of the spin-off transaction, including the historical net assets of the cable systems included in SpinCo, as well as the impact on the net assets of SpinCo from the SpinCo financing transactions.</w:t>
      </w:r>
    </w:p>
    <w:p>
      <w:pPr>
        <w:spacing w:after="0" w:line="73" w:lineRule="exact"/>
        <w:rPr>
          <w:sz w:val="20"/>
          <w:szCs w:val="20"/>
          <w:color w:val="auto"/>
        </w:rPr>
      </w:pPr>
    </w:p>
    <w:p>
      <w:pPr>
        <w:ind w:left="1080" w:right="20"/>
        <w:spacing w:after="0" w:line="276" w:lineRule="auto"/>
        <w:rPr>
          <w:sz w:val="20"/>
          <w:szCs w:val="20"/>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$11.4 billion relating to the impact of the cash proceeds from the exchange and sale transactions and the fair value adjustments related to the Charter cable systems acquired in the exchange.</w:t>
      </w:r>
    </w:p>
    <w:p>
      <w:pPr>
        <w:spacing w:after="0" w:line="64" w:lineRule="exact"/>
        <w:rPr>
          <w:sz w:val="20"/>
          <w:szCs w:val="20"/>
          <w:color w:val="auto"/>
        </w:rPr>
      </w:pPr>
    </w:p>
    <w:p>
      <w:pPr>
        <w:ind w:left="1080" w:right="680"/>
        <w:spacing w:after="0" w:line="277" w:lineRule="auto"/>
        <w:rPr>
          <w:sz w:val="20"/>
          <w:szCs w:val="20"/>
          <w:color w:val="auto"/>
        </w:rPr>
      </w:pPr>
      <w:r>
        <w:rPr>
          <w:rFonts w:ascii="Arial" w:cs="Arial" w:eastAsia="Arial" w:hAnsi="Arial"/>
          <w:sz w:val="18"/>
          <w:szCs w:val="18"/>
          <w:color w:val="auto"/>
        </w:rPr>
        <w:t>The SpinCo financing transactions are expected to result in an estimated loss of $183 million, net of tax, relating to the hypothetical premium to par value on the debt-for-debt exchange as discussed further in Note 3e.</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the impact of the divestiture transactions on pro forma Comcast total shareholders’ equity:</w:t>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 Forma Comcast Total Shareholders’ Equity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3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excluding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$93,803</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Distribution of SpinCo to Comcast shareholders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r>
      <w:tr>
        <w:trPr>
          <w:trHeight w:val="216"/>
        </w:trPr>
        <w:tc>
          <w:tcPr>
            <w:tcW w:w="10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Exchange and sale transactions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tcPr>
          <w:p>
            <w:pPr>
              <w:ind w:left="720"/>
              <w:spacing w:after="0"/>
              <w:rPr>
                <w:sz w:val="20"/>
                <w:szCs w:val="20"/>
                <w:color w:val="auto"/>
              </w:rPr>
            </w:pPr>
            <w:r>
              <w:rPr>
                <w:rFonts w:ascii="Arial" w:cs="Arial" w:eastAsia="Arial" w:hAnsi="Arial"/>
                <w:sz w:val="18"/>
                <w:szCs w:val="18"/>
                <w:color w:val="auto"/>
              </w:rPr>
              <w:t>Loss from debt-for-debt exchange premium, net of tax</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7"/>
        </w:trPr>
        <w:tc>
          <w:tcPr>
            <w:tcW w:w="10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Pro forma for TWC merger including Charter divestiture transactions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95,375</w:t>
            </w:r>
          </w:p>
        </w:tc>
      </w:tr>
      <w:tr>
        <w:trPr>
          <w:trHeight w:val="20"/>
        </w:trPr>
        <w:tc>
          <w:tcPr>
            <w:tcW w:w="10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60" w:right="220" w:hanging="431"/>
        <w:spacing w:after="0" w:line="264"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Fair value of cash, receivables and other assets and liabilities</w:t>
      </w:r>
      <w:r>
        <w:rPr>
          <w:rFonts w:ascii="Arial" w:cs="Arial" w:eastAsia="Arial" w:hAnsi="Arial"/>
          <w:sz w:val="18"/>
          <w:szCs w:val="18"/>
          <w:color w:val="auto"/>
        </w:rPr>
        <w:t>. Fair value related to these accounts is assumed to equal Charter’s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for the cable systems acquired in the exchange transaction due to either the liquid nature or short duration of the asset or liability, or based upon overall immateriality to the purchase price allocation.</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six months ended June 30,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560" w:type="dxa"/>
            <w:vAlign w:val="bottom"/>
          </w:tcPr>
          <w:p>
            <w:pPr>
              <w:spacing w:after="0"/>
              <w:rPr>
                <w:sz w:val="14"/>
                <w:szCs w:val="14"/>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Six Months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June 30, 2014</w:t>
            </w:r>
          </w:p>
        </w:tc>
        <w:tc>
          <w:tcPr>
            <w:tcW w:w="1780" w:type="dxa"/>
            <w:vAlign w:val="bottom"/>
            <w:gridSpan w:val="4"/>
          </w:tcPr>
          <w:p>
            <w:pPr>
              <w:ind w:left="52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2,598</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15"/>
                <w:szCs w:val="15"/>
                <w:color w:val="auto"/>
              </w:rPr>
              <w:t>(a)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Comcast incremental share repurchase—Note 3p to unaudited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pro forma information giving effect to the TWC merger</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weighted average shares outstanding</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Dilutive effect of securities: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Comcast equity awards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TWC equity awards converted to Comcast equity awards</w:t>
            </w:r>
            <w:r>
              <w:rPr>
                <w:rFonts w:ascii="Arial" w:cs="Arial" w:eastAsia="Arial" w:hAnsi="Arial"/>
                <w:sz w:val="15"/>
                <w:szCs w:val="15"/>
                <w:color w:val="auto"/>
              </w:rPr>
              <w:t>(a)</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weighted average shares outstanding</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00" w:right="40" w:hanging="425"/>
        <w:spacing w:after="0" w:line="234" w:lineRule="auto"/>
        <w:tabs>
          <w:tab w:leader="none" w:pos="150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Represents the estimated number of shares of Comcast Class A common stock to be issued to TWC shareholders based on the number of shares of TWC common stock outstanding as of August 19, 2014 and after giving effect to the exchange ratio as determined in the TWC merger agreement. TWC basic shares outstanding and the estimated dilutive effect of TWC stock awards for both the six months ended June 30, 2014 and for the year ended December 31, 2013 were 280 million and 4 million, respectively.</w:t>
      </w:r>
    </w:p>
    <w:p>
      <w:pPr>
        <w:spacing w:after="0" w:line="213" w:lineRule="exact"/>
        <w:rPr>
          <w:rFonts w:ascii="Arial" w:cs="Arial" w:eastAsia="Arial" w:hAnsi="Arial"/>
          <w:sz w:val="14"/>
          <w:szCs w:val="14"/>
          <w:color w:val="auto"/>
        </w:rPr>
      </w:pPr>
    </w:p>
    <w:p>
      <w:pPr>
        <w:ind w:left="1060" w:right="60" w:hanging="431"/>
        <w:spacing w:after="0" w:line="279" w:lineRule="auto"/>
        <w:tabs>
          <w:tab w:leader="none" w:pos="1060"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 xml:space="preserve">Cash proceeds from exchange and sale transactions. </w:t>
      </w:r>
      <w:r>
        <w:rPr>
          <w:rFonts w:ascii="Arial" w:cs="Arial" w:eastAsia="Arial" w:hAnsi="Arial"/>
          <w:sz w:val="17"/>
          <w:szCs w:val="17"/>
          <w:color w:val="auto"/>
        </w:rPr>
        <w:t>Adjustments to reflect the cash proceeds received from the sale transaction of $7.7</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cash received from the exchange transaction of $300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$1.9 billion.</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In addition to the other information contained or incorporated by reference into this joint proxy statement/prospectus, including the matters addressed in “Cautionary Statement Regarding Forward-Looking Statements” beginning on page [</w:t>
      </w:r>
      <w:r>
        <w:rPr>
          <w:rFonts w:ascii="Arial" w:cs="Arial" w:eastAsia="Arial" w:hAnsi="Arial"/>
          <w:sz w:val="17"/>
          <w:szCs w:val="17"/>
          <w:color w:val="auto"/>
        </w:rPr>
        <w:t>—</w:t>
      </w:r>
      <w:r>
        <w:rPr>
          <w:rFonts w:ascii="Arial" w:cs="Arial" w:eastAsia="Arial" w:hAnsi="Arial"/>
          <w:sz w:val="17"/>
          <w:szCs w:val="17"/>
          <w:i w:val="1"/>
          <w:iCs w:val="1"/>
          <w:color w:val="auto"/>
        </w:rPr>
        <w:t>]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8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 and as low as $[—] between that date and [—], 2014. The closing price per share of Comcast Class A common stock as of February 12, 2014, the last trading date before the public announcement of the merger agreement, was $55.24, and the closing price per share has fluctuated as high as $[—] and as low as $[—] between that date and [—],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7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market price of Comcast Class A common stock after the merger may be affected by factors different from those affecting shares of TWC common stock currently.</w:t>
      </w:r>
    </w:p>
    <w:p>
      <w:pPr>
        <w:spacing w:after="0" w:line="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 of this joint proxy statement/prospectus.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After completion of the merger, Comcast may fail to realize the anticipated benefits and cost savings of the merger, which could adversely affect the value of Comcast Class A common stock.</w:t>
      </w:r>
    </w:p>
    <w:p>
      <w:pPr>
        <w:spacing w:after="0" w:line="5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52"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Comcast’s ability to successfully combine the businesses of Comcast and TWC;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whether the combined business will perform as expected.</w:t>
      </w:r>
    </w:p>
    <w:p>
      <w:pPr>
        <w:spacing w:after="0" w:line="225"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99"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combining certain of the companies’ operations and corporate functions;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integrating the companies’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integrating and unifying the product offerings and services available to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and vendors and avoiding delays in entering into new agreements with prospective customers, distributors, providers and vendors;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coordinating programming, distribution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effecting the divestiture transactions, or, if the divestiture transactions are not completed, effecting potential alternative divestitures and other actions that may be required in connection with obtaining regulatory approvals.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may have difficulty attracting, motivating and retaining executives and other employees in light of the merger.</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Uncertainty about the effect of the merger and the divestiture transactions on Comcast and TWC employees may impair Comcast’s and TWC’s ability to attract, retain and motivate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employees of TWC are entitled to receive severance payments upon a constructive termination of employment. Such TWC employees potentially could terminate their employment following specified circumstances set forth in their employment agreements, including certain changes in such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 of this joint proxy statement/prospectus for a further discussion of some of these issues. If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Comcast and TWC to complete the merger are subject to satisfaction or waiver of a number of conditions, including, among others:</w:t>
      </w:r>
    </w:p>
    <w:p>
      <w:pPr>
        <w:spacing w:after="0" w:line="46" w:lineRule="exact"/>
        <w:rPr>
          <w:sz w:val="20"/>
          <w:szCs w:val="20"/>
          <w:color w:val="auto"/>
        </w:rPr>
      </w:pPr>
    </w:p>
    <w:p>
      <w:pPr>
        <w:ind w:firstLine="8"/>
        <w:spacing w:after="0" w:line="284" w:lineRule="auto"/>
        <w:tabs>
          <w:tab w:leader="none" w:pos="2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 of this joint proxy statement/prospectus for a definition of burdensome condition). For a more complete summary of the conditions that must be satisfied or waived prior to completion of the merger, see “The Merger Agreement— Conditions to Completion of the Merger” beginning on page [—]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 Efforts to Obtain Regulatory Approvals” beginning on page [—]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 and [—], respectively, of this joint proxy statement/prospectus.</w:t>
      </w: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Failure to complete the divestiture transactions with Charter could require Comcast to pursue an alternate disposition transaction, which may be on less favorable terms to Comcast. If the divestiture transactions are completed, the value of shares received in connection with the divestiture transactions may fluctuate.</w:t>
      </w:r>
    </w:p>
    <w:p>
      <w:pPr>
        <w:spacing w:after="0" w:line="7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The consummation of the divestiture transactions is subject to a number of closing conditions, including, among others, completion of the merger, the receipt of certain regulatory approvals, approval by Charter’s stockholders and certain conditions relating to the financing for the divestiture transactions. Comcast and Charter may be unable to obtain the necessary approvals or otherwise satisfy the conditions required to consummate the divestiture transactions on a timely basis or at all. If Comcast is unable to consummate the divestiture transactions, Comcast may be required to pursue an alternative transaction to divest subscribers on terms which differ from the terms of the divestiture transactions. There is no assurance as to when any such alternate disposition transaction would be consummated, or that any such alternate disposition transaction would be consummated in a tax-efficient manner or otherwise on terms as favorable to Comcast and its shareholders (including, after the merger, the former TWC stockholders) as the divestiture transactions.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as described under “The Divestiture Transactions” beginning on page [—] of this joint proxy statement/prospectus. There is currently no public market for SpinCo shares and there can be no assurance that an active trading market for SpinCo shares will develop as a result of the spin-off or be sustained in the future. The lack of an active market may make it more difficult to sell SpinCo shares and could lead to the price of SpinCo shares being depressed or more volatile. The prices at which SpinCo shares and New Charter shares may trade after the divestiture transactions is uncertain. The market price for SpinCo shares and New Charter shares may fluctuate widely, depending on many factors, some of which may be beyond SpinCo or New Charter’s control, including, actual or anticipated fluctuations in operating results due to factors related to SpinCo or New Charter’s business, the success or failure of the SpinCo and New Charter business strategies, SpinCo and New Charter’s ability to obtain third-party financing as needed, the failure of securities analysts to cover SpinCo or New Charter shares after the divestiture transactions, the operating and share price performance of other comparable companies, changes in laws and regulations affecting SpinCo and New Charter’s business, general economic conditions and other external factors. Additionally, stock markets in general have experienced volatility that has often been unrelated to the operating performance of a particular company. These broad market fluctuations could adversely affect the trading price of SpinCo and New Charter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and TWC’s business relationships may be subject to disruption due to uncertainty associated with the merger.</w:t>
      </w:r>
    </w:p>
    <w:p>
      <w:pPr>
        <w:spacing w:after="0" w:line="12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9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Certain of TWC’s executive officers and directors have interests in the merger that may be different from your interests as a stockholder of TWC or as a shareholder of Comcast.</w:t>
      </w:r>
    </w:p>
    <w:p>
      <w:pPr>
        <w:spacing w:after="0" w:line="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7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5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 of this joint proxy statement/prospectus.</w:t>
      </w:r>
    </w:p>
    <w:p>
      <w:pPr>
        <w:spacing w:after="0" w:line="17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3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7"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Comcast and TWC may experience negative reactions from their respective customers, regulators and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Comcast and TWC will be required to pay certain costs relating to the merger, whether or not the merger is completed;</w:t>
      </w:r>
    </w:p>
    <w:p>
      <w:pPr>
        <w:spacing w:after="0" w:line="130"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 TWC and Comcast from making certain acquisitions, taking certain other specified actions or otherwise pursuing business opportunities during the pendency of the merger (see “The Merger Agreement—Conduct of Business Pending the Merger” beginning on page [—] of this joint proxy statement/prospectus for a description of the restrictive covenants applicable to TWC and Comcast); and</w:t>
      </w:r>
    </w:p>
    <w:p>
      <w:pPr>
        <w:spacing w:after="0" w:line="63" w:lineRule="exact"/>
        <w:rPr>
          <w:rFonts w:ascii="Arial" w:cs="Arial" w:eastAsia="Arial" w:hAnsi="Arial"/>
          <w:sz w:val="16"/>
          <w:szCs w:val="16"/>
          <w:color w:val="auto"/>
        </w:rPr>
      </w:pPr>
    </w:p>
    <w:p>
      <w:pPr>
        <w:jc w:val="both"/>
        <w:ind w:left="900" w:right="60" w:hanging="446"/>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the merger is not completed, the risks described above may materialize and they may adversely affect Comcast’s and TWC’s businesses, financial condition, financial results and stock prices.</w:t>
      </w:r>
    </w:p>
    <w:p>
      <w:pPr>
        <w:spacing w:after="0" w:line="170"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Comcast Class A common stock to be received by TWC stockholders upon completion of the merger will have different rights from shares of TWC common stock.</w:t>
      </w:r>
    </w:p>
    <w:p>
      <w:pPr>
        <w:spacing w:after="0" w:line="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 of this joint proxy statement/prospectus for a discussion of the different rights associated with Comcast Class A common stock.</w:t>
      </w:r>
    </w:p>
    <w:p>
      <w:pPr>
        <w:spacing w:after="0" w:line="2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After the merger, TWC stockholders will have a significantly lower ownership and voting interest in Comcast than they currently have in TWC and will exercise less influence over management.</w:t>
      </w:r>
    </w:p>
    <w:p>
      <w:pPr>
        <w:spacing w:after="0" w:line="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7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Lawsuits have been filed and other lawsuits may be filed against TWC and Comcast challenging the merger. An adverse ruling in any such lawsuit may prevent the merger from being completed.</w:t>
      </w:r>
    </w:p>
    <w:p>
      <w:pPr>
        <w:spacing w:after="0" w:line="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7"/>
          <w:szCs w:val="17"/>
          <w:i w:val="1"/>
          <w:iCs w:val="1"/>
          <w:color w:val="auto"/>
        </w:rPr>
        <w:t>Barrett</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xml:space="preserve"> v. </w:t>
      </w:r>
      <w:r>
        <w:rPr>
          <w:rFonts w:ascii="Arial" w:cs="Arial" w:eastAsia="Arial" w:hAnsi="Arial"/>
          <w:sz w:val="17"/>
          <w:szCs w:val="17"/>
          <w:i w:val="1"/>
          <w:iCs w:val="1"/>
          <w:color w:val="auto"/>
        </w:rPr>
        <w:t>Time Warner Cable Inc., et al.</w:t>
      </w:r>
      <w:r>
        <w:rPr>
          <w:rFonts w:ascii="Arial" w:cs="Arial" w:eastAsia="Arial" w:hAnsi="Arial"/>
          <w:sz w:val="17"/>
          <w:szCs w:val="17"/>
          <w:color w:val="auto"/>
        </w:rPr>
        <w:t xml:space="preserve">, Index No. 650507/2014 (N.Y. Sup. Ct.). Three of these actions are pending in the Court of Chancery of the State of Delaware under the following captions: </w:t>
      </w:r>
      <w:r>
        <w:rPr>
          <w:rFonts w:ascii="Arial" w:cs="Arial" w:eastAsia="Arial" w:hAnsi="Arial"/>
          <w:sz w:val="17"/>
          <w:szCs w:val="17"/>
          <w:i w:val="1"/>
          <w:iCs w:val="1"/>
          <w:color w:val="auto"/>
        </w:rPr>
        <w:t>Louisiana Municipal Police Employees’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System </w:t>
      </w:r>
      <w:r>
        <w:rPr>
          <w:rFonts w:ascii="Arial" w:cs="Arial" w:eastAsia="Arial" w:hAnsi="Arial"/>
          <w:sz w:val="17"/>
          <w:szCs w:val="17"/>
          <w:color w:val="auto"/>
        </w:rPr>
        <w:t>v.</w:t>
      </w:r>
      <w:r>
        <w:rPr>
          <w:rFonts w:ascii="Arial" w:cs="Arial" w:eastAsia="Arial" w:hAnsi="Arial"/>
          <w:sz w:val="17"/>
          <w:szCs w:val="17"/>
          <w:i w:val="1"/>
          <w:iCs w:val="1"/>
          <w:color w:val="auto"/>
        </w:rPr>
        <w:t xml:space="preserve"> Black</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9410-VCN (Del. Ch.);</w:t>
      </w:r>
      <w:r>
        <w:rPr>
          <w:rFonts w:ascii="Arial" w:cs="Arial" w:eastAsia="Arial" w:hAnsi="Arial"/>
          <w:sz w:val="17"/>
          <w:szCs w:val="17"/>
          <w:i w:val="1"/>
          <w:iCs w:val="1"/>
          <w:color w:val="auto"/>
        </w:rPr>
        <w:t xml:space="preserve"> Tangarone v. Time Warner 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 </w:t>
      </w:r>
      <w:r>
        <w:rPr>
          <w:rFonts w:ascii="Arial" w:cs="Arial" w:eastAsia="Arial" w:hAnsi="Arial"/>
          <w:sz w:val="17"/>
          <w:szCs w:val="17"/>
          <w:color w:val="auto"/>
        </w:rPr>
        <w:t>No. 9477-VCN. These complaints name as defendants TWC, the members of the TWC board of directors, Comcast and Merger</w:t>
      </w:r>
      <w:r>
        <w:rPr>
          <w:rFonts w:ascii="Arial" w:cs="Arial" w:eastAsia="Arial" w:hAnsi="Arial"/>
          <w:sz w:val="17"/>
          <w:szCs w:val="17"/>
          <w:i w:val="1"/>
          <w:iCs w:val="1"/>
          <w:color w:val="auto"/>
        </w:rPr>
        <w:t xml:space="preserve"> </w:t>
      </w:r>
      <w:r>
        <w:rPr>
          <w:rFonts w:ascii="Arial" w:cs="Arial" w:eastAsia="Arial" w:hAnsi="Arial"/>
          <w:sz w:val="17"/>
          <w:szCs w:val="17"/>
          <w:color w:val="auto"/>
        </w:rPr>
        <w:t>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unspecified declaratory and equitable relief, compensatory damages in an unspecified amount and costs and fees.</w:t>
      </w:r>
    </w:p>
    <w:p>
      <w:pPr>
        <w:spacing w:after="0" w:line="18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July 22, 2014, the parties to the litigation entered into an MOU reflecting the terms of an agreement, subject to final approval by the New York Supreme Court and certain other conditions, to settle all of the outstanding litigation challenging the merger. 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have been asserted to rest, and to avoid any possible delay to the closing of the merger that might arise from further litigation. The settlement will not affect the timing of the merger or the amount of consideration to be paid in the merger.</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See “TWC Proposal I: Adoption of the Merger Agreement and Comcast Proposal I: Approval of the Stock Issuance—Litigation Relating to the Merger” beginning on page [—] of this joint proxy statement/prospectus for more information about the lawsuits related to the merger that have been filed prior to the date of this joint proxy statement/prospectus.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285"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TWC will incur significant transaction and merger-related costs in connection with the merger.</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Comcast and TWC expect to incur a number of non-recurring costs associated with the merger and combining the operations of the two companies. The substantial majority of non-recurring expenses will be comprised of transaction costs related to the merger. The significant, non-recurring costs associated with the merger include, among others, fees and expenses of financial advisors (which are described under “Opinions of TWC’s Financial Advisors,” “Opinion of Financial Advisor to the TWC Independent Directors” and “Opinion of Comcast’s Financial Advisor” beginning on pages [—], [—] and [—] of this joint proxy statement/prospectus, respectively) and other advisors and representatives, certain employment-related costs relating to employees of TWC (which are described under “Interests of Certain Persons in the Merger” beginning on page [—] of this joint proxy statement/prospectus), filing fees due in connection with filings required under the HSR Act and filing fees (which equaled approximately $5 million), litigation costs and printing and mailing costs for this joint proxy statement/prospectus. Some of these costs have already been incurred or may be incurred regardless of whether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merger is consummated, including a portion of the fees and expenses of financial advisors and other advisors and representatives and filing fees for this joint proxy statement/prospectus. Comcast also will incur transaction fees and costs related to formulating and implementing integration plans with respect to the two companies, including facilities and systems consolidation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 efficiencies related to the integration of the businesses, should allow Comcast to offset integration-related costs over time, this net benefit may not be achieved in the near term, or at all.</w:t>
      </w:r>
    </w:p>
    <w:p>
      <w:pPr>
        <w:spacing w:after="0" w:line="2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merger, the divestiture transactions and any alternate disposition transactions may not be accretive, and may be dilutive, to Comcast’s earnings per share, which may negatively affect the market price of Comcast Class A common stock.</w:t>
      </w:r>
    </w:p>
    <w:p>
      <w:pPr>
        <w:spacing w:after="0" w:line="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Unaudited Pro Forma Condensed Combined Financial Statements—Unaudited Pro Forma Condensed Combined Statement of Income Giving Effect to the TWC Merger For the Year Ended December 31, 2013” and “Comcast Unaudited Pro Forma Condensed Combined Financial Statements— Unaudited Pro Forma Condensed Combined Statement of Income Giving Effect to the TWC Merger For the Six Months Ended June 30, 2014” beginning on pages [—] and [—], respectively, of this joint proxy statement/prospectus, Comcast expects that the merger will initially be dilutive to its earnings per share, which may negatively affect the market price of shares of Comcast Class A common stock. In addition, the divestiture transactions contemplate the combined company divesting a net total of approximately 3.9 million subscribers, including 2.5 million existing Comcast subscribers to be contributed to SpinCo and spun off to the combined company’s shareholders. Comcast expects the divestiture transactions, if consummated, to be further dilutive to its earnings per share. See “Unaudited Pro Forma Condensed Combined Financial Statements Giving Effect to the TWC Merger and Charter Divestiture Transactions— Unaudited Pro Forma Condensed Combined Statement of Income For the Year Ended December 31, 2013 and For the Six Months Ended June 30, 2014” beginning on page [—] of this joint proxy statement/prospectus. If the divestiture transactions are not consummated and Comcast instead enters into an alternate disposition transaction, such alternate disposition transaction may be dilutive to Comcast’s earnings per share as well.</w:t>
      </w:r>
    </w:p>
    <w:p>
      <w:pPr>
        <w:spacing w:after="0" w:line="17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the completion of the merger, Comcast expects to issue approximately [—] shares of Comcast Class A common stock. The issuance of these new shares of Comcast Class A common stock could have the effect of depressing the market price of shares of Comcast Class A common stock.</w:t>
      </w:r>
    </w:p>
    <w:p>
      <w:pPr>
        <w:spacing w:after="0" w:line="12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addition, after Comcast’s shareholders approve the stock issuance and TWC’s stockholders approve the merger, Comcast intends to repurchase an additional $2.5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repurchases and authorization and ultimately complete the additional share buybacks, there is no guarantee that the Comcast board of directors will authorize, or that Comcast will complete, such actions. The timing and amount of any share buyback activity following the special meetings and after the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Comcast unaudited pro forma condensed combined financial statements included in this joint proxy statement/prospectus are preliminary and the actual financial condition and results of operations after the merger may differ materially.</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Comcast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 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Unaudited Pro Forma Condensed Combined Financial Statements” beginning on page [—] of this joint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Comcast and TWC.</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 of this joint proxy statement/prospectus.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 of this joint proxy statement/prospectus and in other reports that Comcast and TWC file with the SEC.</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Both Comcast’s and TWC’s businesses, and any anticipated benefits of the merger to Comcast shareholders and TWC stockholders, may be affected by, among other things:</w:t>
      </w:r>
    </w:p>
    <w:p>
      <w:pPr>
        <w:spacing w:after="0" w:line="76"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timing to complete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failure to receive necessary shareholder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risk that a condition to completion of the merger may not be satisfied;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risk that a regulatory or other approval that may be required for the merger is delayed, is not obtained or is obtained subject to conditions that are not anticipated or that may be burdensome;</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risk that a condition to completion of the divestiture transactions may not be satisfied and Comcast is required to pursue an alternate disposition transaction, which may be on less favorable terms;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anticipated benefits of the merger and the divestiture transactions to Comcast and Comcast’s ability to achieve the synergies and value creation projected to be realized following completion of the merger and divestiture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Comcast’s ability to promptly and effectively integrate TWC’s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changes in Comcast’s plans to effect the divestiture transactions or an alternate disposition transaction and complete potential share repurchases;</w:t>
      </w:r>
    </w:p>
    <w:p>
      <w:pPr>
        <w:spacing w:after="0" w:line="153" w:lineRule="exact"/>
        <w:rPr>
          <w:rFonts w:ascii="Arial" w:cs="Arial" w:eastAsia="Arial" w:hAnsi="Arial"/>
          <w:sz w:val="16"/>
          <w:szCs w:val="16"/>
          <w:color w:val="auto"/>
        </w:rPr>
      </w:pPr>
    </w:p>
    <w:p>
      <w:pPr>
        <w:ind w:left="900" w:right="54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diversion of management and workforce time on merger-related issues, including activities of labor unions and the integration of TWC employees into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changes in Comcast’s or TWC’s businesses, future cash requirements, capital requirements, results of operations, revenues, financial condition and/or cash flows;</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changes in acquisition-related transaction costs, the amount of fees paid to financial advisors and the potential payments to TWC’s named executive officers in connection with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operating costs and business disruption that may be greater than expected;</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ability to retain and hire key personnel and maintain relationships with providers or other business partners pending completion of the merger;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effects of competition.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74" w:lineRule="exact"/>
        <w:rPr>
          <w:sz w:val="20"/>
          <w:szCs w:val="20"/>
          <w:color w:val="auto"/>
        </w:rPr>
      </w:pPr>
    </w:p>
    <w:p>
      <w:pPr>
        <w:ind w:left="900" w:right="80" w:hanging="446"/>
        <w:spacing w:after="0" w:line="277"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w:t>
      </w:r>
      <w:r>
        <w:rPr>
          <w:rFonts w:ascii="Arial" w:cs="Arial" w:eastAsia="Arial" w:hAnsi="Arial"/>
          <w:sz w:val="17"/>
          <w:szCs w:val="17"/>
          <w:b w:val="1"/>
          <w:bCs w:val="1"/>
          <w:color w:val="auto"/>
        </w:rPr>
        <w:t xml:space="preserve"> </w:t>
      </w:r>
      <w:r>
        <w:rPr>
          <w:rFonts w:ascii="Arial" w:cs="Arial" w:eastAsia="Arial" w:hAnsi="Arial"/>
          <w:sz w:val="17"/>
          <w:szCs w:val="17"/>
          <w:color w:val="auto"/>
        </w:rPr>
        <w:t>voice services to residential customers under the XFINITY brand and also provides similar services to businesses and sells advertising. As of June 30, 2014, Comcast’s cable systems served 22.5 million video customers, 21.3 million high-speed Internet customers and 11.0 million voice customers and passed more than 54 million homes and businesses. As of June 30, 2014, Comcast had customer relationships with approximately 25.1 million residential customers and 1.6 million business customers.</w:t>
      </w:r>
    </w:p>
    <w:p>
      <w:pPr>
        <w:spacing w:after="0" w:line="73" w:lineRule="exact"/>
        <w:rPr>
          <w:rFonts w:ascii="Arial" w:cs="Arial" w:eastAsia="Arial" w:hAnsi="Arial"/>
          <w:sz w:val="17"/>
          <w:szCs w:val="17"/>
          <w:color w:val="auto"/>
        </w:rPr>
      </w:pPr>
    </w:p>
    <w:p>
      <w:pPr>
        <w:ind w:left="900" w:right="660" w:hanging="446"/>
        <w:spacing w:after="0" w:line="282"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Comcast’s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its cable television production operations.</w:t>
      </w:r>
    </w:p>
    <w:p>
      <w:pPr>
        <w:spacing w:after="0" w:line="67" w:lineRule="exact"/>
        <w:rPr>
          <w:rFonts w:ascii="Arial" w:cs="Arial" w:eastAsia="Arial" w:hAnsi="Arial"/>
          <w:sz w:val="18"/>
          <w:szCs w:val="18"/>
          <w:color w:val="auto"/>
        </w:rPr>
      </w:pPr>
    </w:p>
    <w:p>
      <w:pPr>
        <w:ind w:left="900" w:right="240" w:hanging="446"/>
        <w:spacing w:after="0" w:line="282"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Comcast’s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Comcast’s broadcast television production operations.</w:t>
      </w:r>
    </w:p>
    <w:p>
      <w:pPr>
        <w:spacing w:after="0" w:line="67" w:lineRule="exact"/>
        <w:rPr>
          <w:rFonts w:ascii="Arial" w:cs="Arial" w:eastAsia="Arial" w:hAnsi="Arial"/>
          <w:sz w:val="18"/>
          <w:szCs w:val="18"/>
          <w:color w:val="auto"/>
        </w:rPr>
      </w:pPr>
    </w:p>
    <w:p>
      <w:pPr>
        <w:ind w:left="900" w:right="380" w:hanging="446"/>
        <w:spacing w:after="0" w:line="282"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Comcast’s Universal theme parks in Orlando and Hollywood.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2013, Comcast’s Cable Communications segment generated 65% of Comcast’s consolidated revenue and 80% of its operating income before depreciation and amortization.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Comcast’s other business interests primarily include Comcast-Spectacor, which owns the Philadelphia Flyers and the Wells Fargo Center arena in Philadelphia and operates arena management-related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Inc.</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June 30, 2014, TWC served approximately 14.5 million residential customers and 658,000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Time Warner Cable Inc. was incorporated as a Delaware corporation on March 21, 2003, and TWC and its predecessors have been in the cable business for over 40 years in various legal forms.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 OF COMCAST</w:t>
      </w:r>
    </w:p>
    <w:p>
      <w:pPr>
        <w:spacing w:after="0" w:line="225"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 2014, at [—] located at [—], at [—] AM, local time, and any adjournments or postponements of the Comcast special meeting.</w:t>
      </w:r>
    </w:p>
    <w:p>
      <w:pPr>
        <w:spacing w:after="0" w:line="181"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Only shareholders or their proxy holders may attend the Comcast special meeting. If you hold shares in your name at the record date (the close of business on [—], 2014), please be prepared to provide proper identification, such as a driver’s license, to gain admission to the Comcast special meeting.</w:t>
      </w:r>
    </w:p>
    <w:p>
      <w:pPr>
        <w:spacing w:after="0" w:line="12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If you are a beneficial owner of Comcast common shares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Comcast special meeting, Comcast shareholders will be asked to consider and vote on the following proposals:</w:t>
      </w:r>
    </w:p>
    <w:p>
      <w:pPr>
        <w:spacing w:after="0" w:line="131"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approve the stock issuance;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approve the adjournment of the Comcast special meeting if necessary to solicit additional proxies if there are not sufficient votes to approve the stock issuance at the time of the special meeting.</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shareholders are not entitled to vote on the divestiture transactions, and no vote with respect thereto is being solicited by Comcast.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Comcast Board of Directors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time of the Comcast special meeting. See “TWC Proposal I: Adoption of the Merger Agreement and Comcast Proposal I: Approval of the Stock Issuance —Comcast’s Reasons for the Merger; Recommendation of the Comcast Board of Directors” beginning on page [—] of this joint proxy statement/prospectus for a more detailed discussion of the recommendation of the Comcast board of directors that Comcast shareholders approve the stock issuance.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Record Date; Outstanding Shares; Shareholders Entitled to Vote</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 2014, there were [—] shares of Comcast Class A common shares outstanding and entitled to vote at the Comcast special meeting, held by approximately [—] holders of record. As of the close of business on [—],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 votes per share and each holder of Comcast Class B common stock is entitled to 15 votes per share. Holders of Comcast Class A Special common stock are not entitled to vote at the meeting.</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 impede the consummation of the merger. As of the record date, these shares represent an aggregate of approximately [0.02]% of the outstanding shares of Comcast Class A common stock and 100% of the outstanding shares of Comcast Class B common stock, which together represent approximately [33.35]%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combined voting power of Comcast Class A common stock and Comcast Class B common stock for purposes of the single class vote. The voting agreement may be terminated under certain circumstances.</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w:t>
      </w:r>
      <w:r>
        <w:rPr>
          <w:rFonts w:ascii="Arial" w:cs="Arial" w:eastAsia="Arial" w:hAnsi="Arial"/>
          <w:sz w:val="16"/>
          <w:szCs w:val="16"/>
          <w:color w:val="auto"/>
        </w:rPr>
        <w:t xml:space="preserve"> </w:t>
      </w:r>
      <w:r>
        <w:rPr>
          <w:rFonts w:ascii="Arial" w:cs="Arial" w:eastAsia="Arial" w:hAnsi="Arial"/>
          <w:sz w:val="16"/>
          <w:szCs w:val="16"/>
          <w:b w:val="1"/>
          <w:bCs w:val="1"/>
          <w:color w:val="auto"/>
        </w:rPr>
        <w:t>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Comcast Directors and Executive Officers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At the record date for the Comcast special meeting (the close of business on [—], 2014), Comcast’s directors and executive officers and their affiliates beneficially owned and had the right to vote [—] shares of Comcast common stock at the Comcast special meeting, which represents approximately [—]% of the shares of Comcast common stock entitled to vote at the Comcast special meeting.</w:t>
      </w:r>
    </w:p>
    <w:p>
      <w:pPr>
        <w:spacing w:after="0" w:line="177"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[0.02]% of the outstanding shares of Comcast Class A common stock and 100% of the outstanding shares of Comcast Class B common stock, which together represent approximately [33.35]% of the combined voting power of Comcast Class A common stock and Comcast Class B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12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1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Comcast special meeting.</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1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 not give voting instructions to the broker, bank, nominee or other holder of record, then those shares will not be present in person or represented by proxy at the special meeting. As a result, it is expected that there will not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any broker non-votes in connection with either of the proposals described in this joint proxy statement/prospectus.</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67"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Comcast special meeting. If you are a shareholder of record at the record date (the close of business on [—], 2014), you can revoke your proxy or change your vote by:</w:t>
      </w:r>
    </w:p>
    <w:p>
      <w:pPr>
        <w:spacing w:after="0" w:line="76" w:lineRule="exact"/>
        <w:rPr>
          <w:sz w:val="20"/>
          <w:szCs w:val="20"/>
          <w:color w:val="auto"/>
        </w:rPr>
      </w:pPr>
    </w:p>
    <w:p>
      <w:pPr>
        <w:ind w:left="900" w:hanging="446"/>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Comcast special meeting; or</w:t>
      </w:r>
    </w:p>
    <w:p>
      <w:pPr>
        <w:spacing w:after="0" w:line="130"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5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w:t>
      </w:r>
      <w:r>
        <w:rPr>
          <w:rFonts w:ascii="Arial" w:cs="Arial" w:eastAsia="Arial" w:hAnsi="Arial"/>
          <w:sz w:val="18"/>
          <w:szCs w:val="18"/>
          <w:color w:val="auto"/>
        </w:rPr>
        <w:t xml:space="preserve"> </w:t>
      </w:r>
      <w:r>
        <w:rPr>
          <w:rFonts w:ascii="Arial" w:cs="Arial" w:eastAsia="Arial" w:hAnsi="Arial"/>
          <w:sz w:val="18"/>
          <w:szCs w:val="18"/>
          <w:b w:val="1"/>
          <w:bCs w:val="1"/>
          <w:color w:val="auto"/>
        </w:rPr>
        <w:t>the 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Comcast special meeting, please contact</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Toll-Free: (800) 488-8035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comcast@dfking.com</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(866) 281-2100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MEETING OF STOCKHOLDERS OF TWC</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Location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Together with this joint proxy statement/prospectus, TWC is also sending you a notice of the TWC special meeting and a form of proxy that is solicited by the TWC board of directors for use at the TWC special meeting to be held on [—], 2014, at [—] located at [—], at [—] AM, local time, and any adjournments or postponements of the TWC special meeting.</w:t>
      </w:r>
    </w:p>
    <w:p>
      <w:pPr>
        <w:spacing w:after="0" w:line="181"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w:t>
      </w:r>
    </w:p>
    <w:p>
      <w:pPr>
        <w:ind w:right="20" w:firstLine="8"/>
        <w:spacing w:after="0" w:line="277" w:lineRule="auto"/>
        <w:tabs>
          <w:tab w:leader="none" w:pos="43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are a beneficial owner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TWC special meeting, TWC stockholders will be asked to consider and vote on the following proposals:</w:t>
      </w:r>
    </w:p>
    <w:p>
      <w:pPr>
        <w:spacing w:after="0" w:line="131" w:lineRule="exact"/>
        <w:rPr>
          <w:sz w:val="20"/>
          <w:szCs w:val="20"/>
          <w:color w:val="auto"/>
        </w:rPr>
      </w:pPr>
    </w:p>
    <w:p>
      <w:pPr>
        <w:ind w:left="900" w:right="60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adopt the merger agreement, pursuant to which Merger Sub will be merged with and into TWC, with TWC continuing as the surviving corporation and a wholly owned subsidiary of Comcast;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approve, on an advisory (non-binding) basis, the “golden parachute” compensation payments that will or may be made by TWC to its named executive officers in connection with the merger.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TWC’s by-laws, the business to be conducted at TWC’s special meeting will be limited to the purposes stated in the notice to TWC stockholders provided with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TWC stockholders are not entitled to vote on the divestiture transactions, and no vote with respect thereto is being solicited by TWC.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TWC Board of Directors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See “TWC Proposal I: Adoption of the Merger Agreement and Comcast Proposal I: Approval of the Stock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Issuance—TWC’s Reasons for the Merger; Recommendation of the Merger by the TWC Board of Directors” beginning on page [—]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“golden parachute” compensation proposal. See “TWC Proposal II: Advisory Vote on Golden Parachute Compensation” beginning on page [—] of this joint proxy statement/prospectus for a more detailed discussion of the recommendation of the TWC board of directors that TWC stockholders vote for the advisory (non-binding) vote to approve the “golden parachute” compensation payments.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 Record Date; Outstanding Shares; Stockholders Entitled to Vote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TWC board of directors has fixed the close of business on [—],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presence at the TWC special meeting, in person or by proxy, of the holders of a majority of the votes entitled to be cast for each 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Adoption of the merger agreement requires the affirmative vote of holders of a majority of the outstanding shares of TWC common stock entitled to vote. </w:t>
      </w:r>
      <w:r>
        <w:rPr>
          <w:rFonts w:ascii="Arial" w:cs="Arial" w:eastAsia="Arial" w:hAnsi="Arial"/>
          <w:sz w:val="18"/>
          <w:szCs w:val="18"/>
          <w:b w:val="1"/>
          <w:bCs w:val="1"/>
          <w:color w:val="auto"/>
        </w:rPr>
        <w:t>TWC cannot complete the merger unless its stockholders adopt the merger agreement.</w:t>
      </w:r>
      <w:r>
        <w:rPr>
          <w:rFonts w:ascii="Arial" w:cs="Arial" w:eastAsia="Arial" w:hAnsi="Arial"/>
          <w:sz w:val="18"/>
          <w:szCs w:val="18"/>
          <w:color w:val="auto"/>
        </w:rPr>
        <w:t xml:space="preserve"> Because adoption requires the affirmative vote of holders of a majority of the outstanding shares of TWC common stock entitled to vote, </w:t>
      </w:r>
      <w:r>
        <w:rPr>
          <w:rFonts w:ascii="Arial" w:cs="Arial" w:eastAsia="Arial" w:hAnsi="Arial"/>
          <w:sz w:val="18"/>
          <w:szCs w:val="18"/>
          <w:b w:val="1"/>
          <w:bCs w:val="1"/>
          <w:color w:val="auto"/>
        </w:rPr>
        <w:t>a TWC stockholder’s abstention from voting, the failure of a TWC</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An abstention is not considered a vote cast. Accordingly, assuming a quorum is present, a TWC stockholder’s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and Voting by TWC Directors and Executive Officers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At the record date for the TWC special meeting (the close of business on [—], 2014), TWC’s directors and executive officers and their affiliates beneficially owned and had the right to vote [—] shares of TWC common stock at the TWC special meeting, which represents approximately [—]% of the shares of TWC common stock entitled to vote at the TWC special meeting.</w:t>
      </w:r>
    </w:p>
    <w:p>
      <w:pPr>
        <w:spacing w:after="0" w:line="17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It is expected that TWC’s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the “golden parachute” compensation proposal, although none of them has entered into any agreement requiring them to do so.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Via the Internet or by Telephone</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 will be superseded by any vote that you cast at the TWC special meeting (although attendance at the TWC special meeting will not by itself revoke a proxy).</w:t>
      </w:r>
    </w:p>
    <w:p>
      <w:pPr>
        <w:spacing w:after="0" w:line="15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93"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46"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7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6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Changing Your Vote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You may revoke your proxy or change your vote at any time before your shares are voted at the TWC special meeting. If you are a stockholder of record at the record date (the close of business on [—], 2014), you can revoke your proxy or change your vote by:</w:t>
      </w:r>
    </w:p>
    <w:p>
      <w:pPr>
        <w:spacing w:after="0" w:line="76" w:lineRule="exact"/>
        <w:rPr>
          <w:sz w:val="20"/>
          <w:szCs w:val="20"/>
          <w:color w:val="auto"/>
        </w:rPr>
      </w:pPr>
    </w:p>
    <w:p>
      <w:pPr>
        <w:ind w:left="900" w:right="6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submitting a valid, later-dated proxy by Internet, telephone or mail that is received prior to the TWC special meeting; or</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8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Expenses of Solicitation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8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8"/>
          <w:szCs w:val="18"/>
          <w:b w:val="1"/>
          <w:bCs w:val="1"/>
          <w:color w:val="auto"/>
        </w:rPr>
        <w:t>If you submit your proxy via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Internet or by telephone, you do not need to return the enclosed proxy card.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 need assistance in completing your proxy card or have questions regarding the TWC special meeting, please contact: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ir@twcable.com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TWC PROPOSAL I: ADOPTION OF THE MERGER AGREEMENT AND COMCAST PROPOSAL I: APPROVAL OF THE STOCK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 Neither Comcast shareholders nor TWC stockholders are entitled to vote on the divestiture transactions, and no vote with respect thereto is being solicited by Comcast or TWC.</w:t>
      </w:r>
    </w:p>
    <w:p>
      <w:pPr>
        <w:spacing w:after="0" w:line="19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8"/>
          <w:szCs w:val="18"/>
          <w:b w:val="1"/>
          <w:bCs w:val="1"/>
          <w:color w:val="auto"/>
        </w:rPr>
        <w:t>The merger will not be completed unless TWC stockholders adopt the merger agreement and Comcast shareholders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approve the stock issuance. </w:t>
      </w:r>
      <w:r>
        <w:rPr>
          <w:rFonts w:ascii="Arial" w:cs="Arial" w:eastAsia="Arial" w:hAnsi="Arial"/>
          <w:sz w:val="18"/>
          <w:szCs w:val="18"/>
          <w:color w:val="auto"/>
        </w:rPr>
        <w:t>A copy of the merger agreement is attached as Annex A to this joint proxy statement/prospectus. You are urged to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in its entirety because it is the legal document that governs the merger. For additional information about the merger, see “The Merger Agreement—Structure of the Merger” and “The Merger Agreement—Merger Consideration” beginning on pages [—] and [—], respectively, of this joint proxy statement/prospectus.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completion of the merger, each share of TWC common stock will be converted into the right to receive 2.875 shares of Comcast Class A common stock. Based on the number of shares of TWC common stock outstanding as of [—], 2014, Comcast expects to issue approximately [—]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 2014, and the number of shares of Comcast common stock (including Comcast Class A common stock, Comcast Class A Special common stock and Comcast Class B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178"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For information with respect to the divestiture transactions, see “The Divestiture Transactions”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 environment facing the industries in which they operate and each company’s competitive position. In addition, from time to time, members of TWC’s and Comcast’s respective senior management teams meet with the senior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Between May 22, 2013 and July 9, 2013, at the request of Gregory Maffei, Chief Executive Officer and President of Liberty Media Corporation, and a director of Charter, and Thomas Rutledge, Chief Executive Officer and President of Charter,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26%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8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Also, beginning in mid-2013, senior executives of Comcast, Liberty and Charter had a number of discussions concerning a range of topics relating to their respective businesses.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July 11, 2013, a meeting of the TWC board of directors was convened telephonically to consider the July 10 Charter Proposal. During the meeting, the TWC board of directors received a presentation from 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Allen &amp; Company and Morgan Stanley, which were retained in May 2013 to provide TWC with general financial advice and analysis and to assist TWC in considering and responding to Charter’s overtures.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Following Mr. Britt’s letter to Mr. Rutledge on July 11, 2013, there were no further communications between TWC and either Charter or Liberty regarding Charter’s potential acquisition of TWC until late October 2013.</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July 25, 2013, the TWC board of directors held a regularly scheduled meeting, at which, among other matters, the TWC board of directors discussed potential transaction opportunities and considered potential courses of action that Charter might pursue, including the possibility that Charter might launch a proxy fight for control of the TWC board of directors or make an unsolicited public offer for TWC.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4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 Among other matters, the parties discussed the possibility of Comcast making an investment in debt securities or common or preferred equity of TWC in connection with the transaction. The parties determined at the time, however, that such an investment would be inadvisable due to accounting, regulatory and other issues.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October 23, 2013, the Comcast board of directors held a regularly scheduled meeting at which the Comcast board of directors received an update regarding developments involving TWC. The Comcast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concluded that it would be appropriate for Comcast management to continue exploring potential strategic alternatives involving TWC.</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8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November 25, 2013, legal representatives of each of Comcast and TWC met to discuss certain legal issues that might arise in connection with a potential merger of Comcast and TWC.</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mid-December, Mr. Rutledge contacted Mr. Marcus by telephone to inquire as to whether TWC was interested in discussing further a potential transaction with Charter. Mr. Marcus suggested that a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between Mr. Minson and Christopher Winfrey, Chief Financial Officer of Charter, might be useful to better understand Charter’s financing plan, synergy assumptions and tax benefit assumptions.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7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Morgan Stanley and Citi (Citi was retained in June 2013 to provide TWC with general financial advice and analysis and to assist TWC in considering and responding to Charter’s overtures), regarding the financial terms of a transaction with Charter that TWC would consider pursuing. TWC decided to retain all three financial advisors because it believed that each had different experience and could provide the TWC board of directors with different perspectives. Although the TWC board of directors was not seeking to sell TWC, in light of the inadequate proposals from Charter, the TWC board of directors believed that responding to Charter with specific terms was appropriate to determine whether Charter was willing to offer a valuation and terms that the TWC board of directors believed would be consistent with maximizing stockholder value.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20% symmetrical fixed-value collar. Although Mr. Marcus and Mr. Rutledge did not discuss the details of the collar at that time, TWC envisioned that the collar would provide TWC stockholders with a floating exchange ratio with respect to the stock component of the consideration, designed to deliver $60 in value of Charter stock, as long as Charter’s stock price at closing had increased or decreased less than 20% from Charter’s stock price at signing (with a fixed exchange ratio, set at the outer limits of such 20% range, if Charter’s stock price at closing had increased or decreased by more than 20%).</w:t>
      </w:r>
    </w:p>
    <w:p>
      <w:pPr>
        <w:spacing w:after="0" w:line="16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Rutledge indicated that he was disappointed to hear that TWC and Charter were so far apart on price and that he saw no value in continuing conversations about a potential transaction at that time.</w:t>
      </w:r>
    </w:p>
    <w:p>
      <w:pPr>
        <w:spacing w:after="0" w:line="17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late 2013 and early 2014, representatives of Comcast and Charter began to engage in more substantive discussions regarding the possibility of Comcast participating in a potential bid by Charter to acquire TWC.</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On January 7, 2014, Messrs. Marcus and Rutledge both attended the 2014 Consumer Electronics Show, at which time Mr. Rutledge informed</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Marcus that, based on the inability of Charter and TWC to reach an agreement on price, Mr. Rutledge intended to publicly announce Charter’s offer to acquire TWC.</w:t>
      </w:r>
    </w:p>
    <w:p>
      <w:pPr>
        <w:spacing w:after="0" w:line="18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Later that day, Mr. Marcus met with Mr. Roberts, who was also attending the 2014 Consumer Electronics Show, to discuss developments involving TWC, including Charter’s interest in acquiring TWC and Comcast’s potential participation in a bid by Charter to acquire TWC. Among other things, Messrs. Marcus and Roberts discussed whether any potential alternative transactions between Comcast and TWC, including a Comcast investment in, or acquisition of assets from, TWC, could be attractive to TWC stockholders, but did not reach any conclusion.</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January 11, 2014, Mr. Angelakis and Mr. Marcus spoke by telephone and continued to discuss developments involving TWC, including Comcast’s potential participation in a bid by Charter to acquire TWC.</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 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7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18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January 15, 2014, TWC publicly filed a presentation detailing its rejection of the January 13 Charter Proposal. The presentation stated, among other things, that Charter’s proposal failed to reflect the significant value of TWC’s high quality assets, unique scale, synergy potential, growth opportunities and strong financial position. Additionally, the presentation noted that the one-year forward estimated EBITDA multiple of 7.2x implied by Charter’s offer was materially below precedent transaction multiples, especially compared to certain large scale transactions in the industry. Specifically, the presentation compared the one-year forward estimated EBITDA multiple implied by Charter’s offer to the one-year forward estimated EBITDA multiples of the following recent transactions entered into: (i) between Cablevision and Bresnan Broadband announced on June 14, 2010, which had a one-year forward estimated EBITDA multiple of 8.2x; (ii) between TWC and Insight Communications announced on August 15, 2011, which had a one-year forward estimated EBITDA multiple of 8.4x; (iii) between Oak Hill Capital Partners and WaveDivision Holdings announced on June 1, 2012, which had a one-year forward estimated EBITDA multiple of 8.0x; (iv) between Cogeco Cable and Atlantic Broadband announced on July 18, 2012, which had a one-year forward estimated EBITDA multiple of 8.3x; (v) between BC Partners and Suddenlink announced on July 18, 2012, which had a one-year forward estimated EBITDA multiple of 8.3x; (vi) between Charter and Bresnan Broadband announced on February 7, 2013, which had a one-year forward estimated EBITDA multiple of 8.0x; and (vii) between Charter and Liberty Media announced on March 19, 2013, which had a one-year forward estimated EBITDA multiple of 8.6x. The presentation also compared Charter’s offer to two large scale but less recent transactions, the first, entered into among Adelphia Communications Corporation, Comcast and Time Warner NY Cable LLC announced on April 21, 2005, which had a one-year forward estimated EBITDA multiple of 13.5x and the second, which the presentation noted was the only true comparable deal from a scale perspective, entered into between AT&amp;T Broadband and Comcast announced on December 19, 2001, which had a one-year forward estimated EBITDA multiple of 20.8x.</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in early January 2014, the TWC independent directors determined to retain Skadden and Centerview as additional legal and financial advisors, respectively, based on their view that it would be helpful to receive the separate advice of their own advisors and that it was good practice to do so. TWC’s independent directors, at that time, were all of the TWC directors other than Messrs. Britt and Marcus. Centerview was retained to provide the TWC independent directors with general financial advice and analysis and to assist the TWC independent directors in connection with their consideration of Charter’s overtures and the Company’s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potential responses thereto. When Comcast and TWC engaged in discussions in early February 2014 as noted below, the independent directors requested that Centerview evaluate, and assist the independent directors with their review of, the merger on an accelerated basis, and based on their satisfaction with Centerview’s performance, determined to provide Centerview with additional compensation for such services. At the January 29, 2014 meeting, representatives of Paul, Weiss and Skadden engaged in a discussion of fiduciary duties and other legal matters. Also at the January 29, 2014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February 5, 2014, N.J. Nicholas, Jr., the lead TWC independent director, received a call from John Malone, Chairman of Liberty, and a Charter director. Mr. Malone expressed interest in pursuing an alternative, more collaborative path toward combining TWC and Charter, potentially through an all-stock transaction (although the terms of such transaction were not discussed).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on February 5, 2014, Messrs. Roberts and Marcus spoke by telephone on multiple occasions and continued to discuss potential terms of a transaction between Comcast and TWC, including with respect to necessary regulatory approvals. The parties also discussed other aspects of a potential transaction, including scope of due diligence, timing and TWC’s request that Comcast agree to an exclusivity arrangement. In the 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Later in the day on February 5, 2014, the TWC board of directors met telephonically to receive an update from Mr. Marcus regarding his conversations with Mr. Roberts. Representatives of Paul, Weiss, Skadden, Allen &amp; Company, Centerview, Citi and Morgan Stanley attended the meeting. Mr. Marcus reviewed the details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9, 2014, representatives of Comcast and TWC met in person at Davis Polk along with representatives of Davis Polk and Paul, Weiss, at which time the parties discussed key issues raised by the initial 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 notwithstanding the existence of a superior alternative acquisition proposal and a change of recommendation by the TWC board of directors; the ability of the Comcast board of directors to change its recommendation to 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 of this joint proxy statement/prospectus).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10, 2014, Messrs. Marcus and Angelakis met to discuss the potential merger consideration. Mr. Angelakis initially proposed an exchange ratio of 2.67 shares of Comcast Class A common stock per TWC share, and Mr. Marcus initially proposed an exchange ratio of 3.0 shares of Comcast Class A common stock per TWC share. After negotiation, Messrs. Marcus and Angelakis agreed, subject to approval by the companies’ respective boards of directors, on an exchange ratio of 2.875 shares of Comcast Class A common stock per TWC share.</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Although initially resisted by TWC, during the course of negotiations and upon insistence by Comcast, the parties ultimately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 of this joint proxy statement/prospectus). The parties also discussed certain programming arrangements between Time Warner Cable Enterprises LLC, a 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 of this joint proxy statement/prospectus).</w:t>
      </w:r>
    </w:p>
    <w:p>
      <w:pPr>
        <w:spacing w:after="0" w:line="173"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12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then met separately with representatives of Skadden and Centerview to discuss the proposed transaction.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February 12, 2014, Davis Polk delivered a further revised draft of the merger agreement, and representatives of Davis Polk and Paul, Weiss continued to discuss outstanding issues.</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consideration and consultation with its advisors, including consideration of the factors described under the section “—Comcast’s Reasons for the Merger; Recommendation of the Comcast Board of Directors” beginning on page [—]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8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Later in the day on February 12, 2014, the TWC board of directors met in person at TWC’s corporate offices with TWC’s senior management, representatives of Paul, Weiss, Skadden, Allen &amp; Company, Centerview, Citi and Morgan Stanley to review the proposed transaction and the draft merger agreement. Prior to the meeting, members of the TWC board of directors received copies of materials prepared by Allen &amp; Company, Centerview, Citi, 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7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including, among others, the requirement that the TWC board of directors submit the merger agreement and the merger to the TWC stockholders for consideration notwithstanding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existence of a superior alternative acquisition proposal and a change of recommendation by the TWC board of directors; that in the event the merger agreement were terminated in any circumstance, TWC would not be required to pay a termination fee; and that TWC would be permitted to implement its three-year operating plan and establish retention arrangements for employees.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including that, although the draft merger agreement would prohibit TWC from soliciting acquisition proposals from third parties, such restriction would not preclude or otherwise limit any third party from making an acquisition proposal, and if the TWC board of directors determined that such acquisition proposal could reasonably be expected to lead to a superior proposal, TWC would be permitted to enter into discussions with such third party and change its recommendation in response to such superior proposal.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17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 connection with the merger, as described above, which arrangements had previously been developed and approved by the compensation committee of the TWC board of directors.</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Following the Comcast and TWC board meetings, representatives of Comcast, TWC, Davis Polk and Paul, Weiss participated in calls to finalize any outstanding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Both Comcast and TWC then executed and delivered the merger agreement, dated as of February 12, 2014, and TWC, on the one hand, and</w:t>
      </w:r>
    </w:p>
    <w:p>
      <w:pPr>
        <w:spacing w:after="0" w:line="3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Mr. Roberts and certain family trusts and investment vehicles which, together, hold all issued and outstanding shares of Comcast Class B common stock, on the other hand, executed and delivered the voting agreement, dated as of February 12, 2014. Also on February 12, 2014, the parties entered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Early in the morning on February 13, 2014, Comcast and TWC issued a joint press release announcing the transaction.</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Following entry into the merger agreement, Comcast engaged in preliminary discussions with a number of potential counterparties, including Charter, regarding a range of possible disposition transactions. Thereafter, during April 2014, Comcast and Charter negotiated the terms of a series of transactions which, under the terms of the merger agreement, required the consent of TWC.</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April 24, 2014, the TWC board of directors met telephonically to discuss Comcast’s request that TWC consent to the proposed transactions to be entered into between Comcast and Charter. TWC’s senior management and representatives of Paul, Weiss, Skadden, Allen &amp; Company, Centerview, Citi and Morgan Stanley were present at that meeting. At the meeting, the TWC board of directors reviewed, together with TWC’s senior management and TWC’s legal and financial advisors, the terms of the proposed transactions agreement and Comcast’s rationale for requesting the TWC consent. After consideration and consultation with its advisors, the TWC board of directors unanimously approved the TWC consent.</w:t>
      </w:r>
    </w:p>
    <w:p>
      <w:pPr>
        <w:spacing w:after="0" w:line="17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On April 25, 2014, Comcast and Charter entered into an agreement pursuant to which, and subject to the satisfaction or waiver of a number of conditions, the merged Comcast-TWC entity would divest a net total of approximately 3.9 million subscribers.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March 28, 2014, Charter had filed a preliminary proxy statement in opposition to the merger. On April 25, 2014, Charter irrevocably withdrew its notice of intent to nominate individuals for election to the TWC board of directors and submit other business proposals, in each case at the 2014 annual meeting of stockholders of TWC, which was delivered by Charter to TWC on February 11,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TWC’s Reasons for the Merger; Recommendation of the Merger by the TWC Board of Directors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77"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results of TWC management’s due diligence investigation of Comcast and the reputation, business practices and experience of Comcast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strategic commercial advantages of a combination with Comcast over TWC continuing as a stand-alone company;</w:t>
      </w:r>
    </w:p>
    <w:p>
      <w:pPr>
        <w:spacing w:after="0" w:line="130" w:lineRule="exact"/>
        <w:rPr>
          <w:rFonts w:ascii="Arial" w:cs="Arial" w:eastAsia="Arial" w:hAnsi="Arial"/>
          <w:sz w:val="18"/>
          <w:szCs w:val="18"/>
          <w:color w:val="auto"/>
        </w:rPr>
      </w:pPr>
    </w:p>
    <w:p>
      <w:pPr>
        <w:ind w:left="900" w:right="420" w:hanging="325"/>
        <w:spacing w:after="0" w:line="31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potential strategic alternatives available to TWC, including the possibility of remaining a stand-alone entity and executing on TWC’s operating plan, a potential strategic acquisition or a potential sale to Charter, and the assessment of the TWC board of directors that no other alternatives reasonably available to TWC were likely to create greater value for TWC stockholders than the merger;</w:t>
      </w:r>
    </w:p>
    <w:p>
      <w:pPr>
        <w:spacing w:after="0" w:line="52" w:lineRule="exact"/>
        <w:rPr>
          <w:rFonts w:ascii="Arial" w:cs="Arial" w:eastAsia="Arial" w:hAnsi="Arial"/>
          <w:sz w:val="16"/>
          <w:szCs w:val="16"/>
          <w:color w:val="auto"/>
        </w:rPr>
      </w:pPr>
    </w:p>
    <w:p>
      <w:pPr>
        <w:ind w:left="900" w:hanging="325"/>
        <w:spacing w:after="0" w:line="31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potential risks for TWC as a stand-alone company in a consolidating industry;</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93"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 consideration to an implied nominal value of $158.82 per share of TWC common stock, as of February 12, 2014, from Comcast’s initial proposal of $150 per share, as described under “—Background of the Merger” beginning on page [—] of this joint proxy statement/prospectus;</w:t>
      </w:r>
    </w:p>
    <w:p>
      <w:pPr>
        <w:spacing w:after="0" w:line="59" w:lineRule="exact"/>
        <w:rPr>
          <w:rFonts w:ascii="Arial" w:cs="Arial" w:eastAsia="Arial" w:hAnsi="Arial"/>
          <w:sz w:val="16"/>
          <w:szCs w:val="16"/>
          <w:color w:val="auto"/>
        </w:rPr>
      </w:pPr>
    </w:p>
    <w:p>
      <w:pPr>
        <w:ind w:left="900" w:right="40" w:hanging="325"/>
        <w:spacing w:after="0" w:line="276"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77" w:lineRule="exact"/>
        <w:rPr>
          <w:rFonts w:ascii="Arial" w:cs="Arial" w:eastAsia="Arial" w:hAnsi="Arial"/>
          <w:sz w:val="17"/>
          <w:szCs w:val="17"/>
          <w:color w:val="auto"/>
        </w:rPr>
      </w:pPr>
    </w:p>
    <w:p>
      <w:pPr>
        <w:ind w:left="900" w:right="180" w:hanging="325"/>
        <w:spacing w:after="0" w:line="279"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opportunity for TWC stockholders to benefit from any increase in the trading price of shares of Comcast Class A common stock prior to completion of the merger based upon the fixed exchange ratio;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fact that the merger is expected to be completed as a tax-free reorganization for the purposes of U.S. federal income tax;</w:t>
      </w:r>
    </w:p>
    <w:p>
      <w:pPr>
        <w:spacing w:after="0" w:line="130" w:lineRule="exact"/>
        <w:rPr>
          <w:rFonts w:ascii="Arial" w:cs="Arial" w:eastAsia="Arial" w:hAnsi="Arial"/>
          <w:sz w:val="18"/>
          <w:szCs w:val="18"/>
          <w:color w:val="auto"/>
        </w:rPr>
      </w:pPr>
    </w:p>
    <w:p>
      <w:pPr>
        <w:ind w:left="900" w:right="220" w:hanging="325"/>
        <w:spacing w:after="0" w:line="272"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joint financial presentation of TWC’s financial advisors, Allen &amp; Company, Citi and Morgan Stanley, the separate financial presentation of Centerview,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 and [—], respectively, of this joint proxy statement/prospectus;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34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29" w:lineRule="exact"/>
        <w:rPr>
          <w:rFonts w:ascii="Arial" w:cs="Arial" w:eastAsia="Arial" w:hAnsi="Arial"/>
          <w:sz w:val="16"/>
          <w:szCs w:val="16"/>
          <w:color w:val="auto"/>
        </w:rPr>
      </w:pPr>
    </w:p>
    <w:p>
      <w:pPr>
        <w:jc w:val="both"/>
        <w:ind w:left="900" w:right="80" w:hanging="325"/>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following commitments made by Comcast in the merger agreement with respect to obtaining the regulatory approvals required to complete the merger: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Comcast’s being prepared to divest up to approximately three million subscribers of the combined company;</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Comcast’s agreement to the following undertakings (with such modifications as are no more adverse in the aggregate than such agreed undertakings):</w:t>
      </w:r>
    </w:p>
    <w:p>
      <w:pPr>
        <w:spacing w:after="0" w:line="75" w:lineRule="exact"/>
        <w:rPr>
          <w:rFonts w:ascii="Arial" w:cs="Arial" w:eastAsia="Arial" w:hAnsi="Arial"/>
          <w:sz w:val="18"/>
          <w:szCs w:val="18"/>
          <w:color w:val="auto"/>
        </w:rPr>
      </w:pPr>
    </w:p>
    <w:p>
      <w:pPr>
        <w:ind w:left="1920" w:right="280" w:hanging="318"/>
        <w:spacing w:after="0" w:line="302" w:lineRule="auto"/>
        <w:tabs>
          <w:tab w:leader="none" w:pos="192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59" w:lineRule="exact"/>
        <w:rPr>
          <w:rFonts w:ascii="Arial" w:cs="Arial" w:eastAsia="Arial" w:hAnsi="Arial"/>
          <w:sz w:val="16"/>
          <w:szCs w:val="16"/>
          <w:color w:val="auto"/>
        </w:rPr>
      </w:pPr>
    </w:p>
    <w:p>
      <w:pPr>
        <w:ind w:left="1920" w:hanging="318"/>
        <w:spacing w:after="0"/>
        <w:tabs>
          <w:tab w:leader="none" w:pos="192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53" w:lineRule="exact"/>
        <w:rPr>
          <w:rFonts w:ascii="Arial" w:cs="Arial" w:eastAsia="Arial" w:hAnsi="Arial"/>
          <w:sz w:val="16"/>
          <w:szCs w:val="16"/>
          <w:color w:val="auto"/>
        </w:rPr>
      </w:pPr>
    </w:p>
    <w:p>
      <w:pPr>
        <w:ind w:left="1920" w:right="500" w:hanging="318"/>
        <w:spacing w:after="0" w:line="277" w:lineRule="auto"/>
        <w:tabs>
          <w:tab w:leader="none" w:pos="19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75" w:lineRule="exact"/>
        <w:rPr>
          <w:rFonts w:ascii="Arial" w:cs="Arial" w:eastAsia="Arial" w:hAnsi="Arial"/>
          <w:sz w:val="18"/>
          <w:szCs w:val="18"/>
          <w:color w:val="auto"/>
        </w:rPr>
      </w:pPr>
    </w:p>
    <w:p>
      <w:pPr>
        <w:ind w:left="1480" w:right="60" w:hanging="446"/>
        <w:spacing w:after="0" w:line="259" w:lineRule="auto"/>
        <w:tabs>
          <w:tab w:leader="none" w:pos="14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Comcast’s agreement (subject to certain agreed exceptions) not to:</w:t>
      </w:r>
    </w:p>
    <w:p>
      <w:pPr>
        <w:spacing w:after="0" w:line="130" w:lineRule="exact"/>
        <w:rPr>
          <w:rFonts w:ascii="Arial" w:cs="Arial" w:eastAsia="Arial" w:hAnsi="Arial"/>
          <w:sz w:val="18"/>
          <w:szCs w:val="18"/>
          <w:color w:val="auto"/>
        </w:rPr>
      </w:pPr>
    </w:p>
    <w:p>
      <w:pPr>
        <w:ind w:left="1920" w:right="20" w:hanging="318"/>
        <w:spacing w:after="0" w:line="308" w:lineRule="auto"/>
        <w:tabs>
          <w:tab w:leader="none" w:pos="192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enter into agreements (written or oral) with third parties for the divestiture of in excess of 25,000 subscribers in the aggregate until May 23, 2014 (which the TWC board of directors waived, to permit Comcast to enter into the transactions agreement);</w:t>
      </w:r>
    </w:p>
    <w:p>
      <w:pPr>
        <w:spacing w:after="0" w:line="51" w:lineRule="exact"/>
        <w:rPr>
          <w:rFonts w:ascii="Arial" w:cs="Arial" w:eastAsia="Arial" w:hAnsi="Arial"/>
          <w:sz w:val="17"/>
          <w:szCs w:val="17"/>
          <w:color w:val="auto"/>
        </w:rPr>
      </w:pPr>
    </w:p>
    <w:p>
      <w:pPr>
        <w:ind w:left="1920" w:hanging="318"/>
        <w:spacing w:after="0"/>
        <w:tabs>
          <w:tab w:leader="none" w:pos="192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42" w:lineRule="exact"/>
        <w:rPr>
          <w:rFonts w:ascii="Arial" w:cs="Arial" w:eastAsia="Arial" w:hAnsi="Arial"/>
          <w:sz w:val="17"/>
          <w:szCs w:val="17"/>
          <w:color w:val="auto"/>
        </w:rPr>
      </w:pPr>
    </w:p>
    <w:p>
      <w:pPr>
        <w:ind w:left="1920" w:right="880" w:hanging="318"/>
        <w:spacing w:after="0" w:line="277" w:lineRule="auto"/>
        <w:tabs>
          <w:tab w:leader="none" w:pos="19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make any direct or indirect acquisition, or series of related acquisitions, which have a value, or involve the payment of consideration, in excess of $1 billion;</w:t>
      </w:r>
    </w:p>
    <w:p>
      <w:pPr>
        <w:spacing w:after="0" w:line="75" w:lineRule="exact"/>
        <w:rPr>
          <w:rFonts w:ascii="Arial" w:cs="Arial" w:eastAsia="Arial" w:hAnsi="Arial"/>
          <w:sz w:val="18"/>
          <w:szCs w:val="18"/>
          <w:color w:val="auto"/>
        </w:rPr>
      </w:pPr>
    </w:p>
    <w:p>
      <w:pPr>
        <w:ind w:left="1480" w:right="500" w:hanging="446"/>
        <w:spacing w:after="0" w:line="277" w:lineRule="auto"/>
        <w:tabs>
          <w:tab w:leader="none" w:pos="14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Comcast’s agreement that TWC would have rights to help develop the strategy and to participate in meetings relating to obtaining regulatory approvals required to complete the merger;</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86" w:lineRule="exact"/>
        <w:rPr>
          <w:rFonts w:ascii="Arial" w:cs="Arial" w:eastAsia="Arial" w:hAnsi="Arial"/>
          <w:sz w:val="18"/>
          <w:szCs w:val="18"/>
          <w:color w:val="auto"/>
        </w:rPr>
      </w:pPr>
    </w:p>
    <w:p>
      <w:pPr>
        <w:jc w:val="both"/>
        <w:ind w:left="1480" w:right="160" w:hanging="446"/>
        <w:spacing w:after="0" w:line="286" w:lineRule="auto"/>
        <w:tabs>
          <w:tab w:leader="none" w:pos="148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77" w:lineRule="auto"/>
        <w:rPr>
          <w:sz w:val="20"/>
          <w:szCs w:val="20"/>
          <w:color w:val="auto"/>
        </w:rPr>
      </w:pPr>
      <w:r>
        <w:rPr>
          <w:rFonts w:ascii="Arial" w:cs="Arial" w:eastAsia="Arial" w:hAnsi="Arial"/>
          <w:sz w:val="18"/>
          <w:szCs w:val="18"/>
          <w:color w:val="auto"/>
        </w:rPr>
        <w:t>(ii) certain intervening events not known or reasonably foreseeable to the TWC board of directors or executive officers at or prior to the time the merger agreement was entered into;</w:t>
      </w:r>
    </w:p>
    <w:p>
      <w:pPr>
        <w:spacing w:after="0" w:line="75" w:lineRule="exact"/>
        <w:rPr>
          <w:sz w:val="20"/>
          <w:szCs w:val="20"/>
          <w:color w:val="auto"/>
        </w:rPr>
      </w:pPr>
    </w:p>
    <w:p>
      <w:pPr>
        <w:ind w:left="1480" w:right="360" w:hanging="446"/>
        <w:spacing w:after="0" w:line="264"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no termination fee is payable by TWC under the terms of the merger agreement;</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and related transaction documents, including, among other things:</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86" w:lineRule="exact"/>
        <w:rPr>
          <w:rFonts w:ascii="Arial" w:cs="Arial" w:eastAsia="Arial" w:hAnsi="Arial"/>
          <w:sz w:val="18"/>
          <w:szCs w:val="18"/>
          <w:color w:val="auto"/>
        </w:rPr>
      </w:pPr>
    </w:p>
    <w:p>
      <w:pPr>
        <w:ind w:left="1480" w:right="140" w:hanging="446"/>
        <w:spacing w:after="0" w:line="257"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voting agreement from Comcast Class A shareholders and Comcast Class B shareholders representing as of the record date approximately [33.35]%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line="30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59"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75"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entering into the merger and the substantial time and effort of management required to complete the merger, which may disrupt TWC’s business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risk that synergies may not be realized or may not be captured to the extent and within the time expected;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risks and challenges inherent in the combination of two businesses of the size, scope and complexity of Comcast and TWC;</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uncertainty regarding whether or not the merger will be completed;</w:t>
      </w:r>
    </w:p>
    <w:p>
      <w:pPr>
        <w:spacing w:after="0" w:line="131" w:lineRule="exact"/>
        <w:rPr>
          <w:sz w:val="20"/>
          <w:szCs w:val="20"/>
          <w:color w:val="auto"/>
        </w:rPr>
      </w:pPr>
    </w:p>
    <w:p>
      <w:pPr>
        <w:ind w:left="900" w:right="8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provisions of the merger agreement which could have the effect of discouraging third party offers for TWC, including: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restriction on TWC’s ability to solicit third party proposals for alternative transactions involving TWC;</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inability for TWC to terminate the merger agreement in order to accept a “superior” proposal from a third party prior to TWC stockholders voting against adoption of the merger agreement; and</w:t>
      </w:r>
    </w:p>
    <w:p>
      <w:pPr>
        <w:spacing w:after="0" w:line="75" w:lineRule="exact"/>
        <w:rPr>
          <w:rFonts w:ascii="Arial" w:cs="Arial" w:eastAsia="Arial" w:hAnsi="Arial"/>
          <w:sz w:val="18"/>
          <w:szCs w:val="18"/>
          <w:color w:val="auto"/>
        </w:rPr>
      </w:pPr>
    </w:p>
    <w:p>
      <w:pPr>
        <w:ind w:left="1480" w:hanging="446"/>
        <w:spacing w:after="0" w:line="308" w:lineRule="auto"/>
        <w:tabs>
          <w:tab w:leader="none" w:pos="14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circumstances in which Comcast may terminate the merger agreement, including if the TWC board of directors changes its recommendation in favor of the merger;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5" w:lineRule="exact"/>
        <w:rPr>
          <w:rFonts w:ascii="Arial" w:cs="Arial" w:eastAsia="Arial" w:hAnsi="Arial"/>
          <w:sz w:val="18"/>
          <w:szCs w:val="18"/>
          <w:color w:val="auto"/>
        </w:rPr>
      </w:pPr>
    </w:p>
    <w:p>
      <w:pPr>
        <w:ind w:left="900" w:right="120" w:hanging="325"/>
        <w:spacing w:after="0" w:line="255"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although TWC stockholders will, immediately following completion of the merger, collectively own approximately [—]% of the outstanding shares of Comcast common stock (representing approximately [—]% of the outstanding shares of Comcast Class A common stock), they will only control approximately [—]%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 of this joint proxy statement/prospectus; and</w:t>
      </w:r>
    </w:p>
    <w:p>
      <w:pPr>
        <w:spacing w:after="0" w:line="98"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 of this joint proxy statement/prospectus.</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 of this joint proxy statement/prospectus.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TWC BOARD OF DIRECTORS UNANIMOUSLY RECOMMENDS THAT TWC STOCKHOLDERS VOTE “FOR” THE ADOPTION OF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Reasons for the Merger; Recommendation of the Comcast Board of Directors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line="285"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Form a Leading Technology and Innovation Company</w:t>
      </w:r>
      <w:r>
        <w:rPr>
          <w:rFonts w:ascii="Arial" w:cs="Arial" w:eastAsia="Arial" w:hAnsi="Arial"/>
          <w:sz w:val="16"/>
          <w:szCs w:val="16"/>
          <w:color w:val="auto"/>
        </w:rPr>
        <w:t>. Comcast believes that the merger will lead to the creation of a leading technology and</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company that will provide consumer benefits and sufficient scale to improve competition between Comcast and more national competitors. Comcast operates in an intensely competitive, consumer-driven and rapidly changing environment and competes with a growing number of companies that provide a broad range of communications products and services; technological changes are further intensifying and complicating the competitive landscape by challenging existing business models and affecting consumer behavior. Competition for video services consists primarily of direct broadcast satellite (DBS) providers, which have a national footprint, and phone companies, which overlapped almost 50% of Comcast’s service areas as of June 30, 2014, and are continuing to expand their fiber-based networks. Established DBS providers are evolving, as are the major phone companies, which have the benefit not only of robust wireline footprints, but also of national wireless platforms. Moreover, AT&amp;T and DirecTV recently announced a plan to combine their operations, including DBS and wireless platforms. Google recently launched high-speed Internet and video services in a limited number of areas, while online digital distributors, such as Netflix, Apple and Amazon, offer online services and devices that enable Internet video streaming and downloading of movies, television shows and other video programming to consumers across the nation. Comcast believes the merger will enable it to continue to meet the challenges ahead in this increasingly dynamic, expanding and competitive marketplace, and will allow it to compete across a more national footprint. Comcast has invested heavily in talent, research and development, and in the infrastructure needed to facilitate creativity and invention to create a more technology-focused company and expects that the merger will result in the accelerated deployment of advanced technology, such as Comcast’s X1 platform and wireless gateways, and the development of new and innovative products and services, such as continued upgrades to the X1 platform, increased cross-functionality of video and high-speed Internet services and expanded online video options for customers. Additionally, Comcast expects that its business services will compete more effectively by reaching larger customers with multiple locations across an expanded footprint. It also expects to combine complementary advertising platforms and channels through the merger that will allow it to offer broader and more valuable packages to advertisers.</w:t>
      </w:r>
    </w:p>
    <w:p>
      <w:pPr>
        <w:spacing w:after="0" w:line="292" w:lineRule="exact"/>
        <w:rPr>
          <w:rFonts w:ascii="Arial" w:cs="Arial" w:eastAsia="Arial" w:hAnsi="Arial"/>
          <w:sz w:val="16"/>
          <w:szCs w:val="16"/>
          <w:color w:val="auto"/>
        </w:rPr>
      </w:pPr>
    </w:p>
    <w:p>
      <w:pPr>
        <w:ind w:left="900" w:right="120" w:hanging="325"/>
        <w:spacing w:after="0" w:line="297"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Customer Benefits</w:t>
      </w:r>
      <w:r>
        <w:rPr>
          <w:rFonts w:ascii="Arial" w:cs="Arial" w:eastAsia="Arial" w:hAnsi="Arial"/>
          <w:sz w:val="16"/>
          <w:szCs w:val="16"/>
          <w:color w:val="auto"/>
        </w:rPr>
        <w:t>. Comcast believes that it is a technology leader in broadband, and the acquisition of TWC will allow more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its commitment to invest in its high-speed data services by accelerating network upgrades in the TWC markets and producing a more advanced broadband network. For example, while TWC has upgraded its entire network to DOCSIS 3.0 and has plans to improve speeds and further digitize its network, most of its cable systems are not currently all digital and cannot take full advantage of DOCSIS 3.0 capabilities. In contrast, Comcast has already transitioned to a fully digital network, has deployed DOCSIS 3.0 throughout its network, and intends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implement DOCSIS 3.1 (the next-generation broadband standard) in the next few years. Currently, Comcast’s most popular high-speed Internet tier is 25 Mbps, while TWC’s is 15 Mbps. Approximately 38% of Comcast’s customers receive speeds of over 50 Mbps and approximately 3% of TWC’s customers receive speeds of over 50Mbps. Additionally, Comcast believes it has the fastest in-home Wi-Fi and has over 1 million Wi-Fi hotspots (inside and outside of the home) across the nation; TWC has approximately 29,000 Wi-Fi hotspots. Comcast recently announced plans to expand its Wi-Fi network to reach approximately 8 million Wi-Fi hotspots by the end of 2014.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73" w:lineRule="exact"/>
        <w:rPr>
          <w:sz w:val="20"/>
          <w:szCs w:val="20"/>
          <w:color w:val="auto"/>
        </w:rPr>
      </w:pPr>
    </w:p>
    <w:p>
      <w:pPr>
        <w:ind w:left="900" w:right="60" w:hanging="325"/>
        <w:spacing w:after="0" w:line="286"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Increase Operating Efficiency</w:t>
      </w:r>
      <w:r>
        <w:rPr>
          <w:rFonts w:ascii="Arial" w:cs="Arial" w:eastAsia="Arial" w:hAnsi="Arial"/>
          <w:sz w:val="16"/>
          <w:szCs w:val="16"/>
          <w:color w:val="auto"/>
        </w:rPr>
        <w:t>. The transaction is expected to generate significant cost savings and other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Comcast’s and TWC’s combined platform to create economies of scale. As a result of the transactions, Comcast believes that it can offer customers enhanced cable service reliability, which would minimize customer service calls and truck rolls.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Comcast expects to achieve these synergies through, among other things, the elimination of redundant capital initiatives, such as set top box development and deployment, greater utilization and leveraging of Comcast’s existing infrastructure, including the use of its back-bone and dark fiber infrastructure and combining overlapping geographic transmission equipment and achieving overall scale benefits.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 and [—], respectively, of this joint proxy statement/prospectus.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Factors Considered by the Comcast Board of Directors</w:t>
      </w: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TWC;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business, operations, management, financial condition, earnings and prospects of Comcast;</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results of management’s due diligence investigation of TWC and the reputation, business practices and experience of TWC and its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historical trading prices of TWC common stock and Comcast Class A common stock;</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review by the Comcast board of directors with its legal and financial advisors of the structure of the merger and the financial and other terms of the merger agreement;</w:t>
      </w:r>
    </w:p>
    <w:p>
      <w:pPr>
        <w:spacing w:after="0" w:line="75" w:lineRule="exact"/>
        <w:rPr>
          <w:rFonts w:ascii="Arial" w:cs="Arial" w:eastAsia="Arial" w:hAnsi="Arial"/>
          <w:sz w:val="18"/>
          <w:szCs w:val="18"/>
          <w:color w:val="auto"/>
        </w:rPr>
      </w:pPr>
    </w:p>
    <w:p>
      <w:pPr>
        <w:ind w:left="900" w:right="420" w:hanging="325"/>
        <w:spacing w:after="0" w:line="286"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86" w:lineRule="exact"/>
        <w:rPr>
          <w:rFonts w:ascii="Arial" w:cs="Arial" w:eastAsia="Arial" w:hAnsi="Arial"/>
          <w:sz w:val="18"/>
          <w:szCs w:val="18"/>
          <w:color w:val="auto"/>
        </w:rPr>
      </w:pPr>
    </w:p>
    <w:p>
      <w:pPr>
        <w:ind w:left="900" w:right="160" w:hanging="325"/>
        <w:spacing w:after="0" w:line="291"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w:t>
      </w:r>
    </w:p>
    <w:p>
      <w:pPr>
        <w:ind w:left="900"/>
        <w:spacing w:after="0"/>
        <w:rPr>
          <w:rFonts w:ascii="Arial" w:cs="Arial" w:eastAsia="Arial" w:hAnsi="Arial"/>
          <w:sz w:val="16"/>
          <w:szCs w:val="16"/>
          <w:color w:val="auto"/>
        </w:rPr>
      </w:pPr>
      <w:r>
        <w:rPr>
          <w:rFonts w:ascii="Arial" w:cs="Arial" w:eastAsia="Arial" w:hAnsi="Arial"/>
          <w:sz w:val="18"/>
          <w:szCs w:val="18"/>
          <w:color w:val="auto"/>
        </w:rPr>
        <w:t>(i) Comcast is prepared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88" w:lineRule="exact"/>
        <w:rPr>
          <w:sz w:val="20"/>
          <w:szCs w:val="20"/>
          <w:color w:val="auto"/>
        </w:rPr>
      </w:pPr>
    </w:p>
    <w:p>
      <w:pPr>
        <w:jc w:val="both"/>
        <w:ind w:left="900" w:right="160" w:hanging="325"/>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6"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6" w:lineRule="exact"/>
        <w:rPr>
          <w:rFonts w:ascii="Arial" w:cs="Arial" w:eastAsia="Arial" w:hAnsi="Arial"/>
          <w:sz w:val="18"/>
          <w:szCs w:val="18"/>
          <w:color w:val="auto"/>
        </w:rPr>
      </w:pPr>
    </w:p>
    <w:p>
      <w:pPr>
        <w:ind w:left="900" w:right="240" w:hanging="325"/>
        <w:spacing w:after="0" w:line="297"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 Opinion of Comcast’s Financial Advisor,” beginning on page [—] of this joint proxy statement/prospectus.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6"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dilution associated with the issuance of Comcast Class A common stock in connection with the merger;</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53" w:lineRule="exact"/>
        <w:rPr>
          <w:rFonts w:ascii="Arial" w:cs="Arial" w:eastAsia="Arial" w:hAnsi="Arial"/>
          <w:sz w:val="16"/>
          <w:szCs w:val="16"/>
          <w:color w:val="auto"/>
        </w:rPr>
      </w:pPr>
    </w:p>
    <w:p>
      <w:pPr>
        <w:ind w:left="900" w:right="180" w:hanging="325"/>
        <w:spacing w:after="0" w:line="312"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52"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risk that the merger may not be completed and the fact that Comcast will incur substantial costs in connection with the merger even if the merger is not ultimately completed;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29" w:lineRule="exact"/>
        <w:rPr>
          <w:rFonts w:ascii="Arial" w:cs="Arial" w:eastAsia="Arial" w:hAnsi="Arial"/>
          <w:sz w:val="16"/>
          <w:szCs w:val="16"/>
          <w:color w:val="auto"/>
        </w:rPr>
      </w:pPr>
    </w:p>
    <w:p>
      <w:pPr>
        <w:ind w:left="900" w:hanging="325"/>
        <w:spacing w:after="0" w:line="308"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risk that certain key employees of Comcast or TWC might not choose to remain with the combined company;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Comcast, TWC and the combined company described under “Risk Factors,” beginning on page [—] of this joint proxy statement/prospectus.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 of this joint proxy statement/prospectus.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above discussion of the material factors considered by the Comcast board of directors in its consideration of the merger and the transactions contemplated by the merger agreement is not intended to be 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STOCK ISSUANCE.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TWC’s Financial Advisors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Allen &amp; Company, Citi and Morgan Stanley collaboratively prepared joint financial analyses in connection with the merger and delivered a joint presentation to the TWC board of directors setting forth these analyses. Each financial advisor delivered a separate written opinion to the TWC board of directors regarding the fairness, from a financial point of view, of the merger consideration. Below is a description of each financial advisor’s opinion and a description of the material financial analyses as jointly presented by TWC’s financial advisors to the TWC board of directors in connection with rendering their respective opinions.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Allen &amp; Company LLC</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w:t>
      </w:r>
      <w:r>
        <w:rPr>
          <w:rFonts w:ascii="Arial" w:cs="Arial" w:eastAsia="Arial" w:hAnsi="Arial"/>
          <w:sz w:val="16"/>
          <w:szCs w:val="16"/>
          <w:color w:val="auto"/>
        </w:rPr>
        <w:t xml:space="preserve"> </w:t>
      </w:r>
      <w:r>
        <w:rPr>
          <w:rFonts w:ascii="Arial" w:cs="Arial" w:eastAsia="Arial" w:hAnsi="Arial"/>
          <w:sz w:val="16"/>
          <w:szCs w:val="16"/>
          <w:b w:val="1"/>
          <w:bCs w:val="1"/>
          <w:color w:val="auto"/>
        </w:rPr>
        <w:t>intended 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 fully described below. In arriving at its opinion, Allen &amp; Company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Allen &amp; Company, among other things:</w:t>
      </w:r>
    </w:p>
    <w:p>
      <w:pPr>
        <w:spacing w:after="0" w:line="131"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53" w:lineRule="exact"/>
        <w:rPr>
          <w:rFonts w:ascii="Arial" w:cs="Arial" w:eastAsia="Arial" w:hAnsi="Arial"/>
          <w:sz w:val="16"/>
          <w:szCs w:val="16"/>
          <w:color w:val="auto"/>
        </w:rPr>
      </w:pPr>
    </w:p>
    <w:p>
      <w:pPr>
        <w:ind w:left="900" w:right="60" w:hanging="325"/>
        <w:spacing w:after="0" w:line="308"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1"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Allen &amp; Company deemed generally relevant in evaluating the merger;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 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 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 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78"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In connection with Allen &amp; Company’s financial advisory services, TWC has agreed to pay Allen &amp; Company an aggregate cash fee of $25 million, of which $7.5 million was payable upon delivery of Allen &amp; Company’s opinion to the TWC board of directors in connection with the merger and $17.5 million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Allen &amp; Company in the past has provided, currently is providing and in the future may provide investment banking services to TWC and Comcast unrelated to the proposed merger,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Citigroup Global Markets Inc.</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7"/>
          <w:szCs w:val="17"/>
          <w:b w:val="1"/>
          <w:bCs w:val="1"/>
          <w:color w:val="auto"/>
        </w:rPr>
        <w:t>Citi’s opinion was provided for the information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the TWC 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Citi, among other things:</w:t>
      </w:r>
    </w:p>
    <w:p>
      <w:pPr>
        <w:spacing w:after="0" w:line="131"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w:t>
      </w:r>
    </w:p>
    <w:p>
      <w:pPr>
        <w:spacing w:after="0" w:line="130" w:lineRule="exact"/>
        <w:rPr>
          <w:rFonts w:ascii="Arial" w:cs="Arial" w:eastAsia="Arial" w:hAnsi="Arial"/>
          <w:sz w:val="18"/>
          <w:szCs w:val="18"/>
          <w:color w:val="auto"/>
        </w:rPr>
      </w:pPr>
    </w:p>
    <w:p>
      <w:pPr>
        <w:ind w:left="900" w:right="560" w:hanging="325"/>
        <w:spacing w:after="0" w:line="30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51" w:lineRule="exact"/>
        <w:rPr>
          <w:rFonts w:ascii="Arial" w:cs="Arial" w:eastAsia="Arial" w:hAnsi="Arial"/>
          <w:sz w:val="17"/>
          <w:szCs w:val="17"/>
          <w:color w:val="auto"/>
        </w:rPr>
      </w:pPr>
    </w:p>
    <w:p>
      <w:pPr>
        <w:ind w:left="900" w:right="220" w:hanging="325"/>
        <w:spacing w:after="0" w:line="255"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70"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transactions which Citi considered relevant in evaluating the merger;</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analyzed certain financial, stock market and other publicly available information relating to the businesses of other companies whose operations Citi considered relevant in evaluating those of TWC and Comcast;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evaluated certain potential pro forma financial effects of the merger on Comcast; and</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conducted such other analyses and examinations and considered such other information and financial, economic and market criteria as Citi deemed appropriate in arriving at its opinion.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7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 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 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disclosed to Citi, as of the date of its opinion. The issuance of Citi’s opinion was authorized by Citi’s fairness opinion committee.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Citi’s services as TWC’s financial advisor, TWC has agreed to pay Citi an aggregate fee of $36 million, of which $7.5 million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Citi and its affiliates in the past have provided, currently are providing and in the future may provide investment banking and other financial services to TWC, Comcast and/or their respective affiliates unrelated to the proposed merger,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 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$7.2 million from Comcast. In the ordinary course of business, Citi and its affiliates may actively trade or hold the securities of TWC, Comcast and their respective affiliates for its own account or for the account of its customers and, accordingly, may at any time hold a long or short position in such securities. In addition, Citi and its affiliates (including Citigroup Inc. and its affiliates) may maintain relationships with TWC, Comcast and their respective affiliates.</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78"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ind w:right="240"/>
        <w:spacing w:after="0" w:line="277" w:lineRule="auto"/>
        <w:rPr>
          <w:sz w:val="20"/>
          <w:szCs w:val="20"/>
          <w:color w:val="auto"/>
        </w:rPr>
      </w:pPr>
      <w:r>
        <w:rPr>
          <w:rFonts w:ascii="Arial" w:cs="Arial" w:eastAsia="Arial" w:hAnsi="Arial"/>
          <w:sz w:val="17"/>
          <w:szCs w:val="17"/>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Morgan Stanley, among other things:</w:t>
      </w:r>
    </w:p>
    <w:p>
      <w:pPr>
        <w:spacing w:after="0" w:line="131" w:lineRule="exact"/>
        <w:rPr>
          <w:sz w:val="20"/>
          <w:szCs w:val="20"/>
          <w:color w:val="auto"/>
        </w:rPr>
      </w:pPr>
    </w:p>
    <w:p>
      <w:pPr>
        <w:ind w:left="900" w:hanging="446"/>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TWC;</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financial projections relating to TWC, including certain projections referred to as the TWC Management Case, provided to or discussed with Morgan Stanley by the management of TWC;</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and discussed with Comcast certain publicly available financial projections relating to Comcast, referred to in the summary of Morgan Stanley’s opinion as the Comcast public projections;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(including potential cost savings) anticipated from the merger prepared by the managements of TWC and Comcast;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Comcast’s levered free cash flow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TWC common stock and Comcast Class A common stock;</w:t>
      </w:r>
    </w:p>
    <w:p>
      <w:pPr>
        <w:spacing w:after="0" w:line="130"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a draft, dated February 12, 2014, of the merger agreement;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 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 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TWC has agreed to pay Morgan Stanley for its financial advisory services in connection with the merger an aggregate fee of $36 million, of which $7.5 million was payable upon delivery of its opinion and $28.5 million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 received for such services aggregate fees of approximately $2.5 million from TWC and approximately $7.6 million from Comcast. Morgan Stanley may also seek to provide such services to TWC and Comcast in the future and expects to receive fees for the rendering of these services.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Joint Financial Analyses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rendering of their respective opinions to the TWC board of directors, Allen &amp; Company, Citi and Morgan Stanley jointly and collaboratively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viewed as determinative of the views of the TWC board of directors or management with respect to the merger or the consideration payable in the merger.</w:t>
      </w:r>
    </w:p>
    <w:p>
      <w:pPr>
        <w:spacing w:after="0" w:line="24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The following is a brief summary of the material financial analyses prepared collaboratively as the joint work product of Allen &amp; Company, Citi and Morgan Stanley and reviewed with the TWC board of directors in connection with Allen &amp; Company’s, Citi’s and Morgan Stanley’s respective opinions, each dated February 12, 2014. </w:t>
      </w:r>
      <w:r>
        <w:rPr>
          <w:rFonts w:ascii="Arial" w:cs="Arial" w:eastAsia="Arial" w:hAnsi="Arial"/>
          <w:sz w:val="16"/>
          <w:szCs w:val="16"/>
          <w:b w:val="1"/>
          <w:bCs w:val="1"/>
          <w:color w:val="auto"/>
        </w:rPr>
        <w:t>The summary set forth below does not purport to be a complete description of the financial analyses performed or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considered by, and underlying 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6"/>
          <w:szCs w:val="16"/>
          <w:color w:val="auto"/>
        </w:rPr>
        <w:t>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financial analyses described below, (i) earnings before interest, taxes, depreciation and amortization, referred to 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 and Comcast’s public filings.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three selected publicly traded companies in the cable industry, referred to as the TWC selected companies, noted below. The overall low to high next 12 months estimated EBITDA multiples observed for the TWC selected companies as of February 11, 2014 (the last trading day prior to the date on which the TWC board of directors approved the proposed merger) were 7.9x to 8.9x and the overall low to high next 12 months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estimated EBITDA multiples observed for the TWC selected companies as of June 13, 2013 (the last trading day prior to published reports speculating a potential acquisition proposal by Charter for TWC) were 6.0x to 8.2x, as reflected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12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NTM Estimated EBITDA</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NTM Estimated EBITDA</w:t>
            </w:r>
          </w:p>
        </w:tc>
      </w:tr>
      <w:tr>
        <w:trPr>
          <w:trHeight w:val="171"/>
        </w:trPr>
        <w:tc>
          <w:tcPr>
            <w:tcW w:w="6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1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2"/>
              </w:rPr>
              <w:t>Multiples (as of 2/11/2014)</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Multiples (as of 6/13/2013)</w:t>
            </w:r>
          </w:p>
        </w:tc>
      </w:tr>
      <w:tr>
        <w:trPr>
          <w:trHeight w:val="210"/>
        </w:trPr>
        <w:tc>
          <w:tcPr>
            <w:tcW w:w="6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Charter Communications, Inc.</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8.9x</w:t>
            </w:r>
          </w:p>
        </w:tc>
        <w:tc>
          <w:tcPr>
            <w:tcW w:w="15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  Comcast Corporation (cable business)</w:t>
            </w:r>
          </w:p>
        </w:tc>
        <w:tc>
          <w:tcPr>
            <w:tcW w:w="3120" w:type="dxa"/>
            <w:vAlign w:val="bottom"/>
            <w:gridSpan w:val="2"/>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6.0x</w:t>
            </w:r>
          </w:p>
        </w:tc>
      </w:tr>
      <w:tr>
        <w:trPr>
          <w:trHeight w:val="216"/>
        </w:trPr>
        <w:tc>
          <w:tcPr>
            <w:tcW w:w="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Cablevision Systems Corporation</w:t>
            </w:r>
          </w:p>
        </w:tc>
        <w:tc>
          <w:tcPr>
            <w:tcW w:w="312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7.9x</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7.5x</w:t>
            </w:r>
          </w:p>
        </w:tc>
      </w:tr>
    </w:tbl>
    <w:p>
      <w:pPr>
        <w:spacing w:after="0" w:line="2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Next 12 months estimated EBITDA multiples as of February 11, 2014 and next 12 months estimated EBITDA multiples as of June 13, 2013 observed for TWC were 7.2x and 6.2x, respectively. Observed next 12 months estimated EBITDA multiples as of February 11, 2014 and next 12 months estimated EBITDA multiples as of June 13, 2013 for Comcast’s cable business were derived from observed calendar year 2014 estimated EBITDA multiples for Comcast’s non-cable businesses as described below. The TWC financial advisors then applied a selected range of estimated EBITDA multiples of 6.25x to</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8.00x to TWC’s next 12 months estimated EBITDA as of February 11, 2014. This analysis indicated an approximate implied per share equity value reference range for TWC common stock of $108 to $159.</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 respect to Comcast, the TWC financial advisors performed a sum-of-the-parts analysis of Comcast’s cable and non-cable businesses. In evaluating Comcast’s cable business, the TWC financial advisors reviewed estimated EBITDA multiples of TWC, Charter and Cablevision Systems Corporation, referred to as the Comcast selected cable companies, and also reviewed implied EBITDA multiples for Comcast’s cable business as described above. The overall low to high next 12 months estimated EBITDA multiples observed for the Comcast selected cable companies as of February 11, 2014 were 7.2x to 8.9x and the overall low to high next 12 months estimated EBITDA multiples observed for the Comcast selected cable companies as of June 13, 2013 were</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6.2x to 8.2x. As described above, the observed implied next 12 months estimated EBITDA multiples as of February 11, 2014 and next 12 months estimated EBITDA multiples as of June 13, 2013 for Comcast’s cable business were 7.9x and 6.0x, respectively.</w:t>
      </w:r>
    </w:p>
    <w:p>
      <w:pPr>
        <w:spacing w:after="0" w:line="18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evaluating Comcast’s non-cable businesses, specifically NBCUniversal and Comcast Spectacor, L.P., the TWC financial advisors reviewed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11.3x (with a median of 11.0x), as reflected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6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Multiples (as of 2/11/2014)</w:t>
            </w:r>
          </w:p>
        </w:tc>
      </w:tr>
      <w:tr>
        <w:trPr>
          <w:trHeight w:val="210"/>
        </w:trPr>
        <w:tc>
          <w:tcPr>
            <w:tcW w:w="6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CBS Corporation</w:t>
            </w:r>
          </w:p>
        </w:tc>
        <w:tc>
          <w:tcPr>
            <w:tcW w:w="14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  The Walt Disney Company</w:t>
            </w:r>
          </w:p>
        </w:tc>
        <w:tc>
          <w:tcPr>
            <w:tcW w:w="14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11.2x</w:t>
            </w:r>
          </w:p>
        </w:tc>
      </w:tr>
      <w:tr>
        <w:trPr>
          <w:trHeight w:val="216"/>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Twenty-First Century Fox, Inc.</w:t>
            </w:r>
          </w:p>
        </w:tc>
        <w:tc>
          <w:tcPr>
            <w:tcW w:w="1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11.0x</w:t>
            </w:r>
          </w:p>
        </w:tc>
      </w:tr>
      <w:tr>
        <w:trPr>
          <w:trHeight w:val="216"/>
        </w:trPr>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Time Warner Inc.</w:t>
            </w:r>
          </w:p>
        </w:tc>
        <w:tc>
          <w:tcPr>
            <w:tcW w:w="14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10.2x</w:t>
            </w:r>
          </w:p>
        </w:tc>
      </w:tr>
      <w:tr>
        <w:trPr>
          <w:trHeight w:val="216"/>
        </w:trPr>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Viacom Inc.</w:t>
            </w:r>
          </w:p>
        </w:tc>
        <w:tc>
          <w:tcPr>
            <w:tcW w:w="1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10.6x</w:t>
            </w: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TWC financial advisors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next 12 months estimated EBITDA of Comcast’s cable business as of February 11, 2014 (approximately $17.9 billion utilizing the publicly available Wall Street analyst estimates) and a selected range of estimated EBITDA multiples of 9.00x to</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11.00x to the calendar year 2014 estimated EBITDA (which was the same as the next 12 months estimated EBITDA as of February 11, 2014) of Comcast’s non-cable businesses as of February 11, 2014 (approximately $4.5 billion utilizing the publicly available Wall Street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analyst estimates). This analysis indicated an approximate implied per share equity value reference range for Comcast Class A common stock of $42 to $57.</w:t>
      </w:r>
    </w:p>
    <w:p>
      <w:pPr>
        <w:spacing w:after="0" w:line="24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2.575x – 2.802x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based on the TWC financial advisors’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2020 was normalized to approximately $12.8 billion (utilizing the publicly available Wall Street analyst estimates) to reflect a steady state investment cycle for capital expenditures and depreciation and amortization. The cash flows and terminal values were then discounted to present value (as of December 31, 2013) using discount rates ranging from 6.25% to 7.25% in the case of TWC and 7.00% to 8.00%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net operating losses, step-up in asset tax bases and other tax attributes of approximately $3.3 billion (based on TWC management forecasts). This analysis resulted in approximate implied per share equity value reference ranges for TWC common stock of $136 to $193 and for Comcast Class A common stock of $50 to $67.</w:t>
      </w:r>
    </w:p>
    <w:p>
      <w:pPr>
        <w:spacing w:after="0" w:line="16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 the TWC financial advisors calculated the following implied exchange ratio reference range, as compared to the merger exchange ratio:</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2.717x – 2.895x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124</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24% to 25% and 18% to 20%, respectively, and of Comcast of approximately 78%, 75% to 76% and 80% to 82%, respectively.</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54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rPr>
              <w:t>Implied Exchange Ratio Reference Ranges Based on:</w:t>
            </w:r>
          </w:p>
        </w:tc>
        <w:tc>
          <w:tcPr>
            <w:tcW w:w="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Merger Exchange Ratio</w:t>
            </w:r>
          </w:p>
        </w:tc>
        <w:tc>
          <w:tcPr>
            <w:tcW w:w="0" w:type="dxa"/>
            <w:vAlign w:val="bottom"/>
          </w:tcPr>
          <w:p>
            <w:pPr>
              <w:spacing w:after="0"/>
              <w:rPr>
                <w:sz w:val="1"/>
                <w:szCs w:val="1"/>
                <w:color w:val="auto"/>
              </w:rPr>
            </w:pPr>
          </w:p>
        </w:tc>
      </w:tr>
      <w:tr>
        <w:trPr>
          <w:trHeight w:val="156"/>
        </w:trPr>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800" w:type="dxa"/>
            <w:vAlign w:val="bottom"/>
          </w:tcPr>
          <w:p>
            <w:pPr>
              <w:spacing w:after="0"/>
              <w:rPr>
                <w:sz w:val="13"/>
                <w:szCs w:val="13"/>
                <w:color w:val="auto"/>
              </w:rPr>
            </w:pPr>
          </w:p>
        </w:tc>
        <w:tc>
          <w:tcPr>
            <w:tcW w:w="1860" w:type="dxa"/>
            <w:vAlign w:val="bottom"/>
            <w:gridSpan w:val="2"/>
          </w:tcPr>
          <w:p>
            <w:pPr>
              <w:jc w:val="center"/>
              <w:ind w:right="740"/>
              <w:spacing w:after="0" w:line="155" w:lineRule="exact"/>
              <w:rPr>
                <w:sz w:val="20"/>
                <w:szCs w:val="20"/>
                <w:color w:val="auto"/>
              </w:rPr>
            </w:pPr>
            <w:r>
              <w:rPr>
                <w:rFonts w:ascii="Arial" w:cs="Arial" w:eastAsia="Arial" w:hAnsi="Arial"/>
                <w:sz w:val="14"/>
                <w:szCs w:val="14"/>
                <w:b w:val="1"/>
                <w:bCs w:val="1"/>
                <w:color w:val="auto"/>
              </w:rPr>
              <w:t>EBITDA</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EBITDA less CapEx</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2.649x – 2.710x</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2.894x – 3.084x</w:t>
            </w:r>
          </w:p>
        </w:tc>
        <w:tc>
          <w:tcPr>
            <w:tcW w:w="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2.105x – 2.415x</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Allen &amp; Company, Citi and Morgan Stanley performed a selected precedent transactions analysis of TWC in which the TWC financial advisors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the TWC financial advisors in their professional judgment deemed generally relevant for comparative purposes, referred to as the selected transactions. 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as applicable. Financial data for the selected transactions were based on publicly available information and financial data of TWC was based on TWC management forecasts. The overall low to high one-year forward estimated EBITDA multiples observed for the target companies were 7.7x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18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00" w:type="dxa"/>
            <w:vAlign w:val="bottom"/>
          </w:tcPr>
          <w:p>
            <w:pPr>
              <w:spacing w:after="0"/>
              <w:rPr>
                <w:sz w:val="10"/>
                <w:szCs w:val="10"/>
                <w:color w:val="auto"/>
              </w:rPr>
            </w:pPr>
          </w:p>
        </w:tc>
        <w:tc>
          <w:tcPr>
            <w:tcW w:w="32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10"/>
                <w:szCs w:val="10"/>
                <w:color w:val="auto"/>
              </w:rPr>
            </w:pPr>
          </w:p>
        </w:tc>
        <w:tc>
          <w:tcPr>
            <w:tcW w:w="48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Target</w:t>
            </w:r>
          </w:p>
        </w:tc>
        <w:tc>
          <w:tcPr>
            <w:tcW w:w="7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Not Tax-</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Charter Communications,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BC Partners Ltd.</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Suddenlink Communications</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Cogeco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Atlantic Broadband</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Oak Hill Capital Partners</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WaveDivision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Time Warner Cable Inc.</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Insight Communications Company, Inc.</w:t>
            </w:r>
          </w:p>
        </w:tc>
        <w:tc>
          <w:tcPr>
            <w:tcW w:w="780" w:type="dxa"/>
            <w:vAlign w:val="bottom"/>
            <w:gridSpan w:val="2"/>
          </w:tcPr>
          <w:p>
            <w:pPr>
              <w:spacing w:after="0"/>
              <w:rPr>
                <w:sz w:val="20"/>
                <w:szCs w:val="20"/>
                <w:color w:val="auto"/>
              </w:rPr>
            </w:pPr>
            <w:r>
              <w:rPr>
                <w:rFonts w:ascii="Arial" w:cs="Arial" w:eastAsia="Arial" w:hAnsi="Arial"/>
                <w:sz w:val="18"/>
                <w:szCs w:val="18"/>
                <w:color w:val="auto"/>
              </w:rPr>
              <w:t>7.7x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520" w:type="dxa"/>
            <w:vAlign w:val="bottom"/>
            <w:gridSpan w:val="2"/>
          </w:tcPr>
          <w:p>
            <w:pPr>
              <w:ind w:left="300"/>
              <w:spacing w:after="0"/>
              <w:rPr>
                <w:sz w:val="20"/>
                <w:szCs w:val="20"/>
                <w:color w:val="auto"/>
              </w:rPr>
            </w:pPr>
            <w:r>
              <w:rPr>
                <w:rFonts w:ascii="Arial" w:cs="Arial" w:eastAsia="Arial" w:hAnsi="Arial"/>
                <w:sz w:val="18"/>
                <w:szCs w:val="18"/>
                <w:color w:val="auto"/>
              </w:rPr>
              <w:t>Cablevision Systems Corporation</w:t>
            </w:r>
          </w:p>
        </w:tc>
        <w:tc>
          <w:tcPr>
            <w:tcW w:w="5000" w:type="dxa"/>
            <w:vAlign w:val="bottom"/>
            <w:gridSpan w:val="3"/>
          </w:tcPr>
          <w:p>
            <w:pPr>
              <w:ind w:left="200"/>
              <w:spacing w:after="0"/>
              <w:rPr>
                <w:sz w:val="20"/>
                <w:szCs w:val="20"/>
                <w:color w:val="auto"/>
              </w:rPr>
            </w:pPr>
            <w:r>
              <w:rPr>
                <w:rFonts w:ascii="Arial" w:cs="Arial" w:eastAsia="Arial" w:hAnsi="Arial"/>
                <w:sz w:val="18"/>
                <w:szCs w:val="18"/>
                <w:color w:val="auto"/>
              </w:rPr>
              <w:t>Bresnan Broadband Holdings, LLC</w:t>
            </w:r>
          </w:p>
        </w:tc>
        <w:tc>
          <w:tcPr>
            <w:tcW w:w="78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TWC financial advisors then applied the observed ranges of one-year forward estimated EBITDA multiples derived from the selected transactions to corresponding data of TWC. This analysis resulted in the following approximate implied equity value reference ranges for TWC common stock both adjusted for tax attributes (with an estimated net present value, based on TWC management forecasts, of approximately $2.3 billion) and not adjusted for such tax attributes, as compared to the implied per share equity value for TWC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361"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32327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Adjusted for Tax Attributes</w:t>
            </w:r>
          </w:p>
        </w:tc>
        <w:tc>
          <w:tcPr>
            <w:tcW w:w="14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Not Adjusted for Tax Attributes</w:t>
            </w:r>
          </w:p>
        </w:tc>
      </w:tr>
      <w:tr>
        <w:trPr>
          <w:trHeight w:val="224"/>
        </w:trPr>
        <w:tc>
          <w:tcPr>
            <w:tcW w:w="1740" w:type="dxa"/>
            <w:vAlign w:val="bottom"/>
          </w:tcPr>
          <w:p>
            <w:pPr>
              <w:jc w:val="center"/>
              <w:spacing w:after="0"/>
              <w:rPr>
                <w:sz w:val="20"/>
                <w:szCs w:val="20"/>
                <w:color w:val="auto"/>
              </w:rPr>
            </w:pPr>
            <w:r>
              <w:rPr>
                <w:rFonts w:ascii="Arial" w:cs="Arial" w:eastAsia="Arial" w:hAnsi="Arial"/>
                <w:sz w:val="18"/>
                <w:szCs w:val="18"/>
                <w:color w:val="auto"/>
                <w:w w:val="89"/>
              </w:rPr>
              <w:t>$150 – $168</w:t>
            </w:r>
          </w:p>
        </w:tc>
        <w:tc>
          <w:tcPr>
            <w:tcW w:w="14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-154305</wp:posOffset>
            </wp:positionV>
            <wp:extent cx="666369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6294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$158</w:t>
      </w:r>
    </w:p>
    <w:p>
      <w:pPr>
        <w:spacing w:after="0" w:line="224" w:lineRule="exact"/>
        <w:rPr>
          <w:sz w:val="20"/>
          <w:szCs w:val="20"/>
          <w:color w:val="auto"/>
        </w:rPr>
      </w:pPr>
    </w:p>
    <w:p>
      <w:pPr>
        <w:sectPr>
          <w:pgSz w:w="11900" w:h="16838" w:orient="portrait"/>
          <w:cols w:equalWidth="0" w:num="2">
            <w:col w:w="6960" w:space="720"/>
            <w:col w:w="3740"/>
          </w:cols>
          <w:pgMar w:left="240" w:top="459" w:right="239" w:bottom="1440" w:gutter="0" w:footer="0" w:header="0"/>
          <w:type w:val="continuous"/>
        </w:sect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analyses with respect to their respective opinions but were referenced for informational purposes, including, among other things, the following:</w:t>
      </w:r>
    </w:p>
    <w:p>
      <w:pPr>
        <w:spacing w:after="0" w:line="29" w:lineRule="exact"/>
        <w:rPr>
          <w:sz w:val="20"/>
          <w:szCs w:val="20"/>
          <w:color w:val="auto"/>
        </w:rPr>
      </w:pPr>
    </w:p>
    <w:p>
      <w:pPr>
        <w:ind w:left="900" w:right="220" w:hanging="446"/>
        <w:spacing w:after="0" w:line="259"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6"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w:t>
      </w:r>
    </w:p>
    <w:p>
      <w:pPr>
        <w:spacing w:after="0" w:line="83" w:lineRule="exact"/>
        <w:rPr>
          <w:rFonts w:ascii="Arial" w:cs="Arial" w:eastAsia="Arial" w:hAnsi="Arial"/>
          <w:sz w:val="17"/>
          <w:szCs w:val="17"/>
          <w:color w:val="auto"/>
        </w:rPr>
      </w:pPr>
    </w:p>
    <w:p>
      <w:pPr>
        <w:ind w:left="900" w:hanging="446"/>
        <w:spacing w:after="0" w:line="272"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(2.0)% to Comcast’s calendar year 2015, and accretive by approximately 3.5% to Comcast’s calendar year 2016, estimated levered free cash flow per share. Actual results achieved by the combined company may vary from forecasted results and variations may be material; and</w:t>
      </w:r>
    </w:p>
    <w:p>
      <w:pPr>
        <w:spacing w:after="0" w:line="83"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(pro forma for acquisitions consummated in 2013, as applicable) relative to TWC and Comcast (cable only) on a pro forma combined basis,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ind w:left="1460" w:right="400" w:hanging="547"/>
        <w:spacing w:after="0" w:line="277" w:lineRule="auto"/>
        <w:tabs>
          <w:tab w:leader="none" w:pos="14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compounded annual revenue growth rates, compounded annual EBITDA growth rates and compounded annual EBITDA less capital expenditures growth rates for calendar years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spacing w:after="0" w:line="264" w:lineRule="auto"/>
        <w:rPr>
          <w:sz w:val="20"/>
          <w:szCs w:val="20"/>
          <w:color w:val="auto"/>
        </w:rPr>
      </w:pPr>
      <w:r>
        <w:rPr>
          <w:rFonts w:ascii="Arial" w:cs="Arial" w:eastAsia="Arial" w:hAnsi="Arial"/>
          <w:sz w:val="18"/>
          <w:szCs w:val="18"/>
          <w:color w:val="auto"/>
        </w:rPr>
        <w:t>(actual) through 2016 (estimated) of approximately 1.8% to 6.6%, (0.5)% to 8.8% and 2.5% to 25.4%, respectively, for TWC, Comcast and the selected companies and approximately 5.5%, 5.9% (7.1% with synergies) and 5.8% (7.7% with synergies), respectively, for TWC and Comcast on a pro forma combined basis;</w:t>
      </w:r>
    </w:p>
    <w:p>
      <w:pPr>
        <w:spacing w:after="0" w:line="87" w:lineRule="exact"/>
        <w:rPr>
          <w:sz w:val="20"/>
          <w:szCs w:val="20"/>
          <w:color w:val="auto"/>
        </w:rPr>
      </w:pPr>
    </w:p>
    <w:p>
      <w:pPr>
        <w:ind w:left="1460" w:right="100" w:hanging="547"/>
        <w:spacing w:after="0" w:line="259" w:lineRule="auto"/>
        <w:tabs>
          <w:tab w:leader="none" w:pos="1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EBITDA margins for calendar year 2013 (actual) relative to calendar year 2016 (estimated) of approximately 25.6% to 40.7% (calendar year 2013) and 23.9% to 41.1% (calendar year 2016) for TWC, Comcast and the selected companies relative to approximately 39.1% (calendar year 2013) and 39.5% without synergies and 41.0% with synergies (calendar year 2016) for TWC and Comcast on a pro forma combined basis;</w:t>
      </w:r>
    </w:p>
    <w:p>
      <w:pPr>
        <w:spacing w:after="0" w:line="92" w:lineRule="exact"/>
        <w:rPr>
          <w:rFonts w:ascii="Arial" w:cs="Arial" w:eastAsia="Arial" w:hAnsi="Arial"/>
          <w:sz w:val="18"/>
          <w:szCs w:val="18"/>
          <w:color w:val="auto"/>
        </w:rPr>
      </w:pPr>
    </w:p>
    <w:p>
      <w:pPr>
        <w:ind w:left="1460" w:right="140" w:hanging="547"/>
        <w:spacing w:after="0" w:line="259" w:lineRule="auto"/>
        <w:tabs>
          <w:tab w:leader="none" w:pos="1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capital expenditures as a percentage of revenue for calendar year 2013 (actual) relative to calendar year 2016 (estimated) of approximately 13.1% to 21.5% (calendar year 2013) and 13.4% to 15.5% (calendar year 2016) for TWC, Comcast and the selected companies relative to approximately 13.7% (calendar year 2013) and 13.9% (calendar year 2016) for TWC and Comcast on a pro forma combined basis; and</w:t>
      </w:r>
    </w:p>
    <w:p>
      <w:pPr>
        <w:spacing w:after="0" w:line="92" w:lineRule="exact"/>
        <w:rPr>
          <w:rFonts w:ascii="Arial" w:cs="Arial" w:eastAsia="Arial" w:hAnsi="Arial"/>
          <w:sz w:val="18"/>
          <w:szCs w:val="18"/>
          <w:color w:val="auto"/>
        </w:rPr>
      </w:pPr>
    </w:p>
    <w:p>
      <w:pPr>
        <w:ind w:left="1460" w:hanging="547"/>
        <w:spacing w:after="0"/>
        <w:tabs>
          <w:tab w:leader="none" w:pos="14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EBITDA less capital expenditure margins for calendar year 2013 (actual) relative to calendar year 2016 (estimated) of approximately</w:t>
      </w:r>
    </w:p>
    <w:p>
      <w:pPr>
        <w:spacing w:after="0" w:line="34" w:lineRule="exact"/>
        <w:rPr>
          <w:rFonts w:ascii="Arial" w:cs="Arial" w:eastAsia="Arial" w:hAnsi="Arial"/>
          <w:sz w:val="17"/>
          <w:szCs w:val="17"/>
          <w:color w:val="auto"/>
        </w:rPr>
      </w:pPr>
    </w:p>
    <w:p>
      <w:pPr>
        <w:ind w:left="1460" w:right="20"/>
        <w:spacing w:after="0" w:line="255" w:lineRule="auto"/>
        <w:rPr>
          <w:rFonts w:ascii="Arial" w:cs="Arial" w:eastAsia="Arial" w:hAnsi="Arial"/>
          <w:sz w:val="17"/>
          <w:szCs w:val="17"/>
          <w:color w:val="auto"/>
        </w:rPr>
      </w:pPr>
      <w:r>
        <w:rPr>
          <w:rFonts w:ascii="Arial" w:cs="Arial" w:eastAsia="Arial" w:hAnsi="Arial"/>
          <w:sz w:val="18"/>
          <w:szCs w:val="18"/>
          <w:color w:val="auto"/>
        </w:rPr>
        <w:t>10.2% to 27.6% (calendar year 2013) and 10.5% to 27.7% (calendar year 2016) for TWC, Comcast and the selected companies relative to approximately 25.5% (calendar year 2013) and 25.7% without synergies and 27.1% with synergies (calendar year 2016) for TWC and Comcast on a pro forma combined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Financial Advisor to the TWC Independent Directors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7"/>
          <w:szCs w:val="17"/>
          <w:b w:val="1"/>
          <w:bCs w:val="1"/>
          <w:color w:val="auto"/>
        </w:rPr>
        <w:t>Centerview’s opinion was provided for</w:t>
      </w:r>
      <w:r>
        <w:rPr>
          <w:rFonts w:ascii="Arial" w:cs="Arial" w:eastAsia="Arial" w:hAnsi="Arial"/>
          <w:sz w:val="17"/>
          <w:szCs w:val="17"/>
          <w:color w:val="auto"/>
        </w:rPr>
        <w:t xml:space="preserve"> </w:t>
      </w:r>
      <w:r>
        <w:rPr>
          <w:rFonts w:ascii="Arial" w:cs="Arial" w:eastAsia="Arial" w:hAnsi="Arial"/>
          <w:sz w:val="17"/>
          <w:szCs w:val="17"/>
          <w:b w:val="1"/>
          <w:bCs w:val="1"/>
          <w:color w:val="auto"/>
        </w:rPr>
        <w:t>the information and 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Centerview, among other things:</w:t>
      </w:r>
    </w:p>
    <w:p>
      <w:pPr>
        <w:spacing w:after="0" w:line="131" w:lineRule="exact"/>
        <w:rPr>
          <w:sz w:val="20"/>
          <w:szCs w:val="20"/>
          <w:color w:val="auto"/>
        </w:rPr>
      </w:pPr>
    </w:p>
    <w:p>
      <w:pPr>
        <w:ind w:left="5580" w:right="2660" w:hanging="5126"/>
        <w:spacing w:after="0" w:line="44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 referred to as the draft merger agreement; 127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342"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reviewed certain interim reports to stockholders and Quarterly Reports on Form 10-Q of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reviewed certain publicly available research analyst reports for TWC and Comcast;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reviewed certain other communications from TWC and Comcast to their respective stockholders;</w:t>
      </w:r>
    </w:p>
    <w:p>
      <w:pPr>
        <w:spacing w:after="0" w:line="130"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5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Comcast;</w:t>
      </w:r>
    </w:p>
    <w:p>
      <w:pPr>
        <w:spacing w:after="0" w:line="130" w:lineRule="exact"/>
        <w:rPr>
          <w:rFonts w:ascii="Arial" w:cs="Arial" w:eastAsia="Arial" w:hAnsi="Arial"/>
          <w:sz w:val="18"/>
          <w:szCs w:val="18"/>
          <w:color w:val="auto"/>
        </w:rPr>
      </w:pPr>
    </w:p>
    <w:p>
      <w:pPr>
        <w:ind w:left="900" w:right="360" w:hanging="446"/>
        <w:spacing w:after="0" w:line="286"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70" w:lineRule="exact"/>
        <w:rPr>
          <w:rFonts w:ascii="Arial" w:cs="Arial" w:eastAsia="Arial" w:hAnsi="Arial"/>
          <w:sz w:val="17"/>
          <w:szCs w:val="17"/>
          <w:color w:val="auto"/>
        </w:rPr>
      </w:pPr>
    </w:p>
    <w:p>
      <w:pPr>
        <w:ind w:left="900" w:right="180" w:hanging="446"/>
        <w:spacing w:after="0" w:line="342"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29" w:lineRule="exact"/>
        <w:rPr>
          <w:rFonts w:ascii="Arial" w:cs="Arial" w:eastAsia="Arial" w:hAnsi="Arial"/>
          <w:sz w:val="16"/>
          <w:szCs w:val="16"/>
          <w:color w:val="auto"/>
        </w:rPr>
      </w:pPr>
    </w:p>
    <w:p>
      <w:pPr>
        <w:ind w:left="900" w:right="70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compared certain of the proposed financial terms of the merger with the financial terms, to the extent publicly available, of certain other transactions that Centerview deemed relevant;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3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 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 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 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92"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TWC independent directors selected Centerview as their financial advisor in connection with the merger based on Centerview’s reputation and experience. Centerview is a nationally recognized investment banking firm that has substantial experience in transactions similar to the merger.</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Centerview’s services as the TWC independent directors’ financial advisor, TWC has agreed to pay Centerview an aggregate fee of $11 million, of which $5 million was payable in connection with Centerview’s engagement, $3 million was payable upon the rendering of Centerview’s opinion and $3 million is payable contingent upon consummation of the merger. The TWC independent directors also have agreed to consider, in their sole discretion, the payment to Centerview of an additional fee of up to $2 million based on Centerview’s performance of its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Centerview Financial Analysis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Although as part of its services to the TWC independent directors, Centerview was requested to coordinate with the TWC financial advisors with respect to various matters, Centerview arrived at its determinations with respect to its analyses and its opinion independently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6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performing its financial analyses, Centerview considered industry performance, general business, economic, market and financial conditions and other matters existing as of the date of its opinion,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evaluation of the merger and should not be viewed as determinative of the views of the TWC board of directors or management with respect to the merger or the consideration payable in the merger.</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6"/>
          <w:szCs w:val="16"/>
          <w:b w:val="1"/>
          <w:bCs w:val="1"/>
          <w:color w:val="auto"/>
        </w:rPr>
        <w:t>The summary set forth below does not purport to be a complete description of the financial analyses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performed or factors 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6"/>
          <w:szCs w:val="16"/>
          <w:color w:val="auto"/>
        </w:rPr>
        <w:t>For purposes of the financial analyses described below, (i) earnings before interest, taxes,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including with respect to TWC’s non-cable assets and other investments, was based on internal financial forecasts and other estimates of the management of TWC, referred to below as TWC management forecasts, and financial data utilized for Comcast in such analyses, including with respect to Comcast’s non-cable assets and other investments,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 and Comcast’s public filings.</w:t>
      </w: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Public Companies Analyses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calendar year 2014 estimated EBITDA of TWC and three selected publicly traded companies in the cable industry, referred to as the TWC selected companies, noted below. The overall low to high calendar year 2014 estimated EBITDA multiples observed for the TWC selected companies as of February 11, 2014 (the last trading day prior to the date on which the TWC board of directors approved the proposed merger) were 7.9x to 8.8x, as reflected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6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Charter Communications, Inc.</w:t>
            </w:r>
          </w:p>
        </w:tc>
        <w:tc>
          <w:tcPr>
            <w:tcW w:w="29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3260" w:type="dxa"/>
            <w:vAlign w:val="bottom"/>
          </w:tcPr>
          <w:p>
            <w:pPr>
              <w:ind w:left="160"/>
              <w:spacing w:after="0"/>
              <w:rPr>
                <w:sz w:val="20"/>
                <w:szCs w:val="20"/>
                <w:color w:val="auto"/>
              </w:rPr>
            </w:pPr>
            <w:r>
              <w:rPr>
                <w:rFonts w:ascii="Arial" w:cs="Arial" w:eastAsia="Arial" w:hAnsi="Arial"/>
                <w:sz w:val="18"/>
                <w:szCs w:val="18"/>
                <w:color w:val="auto"/>
              </w:rPr>
              <w:t>Comcast Corporation (cable business)</w:t>
            </w:r>
          </w:p>
        </w:tc>
        <w:tc>
          <w:tcPr>
            <w:tcW w:w="29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7.9x</w:t>
            </w:r>
          </w:p>
        </w:tc>
      </w:tr>
      <w:tr>
        <w:trPr>
          <w:trHeight w:val="216"/>
        </w:trPr>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Cablevision Systems Corporation</w:t>
            </w:r>
          </w:p>
        </w:tc>
        <w:tc>
          <w:tcPr>
            <w:tcW w:w="29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7.9x</w:t>
            </w:r>
          </w:p>
        </w:tc>
      </w:tr>
      <w:tr>
        <w:trPr>
          <w:trHeight w:val="365"/>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980" w:type="dxa"/>
            <w:vAlign w:val="bottom"/>
          </w:tcPr>
          <w:p>
            <w:pPr>
              <w:jc w:val="right"/>
              <w:ind w:right="2279"/>
              <w:spacing w:after="0"/>
              <w:rPr>
                <w:sz w:val="20"/>
                <w:szCs w:val="20"/>
                <w:color w:val="auto"/>
              </w:rPr>
            </w:pPr>
            <w:r>
              <w:rPr>
                <w:rFonts w:ascii="Arial" w:cs="Arial" w:eastAsia="Arial" w:hAnsi="Arial"/>
                <w:sz w:val="18"/>
                <w:szCs w:val="18"/>
                <w:color w:val="auto"/>
              </w:rPr>
              <w:t>131</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calendar year 2014 estimated EBITDA multiple observed for TWC as of February 11, 2014 was 7.1x. Centerview also reviewed TWC’s next 12 months estimated EBITDA multiples over the one-year period ended February 11, 2014, and observed a next 12 months estimated EBITDA multiple for TWC on June 14, 2013 (the date of published reports speculating a potential acquisition proposal by Charter for TWC) of 6.2x. The observed calendar year 2014 estimated EBITDA multiple of 7.9x for Comcast’s cable business was derived from the observed calendar year 2014 estimated EBITDA multiple for Comcast’s non-cable businesses as described below.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evaluating Comcast’s cable business, Centerview reviewed calendar year 2014 estimated EBITDA multiples of TWC, Charter and Cablevision Systems Corporation, referred to as the Comcast selected cable companies. Centerview also reviewed the next 12 months estimated EBITDA multiple of Comcast’s cable business over the one-year period ended February 11, 2014. The overall low to high calendar year 2014 estimated EBITDA multiples observed for the Comcast selected cable companies as of February 11, 2014 were 7.1x to 8.8x. The observed implied calendar year 2014 and next 12 months estimated EBITDA multiple for Comcast’s cable business as of February 11, 2014 was 7.9x.</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evaluating Comcast’s non-cable businesses, specifically NBCUniversal and Comcast Spectacor, L.P., Centerview reviewed calendar year 2014 estimated EBITDA multiples of Comcast’s non-cable businesses and five selected publicly traded companies in the media content industry, referred to as the Comcast selected content companies, noted below. The overall low to high calendar year 2014 estimated EBITDA multiples observed for the Comcast selected content companies as of February 11, 2014 were 10.2x to 12.3x, as reflected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40" w:type="dxa"/>
            <w:vAlign w:val="bottom"/>
            <w:gridSpan w:val="3"/>
          </w:tcPr>
          <w:p>
            <w:pPr>
              <w:ind w:left="1440"/>
              <w:spacing w:after="0"/>
              <w:rPr>
                <w:sz w:val="20"/>
                <w:szCs w:val="20"/>
                <w:color w:val="auto"/>
              </w:rPr>
            </w:pPr>
            <w:r>
              <w:rPr>
                <w:rFonts w:ascii="Arial" w:cs="Arial" w:eastAsia="Arial" w:hAnsi="Arial"/>
                <w:sz w:val="14"/>
                <w:szCs w:val="14"/>
                <w:b w:val="1"/>
                <w:bCs w:val="1"/>
                <w:color w:val="auto"/>
              </w:rPr>
              <w:t>CY2014 Estimated EBITDA</w:t>
            </w: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CBS Corporation</w:t>
            </w:r>
          </w:p>
        </w:tc>
        <w:tc>
          <w:tcPr>
            <w:tcW w:w="14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86"/>
              </w:rPr>
              <w:t>11.3x</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tcPr>
          <w:p>
            <w:pPr>
              <w:ind w:left="160"/>
              <w:spacing w:after="0"/>
              <w:rPr>
                <w:sz w:val="20"/>
                <w:szCs w:val="20"/>
                <w:color w:val="auto"/>
              </w:rPr>
            </w:pPr>
            <w:r>
              <w:rPr>
                <w:rFonts w:ascii="Arial" w:cs="Arial" w:eastAsia="Arial" w:hAnsi="Arial"/>
                <w:sz w:val="18"/>
                <w:szCs w:val="18"/>
                <w:color w:val="auto"/>
              </w:rPr>
              <w:t>The Walt Disney Company</w:t>
            </w:r>
          </w:p>
        </w:tc>
        <w:tc>
          <w:tcPr>
            <w:tcW w:w="144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11.8x</w:t>
            </w:r>
          </w:p>
        </w:tc>
      </w:tr>
      <w:tr>
        <w:trPr>
          <w:trHeight w:val="216"/>
        </w:trPr>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Twenty-First Century Fox, Inc.</w:t>
            </w:r>
          </w:p>
        </w:tc>
        <w:tc>
          <w:tcPr>
            <w:tcW w:w="1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12.3x*</w:t>
            </w:r>
          </w:p>
        </w:tc>
      </w:tr>
      <w:tr>
        <w:trPr>
          <w:trHeight w:val="216"/>
        </w:trPr>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3840" w:type="dxa"/>
            <w:vAlign w:val="bottom"/>
          </w:tcPr>
          <w:p>
            <w:pPr>
              <w:ind w:left="160"/>
              <w:spacing w:after="0"/>
              <w:rPr>
                <w:sz w:val="20"/>
                <w:szCs w:val="20"/>
                <w:color w:val="auto"/>
              </w:rPr>
            </w:pPr>
            <w:r>
              <w:rPr>
                <w:rFonts w:ascii="Arial" w:cs="Arial" w:eastAsia="Arial" w:hAnsi="Arial"/>
                <w:sz w:val="18"/>
                <w:szCs w:val="18"/>
                <w:color w:val="auto"/>
              </w:rPr>
              <w:t>Time Warner Inc.</w:t>
            </w:r>
          </w:p>
        </w:tc>
        <w:tc>
          <w:tcPr>
            <w:tcW w:w="144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10.2x</w:t>
            </w:r>
          </w:p>
        </w:tc>
      </w:tr>
      <w:tr>
        <w:trPr>
          <w:trHeight w:val="216"/>
        </w:trPr>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Viacom Inc.</w:t>
            </w:r>
          </w:p>
        </w:tc>
        <w:tc>
          <w:tcPr>
            <w:tcW w:w="1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11.7x*</w:t>
            </w:r>
          </w:p>
        </w:tc>
      </w:tr>
    </w:tbl>
    <w:p>
      <w:pPr>
        <w:spacing w:after="0" w:line="229" w:lineRule="exact"/>
        <w:rPr>
          <w:sz w:val="20"/>
          <w:szCs w:val="20"/>
          <w:color w:val="auto"/>
        </w:rPr>
      </w:pPr>
    </w:p>
    <w:p>
      <w:pPr>
        <w:ind w:left="220" w:right="240" w:hanging="212"/>
        <w:spacing w:after="0" w:line="308" w:lineRule="auto"/>
        <w:tabs>
          <w:tab w:leader="none" w:pos="2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observed calendar year 2014 estimated EBITDA multiples for Twenty-First Century Fox, Inc. and Viacom Inc. were transcribed in an appendix to Centerview’s written presentation to the TWC independent directors as 12.3x and 11.7x rather than 11.0x and 10.6x, respectively.</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Centerview noted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 in selected research analysts’ published sum-of-the-parts analyses of Comcast’s content asset, NBCUniversal, was 10.0x. Centerview then applied a selected range of estimated EBITDA multiples of 6.25x to 8.0x to the calendar year 2014 estimated EBITDA of Comcast’s cable business (approximately $17.8 billion utilizing the publicly available Wall Street analyst estimates) and a selected range of estimated EBITDA multiples of 9.0x to 11.0x to the calendar year 2014 estimated EBITDA of Comcast’s non-cable businesses (approximately $4.6 billion utilizing the publicly available Wall Street analyst estimates). This analysis indicated an approximate implied per share equity value reference range for Comcast Class A common stock of $42 to $58.</w:t>
      </w:r>
    </w:p>
    <w:p>
      <w:pPr>
        <w:spacing w:after="0" w:line="166"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2.62x – 2.78x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r>
        <w:trPr>
          <w:trHeight w:val="365"/>
        </w:trPr>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rPr>
              <w:t>132</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public trading or other values of the companies to which TWC and Comcast were compared or perspectives regarding the companies selected for comparative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Analyse</w:t>
      </w:r>
      <w:r>
        <w:rPr>
          <w:rFonts w:ascii="Arial" w:cs="Arial" w:eastAsia="Arial" w:hAnsi="Arial"/>
          <w:sz w:val="18"/>
          <w:szCs w:val="18"/>
          <w:color w:val="auto"/>
        </w:rPr>
        <w: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For purposes of this analysis, unlevered after-tax free cash flows were calculated as EBITDA, less capital expenditures, less working capital, less taxes, less stock-based compensation (treated as a cash expense) and less other cash items.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1.75% in the case of Comcast based on Centerview’s professional judgment and taking into account, among other factors, the long-term growth trends for the cable industry expected by TWC management, assumed long-term growth trends for the content industry (including implied growth rates from reported financial results of the TWC selected companies and the Comcast selected companies and projected growth rates as published by research analysts, which generally indicated higher growth rates for the content industry relative to the cable industry) and trends in the overall economy generally. In the case of Comcast, the estimated unlevered after-tax free cash flow of Comcast for calendar year 2018 was normalized to approximately $11.8 billion (utilizing the publicly available Wall Street analyst estimates) to reflect a steady state investment cycle for capital expenditures and depreciation and amortization. The cash flows and terminal values were then discounted to present value (as of February 11, 2014) using discount rates ranging from 6.5% to 7.5% in the case of TWC and 7.0% to 8.0% in the case of Comcast derived, in each case, from a weighted average cost of capital calculation. The resulting aggregate values were then adjusted for non-core assets of approximately $400 million in the case of TWC (based on TWC management forecasts) and approximately $7.3 billion in the case of Comcast (based on Comcast public filings) and, in the case of TWC, further adjusted for the net present value of tax attributes consisting of net operating losses and step-up in asset tax bases of approximately $2.5 billion (based on TWC management forecasts). This analysis resulted in approximate implied per share equity value reference ranges for TWC common stock of $133 to $186 and for Comcast Class A common stock of $48 to $65.</w:t>
      </w:r>
    </w:p>
    <w:p>
      <w:pPr>
        <w:spacing w:after="0" w:line="173"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Based on the approximate implied per share equity value reference ranges for TWC common stock and Comcast Class A common stock described above, Centerview calculated the following implied exchange ratio reference range, as compared to the merger exchange ratio:</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Exchange Ratio</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5"/>
        </w:trPr>
        <w:tc>
          <w:tcPr>
            <w:tcW w:w="16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Reference Range</w:t>
            </w:r>
          </w:p>
        </w:tc>
        <w:tc>
          <w:tcPr>
            <w:tcW w:w="3460" w:type="dxa"/>
            <w:vAlign w:val="bottom"/>
          </w:tcPr>
          <w:p>
            <w:pPr>
              <w:spacing w:after="0"/>
              <w:rPr>
                <w:sz w:val="16"/>
                <w:szCs w:val="16"/>
                <w:color w:val="auto"/>
              </w:rPr>
            </w:pPr>
          </w:p>
        </w:tc>
        <w:tc>
          <w:tcPr>
            <w:tcW w:w="304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3"/>
              </w:rPr>
              <w:t>Merger Exchange Ratio</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0"/>
              </w:rPr>
              <w:t>2.77x – 2.88x</w:t>
            </w:r>
          </w:p>
        </w:tc>
        <w:tc>
          <w:tcPr>
            <w:tcW w:w="34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2"/>
              </w:rPr>
              <w:t>2.875x</w:t>
            </w:r>
          </w:p>
        </w:tc>
        <w:tc>
          <w:tcPr>
            <w:tcW w:w="158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Relative Contribution Analysis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the following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 overall relative contributions of TWC and Comcast to the combined company’s calendar years 2014 through 2016 estimated revenue, EBITDA and EBITDA less capital expenditures:</w:t>
      </w:r>
    </w:p>
    <w:p>
      <w:pPr>
        <w:spacing w:after="0" w:line="76" w:lineRule="exact"/>
        <w:rPr>
          <w:sz w:val="20"/>
          <w:szCs w:val="20"/>
          <w:color w:val="auto"/>
        </w:rPr>
      </w:pPr>
    </w:p>
    <w:p>
      <w:pPr>
        <w:ind w:left="900" w:right="160" w:hanging="325"/>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on a revenue basis, approximately 22% and 78% for TWC and Comcast, respectively, in calendar years 2014 and 2015, and approximately 23% and 77% for TWC and Comcast, respectively, in calendar year 2016;</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on an EBITDA basis, approximately 24% and 76% for TWC and Comcast, respectively, in calendar year 2015, and approximately 25% and 75% for TWC and Comcast, respectively, in calendar years 2014 and 2016;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on an EBITDA less capital expenditures basis, approximately 18% and 82% for TWC and Comcast, respectively, in calendar year 2015 and approximately 20% and 80% for TWC and Comcast, respectively, in calendar years 2014 and 2016.</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9"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Implied Exchange Ratio</w:t>
      </w:r>
    </w:p>
    <w:p>
      <w:pPr>
        <w:spacing w:after="0" w:line="4" w:lineRule="exact"/>
        <w:rPr>
          <w:sz w:val="20"/>
          <w:szCs w:val="20"/>
          <w:color w:val="auto"/>
        </w:rPr>
      </w:pPr>
    </w:p>
    <w:p>
      <w:pPr>
        <w:jc w:val="center"/>
        <w:ind w:right="3960"/>
        <w:spacing w:after="0"/>
        <w:rPr>
          <w:sz w:val="20"/>
          <w:szCs w:val="20"/>
          <w:color w:val="auto"/>
        </w:rPr>
      </w:pPr>
      <w:r>
        <w:rPr>
          <w:rFonts w:ascii="Arial" w:cs="Arial" w:eastAsia="Arial" w:hAnsi="Arial"/>
          <w:sz w:val="14"/>
          <w:szCs w:val="14"/>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1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Revenue</w:t>
            </w:r>
          </w:p>
        </w:tc>
        <w:tc>
          <w:tcPr>
            <w:tcW w:w="7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2"/>
          </w:tcPr>
          <w:p>
            <w:pPr>
              <w:jc w:val="center"/>
              <w:ind w:right="960"/>
              <w:spacing w:after="0" w:line="155" w:lineRule="exact"/>
              <w:rPr>
                <w:sz w:val="20"/>
                <w:szCs w:val="20"/>
                <w:color w:val="auto"/>
              </w:rPr>
            </w:pPr>
            <w:r>
              <w:rPr>
                <w:rFonts w:ascii="Arial" w:cs="Arial" w:eastAsia="Arial" w:hAnsi="Arial"/>
                <w:sz w:val="14"/>
                <w:szCs w:val="14"/>
                <w:b w:val="1"/>
                <w:bCs w:val="1"/>
                <w:color w:val="auto"/>
              </w:rPr>
              <w:t>EBITDA</w:t>
            </w: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EBITDA less CapEx</w:t>
            </w:r>
          </w:p>
        </w:tc>
        <w:tc>
          <w:tcPr>
            <w:tcW w:w="260" w:type="dxa"/>
            <w:vAlign w:val="bottom"/>
            <w:tcBorders>
              <w:top w:val="single" w:sz="8" w:color="auto"/>
            </w:tcBorders>
          </w:tcPr>
          <w:p>
            <w:pPr>
              <w:spacing w:after="0"/>
              <w:rPr>
                <w:sz w:val="13"/>
                <w:szCs w:val="13"/>
                <w:color w:val="auto"/>
              </w:rPr>
            </w:pPr>
          </w:p>
        </w:tc>
        <w:tc>
          <w:tcPr>
            <w:tcW w:w="3960" w:type="dxa"/>
            <w:vAlign w:val="bottom"/>
            <w:gridSpan w:val="3"/>
          </w:tcPr>
          <w:p>
            <w:pPr>
              <w:jc w:val="center"/>
              <w:ind w:left="428"/>
              <w:spacing w:after="0" w:line="155" w:lineRule="exact"/>
              <w:rPr>
                <w:sz w:val="20"/>
                <w:szCs w:val="20"/>
                <w:color w:val="auto"/>
              </w:rPr>
            </w:pPr>
            <w:r>
              <w:rPr>
                <w:rFonts w:ascii="Arial" w:cs="Arial" w:eastAsia="Arial" w:hAnsi="Arial"/>
                <w:sz w:val="14"/>
                <w:szCs w:val="14"/>
                <w:b w:val="1"/>
                <w:bCs w:val="1"/>
                <w:color w:val="auto"/>
                <w:w w:val="93"/>
              </w:rPr>
              <w:t>Merger Exchange Ratio</w:t>
            </w:r>
          </w:p>
        </w:tc>
      </w:tr>
      <w:tr>
        <w:trPr>
          <w:trHeight w:val="210"/>
        </w:trPr>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2.690x – 2.752x</w:t>
            </w: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2.937x – 3.129x</w:t>
            </w:r>
          </w:p>
        </w:tc>
        <w:tc>
          <w:tcPr>
            <w:tcW w:w="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2.099x – 2.404x</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2.875x</w:t>
            </w:r>
          </w:p>
        </w:tc>
        <w:tc>
          <w:tcPr>
            <w:tcW w:w="9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860" w:firstLine="456"/>
        <w:spacing w:after="0" w:line="264" w:lineRule="auto"/>
        <w:rPr>
          <w:sz w:val="20"/>
          <w:szCs w:val="20"/>
          <w:color w:val="auto"/>
        </w:rPr>
      </w:pPr>
      <w:r>
        <w:rPr>
          <w:rFonts w:ascii="Arial" w:cs="Arial" w:eastAsia="Arial" w:hAnsi="Arial"/>
          <w:sz w:val="18"/>
          <w:szCs w:val="18"/>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Selected Precedent Transactions Analysis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Centerview performed a selected precedent transactions analysis of TWC in which Centerview reviewed publicly available financial terms of the following seven selected transactions announced from June 14, 2010 (after the global economic crisis in 2008) to March 19, 2013, with transaction values in excess of $1.0 billion and involving target companies viewed as incumbent cable providers in the cable industry that Centerview in its professional judgment deemed generally relevant for comparative purposes, referred to as the selected transactions. 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as applicable. Financial data for the selected transactions were based on publicly available information and financial data of TWC was based on TWC management forecasts. The overall low to high one-year forward estimated EBITDA multiples observed for the target companies were 7.6x to 8.3x adjusted for tax attributes and 8.0x to 8.6x not adjusted for tax attributes, as reflected below (with those transactions for which tax attributes were not publicly disclosed and therefore not available designated in the table below as “NA”):</w:t>
      </w:r>
    </w:p>
    <w:p>
      <w:pPr>
        <w:spacing w:after="0" w:line="214"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One-Year Forward</w:t>
      </w:r>
    </w:p>
    <w:p>
      <w:pPr>
        <w:ind w:left="10160"/>
        <w:spacing w:after="0" w:line="236" w:lineRule="auto"/>
        <w:rPr>
          <w:sz w:val="20"/>
          <w:szCs w:val="20"/>
          <w:color w:val="auto"/>
        </w:rPr>
      </w:pPr>
      <w:r>
        <w:rPr>
          <w:rFonts w:ascii="Arial" w:cs="Arial" w:eastAsia="Arial" w:hAnsi="Arial"/>
          <w:sz w:val="14"/>
          <w:szCs w:val="14"/>
          <w:b w:val="1"/>
          <w:bCs w:val="1"/>
          <w:color w:val="auto"/>
        </w:rPr>
        <w:t>EBITDA Multiples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34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Acquiror</w:t>
            </w:r>
          </w:p>
        </w:tc>
        <w:tc>
          <w:tcPr>
            <w:tcW w:w="45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Tax-</w:t>
            </w:r>
          </w:p>
        </w:tc>
        <w:tc>
          <w:tcPr>
            <w:tcW w:w="5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Not Tax-</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19, 2013</w:t>
            </w:r>
          </w:p>
        </w:tc>
        <w:tc>
          <w:tcPr>
            <w:tcW w:w="62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Liberty Media Corporation</w:t>
            </w:r>
          </w:p>
        </w:tc>
        <w:tc>
          <w:tcPr>
            <w:tcW w:w="2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(27% equity stake)</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8.0x</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8.6x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February 7, 2013</w:t>
            </w:r>
          </w:p>
        </w:tc>
        <w:tc>
          <w:tcPr>
            <w:tcW w:w="3440" w:type="dxa"/>
            <w:vAlign w:val="bottom"/>
            <w:gridSpan w:val="2"/>
          </w:tcPr>
          <w:p>
            <w:pPr>
              <w:spacing w:after="0"/>
              <w:rPr>
                <w:sz w:val="20"/>
                <w:szCs w:val="20"/>
                <w:color w:val="auto"/>
              </w:rPr>
            </w:pPr>
            <w:r>
              <w:rPr>
                <w:rFonts w:ascii="Arial" w:cs="Arial" w:eastAsia="Arial" w:hAnsi="Arial"/>
                <w:sz w:val="18"/>
                <w:szCs w:val="18"/>
                <w:color w:val="auto"/>
              </w:rPr>
              <w:t>Charter Communications, Inc.</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BC Partners Ltd.</w:t>
            </w:r>
          </w:p>
        </w:tc>
        <w:tc>
          <w:tcPr>
            <w:tcW w:w="4540" w:type="dxa"/>
            <w:vAlign w:val="bottom"/>
          </w:tcPr>
          <w:p>
            <w:pPr>
              <w:spacing w:after="0"/>
              <w:rPr>
                <w:sz w:val="20"/>
                <w:szCs w:val="20"/>
                <w:color w:val="auto"/>
              </w:rPr>
            </w:pPr>
            <w:r>
              <w:rPr>
                <w:rFonts w:ascii="Arial" w:cs="Arial" w:eastAsia="Arial" w:hAnsi="Arial"/>
                <w:sz w:val="18"/>
                <w:szCs w:val="18"/>
                <w:color w:val="auto"/>
              </w:rPr>
              <w:t>Suddenlink Communications</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July 18,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Cogeco Cable, Inc.</w:t>
            </w:r>
          </w:p>
        </w:tc>
        <w:tc>
          <w:tcPr>
            <w:tcW w:w="4540" w:type="dxa"/>
            <w:vAlign w:val="bottom"/>
          </w:tcPr>
          <w:p>
            <w:pPr>
              <w:spacing w:after="0"/>
              <w:rPr>
                <w:sz w:val="20"/>
                <w:szCs w:val="20"/>
                <w:color w:val="auto"/>
              </w:rPr>
            </w:pPr>
            <w:r>
              <w:rPr>
                <w:rFonts w:ascii="Arial" w:cs="Arial" w:eastAsia="Arial" w:hAnsi="Arial"/>
                <w:sz w:val="18"/>
                <w:szCs w:val="18"/>
                <w:color w:val="auto"/>
              </w:rPr>
              <w:t>Atlantic Broadband</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June 1, 2012</w:t>
            </w:r>
          </w:p>
        </w:tc>
        <w:tc>
          <w:tcPr>
            <w:tcW w:w="3440" w:type="dxa"/>
            <w:vAlign w:val="bottom"/>
            <w:gridSpan w:val="2"/>
          </w:tcPr>
          <w:p>
            <w:pPr>
              <w:spacing w:after="0"/>
              <w:rPr>
                <w:sz w:val="20"/>
                <w:szCs w:val="20"/>
                <w:color w:val="auto"/>
              </w:rPr>
            </w:pPr>
            <w:r>
              <w:rPr>
                <w:rFonts w:ascii="Arial" w:cs="Arial" w:eastAsia="Arial" w:hAnsi="Arial"/>
                <w:sz w:val="18"/>
                <w:szCs w:val="18"/>
                <w:color w:val="auto"/>
              </w:rPr>
              <w:t>Oak Hill Capital Partners</w:t>
            </w:r>
          </w:p>
        </w:tc>
        <w:tc>
          <w:tcPr>
            <w:tcW w:w="4540" w:type="dxa"/>
            <w:vAlign w:val="bottom"/>
          </w:tcPr>
          <w:p>
            <w:pPr>
              <w:spacing w:after="0"/>
              <w:rPr>
                <w:sz w:val="20"/>
                <w:szCs w:val="20"/>
                <w:color w:val="auto"/>
              </w:rPr>
            </w:pPr>
            <w:r>
              <w:rPr>
                <w:rFonts w:ascii="Arial" w:cs="Arial" w:eastAsia="Arial" w:hAnsi="Arial"/>
                <w:sz w:val="18"/>
                <w:szCs w:val="18"/>
                <w:color w:val="auto"/>
              </w:rPr>
              <w:t>WaveDivision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August 14, 2011</w:t>
            </w:r>
          </w:p>
        </w:tc>
        <w:tc>
          <w:tcPr>
            <w:tcW w:w="3440" w:type="dxa"/>
            <w:vAlign w:val="bottom"/>
            <w:gridSpan w:val="2"/>
          </w:tcPr>
          <w:p>
            <w:pPr>
              <w:spacing w:after="0"/>
              <w:rPr>
                <w:sz w:val="20"/>
                <w:szCs w:val="20"/>
                <w:color w:val="auto"/>
              </w:rPr>
            </w:pPr>
            <w:r>
              <w:rPr>
                <w:rFonts w:ascii="Arial" w:cs="Arial" w:eastAsia="Arial" w:hAnsi="Arial"/>
                <w:sz w:val="18"/>
                <w:szCs w:val="18"/>
                <w:color w:val="auto"/>
              </w:rPr>
              <w:t>Time Warner Cable Inc.</w:t>
            </w:r>
          </w:p>
        </w:tc>
        <w:tc>
          <w:tcPr>
            <w:tcW w:w="4540" w:type="dxa"/>
            <w:vAlign w:val="bottom"/>
          </w:tcPr>
          <w:p>
            <w:pPr>
              <w:spacing w:after="0"/>
              <w:rPr>
                <w:sz w:val="20"/>
                <w:szCs w:val="20"/>
                <w:color w:val="auto"/>
              </w:rPr>
            </w:pPr>
            <w:r>
              <w:rPr>
                <w:rFonts w:ascii="Arial" w:cs="Arial" w:eastAsia="Arial" w:hAnsi="Arial"/>
                <w:sz w:val="18"/>
                <w:szCs w:val="18"/>
                <w:color w:val="auto"/>
              </w:rPr>
              <w:t>Insight Communications Company, Inc.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7.6x</w:t>
            </w:r>
          </w:p>
        </w:tc>
        <w:tc>
          <w:tcPr>
            <w:tcW w:w="560" w:type="dxa"/>
            <w:vAlign w:val="bottom"/>
          </w:tcPr>
          <w:p>
            <w:pPr>
              <w:spacing w:after="0"/>
              <w:rPr>
                <w:sz w:val="20"/>
                <w:szCs w:val="20"/>
                <w:color w:val="auto"/>
              </w:rPr>
            </w:pPr>
            <w:r>
              <w:rPr>
                <w:rFonts w:ascii="Arial" w:cs="Arial" w:eastAsia="Arial" w:hAnsi="Arial"/>
                <w:sz w:val="18"/>
                <w:szCs w:val="18"/>
                <w:color w:val="auto"/>
              </w:rPr>
              <w:t>8.4x</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June 14, 2010</w:t>
            </w:r>
          </w:p>
        </w:tc>
        <w:tc>
          <w:tcPr>
            <w:tcW w:w="3440" w:type="dxa"/>
            <w:vAlign w:val="bottom"/>
            <w:gridSpan w:val="2"/>
          </w:tcPr>
          <w:p>
            <w:pPr>
              <w:spacing w:after="0"/>
              <w:rPr>
                <w:sz w:val="20"/>
                <w:szCs w:val="20"/>
                <w:color w:val="auto"/>
              </w:rPr>
            </w:pPr>
            <w:r>
              <w:rPr>
                <w:rFonts w:ascii="Arial" w:cs="Arial" w:eastAsia="Arial" w:hAnsi="Arial"/>
                <w:sz w:val="18"/>
                <w:szCs w:val="18"/>
                <w:color w:val="auto"/>
              </w:rPr>
              <w:t>Cablevision Systems Corporation</w:t>
            </w:r>
          </w:p>
        </w:tc>
        <w:tc>
          <w:tcPr>
            <w:tcW w:w="4540" w:type="dxa"/>
            <w:vAlign w:val="bottom"/>
          </w:tcPr>
          <w:p>
            <w:pPr>
              <w:spacing w:after="0"/>
              <w:rPr>
                <w:sz w:val="20"/>
                <w:szCs w:val="20"/>
                <w:color w:val="auto"/>
              </w:rPr>
            </w:pPr>
            <w:r>
              <w:rPr>
                <w:rFonts w:ascii="Arial" w:cs="Arial" w:eastAsia="Arial" w:hAnsi="Arial"/>
                <w:sz w:val="18"/>
                <w:szCs w:val="18"/>
                <w:color w:val="auto"/>
              </w:rPr>
              <w:t>Bresnan Broadband Holdings, LLC</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8.2x</w:t>
            </w: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Centerview then applied the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Implied Per Share</w:t>
      </w:r>
    </w:p>
    <w:p>
      <w:pPr>
        <w:spacing w:after="0" w:line="4"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740" w:type="dxa"/>
            <w:vAlign w:val="bottom"/>
            <w:tcBorders>
              <w:top w:val="single" w:sz="8" w:color="auto"/>
            </w:tcBorders>
          </w:tcPr>
          <w:p>
            <w:pPr>
              <w:jc w:val="center"/>
              <w:ind w:right="251"/>
              <w:spacing w:after="0" w:line="119" w:lineRule="exact"/>
              <w:rPr>
                <w:sz w:val="20"/>
                <w:szCs w:val="20"/>
                <w:color w:val="auto"/>
              </w:rPr>
            </w:pPr>
            <w:r>
              <w:rPr>
                <w:rFonts w:ascii="Arial" w:cs="Arial" w:eastAsia="Arial" w:hAnsi="Arial"/>
                <w:sz w:val="13"/>
                <w:szCs w:val="13"/>
                <w:b w:val="1"/>
                <w:bCs w:val="1"/>
                <w:color w:val="auto"/>
              </w:rPr>
              <w:t>Adjusted for</w:t>
            </w:r>
          </w:p>
        </w:tc>
        <w:tc>
          <w:tcPr>
            <w:tcW w:w="306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rPr>
              <w:t>Not Adjusted for</w:t>
            </w:r>
          </w:p>
        </w:tc>
      </w:tr>
      <w:tr>
        <w:trPr>
          <w:trHeight w:val="186"/>
        </w:trPr>
        <w:tc>
          <w:tcPr>
            <w:tcW w:w="274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Tax Attributes</w:t>
            </w:r>
          </w:p>
        </w:tc>
        <w:tc>
          <w:tcPr>
            <w:tcW w:w="3060" w:type="dxa"/>
            <w:vAlign w:val="bottom"/>
          </w:tcPr>
          <w:p>
            <w:pPr>
              <w:jc w:val="center"/>
              <w:ind w:left="51"/>
              <w:spacing w:after="0"/>
              <w:rPr>
                <w:sz w:val="20"/>
                <w:szCs w:val="20"/>
                <w:color w:val="auto"/>
              </w:rPr>
            </w:pPr>
            <w:r>
              <w:rPr>
                <w:rFonts w:ascii="Arial" w:cs="Arial" w:eastAsia="Arial" w:hAnsi="Arial"/>
                <w:sz w:val="14"/>
                <w:szCs w:val="14"/>
                <w:b w:val="1"/>
                <w:bCs w:val="1"/>
                <w:color w:val="auto"/>
                <w:w w:val="95"/>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480"/>
        <w:spacing w:after="0"/>
        <w:rPr>
          <w:sz w:val="20"/>
          <w:szCs w:val="20"/>
          <w:color w:val="auto"/>
        </w:rPr>
      </w:pPr>
      <w:r>
        <w:rPr>
          <w:rFonts w:ascii="Arial" w:cs="Arial" w:eastAsia="Arial" w:hAnsi="Arial"/>
          <w:sz w:val="13"/>
          <w:szCs w:val="13"/>
          <w:b w:val="1"/>
          <w:bCs w:val="1"/>
          <w:color w:val="auto"/>
        </w:rPr>
        <w:t>Implied Per Share Equity Value for TWC</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Based on Merger Exchange Ratio</w:t>
      </w:r>
    </w:p>
    <w:p>
      <w:pPr>
        <w:ind w:left="140"/>
        <w:spacing w:after="0"/>
        <w:rPr>
          <w:sz w:val="20"/>
          <w:szCs w:val="20"/>
          <w:color w:val="auto"/>
        </w:rPr>
      </w:pPr>
      <w:r>
        <w:rPr>
          <w:rFonts w:ascii="Arial" w:cs="Arial" w:eastAsia="Arial" w:hAnsi="Arial"/>
          <w:sz w:val="13"/>
          <w:szCs w:val="13"/>
          <w:b w:val="1"/>
          <w:bCs w:val="1"/>
          <w:color w:val="auto"/>
        </w:rPr>
        <w:t>and Comcast Class A Common Stock</w:t>
      </w:r>
    </w:p>
    <w:p>
      <w:pPr>
        <w:ind w:left="200"/>
        <w:spacing w:after="0"/>
        <w:rPr>
          <w:sz w:val="20"/>
          <w:szCs w:val="20"/>
          <w:color w:val="auto"/>
        </w:rPr>
      </w:pPr>
      <w:r>
        <w:rPr>
          <w:rFonts w:ascii="Arial" w:cs="Arial" w:eastAsia="Arial" w:hAnsi="Arial"/>
          <w:sz w:val="14"/>
          <w:szCs w:val="14"/>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16376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660" w:space="720"/>
            <w:col w:w="4040"/>
          </w:cols>
          <w:pgMar w:left="240" w:top="459" w:right="239" w:bottom="1440" w:gutter="0" w:footer="0" w:header="0"/>
          <w:type w:val="continuous"/>
        </w:sectPr>
      </w:pPr>
    </w:p>
    <w:p>
      <w:pPr>
        <w:ind w:left="1220"/>
        <w:spacing w:after="0"/>
        <w:tabs>
          <w:tab w:leader="none" w:pos="4320" w:val="left"/>
          <w:tab w:leader="none" w:pos="8340" w:val="left"/>
        </w:tabs>
        <w:rPr>
          <w:sz w:val="20"/>
          <w:szCs w:val="20"/>
          <w:color w:val="auto"/>
        </w:rPr>
      </w:pPr>
      <w:r>
        <w:rPr>
          <w:rFonts w:ascii="Arial" w:cs="Arial" w:eastAsia="Arial" w:hAnsi="Arial"/>
          <w:sz w:val="18"/>
          <w:szCs w:val="18"/>
          <w:color w:val="auto"/>
        </w:rPr>
        <w:t>$150 – $170</w:t>
      </w:r>
      <w:r>
        <w:rPr>
          <w:sz w:val="20"/>
          <w:szCs w:val="20"/>
          <w:color w:val="auto"/>
        </w:rPr>
        <w:tab/>
      </w:r>
      <w:r>
        <w:rPr>
          <w:rFonts w:ascii="Arial" w:cs="Arial" w:eastAsia="Arial" w:hAnsi="Arial"/>
          <w:sz w:val="18"/>
          <w:szCs w:val="18"/>
          <w:color w:val="auto"/>
        </w:rPr>
        <w:t>$153 – $170</w:t>
      </w:r>
      <w:r>
        <w:rPr>
          <w:sz w:val="20"/>
          <w:szCs w:val="20"/>
          <w:color w:val="auto"/>
        </w:rPr>
        <w:tab/>
      </w:r>
      <w:r>
        <w:rPr>
          <w:rFonts w:ascii="Arial" w:cs="Arial" w:eastAsia="Arial" w:hAnsi="Arial"/>
          <w:sz w:val="16"/>
          <w:szCs w:val="16"/>
          <w:color w:val="auto"/>
        </w:rPr>
        <w:t>$158.13</w:t>
      </w:r>
    </w:p>
    <w:p>
      <w:pPr>
        <w:spacing w:after="0" w:line="22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businesses or transactions to which TWC and the merger were compared or perspectives regarding the transactions selected for comparative purposes.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Other Factors. </w:t>
      </w:r>
      <w:r>
        <w:rPr>
          <w:rFonts w:ascii="Arial" w:cs="Arial" w:eastAsia="Arial" w:hAnsi="Arial"/>
          <w:sz w:val="18"/>
          <w:szCs w:val="18"/>
          <w:color w:val="auto"/>
        </w:rPr>
        <w:t>Centerview observed certain additional factors that were not considered part of its financial analyses with respect to its opinion but were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referenced for informational purposes, including, among other things, the following:</w:t>
      </w:r>
    </w:p>
    <w:p>
      <w:pPr>
        <w:spacing w:after="0" w:line="76" w:lineRule="exact"/>
        <w:rPr>
          <w:sz w:val="20"/>
          <w:szCs w:val="20"/>
          <w:color w:val="auto"/>
        </w:rPr>
      </w:pPr>
    </w:p>
    <w:p>
      <w:pPr>
        <w:ind w:left="900" w:right="200" w:hanging="446"/>
        <w:spacing w:after="0" w:line="259"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publicly available stock price targets of selected research analysts for TWC common stock and Comcast Class A common stock, which indicated standalone stock price targets for TWC common stock of $108 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92"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by approximately (2.5)% to Comcast’s calendar year 2015, and accretive by approximately 2.6% to Comcast’s calendar year 2016, estimated levered free cash flow per share. Actual results achieved by the combined company may vary from forecasted results and variations may be material;</w:t>
      </w:r>
    </w:p>
    <w:p>
      <w:pPr>
        <w:spacing w:after="0" w:line="83" w:lineRule="exact"/>
        <w:rPr>
          <w:rFonts w:ascii="Arial" w:cs="Arial" w:eastAsia="Arial" w:hAnsi="Arial"/>
          <w:sz w:val="17"/>
          <w:szCs w:val="17"/>
          <w:color w:val="auto"/>
        </w:rPr>
      </w:pPr>
    </w:p>
    <w:p>
      <w:pPr>
        <w:ind w:left="900" w:right="40" w:hanging="446"/>
        <w:spacing w:after="0" w:line="25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approximately 17% implied by the merger exchange ratio to the closing price of TWC common stock of $139.40 per share on February 11, 2014; and</w:t>
      </w:r>
    </w:p>
    <w:p>
      <w:pPr>
        <w:spacing w:after="0" w:line="76" w:lineRule="exact"/>
        <w:rPr>
          <w:sz w:val="20"/>
          <w:szCs w:val="20"/>
          <w:color w:val="auto"/>
        </w:rPr>
      </w:pPr>
    </w:p>
    <w:p>
      <w:pPr>
        <w:ind w:left="900" w:right="40" w:hanging="446"/>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certain benchmarking comparisons of each of TWC and Comcast (cable only) on a standalone basis and selected companies in the cable industry relative to TWC and Comcast (cable only) on a pro forma basis assuming a phase-in of synergies over two years, utilizing the TWC management forecasts for TWC, the publicly available research analyst estimates for Comcast and publicly available information for the selected companies, which indicated:</w:t>
      </w:r>
    </w:p>
    <w:p>
      <w:pPr>
        <w:spacing w:after="0" w:line="92" w:lineRule="exact"/>
        <w:rPr>
          <w:rFonts w:ascii="Arial" w:cs="Arial" w:eastAsia="Arial" w:hAnsi="Arial"/>
          <w:sz w:val="18"/>
          <w:szCs w:val="18"/>
          <w:color w:val="auto"/>
        </w:rPr>
      </w:pPr>
    </w:p>
    <w:p>
      <w:pPr>
        <w:jc w:val="both"/>
        <w:ind w:left="1460" w:right="240" w:hanging="547"/>
        <w:spacing w:after="0" w:line="286" w:lineRule="auto"/>
        <w:tabs>
          <w:tab w:leader="none" w:pos="14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compounded annual revenue growth rates and compounded annual EBITDA growth rates for calendar years 2014 (estimated) through 2016 (estimated) of approximately 2.2% to 6.6% and (0.9)% to 8.9%, respectively, for TWC, Comcast and the selected companies and approximately 5.6% and 7.8%, respectively, for TWC and Comcast on a pro forma combined basis;</w:t>
      </w:r>
    </w:p>
    <w:p>
      <w:pPr>
        <w:spacing w:after="0" w:line="70" w:lineRule="exact"/>
        <w:rPr>
          <w:rFonts w:ascii="Arial" w:cs="Arial" w:eastAsia="Arial" w:hAnsi="Arial"/>
          <w:sz w:val="17"/>
          <w:szCs w:val="17"/>
          <w:color w:val="auto"/>
        </w:rPr>
      </w:pPr>
    </w:p>
    <w:p>
      <w:pPr>
        <w:ind w:left="1460" w:right="60" w:hanging="547"/>
        <w:spacing w:after="0" w:line="264" w:lineRule="auto"/>
        <w:tabs>
          <w:tab w:leader="none" w:pos="14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EBITDA margins for calendar year 2014 (estimated) relative to calendar year 2016 (estimated) of approximately 25% to 41% (calendar year 2014) and 24% to 41% (calendar year 2016) for TWC, Comcast and the selected companies and 39% (calendar year 2014) and 41% (calendar year 2016) for TWC and Comcast on a pro forma combined basis; and</w:t>
      </w:r>
    </w:p>
    <w:p>
      <w:pPr>
        <w:spacing w:after="0" w:line="86" w:lineRule="exact"/>
        <w:rPr>
          <w:rFonts w:ascii="Arial" w:cs="Arial" w:eastAsia="Arial" w:hAnsi="Arial"/>
          <w:sz w:val="18"/>
          <w:szCs w:val="18"/>
          <w:color w:val="auto"/>
        </w:rPr>
      </w:pPr>
    </w:p>
    <w:p>
      <w:pPr>
        <w:ind w:left="1460" w:right="80" w:hanging="547"/>
        <w:spacing w:after="0" w:line="312" w:lineRule="auto"/>
        <w:tabs>
          <w:tab w:leader="none" w:pos="146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EBITDA less capital expenditure margins for calendar year 2014 (estimated) relative to calendar year 2016 (estimated) of approximately 11% to 27% (calendar year 2014) and 10% to 28% (calendar year 2016) for TWC, Comcast and the selected companies relative to 25% (calendar year 2014) and 27% (calendar year 2016) for TWC and Comcast on a pro forma combined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Comcast’s Financial Advisor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reviewed a draft of the merger agreement, dated February 12, 2014;</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6" w:lineRule="exact"/>
        <w:rPr>
          <w:rFonts w:ascii="Arial" w:cs="Arial" w:eastAsia="Arial" w:hAnsi="Arial"/>
          <w:sz w:val="18"/>
          <w:szCs w:val="18"/>
          <w:color w:val="auto"/>
        </w:rPr>
      </w:pPr>
    </w:p>
    <w:p>
      <w:pPr>
        <w:ind w:left="900" w:right="120" w:hanging="446"/>
        <w:spacing w:after="0" w:line="290" w:lineRule="auto"/>
        <w:tabs>
          <w:tab w:leader="none" w:pos="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 of this joint proxy statement/prospectus;</w:t>
      </w:r>
    </w:p>
    <w:p>
      <w:pPr>
        <w:spacing w:after="0" w:line="71" w:lineRule="exact"/>
        <w:rPr>
          <w:rFonts w:ascii="Arial" w:cs="Arial" w:eastAsia="Arial" w:hAnsi="Arial"/>
          <w:sz w:val="16"/>
          <w:szCs w:val="16"/>
          <w:color w:val="auto"/>
        </w:rPr>
      </w:pPr>
    </w:p>
    <w:p>
      <w:pPr>
        <w:ind w:left="900" w:right="80" w:hanging="446"/>
        <w:spacing w:after="0" w:line="293" w:lineRule="auto"/>
        <w:tabs>
          <w:tab w:leader="none" w:pos="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70"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 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 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data set forth below without considering the full narrative description of the financial analyses, including the methodologies and assumptions underlying the analyses, could create a misleading or incomplete view of J.P. Morgan’s analyses.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Implied Premium Calculations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Implied</w:t>
            </w:r>
          </w:p>
        </w:tc>
      </w:tr>
      <w:tr>
        <w:trPr>
          <w:trHeight w:val="171"/>
        </w:trPr>
        <w:tc>
          <w:tcPr>
            <w:tcW w:w="538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20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2/10/14 price</w:t>
            </w:r>
          </w:p>
        </w:tc>
        <w:tc>
          <w:tcPr>
            <w:tcW w:w="1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Premium to 3-month volume weighted average price</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Premium to 6-month volume weighted average price</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Premium to 52 week closing high</w:t>
            </w:r>
          </w:p>
        </w:tc>
        <w:tc>
          <w:tcPr>
            <w:tcW w:w="23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r>
    </w:tbl>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J.P. Morgan noted that the implied premium calculations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Analyst Price Targets (Undiscounted)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TWC</w:t>
            </w:r>
          </w:p>
        </w:tc>
        <w:tc>
          <w:tcPr>
            <w:tcW w:w="3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 price target</w:t>
            </w:r>
          </w:p>
        </w:tc>
        <w:tc>
          <w:tcPr>
            <w:tcW w:w="1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$165.00</w:t>
            </w:r>
          </w:p>
        </w:tc>
        <w:tc>
          <w:tcPr>
            <w:tcW w:w="2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High price target</w:t>
            </w:r>
          </w:p>
        </w:tc>
        <w:tc>
          <w:tcPr>
            <w:tcW w:w="1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Low price target</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92"/>
              </w:rPr>
              <w:t>$125.00</w:t>
            </w:r>
          </w:p>
        </w:tc>
        <w:tc>
          <w:tcPr>
            <w:tcW w:w="3160" w:type="dxa"/>
            <w:vAlign w:val="bottom"/>
          </w:tcPr>
          <w:p>
            <w:pPr>
              <w:ind w:left="220"/>
              <w:spacing w:after="0"/>
              <w:rPr>
                <w:sz w:val="20"/>
                <w:szCs w:val="20"/>
                <w:color w:val="auto"/>
              </w:rPr>
            </w:pPr>
            <w:r>
              <w:rPr>
                <w:rFonts w:ascii="Arial" w:cs="Arial" w:eastAsia="Arial" w:hAnsi="Arial"/>
                <w:sz w:val="18"/>
                <w:szCs w:val="18"/>
                <w:color w:val="auto"/>
              </w:rPr>
              <w:t>Low price target</w:t>
            </w:r>
          </w:p>
        </w:tc>
        <w:tc>
          <w:tcPr>
            <w:tcW w:w="2260" w:type="dxa"/>
            <w:vAlign w:val="bottom"/>
            <w:gridSpan w:val="2"/>
          </w:tcPr>
          <w:p>
            <w:pPr>
              <w:ind w:left="1720"/>
              <w:spacing w:after="0"/>
              <w:rPr>
                <w:sz w:val="20"/>
                <w:szCs w:val="20"/>
                <w:color w:val="auto"/>
              </w:rPr>
            </w:pPr>
            <w:r>
              <w:rPr>
                <w:rFonts w:ascii="Arial" w:cs="Arial" w:eastAsia="Arial" w:hAnsi="Arial"/>
                <w:sz w:val="18"/>
                <w:szCs w:val="18"/>
                <w:color w:val="auto"/>
                <w:w w:val="86"/>
              </w:rPr>
              <w:t>$ 58.00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Implied exchange</w:t>
            </w:r>
          </w:p>
        </w:tc>
      </w:tr>
      <w:tr>
        <w:trPr>
          <w:trHeight w:val="171"/>
        </w:trPr>
        <w:tc>
          <w:tcPr>
            <w:tcW w:w="5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ratio</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Highest TWC price target to lowest Comcast price target</w:t>
            </w:r>
          </w:p>
        </w:tc>
        <w:tc>
          <w:tcPr>
            <w:tcW w:w="16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Lowest TWC price target to highest Comcast price target</w:t>
            </w:r>
          </w:p>
        </w:tc>
        <w:tc>
          <w:tcPr>
            <w:tcW w:w="16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1.923x</w:t>
            </w:r>
          </w:p>
        </w:tc>
      </w:tr>
    </w:tbl>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J.P. Morgan noted that the analyst price targets (undiscounted) were presented merely for reference purposes only, and were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Exchange Ratio Analysis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J.P. Morgan reviewed the per share daily closing market price of Comcast Class A common stock and TWC common stock since the spin-off of TWC on March 12, 2009 and calculated the implied historical exchange ratios during this period. Specifically, for each trading day, J.P. Morgan divided the daily closing price per share of TWC common stock by that of Comcast Class A common stock. J.P. Morgan calculated (i) the exchange ratios based on the closing stock prices on February 10, 2014 and the unaffected date of June 13, 2013 and (ii) the average of the implied historical exchange ratios for the thirty-day, three-month, one-year, three-year,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since spin-off periods ending February 10, 2014. The analysis resulted in the following implied exchange ratios for the dates and periods indicated, as compared to the exchange ratio in the proposed merger of 2.875x:</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9"/>
              </w:rPr>
              <w:t>TWC implied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implied pro</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forma</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exchange ratio</w:t>
            </w:r>
          </w:p>
        </w:tc>
        <w:tc>
          <w:tcPr>
            <w:tcW w:w="8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(2/10/2014)</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2.497x</w:t>
            </w:r>
          </w:p>
        </w:tc>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Unaffected date (6/13/2013)</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2.419x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days</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2.517x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2.591x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21.5%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year</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2.468x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2.667x</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Since spin-off (3/12/2009)</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2.671x</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J.P. Morgan noted that a historical exchange ratio analysis was presented merely for reference purposes only, and was not relied upon for valuation purposes.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Trading Analysis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also reviewed the 52-week intraday trading range of TWC stock price and Comcast Class A stock price for the period ending February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The reference ranges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TWC</w:t>
            </w:r>
          </w:p>
        </w:tc>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Comcast</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139.85</w:t>
            </w:r>
          </w:p>
        </w:tc>
        <w:tc>
          <w:tcPr>
            <w:tcW w:w="2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52-week high</w:t>
            </w:r>
          </w:p>
        </w:tc>
        <w:tc>
          <w:tcPr>
            <w:tcW w:w="1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52-week low</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84.57</w:t>
            </w:r>
          </w:p>
        </w:tc>
        <w:tc>
          <w:tcPr>
            <w:tcW w:w="3040" w:type="dxa"/>
            <w:vAlign w:val="bottom"/>
          </w:tcPr>
          <w:p>
            <w:pPr>
              <w:ind w:left="220"/>
              <w:spacing w:after="0"/>
              <w:rPr>
                <w:sz w:val="20"/>
                <w:szCs w:val="20"/>
                <w:color w:val="auto"/>
              </w:rPr>
            </w:pPr>
            <w:r>
              <w:rPr>
                <w:rFonts w:ascii="Arial" w:cs="Arial" w:eastAsia="Arial" w:hAnsi="Arial"/>
                <w:sz w:val="18"/>
                <w:szCs w:val="18"/>
                <w:color w:val="auto"/>
              </w:rPr>
              <w:t>52-week low</w:t>
            </w:r>
          </w:p>
        </w:tc>
        <w:tc>
          <w:tcPr>
            <w:tcW w:w="2380" w:type="dxa"/>
            <w:vAlign w:val="bottom"/>
            <w:gridSpan w:val="2"/>
          </w:tcPr>
          <w:p>
            <w:pPr>
              <w:ind w:left="1840"/>
              <w:spacing w:after="0"/>
              <w:rPr>
                <w:sz w:val="20"/>
                <w:szCs w:val="20"/>
                <w:color w:val="auto"/>
              </w:rPr>
            </w:pPr>
            <w:r>
              <w:rPr>
                <w:rFonts w:ascii="Arial" w:cs="Arial" w:eastAsia="Arial" w:hAnsi="Arial"/>
                <w:sz w:val="18"/>
                <w:szCs w:val="18"/>
                <w:color w:val="auto"/>
                <w:w w:val="86"/>
              </w:rPr>
              <w:t>$ 38.31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Implied exchange</w:t>
            </w:r>
          </w:p>
        </w:tc>
      </w:tr>
      <w:tr>
        <w:trPr>
          <w:trHeight w:val="171"/>
        </w:trPr>
        <w:tc>
          <w:tcPr>
            <w:tcW w:w="10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ratio</w:t>
            </w:r>
          </w:p>
        </w:tc>
      </w:tr>
      <w:tr>
        <w:trPr>
          <w:trHeight w:val="210"/>
        </w:trPr>
        <w:tc>
          <w:tcPr>
            <w:tcW w:w="10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52-week highest TWC stock price to 52-week lowest Comcast class A stock price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3.650x</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52-week lowest TWC stock price to 52-week highest Comcast class A stock price</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1.539x</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noted that a historical trading analysis was presented merely for reference purposes only, and was not relied upon for valuation purposes.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Public Trading Multiples Analysis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Cable Companies:</w:t>
      </w:r>
    </w:p>
    <w:p>
      <w:pPr>
        <w:spacing w:after="0" w:line="131" w:lineRule="exact"/>
        <w:rPr>
          <w:sz w:val="20"/>
          <w:szCs w:val="20"/>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Cablevision Systems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Charter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Time Warner Cable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jc w:val="both"/>
        <w:ind w:left="900" w:right="660" w:hanging="325"/>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Multiple of firm value (calculated as equity value plus total debt and other adjustments, including minority interest, net of cash and cash equivalents, unconsolidated investments and value of tax attributes) to estimated EBITDA (calculated as earnings before interest, taxes, depreciation and amortization) for 2014;</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selected companies, as indicated in the following table: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Trading multiples—Cable Companies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Firm value to EBITDA ratio</w:t>
            </w: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Equity value to levered free cash flow</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460" w:type="dxa"/>
            <w:vAlign w:val="bottom"/>
            <w:gridSpan w:val="4"/>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8"/>
              </w:rPr>
              <w:t>ratio</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2014 estimated</w:t>
            </w:r>
          </w:p>
        </w:tc>
        <w:tc>
          <w:tcPr>
            <w:tcW w:w="10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720" w:type="dxa"/>
            <w:vAlign w:val="bottom"/>
          </w:tcPr>
          <w:p>
            <w:pPr>
              <w:spacing w:after="0"/>
              <w:rPr>
                <w:sz w:val="12"/>
                <w:szCs w:val="12"/>
                <w:color w:val="auto"/>
              </w:rPr>
            </w:pPr>
          </w:p>
        </w:tc>
        <w:tc>
          <w:tcPr>
            <w:tcW w:w="132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2014 estimated</w:t>
            </w:r>
          </w:p>
        </w:tc>
        <w:tc>
          <w:tcPr>
            <w:tcW w:w="6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Cablevision Systems Corporation</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2"/>
              </w:rPr>
              <w:t>7.5x</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7.2x</w:t>
            </w:r>
          </w:p>
        </w:tc>
        <w:tc>
          <w:tcPr>
            <w:tcW w:w="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6"/>
              </w:rPr>
              <w:t>23.9x</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6"/>
              </w:rPr>
              <w:t>16.9x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Charter Communications,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8.8x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8.0x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24.2x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14.8x</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6.9x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18.1x</w:t>
            </w:r>
          </w:p>
        </w:tc>
        <w:tc>
          <w:tcPr>
            <w:tcW w:w="6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16.0x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Time Warner Cable Inc.</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7.3x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7.0x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15.9x</w:t>
            </w:r>
          </w:p>
        </w:tc>
        <w:tc>
          <w:tcPr>
            <w:tcW w:w="64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18.4x</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7.7x</w:t>
            </w: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7.3x</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20.5x</w:t>
            </w: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16.5x</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Median</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7.4x</w:t>
            </w: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7.1x</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21.0x</w:t>
            </w:r>
          </w:p>
        </w:tc>
        <w:tc>
          <w:tcPr>
            <w:tcW w:w="640" w:type="dxa"/>
            <w:vAlign w:val="bottom"/>
          </w:tcPr>
          <w:p>
            <w:pPr>
              <w:spacing w:after="0"/>
              <w:rPr>
                <w:sz w:val="20"/>
                <w:szCs w:val="20"/>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16.4x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was based on estimated 2014 and 2015 EBITDA. Additional information on estimated 2014 and 2015 EBITDA is provided in the section entitled “Unaudited Prospective Financial Information” beginning on page [—] of this joint proxy statement/prospectus. J.P. Morgan determined firm value for Comcast’s cable business by subtracting the estimated value of Comcast’s non-cable business of $56.2 billion, which J.P. Morgan derived from a consensus of selected equity research analysts, from the firm value for Comcast of $187.1 billion. In addition, for Comcast, equity value to levered free cash flow ratio used is for whole company, including cable and non-cable businesses.</w:t>
      </w:r>
    </w:p>
    <w:p>
      <w:pPr>
        <w:spacing w:after="0" w:line="111" w:lineRule="exact"/>
        <w:rPr>
          <w:sz w:val="20"/>
          <w:szCs w:val="20"/>
          <w:color w:val="auto"/>
        </w:rPr>
      </w:pPr>
    </w:p>
    <w:p>
      <w:pPr>
        <w:sectPr>
          <w:pgSz w:w="11900" w:h="16838" w:orient="portrait"/>
          <w:cols w:equalWidth="0" w:num="2">
            <w:col w:w="400" w:space="400"/>
            <w:col w:w="1056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360"/>
          </w:cols>
          <w:pgMar w:left="240" w:top="459" w:right="29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Implied equity value per share—TWC</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Firm value to EBITDA ratio</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6"/>
          </w:tcPr>
          <w:p>
            <w:pPr>
              <w:ind w:left="200"/>
              <w:spacing w:after="0"/>
              <w:rPr>
                <w:sz w:val="20"/>
                <w:szCs w:val="20"/>
                <w:color w:val="auto"/>
              </w:rPr>
            </w:pPr>
            <w:r>
              <w:rPr>
                <w:rFonts w:ascii="Arial" w:cs="Arial" w:eastAsia="Arial" w:hAnsi="Arial"/>
                <w:sz w:val="14"/>
                <w:szCs w:val="14"/>
                <w:b w:val="1"/>
                <w:bCs w:val="1"/>
                <w:color w:val="auto"/>
              </w:rPr>
              <w:t>Equity value to levered free cash flow ratio</w:t>
            </w:r>
          </w:p>
        </w:tc>
      </w:tr>
      <w:tr>
        <w:trPr>
          <w:trHeight w:val="142"/>
        </w:trPr>
        <w:tc>
          <w:tcPr>
            <w:tcW w:w="3440" w:type="dxa"/>
            <w:vAlign w:val="bottom"/>
          </w:tcPr>
          <w:p>
            <w:pPr>
              <w:spacing w:after="0"/>
              <w:rPr>
                <w:sz w:val="12"/>
                <w:szCs w:val="12"/>
                <w:color w:val="auto"/>
              </w:rPr>
            </w:pPr>
          </w:p>
        </w:tc>
        <w:tc>
          <w:tcPr>
            <w:tcW w:w="14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2014 estimated</w:t>
            </w: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1"/>
              </w:rPr>
              <w:t>2014 estimated</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164.75</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Low</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130.75</w:t>
            </w:r>
          </w:p>
        </w:tc>
        <w:tc>
          <w:tcPr>
            <w:tcW w:w="9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40"/>
              <w:spacing w:after="0"/>
              <w:rPr>
                <w:sz w:val="20"/>
                <w:szCs w:val="20"/>
                <w:color w:val="auto"/>
              </w:rPr>
            </w:pPr>
            <w:r>
              <w:rPr>
                <w:rFonts w:ascii="Arial" w:cs="Arial" w:eastAsia="Arial" w:hAnsi="Arial"/>
                <w:sz w:val="18"/>
                <w:szCs w:val="18"/>
                <w:color w:val="auto"/>
                <w:w w:val="90"/>
              </w:rPr>
              <w:t>135.00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158.50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Comcast Public Trading and Sum of the Parts Trading Multiples Analyses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Diversified Media Companies:</w:t>
      </w:r>
    </w:p>
    <w:p>
      <w:pPr>
        <w:spacing w:after="0" w:line="131"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AMC Networks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CBS Corporation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Discovery Communications,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Scripps Networks Interactive,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Walt Disney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Time Warner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Twenty-First Century Fox,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Viacom Inc.</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in its sum of the parts analysis,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Multiple of firm value to estimated EBITDA for 2015.</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 Results of the analysis for the Diversified Media Companies were presented for the selected companies, as indicated in the following table:</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Trading multiples—Diversified Media Companies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80" w:type="dxa"/>
            <w:vAlign w:val="bottom"/>
            <w:gridSpan w:val="4"/>
          </w:tcPr>
          <w:p>
            <w:pPr>
              <w:ind w:left="560"/>
              <w:spacing w:after="0"/>
              <w:rPr>
                <w:sz w:val="20"/>
                <w:szCs w:val="20"/>
                <w:color w:val="auto"/>
              </w:rPr>
            </w:pPr>
            <w:r>
              <w:rPr>
                <w:rFonts w:ascii="Arial" w:cs="Arial" w:eastAsia="Arial" w:hAnsi="Arial"/>
                <w:sz w:val="14"/>
                <w:szCs w:val="14"/>
                <w:b w:val="1"/>
                <w:bCs w:val="1"/>
                <w:color w:val="auto"/>
              </w:rPr>
              <w:t>Firm value to EBITDA ratio</w:t>
            </w:r>
          </w:p>
        </w:tc>
      </w:tr>
      <w:tr>
        <w:trPr>
          <w:trHeight w:val="142"/>
        </w:trPr>
        <w:tc>
          <w:tcPr>
            <w:tcW w:w="4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2014 estimated</w:t>
            </w:r>
          </w:p>
        </w:tc>
        <w:tc>
          <w:tcPr>
            <w:tcW w:w="1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 estimated</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 Networks Inc.</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CBS Corporation</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Discovery Communications,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Scripps Networks Interactive,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The Walt Disney Company</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Time Warner Inc.</w:t>
            </w:r>
          </w:p>
        </w:tc>
        <w:tc>
          <w:tcPr>
            <w:tcW w:w="1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9.6x</w:t>
            </w:r>
          </w:p>
        </w:tc>
        <w:tc>
          <w:tcPr>
            <w:tcW w:w="10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8.9x</w:t>
            </w: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Twenty-First Century Fox, Inc.</w:t>
            </w:r>
          </w:p>
        </w:tc>
        <w:tc>
          <w:tcPr>
            <w:tcW w:w="1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10.3x</w:t>
            </w:r>
          </w:p>
        </w:tc>
        <w:tc>
          <w:tcPr>
            <w:tcW w:w="10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Viacom Inc.</w:t>
            </w:r>
          </w:p>
        </w:tc>
        <w:tc>
          <w:tcPr>
            <w:tcW w:w="1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10.5x</w:t>
            </w:r>
          </w:p>
        </w:tc>
        <w:tc>
          <w:tcPr>
            <w:tcW w:w="10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9.8x</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1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Median</w:t>
            </w:r>
          </w:p>
        </w:tc>
        <w:tc>
          <w:tcPr>
            <w:tcW w:w="1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11.0x</w:t>
            </w:r>
          </w:p>
        </w:tc>
        <w:tc>
          <w:tcPr>
            <w:tcW w:w="10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10.4x</w:t>
            </w: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 Additional information on estimated 2014 and 2015 EBITDA is provided in the section entitled “Unaudited Prospective Financial Information” beginning on page [—] of this joint proxy statement/prospectus.</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selected companies, the information J.P. Morgan presented included:</w:t>
      </w:r>
    </w:p>
    <w:p>
      <w:pPr>
        <w:spacing w:after="0" w:line="131"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Multiple of equity value to estimated levered free cash flow for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of the analysis were presented for the Cable Companies, as indicated above in “—TWC Public Trading Multiples Analysis.”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Implied equity value per share—Comcast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4"/>
          </w:tcPr>
          <w:p>
            <w:pPr>
              <w:ind w:left="240"/>
              <w:spacing w:after="0"/>
              <w:rPr>
                <w:sz w:val="20"/>
                <w:szCs w:val="20"/>
                <w:color w:val="auto"/>
              </w:rPr>
            </w:pPr>
            <w:r>
              <w:rPr>
                <w:rFonts w:ascii="Arial" w:cs="Arial" w:eastAsia="Arial" w:hAnsi="Arial"/>
                <w:sz w:val="14"/>
                <w:szCs w:val="14"/>
                <w:b w:val="1"/>
                <w:bCs w:val="1"/>
                <w:color w:val="auto"/>
              </w:rPr>
              <w:t>Firm value to EBITDA ratio</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Equity value to levered free cash flow ratio</w:t>
            </w:r>
          </w:p>
        </w:tc>
      </w:tr>
      <w:tr>
        <w:trPr>
          <w:trHeight w:val="142"/>
        </w:trPr>
        <w:tc>
          <w:tcPr>
            <w:tcW w:w="1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2014 estimated</w:t>
            </w: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2015 estimated</w:t>
            </w: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2015 estimated</w:t>
            </w:r>
          </w:p>
        </w:tc>
        <w:tc>
          <w:tcPr>
            <w:tcW w:w="100" w:type="dxa"/>
            <w:vAlign w:val="bottom"/>
          </w:tcPr>
          <w:p>
            <w:pPr>
              <w:spacing w:after="0"/>
              <w:rPr>
                <w:sz w:val="12"/>
                <w:szCs w:val="12"/>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right="3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Low</w:t>
            </w:r>
          </w:p>
        </w:tc>
        <w:tc>
          <w:tcPr>
            <w:tcW w:w="18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49.25</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47.75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r>
      <w:tr>
        <w:trPr>
          <w:trHeight w:val="350"/>
        </w:trPr>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6"/>
              </w:rPr>
              <w:t>143</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each of firm value to EBITDA and equity value to levered free cash flow, J.P. Morgan then calculated (1) the ratio of the highest implied equity value per share for TWC to the lowest implied equity value per share 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Implied exchange ratio</w:t>
            </w:r>
          </w:p>
        </w:tc>
      </w:tr>
      <w:tr>
        <w:trPr>
          <w:trHeight w:val="142"/>
        </w:trPr>
        <w:tc>
          <w:tcPr>
            <w:tcW w:w="876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9"/>
              </w:rPr>
              <w:t>2014 estimated</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 estimated</w:t>
            </w:r>
          </w:p>
        </w:tc>
        <w:tc>
          <w:tcPr>
            <w:tcW w:w="100" w:type="dxa"/>
            <w:vAlign w:val="bottom"/>
          </w:tcPr>
          <w:p>
            <w:pPr>
              <w:spacing w:after="0"/>
              <w:rPr>
                <w:sz w:val="12"/>
                <w:szCs w:val="12"/>
                <w:color w:val="auto"/>
              </w:rPr>
            </w:pPr>
          </w:p>
        </w:tc>
      </w:tr>
      <w:tr>
        <w:trPr>
          <w:trHeight w:val="196"/>
        </w:trPr>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Firm value to EBITDA ratio:</w:t>
            </w:r>
          </w:p>
        </w:tc>
        <w:tc>
          <w:tcPr>
            <w:tcW w:w="9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3.843x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3.184x</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2.012x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2.195x</w:t>
            </w:r>
          </w:p>
        </w:tc>
      </w:tr>
      <w:tr>
        <w:trPr>
          <w:trHeight w:val="216"/>
        </w:trPr>
        <w:tc>
          <w:tcPr>
            <w:tcW w:w="8760" w:type="dxa"/>
            <w:vAlign w:val="bottom"/>
          </w:tcPr>
          <w:p>
            <w:pPr>
              <w:spacing w:after="0"/>
              <w:rPr>
                <w:sz w:val="20"/>
                <w:szCs w:val="20"/>
                <w:color w:val="auto"/>
              </w:rPr>
            </w:pPr>
            <w:r>
              <w:rPr>
                <w:rFonts w:ascii="Arial" w:cs="Arial" w:eastAsia="Arial" w:hAnsi="Arial"/>
                <w:sz w:val="18"/>
                <w:szCs w:val="18"/>
                <w:i w:val="1"/>
                <w:iCs w:val="1"/>
                <w:color w:val="auto"/>
              </w:rPr>
              <w:t>Equity value to levered free cash flow ratio:</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to lowest Comcast implied equity value per share</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3.728x</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2.857x</w:t>
            </w: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Lowest TWC implied equity value per share to highest Comcast implied equity value per share</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2.949x</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2.078x</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 Analysis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Unadjusted firm</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Firm 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adjusted for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Announcement</w:t>
            </w: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value to</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tax attributes, to</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Acquiror</w:t>
            </w:r>
          </w:p>
        </w:tc>
        <w:tc>
          <w:tcPr>
            <w:tcW w:w="480" w:type="dxa"/>
            <w:vAlign w:val="bottom"/>
          </w:tcPr>
          <w:p>
            <w:pPr>
              <w:spacing w:after="0"/>
              <w:rPr>
                <w:sz w:val="12"/>
                <w:szCs w:val="12"/>
                <w:color w:val="auto"/>
              </w:rPr>
            </w:pPr>
          </w:p>
        </w:tc>
        <w:tc>
          <w:tcPr>
            <w:tcW w:w="24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Target</w:t>
            </w:r>
          </w:p>
        </w:tc>
        <w:tc>
          <w:tcPr>
            <w:tcW w:w="1640" w:type="dxa"/>
            <w:vAlign w:val="bottom"/>
            <w:gridSpan w:val="2"/>
            <w:vMerge w:val="continue"/>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next twelve months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next twelve months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EBITDA ratio</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EBITDA ratio</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Charter Communications, Inc.</w:t>
            </w:r>
          </w:p>
        </w:tc>
        <w:tc>
          <w:tcPr>
            <w:tcW w:w="15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Bresnan Broadband</w:t>
            </w:r>
          </w:p>
        </w:tc>
        <w:tc>
          <w:tcPr>
            <w:tcW w:w="4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February 2013</w:t>
            </w:r>
          </w:p>
        </w:tc>
        <w:tc>
          <w:tcPr>
            <w:tcW w:w="4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880"/>
              <w:spacing w:after="0" w:line="195" w:lineRule="exact"/>
              <w:rPr>
                <w:sz w:val="20"/>
                <w:szCs w:val="20"/>
                <w:color w:val="auto"/>
              </w:rPr>
            </w:pPr>
            <w:r>
              <w:rPr>
                <w:rFonts w:ascii="Arial" w:cs="Arial" w:eastAsia="Arial" w:hAnsi="Arial"/>
                <w:sz w:val="18"/>
                <w:szCs w:val="18"/>
                <w:color w:val="auto"/>
                <w:w w:val="82"/>
              </w:rPr>
              <w:t>8.0x</w:t>
            </w:r>
          </w:p>
        </w:tc>
        <w:tc>
          <w:tcPr>
            <w:tcW w:w="5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7.0x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BC Partners Limited</w:t>
            </w:r>
          </w:p>
        </w:tc>
        <w:tc>
          <w:tcPr>
            <w:tcW w:w="2880" w:type="dxa"/>
            <w:vAlign w:val="bottom"/>
            <w:gridSpan w:val="3"/>
          </w:tcPr>
          <w:p>
            <w:pPr>
              <w:ind w:left="480"/>
              <w:spacing w:after="0" w:line="201" w:lineRule="exact"/>
              <w:rPr>
                <w:sz w:val="20"/>
                <w:szCs w:val="20"/>
                <w:color w:val="auto"/>
              </w:rPr>
            </w:pPr>
            <w:r>
              <w:rPr>
                <w:rFonts w:ascii="Arial" w:cs="Arial" w:eastAsia="Arial" w:hAnsi="Arial"/>
                <w:sz w:val="18"/>
                <w:szCs w:val="18"/>
                <w:color w:val="auto"/>
              </w:rPr>
              <w:t>Suddenlink</w:t>
            </w:r>
          </w:p>
        </w:tc>
        <w:tc>
          <w:tcPr>
            <w:tcW w:w="1640" w:type="dxa"/>
            <w:vAlign w:val="bottom"/>
            <w:gridSpan w:val="2"/>
          </w:tcPr>
          <w:p>
            <w:pPr>
              <w:jc w:val="center"/>
              <w:ind w:right="480"/>
              <w:spacing w:after="0" w:line="201" w:lineRule="exact"/>
              <w:rPr>
                <w:sz w:val="20"/>
                <w:szCs w:val="20"/>
                <w:color w:val="auto"/>
              </w:rPr>
            </w:pPr>
            <w:r>
              <w:rPr>
                <w:rFonts w:ascii="Arial" w:cs="Arial" w:eastAsia="Arial" w:hAnsi="Arial"/>
                <w:sz w:val="18"/>
                <w:szCs w:val="18"/>
                <w:color w:val="auto"/>
                <w:w w:val="93"/>
              </w:rPr>
              <w:t>July 2012</w:t>
            </w:r>
          </w:p>
        </w:tc>
        <w:tc>
          <w:tcPr>
            <w:tcW w:w="176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8.4x</w:t>
            </w:r>
          </w:p>
        </w:tc>
        <w:tc>
          <w:tcPr>
            <w:tcW w:w="1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Cogeco Cable Inc.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Atlantic Broadband</w:t>
            </w:r>
          </w:p>
        </w:tc>
        <w:tc>
          <w:tcPr>
            <w:tcW w:w="16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3"/>
              </w:rPr>
              <w:t>July 2012</w:t>
            </w: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8.8x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Liberty Global,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OneLink Communications</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June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Oak Hill Capital Partners, L.P. and GI Partners</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WaveDivision Holdings,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85"/>
              </w:rPr>
              <w:t>June 2012</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WideOpenWest Finance, LLC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Knology,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April 2012</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7.6x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Time Warner Cable Inc.</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Insight Communications</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August 2011</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Company, Inc.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Suddenlink Communications</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NPG Cable, Inc.</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November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Rocco B. Commisso</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Mediacom</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90"/>
              </w:rPr>
              <w:t>November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7.1x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Communications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Corporation</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Knology, Inc.</w:t>
            </w:r>
          </w:p>
        </w:tc>
        <w:tc>
          <w:tcPr>
            <w:tcW w:w="2880" w:type="dxa"/>
            <w:vAlign w:val="bottom"/>
            <w:gridSpan w:val="3"/>
          </w:tcPr>
          <w:p>
            <w:pPr>
              <w:ind w:left="480"/>
              <w:spacing w:after="0"/>
              <w:rPr>
                <w:sz w:val="20"/>
                <w:szCs w:val="20"/>
                <w:color w:val="auto"/>
              </w:rPr>
            </w:pPr>
            <w:r>
              <w:rPr>
                <w:rFonts w:ascii="Arial" w:cs="Arial" w:eastAsia="Arial" w:hAnsi="Arial"/>
                <w:sz w:val="18"/>
                <w:szCs w:val="18"/>
                <w:color w:val="auto"/>
              </w:rPr>
              <w:t>Sunflower Broadband</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August 2010</w:t>
            </w: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7.5x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Cablevision Systems Corporation</w:t>
            </w:r>
          </w:p>
        </w:tc>
        <w:tc>
          <w:tcPr>
            <w:tcW w:w="288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Bresnan Broadband</w:t>
            </w:r>
          </w:p>
        </w:tc>
        <w:tc>
          <w:tcPr>
            <w:tcW w:w="1640" w:type="dxa"/>
            <w:vAlign w:val="bottom"/>
            <w:gridSpan w:val="2"/>
            <w:shd w:val="clear" w:color="auto" w:fill="CCEEFF"/>
          </w:tcPr>
          <w:p>
            <w:pPr>
              <w:jc w:val="center"/>
              <w:ind w:right="480"/>
              <w:spacing w:after="0" w:line="201" w:lineRule="exact"/>
              <w:rPr>
                <w:sz w:val="20"/>
                <w:szCs w:val="20"/>
                <w:color w:val="auto"/>
              </w:rPr>
            </w:pPr>
            <w:r>
              <w:rPr>
                <w:rFonts w:ascii="Arial" w:cs="Arial" w:eastAsia="Arial" w:hAnsi="Arial"/>
                <w:sz w:val="18"/>
                <w:szCs w:val="18"/>
                <w:color w:val="auto"/>
                <w:w w:val="85"/>
              </w:rPr>
              <w:t>June 2010</w:t>
            </w:r>
          </w:p>
        </w:tc>
        <w:tc>
          <w:tcPr>
            <w:tcW w:w="176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8.3x</w:t>
            </w:r>
          </w:p>
        </w:tc>
        <w:tc>
          <w:tcPr>
            <w:tcW w:w="1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5.9x</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Holdings, LLC</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Mean</w:t>
            </w: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2"/>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6.7x</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8.0x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Note: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Firm value, adjusted for tax attributes, to next twelve months EBITDA ratio only available for the following transactions: Charter Communications, Inc. / Bresnan Broadband Holdings, LLC, Time Warner Cable Inc. / Insight Communications Company, Inc., Rocco B. Commisso / Mediacom Communications Corporation and Cablevision Systems Corporation / Bresnan Broadband Holdings, LLC.</w:t>
      </w:r>
    </w:p>
    <w:p>
      <w:pPr>
        <w:spacing w:after="0" w:line="79" w:lineRule="exact"/>
        <w:rPr>
          <w:sz w:val="20"/>
          <w:szCs w:val="20"/>
          <w:color w:val="auto"/>
        </w:rPr>
      </w:pPr>
    </w:p>
    <w:p>
      <w:pPr>
        <w:sectPr>
          <w:pgSz w:w="11900" w:h="16838" w:orient="portrait"/>
          <w:cols w:equalWidth="0" w:num="2">
            <w:col w:w="400" w:space="400"/>
            <w:col w:w="106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459" w:right="2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 for TWC and Sum of the Parts Discounted Cash Flow Analysis for Comcast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 ranging from 1.75% to 2.25% to the unlevered free cash flows of the business during 2023. The unlevered free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cash flows and range of terminal values were then discounted to present values using a discount rate range of 7.0% to 8.0%, which range was chosen by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based upon an analysis of the weighted average cost of capital of the non-cable business of Comcast.</w:t>
      </w:r>
    </w:p>
    <w:p>
      <w:pPr>
        <w:spacing w:after="0" w:line="21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J.P. Morgan then calculated (1) the ratio of the highest implied equity value per share for TWC to the lowest implied equity value per share for Comcast, and (2) the ratio of the lowest implied equity value per share for 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Implied</w:t>
            </w:r>
          </w:p>
        </w:tc>
      </w:tr>
      <w:tr>
        <w:trPr>
          <w:trHeight w:val="171"/>
        </w:trPr>
        <w:tc>
          <w:tcPr>
            <w:tcW w:w="104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exchange ratio</w:t>
            </w:r>
          </w:p>
        </w:tc>
      </w:tr>
      <w:tr>
        <w:trPr>
          <w:trHeight w:val="196"/>
        </w:trPr>
        <w:tc>
          <w:tcPr>
            <w:tcW w:w="10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No synergies</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standalone implied equity value per share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3.203x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standalone implied equity value per share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1.623x</w:t>
            </w:r>
          </w:p>
        </w:tc>
      </w:tr>
      <w:tr>
        <w:trPr>
          <w:trHeight w:val="216"/>
        </w:trPr>
        <w:tc>
          <w:tcPr>
            <w:tcW w:w="10420" w:type="dxa"/>
            <w:vAlign w:val="bottom"/>
          </w:tcPr>
          <w:p>
            <w:pPr>
              <w:spacing w:after="0"/>
              <w:rPr>
                <w:sz w:val="20"/>
                <w:szCs w:val="20"/>
                <w:color w:val="auto"/>
              </w:rPr>
            </w:pPr>
            <w:r>
              <w:rPr>
                <w:rFonts w:ascii="Arial" w:cs="Arial" w:eastAsia="Arial" w:hAnsi="Arial"/>
                <w:sz w:val="18"/>
                <w:szCs w:val="18"/>
                <w:i w:val="1"/>
                <w:iCs w:val="1"/>
                <w:color w:val="auto"/>
              </w:rPr>
              <w:t>50% synergie</w:t>
            </w:r>
            <w:r>
              <w:rPr>
                <w:rFonts w:ascii="Arial" w:cs="Arial" w:eastAsia="Arial" w:hAnsi="Arial"/>
                <w:sz w:val="18"/>
                <w:szCs w:val="18"/>
                <w:color w:val="auto"/>
              </w:rPr>
              <w: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Highest TWC implied equity value per share (including 50% synergies) to lowest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3.927x</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Lowest TWC implied equity value per share (including 50% synergies) to highest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2.080x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100% synergies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Highest TWC implied equity value per share (including 100% synergies) to lowest Comcast implied equity value per share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4.647x</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Lowest TWC implied equity value per share (including 100% synergies) to highest Comcast implied equity value per share</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2.534x</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Illustrative Value Creation Analysis</w:t>
      </w:r>
    </w:p>
    <w:p>
      <w:pPr>
        <w:spacing w:after="0" w:line="11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i w:val="1"/>
          <w:iCs w:val="1"/>
          <w:color w:val="auto"/>
        </w:rPr>
        <w:t xml:space="preserve">Intrinsic Value. </w:t>
      </w:r>
      <w:r>
        <w:rPr>
          <w:rFonts w:ascii="Arial" w:cs="Arial" w:eastAsia="Arial" w:hAnsi="Arial"/>
          <w:sz w:val="16"/>
          <w:szCs w:val="16"/>
          <w:color w:val="auto"/>
        </w:rPr>
        <w:t>J.P. Morgan conducted an illustrative value creation analysis that compared the implied equity value per share of Comcast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derived 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 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w:t>
      </w:r>
    </w:p>
    <w:p>
      <w:pPr>
        <w:spacing w:after="0" w:line="5" w:lineRule="exact"/>
        <w:rPr>
          <w:sz w:val="20"/>
          <w:szCs w:val="20"/>
          <w:color w:val="auto"/>
        </w:rPr>
      </w:pPr>
    </w:p>
    <w:p>
      <w:pPr>
        <w:ind w:right="40" w:firstLine="8"/>
        <w:spacing w:after="0" w:line="254"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of the estimated present value of the Comcast synergy estimates, net of implementation costs and remediation capital expenditures, discounted to present value using a discount rate of 7.0% and perpetuity growth rate of 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J.P. Morgan also conducted an illustrative value creation analysis that compared the closing market price of Comcast common stock as of</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10, 2014 to the pro forma combined company implied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(calculated as the sum of the equity values of Comcast and TWC divided by the sum of the levered free cash flows of Comcast and TWC)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J.P. Morgan has acted as financial advisor to Comcast with respect to the proposed merger and will receive a fee from Comcast for its services equal to a total of $27.5 million, $25 million of which will become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providing treasury and securities services to Comcast and providing treasury and securities services as well as asset management services to TWC. In addition, J.P. Morgan’s commercial banking affiliate is an agent bank and 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$12.0 million and from TWC in the amount of $5.6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Prospective Financial Information</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TWC Management Case</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 Opinions of TWC’s Financial Advisors” and “—Opinion of Financial Advisor to the TWC Independent Directors” beginning on pages [—] and [—],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w:t>
      </w:r>
    </w:p>
    <w:p>
      <w:pPr>
        <w:spacing w:after="0" w:line="4" w:lineRule="exact"/>
        <w:rPr>
          <w:sz w:val="20"/>
          <w:szCs w:val="20"/>
          <w:color w:val="auto"/>
        </w:rPr>
      </w:pPr>
    </w:p>
    <w:p>
      <w:pPr>
        <w:ind w:left="320" w:hanging="312"/>
        <w:spacing w:after="0"/>
        <w:tabs>
          <w:tab w:leader="none" w:pos="3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operating expenses before depreciation, amortization and merger-related and restructuring costs growth of 4.8% 2013-2016 CAGR resulting from</w:t>
      </w:r>
    </w:p>
    <w:p>
      <w:pPr>
        <w:spacing w:after="0" w:line="20"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7"/>
          <w:szCs w:val="17"/>
          <w:color w:val="auto"/>
        </w:rPr>
        <w:t>continuation of cost reduction and operating efficiency strategies, (iv) a decrease in total operating expenses before depreciation, amortization and merger-related and restructuring costs as a percentage of revenue to 63.4% in 2016, and (v) an increase in capital expenditures as a percentage of revenue from 14.5% in 2013 to 16.0% in 2014, decreasing to 15.7% of revenue in 2015 and to 14.8% of revenue in 2016. These assumptions 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TWC Management Case:</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TWC Management Case</w:t>
      </w:r>
    </w:p>
    <w:p>
      <w:pPr>
        <w:jc w:val="center"/>
        <w:ind w:left="66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2014E</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2016E</w:t>
            </w:r>
          </w:p>
        </w:tc>
        <w:tc>
          <w:tcPr>
            <w:tcW w:w="100" w:type="dxa"/>
            <w:vAlign w:val="bottom"/>
          </w:tcPr>
          <w:p>
            <w:pPr>
              <w:spacing w:after="0"/>
              <w:rPr>
                <w:sz w:val="12"/>
                <w:szCs w:val="12"/>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Adjusted OIBDA(1)</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8,425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8,600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9,400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Levered Free Cash Flow(2)</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2,650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2,120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91"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hanging="452"/>
        <w:spacing w:after="0" w:line="273" w:lineRule="auto"/>
        <w:tabs>
          <w:tab w:leader="none" w:pos="4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 (C) partnership distributions to third parties and (D) principal payments on capital leases.</w:t>
      </w:r>
    </w:p>
    <w:p>
      <w:pPr>
        <w:spacing w:after="0" w:line="17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Comcast Street Case</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due diligence investigation of Comcast undertaken by TWC and its advisors, TWC requested from Comcast non-public forecasts and projections as to Comcast’s potential future performance prepared or adopted by Comcast’s management. Comcast informed TWC that it does not, as a matter of course, publicly disclose forecasts or projections as to its potential future performance, and as a result was not willing to provide TWC with any such forecasts or projections. Instead, Comcast and TWC discussed certain publicly available forecasts of potential future performance concerning Comcast, including certain publicly available forecasts prepared by the independent equity research group of J.P. Morgan in a report dated January 29, 2014, which is referred to in this joint proxy statement/prospectus as the Specified Comcast Street Case. Comcast informed TWC that the Specified Comcast Street Case, which included projections for a seven-year period, instead of the three-year period set forth by other equity research groups, did not present a more favorable forecast of Comcast’s potential future performance than the publicly available forecasts to be used by Comcast’s financial advisor in connection with its valuation analysis and fairness opinion, referred to below as the Consensus Comcast Street Case. The TWC board of directors reviewed and considered the Specified Comcast Street Case, and TWC’s financial advisors used the Specified Comcast Street Case in their financial analyses of Comcast (see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“—Opinions of TWC’s Financial Advisors” and “—Opinion of Financial Advisor to the TWC Independent Directors” beginning on pages [—] and [—], respectively, of this joint proxy statement/prospectus) per Comcast’s management’s indication, on which the TWC financial advisors relied, as a reasonable basis on which to evaluate Comcast, with TWC’s consent. The Specified Comcast Street Case was not internally prepared or adopted by Comcast management but rather was prepared, for purposes unrelated to the management of Comcast’s business or the merger, by the independent equity research group at J.P. Morgan, which was not representing or acting on behalf of Comcast, and which operates independently from, and is physically separated from, the financial advisory and financing businesses of J.P. Morgan. Comcast believes that the Specified Comcast Street Case is a conservative forecast of Comcast’s potential future performance.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Specified Comcast Street Case:</w:t>
      </w:r>
    </w:p>
    <w:p>
      <w:pPr>
        <w:spacing w:after="0" w:line="24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Specified Comcast Street Case</w:t>
      </w:r>
    </w:p>
    <w:p>
      <w:pPr>
        <w:jc w:val="center"/>
        <w:ind w:left="512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74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2014E</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2015E</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2016E</w:t>
            </w:r>
          </w:p>
        </w:tc>
        <w:tc>
          <w:tcPr>
            <w:tcW w:w="9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2017E</w:t>
            </w:r>
          </w:p>
        </w:tc>
        <w:tc>
          <w:tcPr>
            <w:tcW w:w="9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2018E</w:t>
            </w:r>
          </w:p>
        </w:tc>
        <w:tc>
          <w:tcPr>
            <w:tcW w:w="7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2019E</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2020E</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$68,373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$74,566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$77,821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$ 80,842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$ 83,650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$ 86,247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EBITDA(1)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22,388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23,892</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25,196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26,457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28,744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29,720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7,384</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7,399</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7,606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Consensus Comcast Street Case</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Consensus Comcast Street Case:</w:t>
      </w:r>
    </w:p>
    <w:p>
      <w:pPr>
        <w:spacing w:after="0" w:line="244"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Consensus Comcast Street Case – Cable Business</w:t>
      </w:r>
    </w:p>
    <w:p>
      <w:pPr>
        <w:jc w:val="center"/>
        <w:ind w:left="546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43,735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46,430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EBITDA(1)</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17,875</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18,929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20,371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6,158</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2780" w:type="dxa"/>
            <w:vAlign w:val="bottom"/>
            <w:gridSpan w:val="3"/>
          </w:tcPr>
          <w:p>
            <w:pPr>
              <w:jc w:val="right"/>
              <w:ind w:right="340"/>
              <w:spacing w:after="0"/>
              <w:rPr>
                <w:sz w:val="20"/>
                <w:szCs w:val="20"/>
                <w:color w:val="auto"/>
              </w:rPr>
            </w:pPr>
            <w:r>
              <w:rPr>
                <w:rFonts w:ascii="Arial" w:cs="Arial" w:eastAsia="Arial" w:hAnsi="Arial"/>
                <w:sz w:val="18"/>
                <w:szCs w:val="18"/>
                <w:color w:val="auto"/>
              </w:rPr>
              <w:t>6,900</w:t>
            </w:r>
          </w:p>
        </w:tc>
        <w:tc>
          <w:tcPr>
            <w:tcW w:w="1860" w:type="dxa"/>
            <w:vAlign w:val="bottom"/>
            <w:gridSpan w:val="3"/>
          </w:tcPr>
          <w:p>
            <w:pPr>
              <w:jc w:val="right"/>
              <w:ind w:right="680"/>
              <w:spacing w:after="0"/>
              <w:rPr>
                <w:sz w:val="20"/>
                <w:szCs w:val="20"/>
                <w:color w:val="auto"/>
              </w:rPr>
            </w:pPr>
            <w:r>
              <w:rPr>
                <w:rFonts w:ascii="Arial" w:cs="Arial" w:eastAsia="Arial" w:hAnsi="Arial"/>
                <w:sz w:val="18"/>
                <w:szCs w:val="18"/>
                <w:color w:val="auto"/>
              </w:rPr>
              <w:t>7,592</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580" w:right="5320" w:hanging="5572"/>
        <w:spacing w:after="0" w:line="536" w:lineRule="auto"/>
        <w:tabs>
          <w:tab w:leader="none" w:pos="4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EBITDA means earnings before interest, taxes, depreciation and amortization. 150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46" w:lineRule="exact"/>
        <w:rPr>
          <w:rFonts w:ascii="Arial" w:cs="Arial" w:eastAsia="Arial" w:hAnsi="Arial"/>
          <w:sz w:val="16"/>
          <w:szCs w:val="16"/>
          <w:color w:val="auto"/>
        </w:rPr>
      </w:pPr>
    </w:p>
    <w:p>
      <w:pPr>
        <w:ind w:left="460" w:right="200" w:hanging="452"/>
        <w:spacing w:after="0" w:line="323"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157"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Consensus Comcast Street Case – Non-Cable Business</w:t>
      </w:r>
    </w:p>
    <w:p>
      <w:pPr>
        <w:jc w:val="center"/>
        <w:ind w:left="49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2014E</w:t>
            </w: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2015E</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25,066</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EBITDA(1)</w:t>
            </w:r>
          </w:p>
        </w:tc>
        <w:tc>
          <w:tcPr>
            <w:tcW w:w="18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4,924</w:t>
            </w: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5,776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20"/>
                <w:szCs w:val="20"/>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440" w:hanging="452"/>
        <w:spacing w:after="0" w:line="255"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20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Consensus Comcast Street Case – Consolidated</w:t>
      </w:r>
    </w:p>
    <w:p>
      <w:pPr>
        <w:jc w:val="center"/>
        <w:ind w:left="554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11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2014E</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2015E</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68,801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71,923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76,936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EBITDA(1)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22,799</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24,296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26,147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7,336</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7,177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9,030</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10,037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320" w:hanging="452"/>
        <w:spacing w:after="0" w:line="255"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Adjusted TWC Management Case</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Adjusted TWC Management Case.</w:t>
      </w:r>
    </w:p>
    <w:p>
      <w:pPr>
        <w:spacing w:after="0" w:line="24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Adjusted TWC Management Case</w:t>
      </w:r>
    </w:p>
    <w:p>
      <w:pPr>
        <w:jc w:val="center"/>
        <w:ind w:left="8580"/>
        <w:spacing w:after="0" w:line="23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80" w:type="dxa"/>
            <w:vAlign w:val="bottom"/>
          </w:tcPr>
          <w:p>
            <w:pPr>
              <w:spacing w:after="0"/>
              <w:rPr>
                <w:sz w:val="12"/>
                <w:szCs w:val="12"/>
                <w:color w:val="auto"/>
              </w:rPr>
            </w:pPr>
          </w:p>
        </w:tc>
        <w:tc>
          <w:tcPr>
            <w:tcW w:w="10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2014E</w:t>
            </w:r>
          </w:p>
        </w:tc>
        <w:tc>
          <w:tcPr>
            <w:tcW w:w="10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2015E</w:t>
            </w:r>
          </w:p>
        </w:tc>
        <w:tc>
          <w:tcPr>
            <w:tcW w:w="5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2016E</w:t>
            </w:r>
          </w:p>
        </w:tc>
        <w:tc>
          <w:tcPr>
            <w:tcW w:w="100" w:type="dxa"/>
            <w:vAlign w:val="bottom"/>
          </w:tcPr>
          <w:p>
            <w:pPr>
              <w:spacing w:after="0"/>
              <w:rPr>
                <w:sz w:val="12"/>
                <w:szCs w:val="12"/>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$24,146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EBITDA(1)</w:t>
            </w:r>
          </w:p>
        </w:tc>
        <w:tc>
          <w:tcPr>
            <w:tcW w:w="600" w:type="dxa"/>
            <w:vAlign w:val="bottom"/>
          </w:tcPr>
          <w:p>
            <w:pPr>
              <w:jc w:val="right"/>
              <w:spacing w:after="0"/>
              <w:rPr>
                <w:sz w:val="20"/>
                <w:szCs w:val="20"/>
                <w:color w:val="auto"/>
              </w:rPr>
            </w:pPr>
            <w:r>
              <w:rPr>
                <w:rFonts w:ascii="Arial" w:cs="Arial" w:eastAsia="Arial" w:hAnsi="Arial"/>
                <w:sz w:val="18"/>
                <w:szCs w:val="18"/>
                <w:color w:val="auto"/>
              </w:rPr>
              <w:t>8,425</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8,600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Unlevered Free Cash Flow(2)(3)</w:t>
            </w: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2,483</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EBITDA means earnings before interest, taxes, depreciation and amortization.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32"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extrapolation of unlevered free cash flow for fiscal years 2017 through 2023 in the Adjusted TWC Management Case was as follows (in millions): 2017E: $3,214; 2018E: $3,455; 2019E: $3,609; 2020E: $3,744; 2021E: $3,858; 2022E: $3,949; and 2023E: $4,015.</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7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 reflected in any of the Cases will be realized or that actual results will not materially vary from the Cases.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24"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 of this joint proxy statement/prospectus for additional information regarding the risks inherent in forward-looking information such as the financial projections and “Where You Can Find More Information” beginning on page [—] of this joint proxy statement/prospectus.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83"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information about the Cases set forth above does not give effect to the merger and also does not take into account the effect of any failure of the merger to be consummated.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between Comcast and TWC</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 Comcast and TWC also are and have been co-investors in certain other businesses, including, among others, Canoe Ventures, LLC, iN DEMAND LLC and SportsNet New York and co-participants in certain industry trade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groups. Additional information regarding joint ventures between Comcast and TWC is included in the documents incorporated by reference into this joint proxy statement/prospectus.</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 of this joint proxy statement/prospectus or its obligations to call and hold a meeting of its stockholders, in each case, if an acquisition proposal (as defined under “The Merger Agreement—No Solicitation by TWC” beginning on page [—] of this joint proxy statement/prospectus) has been publicly made prior to TWC’s special meeting. Each such termination event is more fully described in “The Merger Agreement—Termination of the Merger Agreement” beginning on page [—] of this joint proxy statement/prospectus.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Antitrust Filing</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FCC Approval</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 and Local Approvals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Governmental Approvals</w:t>
      </w:r>
    </w:p>
    <w:p>
      <w:pPr>
        <w:spacing w:after="0" w:line="117"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Efforts to Obtain Regulatory Approvals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92"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divest or hold separate any businesses, assets or properties of Comcast or TWC or any of their respective subsidiaries;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accept any conditions or take any actions that would apply to or affect any businesses, assets or properties of Comcast or TWC or any of their respective subsidiaries;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litigate or participate in the litigation of any proceeding involving the FCC, the FTC or the DOJ.</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under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obtaining the required governmental authorizations, Comcast has agreed to the following undertakings (with such modifications as are no more adverse in the aggregate than such agreed undertakings):</w:t>
      </w:r>
    </w:p>
    <w:p>
      <w:pPr>
        <w:spacing w:after="0" w:line="76" w:lineRule="exact"/>
        <w:rPr>
          <w:sz w:val="20"/>
          <w:szCs w:val="20"/>
          <w:color w:val="auto"/>
        </w:rPr>
      </w:pPr>
    </w:p>
    <w:p>
      <w:pPr>
        <w:ind w:left="900" w:hanging="446"/>
        <w:spacing w:after="0" w:line="259"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extending Comcast’s broadband adoption and digital literacy programs to low-income subscribers in the acquired systems;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extending Comcast’s diversity program to the acquired TWC systems, covering diversity in employment, supplier diversity, programming diversity, and community investment diversity.</w:t>
      </w:r>
    </w:p>
    <w:p>
      <w:pPr>
        <w:spacing w:after="0" w:line="170"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73" w:lineRule="auto"/>
        <w:tabs>
          <w:tab w:leader="none" w:pos="2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7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Due to the timing associated with the debt-for-debt exchange (as described in “The Divestiture Transactions” beginning on page [—] of this joint proxy statement/prospectus), however, the earliest the divestiture transactions could be completed is four weeks following completion of the merger, and could take significantly longer or may not occur at all. The completion of the divestiture transactions will result in the combined company divesting a net total of approximately 3.9 million subscribers. See “The Divestiture Transactions” beginning on page [—] of this joint proxy statement/prospectus.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Timing</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Specifically, beginning in early April 2014, Comcast and TWC made a number of filings with the FCC and the DOJ to initiate the merger review process, including a detailed public interest statement that was filed with the FCC on April 8, 2014. Since making those filings, Comcast and TWC representatives have met with FCC and DOJ officials to provide additional details regarding the merger and to answer questions posed by agency staff members.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Concurrent with the federal merger approval process, Comcast and TWC have filed applications in all 12 states where approval for the merger is required, seven of which have granted the applications as of the date of this joint proxy statement/prospectus. In addition, the parties have sought approval from more than 400 local franchising authorities to enable the transfer of TWC’s cable franchises to Comcast. Separately, three congressional hearings have been held on the merger. Although no further hearings are scheduled at this time, it is possible that the parties will be asked to participate in additional legislative proceedings before the merger is approved. For example, the New York State Public Service Commission recently concluded a series of three public hearings that gathered input for its review of the merger.</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process for obtaining the requisite regulatory approvals for the merger is ongoing. The FCC has initiated a public comment period that commenced on July 10, 2014 during which other service providers, members of the public, and other interested parties may file comments in support of, or opposing, the merger. Comcast and TWC will have an opportunity to respond to any public comments filed at the FCC. The commencement of the public comment period also marked the start of the FCC’s informal 180-day clock for reviewing mergers. The public comment period is expected to conclude by October 8, 2014, after which Comcast and TWC will continue to engage with the FCC as it reviews public comments and proceeds with its review of the merger. The DOJ’s merger review process does not include a similar public comment process. Rather, the parties expect to remain in regular contact with DOJ officials to assist their review of the parties’ submissions to the agency and answer questions and provide clarification regarding the merger.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At the state and local level, the parties will actively participate in each state’s/municipality’s individual review processes as appropriate, including by remaining engaged with and available to the regulatory officials overseeing the merger review process.</w:t>
      </w:r>
    </w:p>
    <w:p>
      <w:pPr>
        <w:spacing w:after="0" w:line="1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regulatory filings described above relate to approvals for the merger only. The parties also made certain supplemental filings with respect to the divestiture transactions in June 2014. The parties believe that the divestiture transactions will facilitate regulatory approval of the merger, and have generally requested that regulators and franchise authorities review the merger and the divestiture transactions on the same timeline.</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 below, if the merger is not completed on or before the initial end date, or, at the election of either Comcast or TWC if certain conditions related to the receipt of regulatory approvals have not been satisfied, by August 12, 2015, either Comcast or TWC may terminate the merger agreement. See “The Merger Agreement—Termination of the Merger Agreement” beginning on page [—] of this joint proxy statement/prospectus.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79"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 statement/prospectus, all of which may change, possibly with retroactive effect. For purposes of this discussion, a “U.S. Holder” is a beneficial owner of TWC common stock that is for U.S. federal income tax purposes:</w:t>
      </w:r>
    </w:p>
    <w:p>
      <w:pPr>
        <w:spacing w:after="0" w:line="94"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addresses only the consequences of the exchange of shares of TWC common stock held as capital assets. It does not address all aspects of U.S. federal income taxation that may be important to a U.S. Holder in light of that stockholder’s particular circumstances or to a U.S. Holder subject to special rules, such as:</w:t>
      </w:r>
    </w:p>
    <w:p>
      <w:pPr>
        <w:spacing w:after="0" w:line="87"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stockholder that holds TWC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8"/>
          <w:szCs w:val="18"/>
          <w:b w:val="1"/>
          <w:bCs w:val="1"/>
          <w:color w:val="auto"/>
        </w:rPr>
        <w:t>Accordingly,</w:t>
      </w:r>
      <w:r>
        <w:rPr>
          <w:rFonts w:ascii="Arial" w:cs="Arial" w:eastAsia="Arial" w:hAnsi="Arial"/>
          <w:sz w:val="18"/>
          <w:szCs w:val="18"/>
          <w:color w:val="auto"/>
        </w:rPr>
        <w:t xml:space="preserve"> </w:t>
      </w:r>
      <w:r>
        <w:rPr>
          <w:rFonts w:ascii="Arial" w:cs="Arial" w:eastAsia="Arial" w:hAnsi="Arial"/>
          <w:sz w:val="18"/>
          <w:szCs w:val="18"/>
          <w:b w:val="1"/>
          <w:bCs w:val="1"/>
          <w:color w:val="auto"/>
        </w:rPr>
        <w:t>we urge each holder of TWC common stock to consult his or her tax advisor to determine the particular U.S. federal, state or local or foreign income or other tax consequences to him, her or it of the merger.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Opinions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 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such opinions, the material U.S. federal income tax consequences of the merger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Comcast, Merger Sub and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Comcast, Merger Sub and TWC will recognize any gain or loss for U.S. federal income tax purposes as a result of the merger.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Income Tax Consequences to U.S. Holders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 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Reporting Requirements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7"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names and employer identification numbers of the parties to the reorganization (Comcast (EIN: 27-0000798), Merger Sub (EIN: 32-0433588)</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and TWC (EIN: 84-1496755));</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closing date of the merger;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fair market value and tax basis of the TWC common stock exchanged in the merger, in each case determined immediately before the completion of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under “Comcast Unaudited Pro Forma Condensed Combined Financial Statements— Notes to Unaudited Pro Forma Financial Information Giving Effect to the TWC Merger” beginning on page [—] of this joint proxy statement/prospectus) over the net fair value of such assets and liabilities will be recorded as goodwill.</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 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 and Delisting and Deregistration of TWC Common Stock</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Following the announcement of the merger, eight putative class action complaints challenging the merger have been filed on behalf of purported TWC stockholders in the New York Supreme Court and the Court of Chancery of the State of Delaware. Five of these actions have been consolidated in the New York Supreme Court under the following caption: </w:t>
      </w:r>
      <w:r>
        <w:rPr>
          <w:rFonts w:ascii="Arial" w:cs="Arial" w:eastAsia="Arial" w:hAnsi="Arial"/>
          <w:sz w:val="16"/>
          <w:szCs w:val="16"/>
          <w:i w:val="1"/>
          <w:iCs w:val="1"/>
          <w:color w:val="auto"/>
        </w:rPr>
        <w:t>Barrett, et al.</w:t>
      </w:r>
      <w:r>
        <w:rPr>
          <w:rFonts w:ascii="Arial" w:cs="Arial" w:eastAsia="Arial" w:hAnsi="Arial"/>
          <w:sz w:val="16"/>
          <w:szCs w:val="16"/>
          <w:color w:val="auto"/>
        </w:rPr>
        <w:t xml:space="preserve"> v. </w:t>
      </w:r>
      <w:r>
        <w:rPr>
          <w:rFonts w:ascii="Arial" w:cs="Arial" w:eastAsia="Arial" w:hAnsi="Arial"/>
          <w:sz w:val="16"/>
          <w:szCs w:val="16"/>
          <w:i w:val="1"/>
          <w:iCs w:val="1"/>
          <w:color w:val="auto"/>
        </w:rPr>
        <w:t>Time Warner Cable Inc., et al.</w:t>
      </w:r>
      <w:r>
        <w:rPr>
          <w:rFonts w:ascii="Arial" w:cs="Arial" w:eastAsia="Arial" w:hAnsi="Arial"/>
          <w:sz w:val="16"/>
          <w:szCs w:val="16"/>
          <w:color w:val="auto"/>
        </w:rPr>
        <w:t xml:space="preserve">, Index No. 650507/2014 (N.Y. Sup. Ct.), which is referred to in this joint proxy statement/prospectus as the New York action. Three of these actions are pending in the Court of Chancery of the State of Delaware under the following captions: </w:t>
      </w:r>
      <w:r>
        <w:rPr>
          <w:rFonts w:ascii="Arial" w:cs="Arial" w:eastAsia="Arial" w:hAnsi="Arial"/>
          <w:sz w:val="16"/>
          <w:szCs w:val="16"/>
          <w:i w:val="1"/>
          <w:iCs w:val="1"/>
          <w:color w:val="auto"/>
        </w:rPr>
        <w:t>Louisiana Municipal Police Employees’ Retirement System</w:t>
      </w:r>
      <w:r>
        <w:rPr>
          <w:rFonts w:ascii="Arial" w:cs="Arial" w:eastAsia="Arial" w:hAnsi="Arial"/>
          <w:sz w:val="16"/>
          <w:szCs w:val="16"/>
          <w:color w:val="auto"/>
        </w:rPr>
        <w:t xml:space="preserve"> v. </w:t>
      </w:r>
      <w:r>
        <w:rPr>
          <w:rFonts w:ascii="Arial" w:cs="Arial" w:eastAsia="Arial" w:hAnsi="Arial"/>
          <w:sz w:val="16"/>
          <w:szCs w:val="16"/>
          <w:i w:val="1"/>
          <w:iCs w:val="1"/>
          <w:color w:val="auto"/>
        </w:rPr>
        <w:t>Black</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No. 9410-VCN (Del. Ch.); </w:t>
      </w:r>
      <w:r>
        <w:rPr>
          <w:rFonts w:ascii="Arial" w:cs="Arial" w:eastAsia="Arial" w:hAnsi="Arial"/>
          <w:sz w:val="16"/>
          <w:szCs w:val="16"/>
          <w:i w:val="1"/>
          <w:iCs w:val="1"/>
          <w:color w:val="auto"/>
        </w:rPr>
        <w:t>Tangarone v. Time Warner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Cable Inc., et al., </w:t>
      </w:r>
      <w:r>
        <w:rPr>
          <w:rFonts w:ascii="Arial" w:cs="Arial" w:eastAsia="Arial" w:hAnsi="Arial"/>
          <w:sz w:val="17"/>
          <w:szCs w:val="17"/>
          <w:color w:val="auto"/>
        </w:rPr>
        <w:t>No. 9471-VCN (Del. Ch.);</w:t>
      </w:r>
      <w:r>
        <w:rPr>
          <w:rFonts w:ascii="Arial" w:cs="Arial" w:eastAsia="Arial" w:hAnsi="Arial"/>
          <w:sz w:val="17"/>
          <w:szCs w:val="17"/>
          <w:i w:val="1"/>
          <w:iCs w:val="1"/>
          <w:color w:val="auto"/>
        </w:rPr>
        <w:t xml:space="preserve"> Empire State Supply Corp. v. Time Warner Cable Inc., et al.</w:t>
      </w:r>
      <w:r>
        <w:rPr>
          <w:rFonts w:ascii="Arial" w:cs="Arial" w:eastAsia="Arial" w:hAnsi="Arial"/>
          <w:sz w:val="17"/>
          <w:szCs w:val="17"/>
          <w:color w:val="auto"/>
        </w:rPr>
        <w:t>, No. 9477-VCN, which are collectively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joint proxy statement/prospectus as the Delaware actions. These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a directive to TWC directors to execute their fiduciary duties and obtain a transaction in the best interest of stockholders, a constructive trust on behalf of stockholders for any benefit wrongfully obtained by defendants, unspecified declaratory and equitable relief, compensatory damages in an unspecified amount and costs and fees.</w:t>
      </w:r>
    </w:p>
    <w:p>
      <w:pPr>
        <w:spacing w:after="0" w:line="183"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March 20, 2014, the defendants filed substantively identical motions in all of the actions pending as of that date requesting that the judges to which the cases are assigned in Delaware and New York confer to determine an appropriate, single forum in which the litigation would proceed and to stay or dismiss the litigations in the other forum. During a hearing on April 2, 2014 to consolidate the actions filed in New York into the New York action, Justice Melvin Schweitzer informed the parties that he was not inclined to stay the New York action in favor of the Delaware actions. On April 23, 2014, Justice Schweitzer entered an order consolidating the cases pending in New York into the New York action and appointing co-lead counsel in the New York action. On April 11, 2014, in light of Justice Schweitzer’s statements during the April 2 hearing, the defendants requested that the Court of Chancery of the State of Delaware stay the Delaware actions in favor of the New York action. On April 23, 2014, Vice Chancellor John Noble of the Delaware Court of Chancery heard oral argument on the defendants’ motion to stay the Delaware actions, as well as competing motions by plaintiffs in the Delaware actions for appointment of lead plaintiff and lead counsel.</w:t>
      </w:r>
    </w:p>
    <w:p>
      <w:pPr>
        <w:spacing w:after="0" w:line="18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Beginning in late April 2014, the parties to the New York action and the Delaware actions engaged in expedited document and deposition discovery. On July 22, 2014, following expedited discovery, the parties to the New York action and the Delaware actions entered into an MOU reflecting the terms of an agreement, subject to final approval by the New York Supreme Court and certain other conditions, to settle all of the outstanding litigation challenging the merger. Pursuant to the MOU, the defendants agreed that (x) Comcast and TWC would include in the definitive Form S-4 certain supplemental disclosures; and (y) Comcast would reduce the five-business-day time periods set forth in Section 6.03(d) of the merger agreement to three business days. The MOU further provides that, among other things, (a) the parties will enter into a definitive stipulation of settlement (the “Stipulation”) and will submit the Stipulation to the New York Supreme Court for review and approval; (b) the Stipulation will provide for dismissal of the New York action and the Delaware actions;</w:t>
      </w:r>
    </w:p>
    <w:p>
      <w:pPr>
        <w:spacing w:after="0" w:line="3" w:lineRule="exact"/>
        <w:rPr>
          <w:sz w:val="20"/>
          <w:szCs w:val="20"/>
          <w:color w:val="auto"/>
        </w:rPr>
      </w:pPr>
    </w:p>
    <w:p>
      <w:pPr>
        <w:ind w:right="60" w:firstLine="8"/>
        <w:spacing w:after="0" w:line="255" w:lineRule="auto"/>
        <w:tabs>
          <w:tab w:leader="none" w:pos="2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Stipulation will include a general release of defendants of claims relating to the merger; and (d) the proposed settlement is conditioned on, among other things, consummation of the merger, completion of confirmatory discovery, class certification, and final approval by the New York Supreme Court after notice to TWC’s stockholders.</w:t>
      </w:r>
    </w:p>
    <w:p>
      <w:pPr>
        <w:spacing w:after="0" w:line="19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July 22, 2014, Comcast sent TWC a letter informing TWC that, in connection with the settlement of certain stockholder litigation challenging the merger, Comcast has agreed, among other things, to reduce the five-business-day time periods set forth in Section 6.03(d) of the merger agreement to three business days.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defendants believe that the claims asserted against them in the lawsuits are without merit and, if the settlement does not receive final approval by the New York Supreme Court or is otherwise not consummated, intend to defend the litigation vigorously. The defendants are entering into the settlement solely to eliminate the burden and expense of further litigation, to put the claims that were or could have been asserted to rest, and to avoid any possible delay to the closing of the merger that might arise from further litigation. The settlement will not affect the timing of the merger or the amount of consideration to be paid in the merger.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the merger, TWC common stock will be delisted from the New York Stock Exchange and deregistered under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 of this joint proxy statement/prospectus.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the date of this joint proxy statement/prospectus, we expect to complete the merger in early 2015 due to our current expectations regarding the timing of certain regulatory approvals.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 and [—], respectively, of this joint proxy statement/prospectus.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 of this joint proxy statement/prospectus). Each share of common stock of Merger Sub outstanding immediately prior to completion of the merger will be converted into one share of common stock of the surviving corporation.</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Surrendering TWC Stock Certificates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8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TWC Equity Awards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Stock Options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78"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 Restricted Stock Units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Following completion of the merger, Comcast may make use of shares remaining available for grant under the Time Warner Cable Inc. 2011 Stock Incentive Plan, which is referred to in this joint proxy statement/prospectus as the 2011 Plan, in accordance with NASDAQ rules.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Comcast Class A Common Stock</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Mutual Conditions to Completion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54"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adoption of the merger agreement by holders of a majority of the outstanding shares of TWC common stock entitled to vote;</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 of this joint proxy statement/prospectus for a definition of burdensome condition));</w:t>
      </w:r>
    </w:p>
    <w:p>
      <w:pPr>
        <w:spacing w:after="0" w:line="9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 of this joint proxy statement/prospectus);</w:t>
      </w:r>
    </w:p>
    <w:p>
      <w:pPr>
        <w:spacing w:after="0" w:line="72" w:lineRule="exact"/>
        <w:rPr>
          <w:rFonts w:ascii="Arial" w:cs="Arial" w:eastAsia="Arial" w:hAnsi="Arial"/>
          <w:sz w:val="16"/>
          <w:szCs w:val="16"/>
          <w:color w:val="auto"/>
        </w:rPr>
      </w:pPr>
    </w:p>
    <w:p>
      <w:pPr>
        <w:jc w:val="both"/>
        <w:ind w:left="900" w:right="360" w:hanging="446"/>
        <w:spacing w:after="0" w:line="288"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w:t>
      </w:r>
    </w:p>
    <w:p>
      <w:pPr>
        <w:ind w:left="900"/>
        <w:spacing w:after="0"/>
        <w:rPr>
          <w:rFonts w:ascii="Arial" w:cs="Arial" w:eastAsia="Arial" w:hAnsi="Arial"/>
          <w:sz w:val="16"/>
          <w:szCs w:val="16"/>
          <w:color w:val="auto"/>
        </w:rPr>
      </w:pPr>
      <w:r>
        <w:rPr>
          <w:rFonts w:ascii="Arial" w:cs="Arial" w:eastAsia="Arial" w:hAnsi="Arial"/>
          <w:sz w:val="17"/>
          <w:szCs w:val="17"/>
          <w:color w:val="auto"/>
        </w:rPr>
        <w:t>(2) solely with respect to the obligations of each of Comcast and Merger Sub to complete the merger, imposes any burdensome condition;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64"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approval for the listing on NASDAQ of the shares of Comcast Class A common stock to be issued in the merger, subject only to official notice of issuance.</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Comcast and Merger Sub</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the obligation of each of Comcast and Merger Sub to complete the merger is subject to the satisfaction or waiver of the following conditions:</w:t>
      </w:r>
    </w:p>
    <w:p>
      <w:pPr>
        <w:spacing w:after="0" w:line="76" w:lineRule="exact"/>
        <w:rPr>
          <w:sz w:val="20"/>
          <w:szCs w:val="20"/>
          <w:color w:val="auto"/>
        </w:rPr>
      </w:pPr>
    </w:p>
    <w:p>
      <w:pPr>
        <w:jc w:val="both"/>
        <w:ind w:left="900" w:right="40" w:hanging="446"/>
        <w:spacing w:after="0" w:line="264"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6"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71" w:lineRule="exact"/>
        <w:rPr>
          <w:rFonts w:ascii="Arial" w:cs="Arial" w:eastAsia="Arial" w:hAnsi="Arial"/>
          <w:sz w:val="16"/>
          <w:szCs w:val="16"/>
          <w:color w:val="auto"/>
        </w:rPr>
      </w:pPr>
    </w:p>
    <w:p>
      <w:pPr>
        <w:jc w:val="both"/>
        <w:ind w:left="900" w:right="60" w:hanging="446"/>
        <w:spacing w:after="0" w:line="25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53" w:lineRule="exact"/>
        <w:rPr>
          <w:rFonts w:ascii="Arial" w:cs="Arial" w:eastAsia="Arial" w:hAnsi="Arial"/>
          <w:sz w:val="16"/>
          <w:szCs w:val="16"/>
          <w:color w:val="auto"/>
        </w:rPr>
      </w:pPr>
    </w:p>
    <w:p>
      <w:pPr>
        <w:ind w:left="900" w:right="420" w:hanging="446"/>
        <w:spacing w:after="0" w:line="308"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53"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Conditions to Completion for the Benefit of TWC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obligation of TWC to complete the merger is subject to the satisfaction or waiver of the following conditions:</w:t>
      </w:r>
    </w:p>
    <w:p>
      <w:pPr>
        <w:spacing w:after="0" w:line="131" w:lineRule="exact"/>
        <w:rPr>
          <w:sz w:val="20"/>
          <w:szCs w:val="20"/>
          <w:color w:val="auto"/>
        </w:rPr>
      </w:pPr>
    </w:p>
    <w:p>
      <w:pPr>
        <w:ind w:left="900" w:right="100" w:hanging="446"/>
        <w:spacing w:after="0" w:line="271"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84"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93"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performance in all material respects by Comcast and Merger Sub of the material obligations required to be performed by them at or prior to completion of the merger;</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receipt of a certificate executed by an executive officer of Comcast as to the satisfaction of the conditions described in the preceding four bullets; and</w:t>
      </w:r>
    </w:p>
    <w:p>
      <w:pPr>
        <w:spacing w:after="0" w:line="75" w:lineRule="exact"/>
        <w:rPr>
          <w:rFonts w:ascii="Arial" w:cs="Arial" w:eastAsia="Arial" w:hAnsi="Arial"/>
          <w:sz w:val="18"/>
          <w:szCs w:val="18"/>
          <w:color w:val="auto"/>
        </w:rPr>
      </w:pPr>
    </w:p>
    <w:p>
      <w:pPr>
        <w:ind w:left="900" w:right="100" w:hanging="446"/>
        <w:spacing w:after="0" w:line="279"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 Definition of ‘Material Adverse Effect”’ beginning on page [—]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72" w:lineRule="exact"/>
        <w:rPr>
          <w:sz w:val="20"/>
          <w:szCs w:val="20"/>
          <w:color w:val="auto"/>
        </w:rPr>
      </w:pPr>
    </w:p>
    <w:p>
      <w:pPr>
        <w:ind w:left="900" w:hanging="446"/>
        <w:spacing w:after="0"/>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corporate existence, good standing and qualification to do business;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corporate power and authority to execute and deliver the merger agreement (and, in the case of TWC, the voting agreement), and, subject to the approval of TWC stockholders and Comcast shareholders,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applicable, to perform and comply with their respective obligations thereunder and consummate the transactions contemplated thereby;</w:t>
      </w:r>
    </w:p>
    <w:p>
      <w:pPr>
        <w:spacing w:after="0" w:line="142"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governmental actions necessary to complete the merger;</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preemptive or other similar rights or any debt securities having the right to vote with TWC stockholders or Comcast shareholders, as applicable, on any matters;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corporate existence, good standing, qualification to do business and capital structure of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SEC filings, the absence of misstatements or omissions from such filings and compliance with the Sarbanes-Oxley Act of 2002;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disclosure controls and procedures and internal controls over financial reporting;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fair presentation of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information provided by a party for inclusion in disclosure documents to be filed with the SEC in connection with the merger;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compliance with laws, court orders and permits;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pending or threatened legal proceedings and investigations;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tax matters and tax treatment of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franchises;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absence of any undisclosed broker’s or finder’s fees payable in connection with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receipt of opinions from financial advisors.</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also makes representations and warranties relating to, among other things, Comcast’s acquisition of NBCUniversal.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representations and warranties in the merger agreement do not survive completion of the merger.</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See “—Explanatory Note Regarding the Merger Agreement and the Summary of the Merger Agreement: Representations, Warranties and Covenants in the Merger Agreement Are Not Intended to Function or Be Relied on as Public Disclosures” beginning on page [—] of this joint proxy statement/prospectus.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the representations and warranties in the merger agreement are qualified by “material adverse effect.”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7" w:lineRule="exact"/>
        <w:rPr>
          <w:sz w:val="20"/>
          <w:szCs w:val="20"/>
          <w:color w:val="auto"/>
        </w:rPr>
      </w:pPr>
    </w:p>
    <w:p>
      <w:pPr>
        <w:ind w:left="900" w:right="2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changes in the financial or securities markets or general economic or political conditions in the United States or any foreign jurisdiction except to the extent having a materially disproportionate effect on that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party and its subsidiaries, taken as a whole, relative to other participants in the industry in which that party and its subsidiaries operate;</w:t>
      </w:r>
    </w:p>
    <w:p>
      <w:pPr>
        <w:spacing w:after="0" w:line="142" w:lineRule="exact"/>
        <w:rPr>
          <w:sz w:val="20"/>
          <w:szCs w:val="20"/>
          <w:color w:val="auto"/>
        </w:rPr>
      </w:pPr>
    </w:p>
    <w:p>
      <w:pPr>
        <w:ind w:left="900" w:right="4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changes in United States generally accepted accounting principles (or authoritative interpretations of United States generally accepted accounting principles);</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the terms of, or the taking of any action required by, the merger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 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through tenth bullets and the sixteenth bullet below, such consent not to be unreasonably withheld, conditioned or delayed), (iv)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94"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3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 (x) 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 (y) 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72" w:lineRule="exact"/>
        <w:rPr>
          <w:rFonts w:ascii="Arial" w:cs="Arial" w:eastAsia="Arial" w:hAnsi="Arial"/>
          <w:sz w:val="16"/>
          <w:szCs w:val="16"/>
          <w:color w:val="auto"/>
        </w:rPr>
      </w:pPr>
    </w:p>
    <w:p>
      <w:pPr>
        <w:ind w:left="900" w:right="160" w:hanging="446"/>
        <w:spacing w:after="0" w:line="287"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78"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acquire any assets, securities, properties, interests or businesses, other than (i) supplies and materials in the ordinary course of business consistent with past practice, (ii) pursuant to contracts or arrangements 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92"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date of the merger agreement, (iv) leases or subleases under which TWC or one of its subsidiaries is the lessor entered into in the ordinary course of business or (v) certain permitted liens;</w:t>
      </w:r>
    </w:p>
    <w:p>
      <w:pPr>
        <w:spacing w:after="0" w:line="76" w:lineRule="exact"/>
        <w:rPr>
          <w:sz w:val="20"/>
          <w:szCs w:val="20"/>
          <w:color w:val="auto"/>
        </w:rPr>
      </w:pPr>
    </w:p>
    <w:p>
      <w:pPr>
        <w:ind w:left="900" w:right="36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make any loans, advances, capital contributions or investments, other than (i) in the ordinary course of business consistent with past practice, (ii) investments or capital contributions made alongside Comcast or any of its affiliates or (iii) loans, advances or capital contributions to, or investments in, wholly owned subsidiaries of TWC;</w:t>
      </w:r>
    </w:p>
    <w:p>
      <w:pPr>
        <w:spacing w:after="0" w:line="86" w:lineRule="exact"/>
        <w:rPr>
          <w:rFonts w:ascii="Arial" w:cs="Arial" w:eastAsia="Arial" w:hAnsi="Arial"/>
          <w:sz w:val="18"/>
          <w:szCs w:val="18"/>
          <w:color w:val="auto"/>
        </w:rPr>
      </w:pPr>
    </w:p>
    <w:p>
      <w:pPr>
        <w:ind w:left="900" w:right="240" w:hanging="446"/>
        <w:spacing w:after="0" w:line="279"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76" w:lineRule="exact"/>
        <w:rPr>
          <w:rFonts w:ascii="Arial" w:cs="Arial" w:eastAsia="Arial" w:hAnsi="Arial"/>
          <w:sz w:val="17"/>
          <w:szCs w:val="17"/>
          <w:color w:val="auto"/>
        </w:rPr>
      </w:pPr>
    </w:p>
    <w:p>
      <w:pPr>
        <w:ind w:left="900" w:right="120" w:hanging="446"/>
        <w:spacing w:after="0" w:line="286"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70"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1"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52" w:lineRule="exact"/>
        <w:rPr>
          <w:rFonts w:ascii="Arial" w:cs="Arial" w:eastAsia="Arial" w:hAnsi="Arial"/>
          <w:sz w:val="16"/>
          <w:szCs w:val="16"/>
          <w:color w:val="auto"/>
        </w:rPr>
      </w:pPr>
    </w:p>
    <w:p>
      <w:pPr>
        <w:ind w:left="900" w:right="200" w:hanging="446"/>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86" w:lineRule="exact"/>
        <w:rPr>
          <w:rFonts w:ascii="Arial" w:cs="Arial" w:eastAsia="Arial" w:hAnsi="Arial"/>
          <w:sz w:val="18"/>
          <w:szCs w:val="18"/>
          <w:color w:val="auto"/>
        </w:rPr>
      </w:pPr>
    </w:p>
    <w:p>
      <w:pPr>
        <w:ind w:left="900" w:right="100" w:hanging="446"/>
        <w:spacing w:after="0" w:line="297"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 of this joint proxy statement/prospectus;</w:t>
      </w:r>
    </w:p>
    <w:p>
      <w:pPr>
        <w:spacing w:after="0" w:line="63"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“excess benefit plan,” deferred compensation plan, severance or change in control plan or employee benefit plan that provides post-retirement health, medical, life insurance or death benefits to retired, current or former employees, directors or consultants of TWC or any of its subsidiaries, other than as part of an acquisition of any other company or business that is permitted or consented to under the merger agreement, (iii) fail to continue to make all contributions required to be made to any company plan that is a Title IV plan (other than a multiemployer plan) or (iv) amend the benefit formula under any company plan that is a Title IV plan (other than a multiemployer plan) to increase the benefit accrual applicable to any participant or beneficiary thereof under such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 TWC’s method of financial accounting, except as required by concurrent changes in United States generally accepted accounting principles or Regulation S-X under the Exchange Act;</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settle, or offer or propose to settle, (i) any litigation, investigation, arbitration, proceeding or other claim involving or against TWC or its subsidiaries or (ii)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TWC inaccurate in any material respect at, or immediately prior to, completion of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take certain other actions as previously agreed to by the parties;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4" w:lineRule="exact"/>
        <w:rPr>
          <w:sz w:val="20"/>
          <w:szCs w:val="20"/>
          <w:color w:val="auto"/>
        </w:rPr>
      </w:pPr>
    </w:p>
    <w:p>
      <w:pPr>
        <w:ind w:left="900" w:right="10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amend Comcast’s articles or Comcast’s by-laws in a manner that would have a material and adverse impact on the value of the Comcast Class A common stock;</w:t>
      </w:r>
    </w:p>
    <w:p>
      <w:pPr>
        <w:spacing w:after="0" w:line="75"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94"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adopt or publicly propose a plan of complete or partial liquidation or resolutions providing for or authorizing such a liquidation or a dissolution, restructuring, recapitalization or reorganization;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Comcast agreed that from the date of the merger agreement until May 23, 2014, neither Comcast nor any of its subsidiaries may enter into any agreements (written or oral) providing for the divestiture of in excess of 25,000 subscribers in the aggregate. On April 25, 2014, concurrently with the execution of the transactions agreement, the TWC board of directors consented to the entry by Comcast into the transactions agreement, subject to the terms and conditions set forth in the TWC consent, for purposes of the restriction on Comcast entering into certain disposition transactions prior to May 23,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TWC Board of Directors to Recommend the Merger Agreement and Call and Hold a Stockholders’ Meeting</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8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discussed under “TWC Proposal I: Adoption of the Merger Agreement and Comcast Proposal I: Approval of the Stock Issuance —TWC’s Reasons for the Merger; Recommendation of the Merger by the TWC Board of Directors” beginning on page [—] of this joint proxy statement/prospectus,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 The TWC board of directors, however, can (i) withdraw, modify or qualify in a manner adverse to Comcast its recommendation that TWC stockholders adopt the merger agreement, or</w:t>
      </w:r>
    </w:p>
    <w:p>
      <w:pPr>
        <w:spacing w:after="0" w:line="2" w:lineRule="exact"/>
        <w:rPr>
          <w:sz w:val="20"/>
          <w:szCs w:val="20"/>
          <w:color w:val="auto"/>
        </w:rPr>
      </w:pPr>
    </w:p>
    <w:p>
      <w:pPr>
        <w:ind w:firstLine="8"/>
        <w:spacing w:after="0" w:line="254"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recommend a competing acquisition proposal, in each case under specified circumstances as discussed under “—No Solicitation by TWC” beginning on page [—]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by TWC</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 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but subject to the terms and conditions described below, at any time prior to the adoption of the merger agreement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stockholders:</w:t>
      </w:r>
    </w:p>
    <w:p>
      <w:pPr>
        <w:spacing w:after="0" w:line="116" w:lineRule="exact"/>
        <w:rPr>
          <w:sz w:val="20"/>
          <w:szCs w:val="20"/>
          <w:color w:val="auto"/>
        </w:rPr>
      </w:pPr>
    </w:p>
    <w:p>
      <w:pPr>
        <w:ind w:left="900" w:hanging="446"/>
        <w:spacing w:after="0" w:line="287"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78"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TWC board of directors may make an adverse recommendation change (i) following receipt of a superior proposal or (ii) involving or relating to an intervening event (as defined below).</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 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w:t>
      </w:r>
    </w:p>
    <w:p>
      <w:pPr>
        <w:spacing w:after="0" w:line="35" w:lineRule="exact"/>
        <w:rPr>
          <w:sz w:val="20"/>
          <w:szCs w:val="20"/>
          <w:color w:val="auto"/>
        </w:rPr>
      </w:pPr>
    </w:p>
    <w:p>
      <w:pPr>
        <w:ind w:right="400" w:firstLine="8"/>
        <w:spacing w:after="0" w:line="261" w:lineRule="auto"/>
        <w:tabs>
          <w:tab w:leader="none" w:pos="2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acquisition proposal constitutes a superior proposal, (ii) TWC promptly notifies Comcast, in writing at least five business days before taking that action, of its intention to do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On July 22, 2014, Comcast informed TWC that, in connection with the settlement of certain stockholder litigation challenging the merger, Comcast has agreed, among other things, to reduce the five-business-day time periods described in the four preceding paragraphs to three business days. The litigation and proposed settlement are described in more detail under “TWC Proposal I: Adoption of the Merger Agreement and Comcast Proposal I: Approval of the Stock Issuance—Litigation Relating to the Merger” beginning on page [—] of this joint proxy statement/prospectus.</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Intervening event</w:t>
      </w:r>
      <w:r>
        <w:rPr>
          <w:rFonts w:ascii="Arial" w:cs="Arial" w:eastAsia="Arial" w:hAnsi="Arial"/>
          <w:sz w:val="16"/>
          <w:szCs w:val="16"/>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w:t>
      </w:r>
    </w:p>
    <w:p>
      <w:pPr>
        <w:spacing w:after="0" w:line="1" w:lineRule="exact"/>
        <w:rPr>
          <w:sz w:val="20"/>
          <w:szCs w:val="20"/>
          <w:color w:val="auto"/>
        </w:rPr>
      </w:pPr>
    </w:p>
    <w:p>
      <w:pPr>
        <w:ind w:right="60" w:firstLine="8"/>
        <w:spacing w:after="0" w:line="292" w:lineRule="auto"/>
        <w:tabs>
          <w:tab w:leader="none" w:pos="26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does not relate to or involve an acquisition proposal; provided that (x) no action taken by either party pursuant to the affirmative covenants described in the section “—Reasonable Best Efforts Covenant”, beginning on page [—]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 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7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Comcast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of the Comcast Board of Directors to Recommend the Stock Issuance and Call and Hold a Shareholders’ Meeting</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discussed under “TWC Proposal I: Adoption of the Merger Agreement and Comcast Proposal I: Approval of the Stock Issuance—Comcast’s Reasons for the Merger; Recommendation of the Comcast Board of Directors” beginning on page [—] of this joint proxy statement/prospectus,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Shares by TWC</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Best Efforts Covenant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 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8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52" w:lineRule="exact"/>
        <w:rPr>
          <w:sz w:val="20"/>
          <w:szCs w:val="20"/>
          <w:color w:val="auto"/>
        </w:rPr>
      </w:pPr>
    </w:p>
    <w:p>
      <w:pPr>
        <w:ind w:left="900" w:right="80" w:hanging="446"/>
        <w:spacing w:after="0" w:line="277"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divest or otherwise hold separate (including by establishing a trust or otherwise) any businesses, assets or properties of Comcast, TWC or any of their respective subsidiaries;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accept any conditions or take any other actions that would apply to or affect any businesses, assets or properties of Comcast, TWC or any of their respective subsidiaries; or</w:t>
      </w:r>
    </w:p>
    <w:p>
      <w:pPr>
        <w:spacing w:after="0" w:line="75"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 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the first two bullets above, (i) Comcast is prepared to divest up to approximately three million subscribers of the combined company and (ii) Comcast and its subsidiaries are required to (A) take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Comcast and TWC estimate that there have been approximately 25 acquisitions of United States domestic cable systems consummated within the past twelve years, each with an aggregate purchase price of at least $500 million.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7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73"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w:t>
      </w:r>
    </w:p>
    <w:p>
      <w:pPr>
        <w:ind w:right="160" w:firstLine="8"/>
        <w:spacing w:after="0" w:line="253"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19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divestiture transactions will result in the combined company divesting a net total of approximately 3.9 million subscribers. See “The Divestiture Transactions”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Proxy Statement/Prospectus and Registration Statement Covenant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 recommendation change as described under “—No Solicitation by TWC,” beginning on page [—] of this joint proxy statement/prospectus, and (ii) the recommendation of the Comcast board of directors in favor of approval of the stock issuance.</w:t>
      </w:r>
    </w:p>
    <w:p>
      <w:pPr>
        <w:spacing w:after="0" w:line="17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 Insurance, in place as of the date of the merger agreement or (ii) purchase comparable D&amp;O Insurance for such six-year period, in each case with respect to any claim related to any period of time at or prior to completion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 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78" w:lineRule="exact"/>
        <w:rPr>
          <w:sz w:val="20"/>
          <w:szCs w:val="20"/>
          <w:color w:val="auto"/>
        </w:rPr>
      </w:pPr>
    </w:p>
    <w:p>
      <w:pPr>
        <w:ind w:left="900" w:right="10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 pay, commission opportunities and cash bonus opportunities, as applicable, that are no less favorable in the aggregate than provided to each such covered employee immediately prior to completion of the merger;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employee benefits that are no less favorable in the aggregate than provided to each such covered employee immediately prior to completion of the merger.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 described in “Interests of Certain Persons in the Merger—Interests of Directors and Executive Officers of TWC in the Merger—2014 Supplemental Bonus Opportunity Awards” beginning on page [—]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9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 completion of the merger through the first anniversary thereof, or for any longer period during which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amendments are prohibited under the terms of the applicable plan, as long as such contract or plan is set forth on TWC’s confidential disclosure schedules delivered in connection with the merger agreement.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54"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 limitations period applicable to any tax claim or assessment, (vi) file any material amended tax returns or claims for material tax refunds, (vii) surrender any material tax claim, audit or assessment,</w:t>
      </w:r>
    </w:p>
    <w:p>
      <w:pPr>
        <w:spacing w:after="0" w:line="2" w:lineRule="exact"/>
        <w:rPr>
          <w:sz w:val="20"/>
          <w:szCs w:val="20"/>
          <w:color w:val="auto"/>
        </w:rPr>
      </w:pPr>
    </w:p>
    <w:p>
      <w:pPr>
        <w:ind w:right="180" w:firstLine="8"/>
        <w:spacing w:after="0" w:line="255" w:lineRule="auto"/>
        <w:tabs>
          <w:tab w:leader="none" w:pos="4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9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6" w:lineRule="exact"/>
        <w:rPr>
          <w:sz w:val="20"/>
          <w:szCs w:val="20"/>
          <w:color w:val="auto"/>
        </w:rPr>
      </w:pPr>
    </w:p>
    <w:p>
      <w:pPr>
        <w:ind w:left="900" w:right="1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TWC and Comcast to provide the other party and its representatives with reasonable access to such party’s offices, properties, books and records and other information as may be reasonably requested;</w:t>
      </w:r>
    </w:p>
    <w:p>
      <w:pPr>
        <w:spacing w:after="0" w:line="75" w:lineRule="exact"/>
        <w:rPr>
          <w:rFonts w:ascii="Arial" w:cs="Arial" w:eastAsia="Arial" w:hAnsi="Arial"/>
          <w:sz w:val="18"/>
          <w:szCs w:val="18"/>
          <w:color w:val="auto"/>
        </w:rPr>
      </w:pPr>
    </w:p>
    <w:p>
      <w:pPr>
        <w:ind w:left="900" w:right="260" w:hanging="446"/>
        <w:spacing w:after="0" w:line="302"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 as required by law, TWC may not settle, agree to undertakings or approve any waiver that may be sought in such litigation without the prior written consent of Comcast (which consent may not be unreasonably withheld, conditioned or delayed);</w:t>
      </w:r>
    </w:p>
    <w:p>
      <w:pPr>
        <w:spacing w:after="0" w:line="5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51"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TWC and Comcast to notify the other of certain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merger agreement may be terminated at any time before completion of the merger, whether before or after TWC stockholders have adopted the merger agreement, in any of the following ways:</w:t>
      </w:r>
    </w:p>
    <w:p>
      <w:pPr>
        <w:spacing w:after="0" w:line="76"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mutual written consent of Comcast and TWC;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by either Comcast or TWC, if:</w:t>
      </w:r>
    </w:p>
    <w:p>
      <w:pPr>
        <w:spacing w:after="0" w:line="130" w:lineRule="exact"/>
        <w:rPr>
          <w:rFonts w:ascii="Arial" w:cs="Arial" w:eastAsia="Arial" w:hAnsi="Arial"/>
          <w:sz w:val="18"/>
          <w:szCs w:val="18"/>
          <w:color w:val="auto"/>
        </w:rPr>
      </w:pPr>
    </w:p>
    <w:p>
      <w:pPr>
        <w:ind w:left="1480" w:right="40" w:hanging="446"/>
        <w:spacing w:after="0" w:line="255"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98"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 appealable; however, the right to terminate the merger agreement under this paragraph will not be available to any party whose breach of any provision of the merger agreement results in such applicable law, order or injunction being in effect;</w:t>
      </w:r>
    </w:p>
    <w:p>
      <w:pPr>
        <w:spacing w:after="0" w:line="59" w:lineRule="exact"/>
        <w:rPr>
          <w:rFonts w:ascii="Arial" w:cs="Arial" w:eastAsia="Arial" w:hAnsi="Arial"/>
          <w:sz w:val="16"/>
          <w:szCs w:val="16"/>
          <w:color w:val="auto"/>
        </w:rPr>
      </w:pPr>
    </w:p>
    <w:p>
      <w:pPr>
        <w:ind w:left="1480" w:right="740" w:hanging="446"/>
        <w:spacing w:after="0" w:line="277"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TWC stockholders fail to adopt the merger agreement upon a vote taken on a proposal to adopt the merger agreement at a TWC stockholders’ meeting called for that purpose;</w:t>
      </w:r>
    </w:p>
    <w:p>
      <w:pPr>
        <w:spacing w:after="0" w:line="75" w:lineRule="exact"/>
        <w:rPr>
          <w:rFonts w:ascii="Arial" w:cs="Arial" w:eastAsia="Arial" w:hAnsi="Arial"/>
          <w:sz w:val="18"/>
          <w:szCs w:val="18"/>
          <w:color w:val="auto"/>
        </w:rPr>
      </w:pPr>
    </w:p>
    <w:p>
      <w:pPr>
        <w:ind w:left="1480" w:right="460" w:hanging="446"/>
        <w:spacing w:after="0" w:line="277"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Comcast shareholders fail to approve the stock issuance upon a vote taken on a proposal to approve the stock issuance at a Comcast shareholders’ meeting called for that purpose;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55"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Comcast, if:</w:t>
      </w:r>
    </w:p>
    <w:p>
      <w:pPr>
        <w:spacing w:after="0" w:line="130"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93" w:lineRule="exact"/>
        <w:rPr>
          <w:rFonts w:ascii="Arial" w:cs="Arial" w:eastAsia="Arial" w:hAnsi="Arial"/>
          <w:sz w:val="18"/>
          <w:szCs w:val="18"/>
          <w:color w:val="auto"/>
        </w:rPr>
      </w:pPr>
    </w:p>
    <w:p>
      <w:pPr>
        <w:jc w:val="both"/>
        <w:ind w:left="1480" w:right="200" w:hanging="446"/>
        <w:spacing w:after="0" w:line="264"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6" w:lineRule="exact"/>
        <w:rPr>
          <w:rFonts w:ascii="Arial" w:cs="Arial" w:eastAsia="Arial" w:hAnsi="Arial"/>
          <w:sz w:val="18"/>
          <w:szCs w:val="18"/>
          <w:color w:val="auto"/>
        </w:rPr>
      </w:pPr>
    </w:p>
    <w:p>
      <w:pPr>
        <w:ind w:left="1480" w:hanging="446"/>
        <w:spacing w:after="0" w:line="25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prior to the adoption of the merger agreement by TWC stockholders, there has been an intentional and material breach by TWC of (i) any of its obligations described under “—No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TWC, if:</w:t>
      </w:r>
    </w:p>
    <w:p>
      <w:pPr>
        <w:spacing w:after="0" w:line="130"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there has been an intentional and material breach of Comcast’s obligations to call and hold a meeting of its shareholders for purposes of approving the stock issuance; or</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material breach of the voting agreement shall have occurred that is not curable or, if capable of being cured, is not cured within 30 days notice thereof.</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w:t>
      </w:r>
    </w:p>
    <w:p>
      <w:pPr>
        <w:ind w:left="220" w:hanging="212"/>
        <w:spacing w:after="0"/>
        <w:tabs>
          <w:tab w:leader="none" w:pos="2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intentional and willful failure of any party to fulfill a condition to the performance of the obligation of any other party under the merger agreement,</w:t>
      </w:r>
    </w:p>
    <w:p>
      <w:pPr>
        <w:spacing w:after="0" w:line="20" w:lineRule="exact"/>
        <w:rPr>
          <w:rFonts w:ascii="Arial" w:cs="Arial" w:eastAsia="Arial" w:hAnsi="Arial"/>
          <w:sz w:val="17"/>
          <w:szCs w:val="17"/>
          <w:color w:val="auto"/>
        </w:rPr>
      </w:pPr>
    </w:p>
    <w:p>
      <w:pPr>
        <w:ind w:right="100" w:firstLine="8"/>
        <w:spacing w:after="0" w:line="261" w:lineRule="auto"/>
        <w:tabs>
          <w:tab w:leader="none" w:pos="2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failure of any party to perform a covenant under the merger agreement, or (iii) willful and material breach by any party of any representation or warranty under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 Remedies</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merger agreement is not intended to and does not confer upon any person other than the parties to the merger agreement any rights or remedies, except:</w:t>
      </w:r>
    </w:p>
    <w:p>
      <w:pPr>
        <w:spacing w:after="0" w:line="76" w:lineRule="exact"/>
        <w:rPr>
          <w:sz w:val="20"/>
          <w:szCs w:val="20"/>
          <w:color w:val="auto"/>
        </w:rPr>
      </w:pPr>
    </w:p>
    <w:p>
      <w:pPr>
        <w:ind w:left="900" w:hanging="446"/>
        <w:spacing w:after="0" w:line="259"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right of the indemnified persons to enforce the obligations described under “—Indemnification and Insurance” beginning on page [—] of this joint proxy statement/prospectus; and</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 of this joint proxy statement/prospectus.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Waivers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 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VOTING AGREEMENT</w:t>
      </w:r>
    </w:p>
    <w:p>
      <w:pPr>
        <w:spacing w:after="0" w:line="2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w:t>
      </w:r>
    </w:p>
    <w:p>
      <w:pPr>
        <w:spacing w:after="0" w:line="5" w:lineRule="exact"/>
        <w:rPr>
          <w:sz w:val="20"/>
          <w:szCs w:val="20"/>
          <w:color w:val="auto"/>
        </w:rPr>
      </w:pPr>
    </w:p>
    <w:p>
      <w:pPr>
        <w:ind w:right="160" w:firstLine="8"/>
        <w:spacing w:after="0" w:line="290" w:lineRule="auto"/>
        <w:tabs>
          <w:tab w:leader="none" w:pos="2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Comcast shareholder who is party to the voting agreement has agreed with TWC, subject to certain exceptions, not to (i) directly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indirectly, sell, transfer, pledge, encumber, assign, distribute, gift or otherwise dispose of any shares of Comcast Class B common stock or any interest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rights with respect to, such shares, or enter into any contract, option or other arrangement or understanding (including any voting trust or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thereto, (ii) take any action to convert any shares of Comcast Class B common stock into shares of Comcast Class A common stock or Comcast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Special common stock, or (iii) grant any proxy or power of attorney with respect to any of such shareholder’s shares of Comcast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or Comcast Class B common stock that is inconsistent with the agreements described in the preceding paragraph.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Capacities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voting agreement provides that nothing in the voting agreement limits the discretion of Brian L. Roberts to take or not take any action in his fiduciary capacity as an officer or director of Comcast.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20"/>
          </w:cols>
          <w:pgMar w:left="240" w:top="460"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 of TWC in the Merger</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Product, People and Strategy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TWC Equity Awards in the Merger—In General</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Options Held by Current Employees</w:t>
      </w:r>
      <w:r>
        <w:rPr>
          <w:rFonts w:ascii="Arial" w:cs="Arial" w:eastAsia="Arial" w:hAnsi="Arial"/>
          <w:sz w:val="18"/>
          <w:szCs w:val="18"/>
          <w:color w:val="auto"/>
        </w:rPr>
        <w:t>. Upon the completion of the merger, each outstanding option to purchase shares of TWC common stock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9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w:t>
      </w:r>
      <w:r>
        <w:rPr>
          <w:rFonts w:ascii="Arial" w:cs="Arial" w:eastAsia="Arial" w:hAnsi="Arial"/>
          <w:sz w:val="16"/>
          <w:szCs w:val="16"/>
          <w:i w:val="1"/>
          <w:iCs w:val="1"/>
          <w:color w:val="auto"/>
        </w:rPr>
        <w:t xml:space="preserve"> </w:t>
      </w:r>
      <w:r>
        <w:rPr>
          <w:rFonts w:ascii="Arial" w:cs="Arial" w:eastAsia="Arial" w:hAnsi="Arial"/>
          <w:sz w:val="16"/>
          <w:szCs w:val="16"/>
          <w:color w:val="auto"/>
        </w:rPr>
        <w:t>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completion of the merger, Comcast may make use of shares remaining available for grant under the 2011 Plan in accordance with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Merger Agreement—Treatment of TWC Equity Awards” beginning on page [—] of this joint proxy statement/prospectus.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 Held by Executive Officers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July 31, 2014, TWC’s seven executive officers (identified above) held an aggregate of 815,856 options to acquire TWC common stock, which were granted pursuant to the Time Warner Cable Inc. 2006 Stock Incentive Plan, as amended, which is referred to in this joint proxy statement/prospectus as the 2006 Plan, and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 Treatment of TWC Equity Awards in the Merger—In General.” See “The Merger Agreement—Treatment of TWC Equity Awards” beginning on page [—]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95" w:lineRule="exact"/>
        <w:rPr>
          <w:sz w:val="20"/>
          <w:szCs w:val="20"/>
          <w:color w:val="auto"/>
        </w:rPr>
      </w:pPr>
    </w:p>
    <w:p>
      <w:pPr>
        <w:ind w:left="900" w:right="100" w:hanging="446"/>
        <w:spacing w:after="0" w:line="25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93"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For illustrative purposes, if the completion of the merger were to have occurred on July 31,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Quantification of Potential Payments to TWC Named Executive Officers in Connection with the Merger”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beginning on page [—]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restart"/>
          </w:tcPr>
          <w:p>
            <w:pPr>
              <w:jc w:val="right"/>
              <w:ind w:right="214"/>
              <w:spacing w:after="0"/>
              <w:rPr>
                <w:sz w:val="20"/>
                <w:szCs w:val="20"/>
                <w:color w:val="auto"/>
              </w:rPr>
            </w:pPr>
            <w:r>
              <w:rPr>
                <w:rFonts w:ascii="Arial" w:cs="Arial" w:eastAsia="Arial" w:hAnsi="Arial"/>
                <w:sz w:val="14"/>
                <w:szCs w:val="14"/>
                <w:b w:val="1"/>
                <w:bCs w:val="1"/>
                <w:color w:val="auto"/>
              </w:rPr>
              <w:t>Vested TWC Options</w:t>
            </w:r>
          </w:p>
        </w:tc>
        <w:tc>
          <w:tcPr>
            <w:tcW w:w="320" w:type="dxa"/>
            <w:vAlign w:val="bottom"/>
            <w:vMerge w:val="restart"/>
          </w:tcPr>
          <w:p>
            <w:pPr>
              <w:spacing w:after="0"/>
              <w:rPr>
                <w:sz w:val="14"/>
                <w:szCs w:val="14"/>
                <w:color w:val="auto"/>
              </w:rPr>
            </w:pPr>
          </w:p>
        </w:tc>
        <w:tc>
          <w:tcPr>
            <w:tcW w:w="1960" w:type="dxa"/>
            <w:vAlign w:val="bottom"/>
            <w:gridSpan w:val="4"/>
            <w:vMerge w:val="restart"/>
          </w:tcPr>
          <w:p>
            <w:pPr>
              <w:jc w:val="right"/>
              <w:ind w:right="154"/>
              <w:spacing w:after="0"/>
              <w:rPr>
                <w:sz w:val="20"/>
                <w:szCs w:val="20"/>
                <w:color w:val="auto"/>
              </w:rPr>
            </w:pPr>
            <w:r>
              <w:rPr>
                <w:rFonts w:ascii="Arial" w:cs="Arial" w:eastAsia="Arial" w:hAnsi="Arial"/>
                <w:sz w:val="14"/>
                <w:szCs w:val="14"/>
                <w:b w:val="1"/>
                <w:bCs w:val="1"/>
                <w:color w:val="auto"/>
              </w:rPr>
              <w:t>Unvested TWC Options</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82"/>
        </w:trPr>
        <w:tc>
          <w:tcPr>
            <w:tcW w:w="1080" w:type="dxa"/>
            <w:vAlign w:val="bottom"/>
          </w:tcPr>
          <w:p>
            <w:pPr>
              <w:spacing w:after="0"/>
              <w:rPr>
                <w:sz w:val="6"/>
                <w:szCs w:val="6"/>
                <w:color w:val="auto"/>
              </w:rPr>
            </w:pPr>
          </w:p>
        </w:tc>
        <w:tc>
          <w:tcPr>
            <w:tcW w:w="4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bottom w:val="single" w:sz="8" w:color="auto"/>
            </w:tcBorders>
            <w:gridSpan w:val="4"/>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960" w:type="dxa"/>
            <w:vAlign w:val="bottom"/>
            <w:tcBorders>
              <w:bottom w:val="single" w:sz="8" w:color="auto"/>
            </w:tcBorders>
            <w:gridSpan w:val="4"/>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Value of All</w:t>
            </w:r>
          </w:p>
        </w:tc>
        <w:tc>
          <w:tcPr>
            <w:tcW w:w="0" w:type="dxa"/>
            <w:vAlign w:val="bottom"/>
          </w:tcPr>
          <w:p>
            <w:pPr>
              <w:spacing w:after="0"/>
              <w:rPr>
                <w:sz w:val="1"/>
                <w:szCs w:val="1"/>
                <w:color w:val="auto"/>
              </w:rPr>
            </w:pPr>
          </w:p>
        </w:tc>
      </w:tr>
      <w:tr>
        <w:trPr>
          <w:trHeight w:val="52"/>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TWC Options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171,339</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12,425,247</w:t>
            </w:r>
          </w:p>
        </w:tc>
        <w:tc>
          <w:tcPr>
            <w:tcW w:w="3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235,334</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16,249,789</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28,675,036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and Chief Executive Officer</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Arthur T. Minson, Jr.</w:t>
            </w:r>
          </w:p>
        </w:tc>
        <w:tc>
          <w:tcPr>
            <w:tcW w:w="120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25,065</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9"/>
              </w:rPr>
              <w:t>1,375,625</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75,197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4,127,086</w:t>
            </w:r>
          </w:p>
        </w:tc>
        <w:tc>
          <w:tcPr>
            <w:tcW w:w="160" w:type="dxa"/>
            <w:vAlign w:val="bottom"/>
          </w:tcPr>
          <w:p>
            <w:pPr>
              <w:spacing w:after="0"/>
              <w:rPr>
                <w:sz w:val="17"/>
                <w:szCs w:val="17"/>
                <w:color w:val="auto"/>
              </w:rPr>
            </w:pP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5,502,711</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Other Executive Officers as a Group </w:t>
            </w:r>
            <w:r>
              <w:rPr>
                <w:rFonts w:ascii="Arial" w:cs="Arial" w:eastAsia="Arial" w:hAnsi="Arial"/>
                <w:sz w:val="18"/>
                <w:szCs w:val="18"/>
                <w:i w:val="1"/>
                <w:iCs w:val="1"/>
                <w:color w:val="auto"/>
              </w:rPr>
              <w:t>(5 persons)</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9,377,855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13,137,279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22,515,134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Held by Executive Officers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As of July 31,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73" w:lineRule="exact"/>
        <w:rPr>
          <w:sz w:val="20"/>
          <w:szCs w:val="20"/>
          <w:color w:val="auto"/>
        </w:rPr>
      </w:pPr>
    </w:p>
    <w:p>
      <w:pPr>
        <w:ind w:left="900" w:right="60" w:hanging="446"/>
        <w:spacing w:after="0" w:line="342"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2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7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For illustrative purposes, if the completion of the merger were to have occurred on July 31, 2014, the latest practicable date prior to the filing of this joint proxy statement/prospectus, the table below shows the value the executive officers would receive in respect of their restricted stock units, applying the same assumptions used in “</w:t>
      </w:r>
      <w:r>
        <w:rPr>
          <w:rFonts w:ascii="Arial" w:cs="Arial" w:eastAsia="Arial" w:hAnsi="Arial"/>
          <w:sz w:val="16"/>
          <w:szCs w:val="16"/>
          <w:i w:val="1"/>
          <w:iCs w:val="1"/>
          <w:color w:val="auto"/>
        </w:rPr>
        <w:t>—</w:t>
      </w:r>
      <w:r>
        <w:rPr>
          <w:rFonts w:ascii="Arial" w:cs="Arial" w:eastAsia="Arial" w:hAnsi="Arial"/>
          <w:sz w:val="16"/>
          <w:szCs w:val="16"/>
          <w:color w:val="auto"/>
        </w:rPr>
        <w:t>Quantification of Potential Payments to TWC Named Executive Officers in Connection with the Merger” beginning on page</w:t>
      </w:r>
    </w:p>
    <w:p>
      <w:pPr>
        <w:ind w:left="5580" w:right="4940" w:hanging="5571"/>
        <w:spacing w:after="0" w:line="517" w:lineRule="auto"/>
        <w:rPr>
          <w:sz w:val="20"/>
          <w:szCs w:val="20"/>
          <w:color w:val="auto"/>
        </w:rPr>
      </w:pPr>
      <w:r>
        <w:rPr>
          <w:rFonts w:ascii="Arial" w:cs="Arial" w:eastAsia="Arial" w:hAnsi="Arial"/>
          <w:sz w:val="16"/>
          <w:szCs w:val="16"/>
          <w:color w:val="auto"/>
        </w:rPr>
        <w:t>[—] of this joint proxy statement/prospectus, which include an assumed price per share of 189</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Comcast Class A common stock of $52.32 (the average closing market price of a share of Comcast Class A common stock on NASDAQ over the first five business days following the first public announcement of the merger agreement).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D. Marcus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Arthur T. Minson, Jr.</w:t>
      </w:r>
    </w:p>
    <w:p>
      <w:pPr>
        <w:spacing w:after="0" w:line="28" w:lineRule="exact"/>
        <w:rPr>
          <w:sz w:val="20"/>
          <w:szCs w:val="20"/>
          <w:color w:val="auto"/>
        </w:rPr>
      </w:pPr>
    </w:p>
    <w:p>
      <w:pPr>
        <w:ind w:right="40" w:firstLine="162"/>
        <w:spacing w:after="0" w:line="369" w:lineRule="auto"/>
        <w:rPr>
          <w:sz w:val="20"/>
          <w:szCs w:val="20"/>
          <w:color w:val="auto"/>
        </w:rPr>
      </w:pPr>
      <w:r>
        <w:rPr>
          <w:rFonts w:ascii="Arial" w:cs="Arial" w:eastAsia="Arial" w:hAnsi="Arial"/>
          <w:sz w:val="14"/>
          <w:szCs w:val="14"/>
          <w:i w:val="1"/>
          <w:iCs w:val="1"/>
          <w:color w:val="auto"/>
        </w:rPr>
        <w:t xml:space="preserve">Executive Vice President and Chief Financial Officer </w:t>
      </w:r>
      <w:r>
        <w:rPr>
          <w:rFonts w:ascii="Arial" w:cs="Arial" w:eastAsia="Arial" w:hAnsi="Arial"/>
          <w:sz w:val="14"/>
          <w:szCs w:val="14"/>
          <w:b w:val="1"/>
          <w:bCs w:val="1"/>
          <w:color w:val="auto"/>
        </w:rPr>
        <w:t xml:space="preserve">All Other Executive Officers as a Group </w:t>
      </w:r>
      <w:r>
        <w:rPr>
          <w:rFonts w:ascii="Arial" w:cs="Arial" w:eastAsia="Arial" w:hAnsi="Arial"/>
          <w:sz w:val="14"/>
          <w:szCs w:val="14"/>
          <w:i w:val="1"/>
          <w:iCs w:val="1"/>
          <w:color w:val="auto"/>
        </w:rPr>
        <w:t>(5 persons)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Regularly-Scheduled 2014</w:t>
            </w: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Retention Grant</w:t>
            </w:r>
          </w:p>
        </w:tc>
        <w:tc>
          <w:tcPr>
            <w:tcW w:w="16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Other Restricted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Annual Restricted Stock</w:t>
            </w:r>
          </w:p>
        </w:tc>
        <w:tc>
          <w:tcPr>
            <w:tcW w:w="17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(2015/2016 Restricted</w:t>
            </w:r>
          </w:p>
        </w:tc>
        <w:tc>
          <w:tcPr>
            <w:tcW w:w="168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Unit Awards</w:t>
            </w: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Stock Unit Awards)</w:t>
            </w: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Stock Unit Awards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55,984</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8,421,061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111,968</w:t>
            </w:r>
          </w:p>
        </w:tc>
        <w:tc>
          <w:tcPr>
            <w:tcW w:w="2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16,842,227</w:t>
            </w:r>
          </w:p>
        </w:tc>
        <w:tc>
          <w:tcPr>
            <w:tcW w:w="2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99,680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14,993,813</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267,632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$40,257,101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24,260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3,649,163</w:t>
            </w:r>
          </w:p>
        </w:tc>
        <w:tc>
          <w:tcPr>
            <w:tcW w:w="560" w:type="dxa"/>
            <w:vAlign w:val="bottom"/>
          </w:tcPr>
          <w:p>
            <w:pPr>
              <w:jc w:val="right"/>
              <w:spacing w:after="0"/>
              <w:rPr>
                <w:sz w:val="20"/>
                <w:szCs w:val="20"/>
                <w:color w:val="auto"/>
              </w:rPr>
            </w:pPr>
            <w:r>
              <w:rPr>
                <w:rFonts w:ascii="Arial" w:cs="Arial" w:eastAsia="Arial" w:hAnsi="Arial"/>
                <w:sz w:val="16"/>
                <w:szCs w:val="16"/>
                <w:color w:val="auto"/>
              </w:rPr>
              <w:t>48,520</w:t>
            </w:r>
          </w:p>
        </w:tc>
        <w:tc>
          <w:tcPr>
            <w:tcW w:w="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7,298,326</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19,128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2,877,182</w:t>
            </w: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91,908</w:t>
            </w:r>
          </w:p>
        </w:tc>
        <w:tc>
          <w:tcPr>
            <w:tcW w:w="1060" w:type="dxa"/>
            <w:vAlign w:val="bottom"/>
            <w:gridSpan w:val="3"/>
          </w:tcPr>
          <w:p>
            <w:pPr>
              <w:jc w:val="center"/>
              <w:ind w:left="2"/>
              <w:spacing w:after="0"/>
              <w:rPr>
                <w:sz w:val="20"/>
                <w:szCs w:val="20"/>
                <w:color w:val="auto"/>
              </w:rPr>
            </w:pPr>
            <w:r>
              <w:rPr>
                <w:rFonts w:ascii="Arial" w:cs="Arial" w:eastAsia="Arial" w:hAnsi="Arial"/>
                <w:sz w:val="16"/>
                <w:szCs w:val="16"/>
                <w:color w:val="auto"/>
                <w:w w:val="92"/>
              </w:rPr>
              <w:t>$13,824,671</w:t>
            </w:r>
          </w:p>
        </w:tc>
        <w:tc>
          <w:tcPr>
            <w:tcW w:w="0" w:type="dxa"/>
            <w:vAlign w:val="bottom"/>
          </w:tcPr>
          <w:p>
            <w:pPr>
              <w:spacing w:after="0"/>
              <w:rPr>
                <w:sz w:val="1"/>
                <w:szCs w:val="1"/>
                <w:color w:val="auto"/>
              </w:rPr>
            </w:pPr>
          </w:p>
        </w:tc>
      </w:tr>
      <w:tr>
        <w:trPr>
          <w:trHeight w:val="405"/>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63,235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9,511,619</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126,470</w:t>
            </w:r>
          </w:p>
        </w:tc>
        <w:tc>
          <w:tcPr>
            <w:tcW w:w="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19,023,343</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52,038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7,827,281</w:t>
            </w:r>
          </w:p>
        </w:tc>
        <w:tc>
          <w:tcPr>
            <w:tcW w:w="2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241,743</w:t>
            </w:r>
          </w:p>
        </w:tc>
        <w:tc>
          <w:tcPr>
            <w:tcW w:w="1060" w:type="dxa"/>
            <w:vAlign w:val="bottom"/>
            <w:gridSpan w:val="3"/>
          </w:tcPr>
          <w:p>
            <w:pPr>
              <w:jc w:val="center"/>
              <w:ind w:left="2"/>
              <w:spacing w:after="0"/>
              <w:rPr>
                <w:sz w:val="20"/>
                <w:szCs w:val="20"/>
                <w:color w:val="auto"/>
              </w:rPr>
            </w:pPr>
            <w:r>
              <w:rPr>
                <w:rFonts w:ascii="Arial" w:cs="Arial" w:eastAsia="Arial" w:hAnsi="Arial"/>
                <w:sz w:val="16"/>
                <w:szCs w:val="16"/>
                <w:color w:val="auto"/>
                <w:w w:val="92"/>
              </w:rPr>
              <w:t>$36,362,243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-655955</wp:posOffset>
            </wp:positionV>
            <wp:extent cx="7246620" cy="2660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-124460</wp:posOffset>
            </wp:positionV>
            <wp:extent cx="724662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3660" w:space="720"/>
            <w:col w:w="7040"/>
          </w:cols>
          <w:pgMar w:left="240" w:top="459" w:right="239" w:bottom="1440" w:gutter="0" w:footer="0" w:header="0"/>
          <w:type w:val="continuous"/>
        </w:sectPr>
      </w:pP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 Grant</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54"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w:t>
      </w:r>
    </w:p>
    <w:p>
      <w:pPr>
        <w:spacing w:after="0" w:line="3" w:lineRule="exact"/>
        <w:rPr>
          <w:sz w:val="20"/>
          <w:szCs w:val="20"/>
          <w:color w:val="auto"/>
        </w:rPr>
      </w:pPr>
    </w:p>
    <w:p>
      <w:pPr>
        <w:ind w:right="200" w:firstLine="8"/>
        <w:spacing w:after="0" w:line="253" w:lineRule="auto"/>
        <w:tabs>
          <w:tab w:leader="none" w:pos="26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9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 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59" w:right="23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restricted stock units held by TWC’s executive officers, including those received by them as part of the retention grant, were granted pursuant to the Officer Equity Arrangements.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proxy statement dated April 29, 2014, in connection with its 2014 annual meeting of stockholders,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Supplemental Bonus Opportunity Awards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be paid.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2014 Target</w:t>
            </w:r>
          </w:p>
        </w:tc>
        <w:tc>
          <w:tcPr>
            <w:tcW w:w="0" w:type="dxa"/>
            <w:vAlign w:val="bottom"/>
          </w:tcPr>
          <w:p>
            <w:pPr>
              <w:spacing w:after="0"/>
              <w:rPr>
                <w:sz w:val="1"/>
                <w:szCs w:val="1"/>
                <w:color w:val="auto"/>
              </w:rPr>
            </w:pPr>
          </w:p>
        </w:tc>
      </w:tr>
      <w:tr>
        <w:trPr>
          <w:trHeight w:val="149"/>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1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Supplemental Bonus</w:t>
            </w:r>
          </w:p>
        </w:tc>
        <w:tc>
          <w:tcPr>
            <w:tcW w:w="0" w:type="dxa"/>
            <w:vAlign w:val="bottom"/>
          </w:tcPr>
          <w:p>
            <w:pPr>
              <w:spacing w:after="0"/>
              <w:rPr>
                <w:sz w:val="1"/>
                <w:szCs w:val="1"/>
                <w:color w:val="auto"/>
              </w:rPr>
            </w:pPr>
          </w:p>
        </w:tc>
      </w:tr>
      <w:tr>
        <w:trPr>
          <w:trHeight w:val="171"/>
        </w:trPr>
        <w:tc>
          <w:tcPr>
            <w:tcW w:w="80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Opportunity</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and Chief Executive Officer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Arthur T. Minson, Jr.</w:t>
            </w:r>
          </w:p>
        </w:tc>
        <w:tc>
          <w:tcPr>
            <w:tcW w:w="1280" w:type="dxa"/>
            <w:vAlign w:val="bottom"/>
            <w:gridSpan w:val="2"/>
          </w:tcPr>
          <w:p>
            <w:pPr>
              <w:ind w:left="112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Other Executive Officers as a Group </w:t>
            </w:r>
            <w:r>
              <w:rPr>
                <w:rFonts w:ascii="Arial" w:cs="Arial" w:eastAsia="Arial" w:hAnsi="Arial"/>
                <w:sz w:val="18"/>
                <w:szCs w:val="18"/>
                <w:i w:val="1"/>
                <w:iCs w:val="1"/>
                <w:color w:val="auto"/>
              </w:rPr>
              <w:t>(5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Severance Payments and Benefits to Executive Officers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 In July 2014, the term of Mr. Lawrence-Apfelbaum’s agreement was extended through December 31, 2016.</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Information regarding certain potential severance payments and benefits to TWC’s “named executive officers” that are related to the merger is provided below under “—Quantification of Potential Payments to TWC Named Executive Officers in Connection with the Merger.” As explained in that section, only two of TWC’s current executive officers, Messrs. Marcus and Minson, were also “named executive officers” of TWC for 2013. The severance rights of Messrs. Marcus and Minson are described in that section. TWC’s other five executive officers who are not also named executive officers would be entitled to severance payments and benefits as follows:</w:t>
      </w:r>
    </w:p>
    <w:p>
      <w:pPr>
        <w:spacing w:after="0" w:line="94"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accrued but unpaid bonus for any previously completed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36 months of continued salary and bonus payments, paid on TWC’s normal payroll payment dates for salary, where the bonus component is set at target;</w:t>
      </w:r>
    </w:p>
    <w:p>
      <w:pPr>
        <w:spacing w:after="0" w:line="75" w:lineRule="exact"/>
        <w:rPr>
          <w:rFonts w:ascii="Arial" w:cs="Arial" w:eastAsia="Arial" w:hAnsi="Arial"/>
          <w:sz w:val="18"/>
          <w:szCs w:val="18"/>
          <w:color w:val="auto"/>
        </w:rPr>
      </w:pPr>
    </w:p>
    <w:p>
      <w:pPr>
        <w:ind w:left="1460" w:right="480" w:hanging="547"/>
        <w:spacing w:after="0" w:line="342" w:lineRule="auto"/>
        <w:tabs>
          <w:tab w:leader="none" w:pos="146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For Ms. MacKinnon, the salary and target bonus used are those in effect at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36 months of continued participation in TWC’s health and welfare benefit plans;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Mr. Lawrence-Apfelbaum only, continued payments equal to the premium cost of certain life insurance and one year of office space and secretarial services.</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a Qualifying Termination occurs outside of the time periods described above, the severance payments and benefits due are lower than the amounts above. For</w:t>
      </w:r>
    </w:p>
    <w:p>
      <w:pPr>
        <w:ind w:right="240"/>
        <w:spacing w:after="0" w:line="261" w:lineRule="auto"/>
        <w:rPr>
          <w:sz w:val="20"/>
          <w:szCs w:val="20"/>
          <w:color w:val="auto"/>
        </w:rPr>
      </w:pPr>
      <w:r>
        <w:rPr>
          <w:rFonts w:ascii="Arial" w:cs="Arial" w:eastAsia="Arial" w:hAnsi="Arial"/>
          <w:sz w:val="18"/>
          <w:szCs w:val="18"/>
          <w:color w:val="auto"/>
        </w:rPr>
        <w:t>Mr. Lawrence-Apfelbaum, the above severance payments and benefits are triggered upon any Qualifying Termination, regardless of whether there is also a change in control.</w:t>
      </w:r>
    </w:p>
    <w:p>
      <w:pPr>
        <w:spacing w:after="0" w:line="18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All of the severance payments and benefits set forth above are subject to the Golden Parachute Modified Cutback, which, generally, applies to first reduce cash-based payments and then to equity award vesting.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w:t>
      </w:r>
    </w:p>
    <w:p>
      <w:pPr>
        <w:spacing w:after="0" w:line="46" w:lineRule="exact"/>
        <w:rPr>
          <w:sz w:val="20"/>
          <w:szCs w:val="20"/>
          <w:color w:val="auto"/>
        </w:rPr>
      </w:pPr>
    </w:p>
    <w:p>
      <w:pPr>
        <w:ind w:right="60" w:firstLine="8"/>
        <w:spacing w:after="0" w:line="281" w:lineRule="auto"/>
        <w:tabs>
          <w:tab w:leader="none" w:pos="26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 non-competition covenant during the officer’s employment term and for 24 months (36 months for Mr. Lawrence-Apfelbaum) following termination.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TWC expressly to assume TWC’s obligations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Mr. Jain and Ms. MacKinnon, a material violation with respect to his or her reporting relationship.</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Post-Closing Obligations of Comcast under the Merger Agreement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 of this joint proxy statement/prospectus for more detail about these employee-related interests.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Deferred Stock Units and Options Held by Non-Employee Directors</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As of July 31, 2014, TWC’s non-employee directors held an aggregate of 32,096 deferred stock units and 179,721 restricted stock units, which were granted pursuant to the 2006 Plan and the 2011 Plan, including the amendments thereto and award agreements thereunder, which are referred to in this joint proxy statement/prospectus as the Director Equity Arrangements. Glenn A. Britt, who retired as TWC’s Chairman and Chief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Executive Officer on December 31, 2013 and passed away in June 2014, served as a member of the TWC board of directors in February 2014 when the merger agreement was approved. At that time, Mr. Britt held restricted stock units and fully vested stock options as well as shares of TWC common stock.</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w:t>
      </w:r>
    </w:p>
    <w:p>
      <w:pPr>
        <w:spacing w:after="0" w:line="35" w:lineRule="exact"/>
        <w:rPr>
          <w:sz w:val="20"/>
          <w:szCs w:val="20"/>
          <w:color w:val="auto"/>
        </w:rPr>
      </w:pPr>
    </w:p>
    <w:p>
      <w:pPr>
        <w:ind w:right="80" w:firstLine="8"/>
        <w:spacing w:after="0" w:line="269" w:lineRule="auto"/>
        <w:tabs>
          <w:tab w:leader="none" w:pos="25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July 31, 2014, the latest practicable date prior to the filing of this joint proxy statement/prospectus, no equity awards held by any of the non-employee directors would be cut back.</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For illustrative purposes, if the completion of the merger were to have occurred on July 31, 2014, the latest practicable date prior to the filing of this joint proxy statement/prospectus, the aggregate cash-out value of all deferred stock units and restricted stock units for all non-employee directors would be approximately $32.0 million in the aggregate (calculated as required under the merger agreement and using the average closing market price of a share of Comcast Class A common stock on NASDAQ over the first five business days following the first public announcement of the merger agreement of $52.32).</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Beneficial Ownership of Officers and Directors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 In addition, on July 31, 2014 one of TWC’s independent directors, David Chang, may be deemed to have beneficially owned shares of Comcast Class A common stock, held in a revocable trust, with a market value of approximately $100,000.</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11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 of this joint proxy statement/prospectus for further details.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Potential Payments to TWC Named Executive Officers in Connection with the Merger</w:t>
      </w:r>
    </w:p>
    <w:p>
      <w:pPr>
        <w:spacing w:after="0" w:line="121"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The information below is intended to comply with Item 402(t) of Regulation S-K, which requires disclosure of information about compensation for each TWC “named executive officer” that is based on or otherwise relates 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TWC’s named executive officers were:</w:t>
      </w:r>
    </w:p>
    <w:p>
      <w:pPr>
        <w:spacing w:after="0" w:line="60"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Glenn A. Britt, who served as TWC’s Chairman and Chief Executive Officer during 2013 until his retirement on December 31, 2013;</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Robert D. Marcus, who served as President and Chief Operating Officer during 2013 and became TWC’s Chairman and Chief Executive Officer upon Mr. Britt’s retirement;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Irene M. Esteves, who served as TWC’s Executive Vice President and Chief Financial Officer until May 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Arthur T. Minson, Jr., who served as Executive Vice President and Chief Financial Officer from May 2,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3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any of TWC’s named executive officers’ compensation arrangements are described in “—Interests of Directors and Executive Officers of TWC in the Merger” beginning on page [—] of this joint proxy statement/prospectus, they are incorporated herein by reference. The amounts set forth in the table below, which represent an estimate of each named executive officer’s golden parachute compensation, as of July 31, 2014 assume the following:</w:t>
      </w:r>
    </w:p>
    <w:p>
      <w:pPr>
        <w:spacing w:after="0" w:line="92"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consummation of the merger constitutes a change in control for purpose of the applicable compensation plan or agreement;</w:t>
      </w:r>
    </w:p>
    <w:p>
      <w:pPr>
        <w:spacing w:after="0" w:line="130" w:lineRule="exact"/>
        <w:rPr>
          <w:rFonts w:ascii="Arial" w:cs="Arial" w:eastAsia="Arial" w:hAnsi="Arial"/>
          <w:sz w:val="18"/>
          <w:szCs w:val="18"/>
          <w:color w:val="auto"/>
        </w:rPr>
      </w:pPr>
    </w:p>
    <w:p>
      <w:pPr>
        <w:ind w:left="900" w:right="146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the change in control was consummated on July 31, 2014, the latest practicable date prior to the filing of this joint proxy statement/prospectus;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named executive officer’s employment is terminated without “cause” or with “good reason” immediately following the change in control; and</w:t>
      </w:r>
    </w:p>
    <w:p>
      <w:pPr>
        <w:spacing w:after="0" w:line="75" w:lineRule="exact"/>
        <w:rPr>
          <w:rFonts w:ascii="Arial" w:cs="Arial" w:eastAsia="Arial" w:hAnsi="Arial"/>
          <w:sz w:val="18"/>
          <w:szCs w:val="18"/>
          <w:color w:val="auto"/>
        </w:rPr>
      </w:pPr>
    </w:p>
    <w:p>
      <w:pPr>
        <w:jc w:val="both"/>
        <w:ind w:left="900" w:hanging="446"/>
        <w:spacing w:after="0" w:line="286" w:lineRule="auto"/>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1"/>
              </w:rPr>
              <w:t>Cash (1)(2)</w:t>
            </w: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 (3)</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Perquisites/</w:t>
            </w:r>
          </w:p>
        </w:tc>
        <w:tc>
          <w:tcPr>
            <w:tcW w:w="10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Other (5)</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Benefits (4)</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Robert D. Marcus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22,390,411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56,506,890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399,838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$ 81,797,139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8"/>
              </w:rPr>
              <w:t>Chairman and Chief Executive Officer (former President and</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Glenn A. Britt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rPr>
              <w:t>Retired Chairman and Chief Executive Officer(6)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Arthur T. Minson, Jr.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7,530,411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17,951,757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675,000</w:t>
            </w:r>
          </w:p>
        </w:tc>
        <w:tc>
          <w:tcPr>
            <w:tcW w:w="1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9"/>
              </w:rPr>
              <w:t>$ 26,237,300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Michael LaJoie</w:t>
            </w:r>
          </w:p>
        </w:tc>
        <w:tc>
          <w:tcPr>
            <w:tcW w:w="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3,625,753</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w w:val="88"/>
              </w:rPr>
              <w:t>12,539,053</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72,164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325,000</w:t>
            </w:r>
          </w:p>
        </w:tc>
        <w:tc>
          <w:tcPr>
            <w:tcW w:w="126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89"/>
              </w:rPr>
              <w:t>$ 16,561,970</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w w:val="97"/>
              </w:rPr>
              <w:t>Executive Vice President and Chief Technology and Network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rPr>
              <w:t>Operations Officer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Philip G. Meeks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3,946,849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7,622,524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9"/>
              </w:rPr>
              <w:t>$ 11,928,124</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3"/>
              </w:rPr>
              <w:t>Executive Vice President and Chief Operating Officer, Business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Services</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b w:val="1"/>
                <w:bCs w:val="1"/>
                <w:color w:val="auto"/>
              </w:rPr>
              <w:t>Irene M. Esteves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i w:val="1"/>
                <w:iCs w:val="1"/>
                <w:color w:val="auto"/>
                <w:w w:val="98"/>
              </w:rPr>
              <w:t>Former Executive Vice President and Chief Financial Officer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86" w:lineRule="auto"/>
        <w:tabs>
          <w:tab w:leader="none" w:pos="4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amounts in this column reflect continuation of annual base salary and target bonus in effect on the assumed date of termination for a 36-month period for Messrs. Marcus, Minson and Meeks and for a 30-month period for Mr. LaJoie. Base salaries as of the assumed effective time of the transaction (July 31, 2014) are as follows: Mr. Marcus ($1,500,000), Mr. Minson ($900,000), Mr. LaJoie ($650,000) and Mr. Meeks ($600,000). The most recent target annual bonuses as of the effective time of the transaction are as follows: Mr. Marcus ($5,000,000), Mr. Minson ($1,350,000),</w:t>
      </w:r>
    </w:p>
    <w:p>
      <w:pPr>
        <w:spacing w:after="0" w:line="1" w:lineRule="exact"/>
        <w:rPr>
          <w:rFonts w:ascii="Arial" w:cs="Arial" w:eastAsia="Arial" w:hAnsi="Arial"/>
          <w:sz w:val="16"/>
          <w:szCs w:val="16"/>
          <w:color w:val="auto"/>
        </w:rPr>
      </w:pPr>
    </w:p>
    <w:p>
      <w:pPr>
        <w:ind w:left="460" w:right="120"/>
        <w:spacing w:after="0" w:line="281" w:lineRule="auto"/>
        <w:rPr>
          <w:rFonts w:ascii="Arial" w:cs="Arial" w:eastAsia="Arial" w:hAnsi="Arial"/>
          <w:sz w:val="16"/>
          <w:szCs w:val="16"/>
          <w:color w:val="auto"/>
        </w:rPr>
      </w:pPr>
      <w:r>
        <w:rPr>
          <w:rFonts w:ascii="Arial" w:cs="Arial" w:eastAsia="Arial" w:hAnsi="Arial"/>
          <w:sz w:val="16"/>
          <w:szCs w:val="16"/>
          <w:color w:val="auto"/>
        </w:rPr>
        <w:t>Mr. LaJoie ($650,000) and Mr. Meeks ($600,000). These severance amounts are “double trigger” payments, payable if the executive resigns for “good reason” (see discussion below) or is terminated by TWC without cause within (i) 24 months following the effective date of a change in control or</w:t>
      </w:r>
    </w:p>
    <w:p>
      <w:pPr>
        <w:spacing w:after="0" w:line="1" w:lineRule="exact"/>
        <w:rPr>
          <w:rFonts w:ascii="Arial" w:cs="Arial" w:eastAsia="Arial" w:hAnsi="Arial"/>
          <w:sz w:val="16"/>
          <w:szCs w:val="16"/>
          <w:color w:val="auto"/>
        </w:rPr>
      </w:pPr>
    </w:p>
    <w:p>
      <w:pPr>
        <w:ind w:left="460" w:right="80"/>
        <w:spacing w:after="0" w:line="265" w:lineRule="auto"/>
        <w:rPr>
          <w:rFonts w:ascii="Arial" w:cs="Arial" w:eastAsia="Arial" w:hAnsi="Arial"/>
          <w:sz w:val="16"/>
          <w:szCs w:val="16"/>
          <w:color w:val="auto"/>
        </w:rPr>
      </w:pPr>
      <w:r>
        <w:rPr>
          <w:rFonts w:ascii="Arial" w:cs="Arial" w:eastAsia="Arial" w:hAnsi="Arial"/>
          <w:sz w:val="17"/>
          <w:szCs w:val="17"/>
          <w:color w:val="auto"/>
        </w:rPr>
        <w:t>(ii) following TWC’s execution of an agreement contemplating a change in control but before the date that is 24 months after a change in control (or, if earlier, the expiration or termination of such change in control agreement without a change in control). Assuming a termination of employment on July 31, 2014, the amounts also include a pro-rata target bonus for the year of termination which are as follows: Mr. Marcus ($2,890,411), Mr. Minson ($780,411), Mr. LaJoie ($375,753) and Mr. Meeks ($346,849).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payments from what they would have been had no change in control occurred.</w:t>
      </w:r>
    </w:p>
    <w:p>
      <w:pPr>
        <w:spacing w:after="0" w:line="1" w:lineRule="exact"/>
        <w:rPr>
          <w:rFonts w:ascii="Arial" w:cs="Arial" w:eastAsia="Arial" w:hAnsi="Arial"/>
          <w:sz w:val="16"/>
          <w:szCs w:val="16"/>
          <w:color w:val="auto"/>
        </w:rPr>
      </w:pPr>
    </w:p>
    <w:p>
      <w:pPr>
        <w:ind w:left="460" w:right="440" w:hanging="452"/>
        <w:spacing w:after="0" w:line="277" w:lineRule="auto"/>
        <w:tabs>
          <w:tab w:leader="none" w:pos="4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hanging="452"/>
        <w:spacing w:after="0" w:line="253" w:lineRule="auto"/>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amounts in this column reflect the value (spread value in the case of options) in respect of restricted stock units and unvested options that would vest,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$4,127,086 for 75,197 unvested options; Mr. LaJoie $8,236,842 for 54,760 restricted stock units and $4,302,211 for 62,654 unvested options; and Mr. Meeks: $6,178,573 for 41,077 restricted stock units and $1,443,951 for 44,134 unvested options.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w:t>
      </w:r>
    </w:p>
    <w:p>
      <w:pPr>
        <w:spacing w:after="0" w:line="2" w:lineRule="exact"/>
        <w:rPr>
          <w:rFonts w:ascii="Arial" w:cs="Arial" w:eastAsia="Arial" w:hAnsi="Arial"/>
          <w:sz w:val="16"/>
          <w:szCs w:val="16"/>
          <w:color w:val="auto"/>
        </w:rPr>
      </w:pPr>
    </w:p>
    <w:p>
      <w:pPr>
        <w:ind w:left="460" w:right="480"/>
        <w:spacing w:after="0" w:line="261" w:lineRule="auto"/>
        <w:rPr>
          <w:rFonts w:ascii="Arial" w:cs="Arial" w:eastAsia="Arial" w:hAnsi="Arial"/>
          <w:sz w:val="16"/>
          <w:szCs w:val="16"/>
          <w:color w:val="auto"/>
        </w:rPr>
      </w:pPr>
      <w:r>
        <w:rPr>
          <w:rFonts w:ascii="Arial" w:cs="Arial" w:eastAsia="Arial" w:hAnsi="Arial"/>
          <w:sz w:val="18"/>
          <w:szCs w:val="18"/>
          <w:color w:val="auto"/>
        </w:rPr>
        <w:t>(x) executive level outplacement services and (y) one year of office space. The table below identifies and quantifies the individual perquisites and benefits for each of Messrs. Marcus, Minson, LaJoie and Meeks.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42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Healthcare</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Outplacement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Office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Planning</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Continuation</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Space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Perquisites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Marcus</w:t>
            </w:r>
          </w:p>
        </w:tc>
        <w:tc>
          <w:tcPr>
            <w:tcW w:w="14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$300,000</w:t>
            </w:r>
          </w:p>
        </w:tc>
        <w:tc>
          <w:tcPr>
            <w:tcW w:w="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75,646</w:t>
            </w: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399,838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4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80,132</w:t>
            </w: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80,132</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LaJoie</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7,100</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$14,168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72,164</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Philip G. Meeks</w:t>
            </w:r>
          </w:p>
        </w:tc>
        <w:tc>
          <w:tcPr>
            <w:tcW w:w="148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58,751</w:t>
            </w:r>
          </w:p>
        </w:tc>
        <w:tc>
          <w:tcPr>
            <w:tcW w:w="12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58"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amounts in this column reflect the 2014 supplemental bonus opportunity, assuming that 2014 performance through July 31, 2014, the assumed date of completion of the merger, is at target. These supplemental bonus opportunities are “single trigger.”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of Mr. Britt’s equity awards are currently vested as a result of his retirement at the end of 2013 or subsequent death.</w:t>
      </w:r>
    </w:p>
    <w:p>
      <w:pPr>
        <w:spacing w:after="0" w:line="21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 of this joint proxy statement/prospectus, which is incorporated herein by reference.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TWC’s Employment Agreements with its Named Executive Officers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each named executive officer’s employment agreement, if the officer resigns for “good reason” (see discussion below) or is terminated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TWC without cause, the officer is entitled to the payments and benefits described below:</w:t>
      </w:r>
    </w:p>
    <w:p>
      <w:pPr>
        <w:spacing w:after="0" w:line="116"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accrued but unpaid bonus for the preceding fiscal year,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pro rata bonus for service during the year of termination, based on actual results for the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continued salary and target bonus payments, paid on TWC’s normal payment dates for salary: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w:t>
      </w:r>
    </w:p>
    <w:p>
      <w:pPr>
        <w:spacing w:after="0" w:line="34"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8"/>
          <w:szCs w:val="18"/>
          <w:color w:val="auto"/>
        </w:rPr>
        <w:t>(i) amounts effective at termination, and (ii) amounts effective on effective date of the officer’s employment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77" w:lineRule="auto"/>
        <w:tabs>
          <w:tab w:leader="none" w:pos="14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for 30 months for Mr. LaJoie, where the bonus component is the greater of (i) the target bonus at termination and (ii) the average of his annual bonus for the two years immediately preceding the year of termination;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continued participation in TWC’s health and welfare benefits for the applicable 30 or 36 month severance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Mr. LaJoie, (i) executive level outplacement and (ii) one year of office space.</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24-month period versus a 36-month period). For Mr. LaJoie, the above severance payments and benefits are triggered upon the termination, regardless of whether there is also a change in control.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any of the following occurrences without the officer’s consent:</w:t>
      </w:r>
    </w:p>
    <w:p>
      <w:pPr>
        <w:spacing w:after="0" w:line="131"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material violation with respect to such officer’s authority, functions, duties, powers, responsibilities or place of employment;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failure to cause any successor to all or substantially all of the business and assets of the company expressly to assume the obligations of the company under the employment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material breach of the employer’s obligations under the employment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Mr. Minson, a material violation with respect to his reporting relationship.</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As a condition to receiving these severance payments and benefits, the named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 (iv) covenants relating to non-competition during their employment terms and for 24 months (12 months for Mr. LaJoie) following the end of their employment terms.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Mr. LaJoie has elected to exercise the retirement option under the terms of his employment agreement, with such retirement effective as of December 31, 2014. If the merger is consummated after his retirement date, Mr. LaJoie would be entitled to the payments and benefits that are due under his employment agreement in connection with his retirement, which are described in the proxy statement dated April 29, 2014 in connection with TWC’s 2014 annual meeting of stockholders. In such event, Mr. LaJoie would not receive the payments and benefits described herein and would forfeit his retention award of restricted stock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TWC PROPOSAL II: ADVISORY VOTE ON GOLDEN PARACHUTE COMPENSATION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 of this joint proxy statement/prospectus. That summary includes all compensation and benefits that will or may be paid by TWC to its named executive officers in connection with the merger.</w:t>
      </w:r>
    </w:p>
    <w:p>
      <w:pPr>
        <w:spacing w:after="0" w:line="17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TWC board of directors encourages you to review carefully the “golden parachute” compensation information disclosed in this joint proxy statement/prospectus.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TWC board of directors unanimously recommends that the stockholders of TWC approve the following resolution: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6" w:lineRule="exact"/>
        <w:rPr>
          <w:sz w:val="20"/>
          <w:szCs w:val="20"/>
          <w:color w:val="auto"/>
        </w:rPr>
      </w:pPr>
    </w:p>
    <w:p>
      <w:pPr>
        <w:jc w:val="center"/>
        <w:ind w:left="540" w:right="160"/>
        <w:spacing w:after="0" w:line="454" w:lineRule="auto"/>
        <w:rPr>
          <w:sz w:val="20"/>
          <w:szCs w:val="20"/>
          <w:color w:val="auto"/>
        </w:rPr>
      </w:pPr>
      <w:r>
        <w:rPr>
          <w:rFonts w:ascii="Arial" w:cs="Arial" w:eastAsia="Arial" w:hAnsi="Arial"/>
          <w:sz w:val="18"/>
          <w:szCs w:val="18"/>
          <w:b w:val="1"/>
          <w:bCs w:val="1"/>
          <w:color w:val="auto"/>
        </w:rPr>
        <w:t xml:space="preserve">The TWC board of directors unanimously recommends that TWC stockholders vote “FOR” the “golden parachute” compensation proposal. </w:t>
      </w:r>
      <w:r>
        <w:rPr>
          <w:rFonts w:ascii="Arial" w:cs="Arial" w:eastAsia="Arial" w:hAnsi="Arial"/>
          <w:sz w:val="18"/>
          <w:szCs w:val="18"/>
          <w:color w:val="auto"/>
        </w:rPr>
        <w:t>200</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COMCAST PROPOSAL II: ADJOURNMENT OF THE COMCAST SPECIAL MEETING</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6"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DIVESTITURE TRANSACTIONS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with TWC. Due to the timing associated with the debt-for-debt exchange described below, however, the earliest date on which the divestiture transactions could be completed is four weeks following completion of the merger, although they could take significantly longer or may not occur at all. The completion of the divestiture transactions will result in the combined company divesting a net total of approximately 3.9 million subscribers.</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66"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Neither Comcast shareholders nor TWC stockholders are entitled to vote on the divestiture transactions, and no vote with respect thereto is being solicited by Comcast or TWC. Instead, Comcast shareholders and TWC stockholders are being asked to vote on a merger transaction that contemplates a divestiture of subscribers, which may or may not ultimately take the form of the divestiture transactions as described in this joint proxy statement/prospectus. The merger of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 and Spin-Off</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together with the relevant subscribers and all the assets and liabilities primarily related to the SpinCo systems and will also assume liabilities primarily related to the SpinCo systems and other assets transferred by Comcast to SpinCo.</w:t>
      </w:r>
    </w:p>
    <w:p>
      <w:pPr>
        <w:spacing w:after="0" w:line="154"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7"/>
          <w:szCs w:val="17"/>
          <w:color w:val="auto"/>
        </w:rPr>
        <w:t>Comcast, Charter and SpinCo will use reasonable best efforts to cause SpinCo to incur new indebtedness in an aggregate amount equal to 5.0 times the 2014 EBITDA of the SpinCo systems (as such term is defined by SpinCo’s financing sources for purposes of the financing). The indebtedness will consist of bank debt and/or term loans to be used to fund cash distributions to Comcast and for general corporate purposes at SpinCo, and SpinCo notes newly issued to Comcast, which will enable Comcast to complete the debt-for-debt exchange described below, which is referred to in this joint proxy statement/prospectus as the debt-for-debt exchange. The cash distributions to Comcast are expected to be up to the amount of Comcast’s tax basis in SpinCo, and Comcast expects to use the proceeds to repay indebtedness, repurchase shares or fund dividends.</w:t>
      </w:r>
    </w:p>
    <w:p>
      <w:pPr>
        <w:spacing w:after="0" w:line="17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connection with the debt-for-debt exchange, one or more financial institutions are expected to conduct a third-party tender offer for certain of Comcast’s existing publicly traded debt securities. Following the closing of the third-party tender offer, the financial institutions will hold the tendered debt securities for a minimum period of time before entering into an agreement with Comcast to exchange the tendered debt securities for the new SpinCo notes held by Comcast. The notional amount and terms of the new SpinCo notes issued by SpinCo to Comcast and subsequently transferred to the financial institutions will be determined following the outcome of the tender offer and will reflect the credit characteristics of SpinCo. Comcast anticipates that following the debt-for-debt exchange, the financial institutions will resell the SpinCo notes they receive in a Rule 144A private placement to qualified institutional buyers. As described below, completion of the debt-for-debt exchange is a condition to the divestiture transactions.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If the amount of debt securities ultimately tendered is less than the amount that, following exchange for new SpinCo notes, would result in SpinCo leverage of at least 2.5 times 2014 EBITDA of the SpinCo Systems, the divestiture transactions will be terminated. If as a result of the debt-for-debt exchange, the SpinCo leverage is equal to or greater than 2.5 times but less than 5.0 times 2014 EBITDA of the SpinCo systems, Charter will increase the SpinCo merger consideration referred to below in accordance with the formula described below.</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Following the distributions to Comcast and debt-for-debt exchange, Comcast will distribute all of the outstanding SpinCo shares to Comcast shareholders (including former TWC stockholders), which distribution is referred to in this joint proxy statement/prospectus as the spin-off . In connection with the spin-off, SpinCo will file a registration statement on Form S-1, which is referred to in this joint proxy statement/prospectus as the SpinCo Registration Statement, to register, under the Securities Act, the pro rata distribution of shares of its common stock to Comcast shareholders (including former TWC stockholders). At Comcast’s election, in lieu of the spin-off, the separation will be accomplished through an exchange offer by Comcast to exchange stock of SpinCo for outstanding shares of Comcast common stock, which exchange offer is referred to in this joint proxy statement/prospectus as the split-off. SpinCo will file the SpinCo Registration Statement with the SEC prior to the anticipated closing of the merger of Comcast and TWC. The SpinCo Registration Statement will need to be declared effective by the SEC prior to the record date for the distribution of shares of SpinCo to Comcast shareholders (including former TWC stockholders) and prior to the SpinCo merger.</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 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or a subsidiary of New Charter will acquire an amount of SpinCo shares (estimated to be approximately 33% of the outstanding SpinCo shares) that will result in historic Comcast shareholders (not including former TWC stockholders for purposes of this calculation) holding at least 50.75% of the outstanding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of the divestiture transactions.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18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connection with the SpinCo merger, it is expected that New Charter and Charter will file a registration statement on Form S-4 (to register the issuance of New Charter shares in exchange for existing Charter shares and the issuance of New Charter shares in exchange for SpinCo shares), which is referred to in this joint proxy statement/prospectus as the Charter Registration Statement. The Charter Registration Statement is expected to include proxy statement information that will be deemed filed pursuant to New Charter’s obligation 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Regulation 14A in connection with New Charter’s special meeting of its stockholders to approve the requisite proposals for the divestiture transactions, including the SpinCo merger. In addition to registering the issuance of common stock of New Charter to New Charter’s existing stockholders, the Charter Registration Statement is expected to register the issuance of New Charter shares in connection with the SpinCo merger.</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closing of the SpinCo merger,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 At each SpinCo annual stockholders’ meeting held thereafter, one class of directors will be up for election each year and directors will be chosen by a plurality vote of the stockholders voting in the election for a term of three years to succeed those whose terms expire.</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On May 15, 2014, Comcast and Charter announced that former Insight Communications, Inc. co-founder and Chief Executive Officer Michael S. Willner has agreed to serve as President and Chief Executive Officer of SpinCo, and in such role will oversee the operations of SpinCo. On June 16, 2014, Comcast and Charter announced that the current Senior Vice President and Treasurer of TWC, Matthew Siegel, has agreed to serve as Chief Financial Officer of SpinCo.</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and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 The services provided by Charter pursuant to the services agreement will be subject to the authority and supervision of the SpinCo board and the SpinCo executive management team.</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Although the SpinCo shares will be distributed in the spin-off pro rata to Comcast shareholders (including former TWC stockholders), the SpinCo merger will result in a portion of each holder’s SpinCo shares being converted into the right to receive New Charter shares with New Charter owning an amount (estimated to be approximately 33%) of the outstanding SpinCo shares. Accordingly, the SpinCo merger will result in Comcast shareholders (including former TWC stockholders) each owning a proportional interest in SpinCo that is approximately 67% as large as their aggregate proportional interest in Comcast following the merger with TWC.</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Exchange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closing of the divestiture transactions, Comcast and Charter will exchange certain systems serving approximately 1.5 million legacy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To the extent that the Carveout 2014 EBITDA of the exchanged systems of each company differs, 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 Sale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eight-year period, and an additional payment will be made at the end of such eight-year period in an amount equal to any remaining tax benefit (on a present value basis).</w:t>
      </w:r>
    </w:p>
    <w:p>
      <w:pPr>
        <w:spacing w:after="0" w:line="18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Although the formula to determine the value of each of (i) the New Charter shares to be issued in the SpinCo merger, (ii) the systems to be included in the exchange and (iii) the assets to be included in the sale has been agreed and will be valued at 7.125 times Carveout 2014 EBITDA, the actual valuation will be based on EBITDA at various points in time depending on when the divestiture transactions are completed, and therefore cannot be determined at this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Consummation of the divestiture transactions is subject to a number of closing conditions, including, among others:</w:t>
      </w:r>
    </w:p>
    <w:p>
      <w:pPr>
        <w:spacing w:after="0" w:line="131" w:lineRule="exact"/>
        <w:rPr>
          <w:sz w:val="20"/>
          <w:szCs w:val="20"/>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completion of the merger between Comcast and TWC;</w:t>
      </w:r>
    </w:p>
    <w:p>
      <w:pPr>
        <w:spacing w:after="0" w:line="130" w:lineRule="exact"/>
        <w:rPr>
          <w:rFonts w:ascii="Arial" w:cs="Arial" w:eastAsia="Arial" w:hAnsi="Arial"/>
          <w:sz w:val="18"/>
          <w:szCs w:val="18"/>
          <w:color w:val="auto"/>
        </w:rPr>
      </w:pPr>
    </w:p>
    <w:p>
      <w:pPr>
        <w:ind w:left="900" w:right="620" w:hanging="325"/>
        <w:spacing w:after="0" w:line="264"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receipt of a number of regulatory approvals, including approval of the FCC, approval of 100% of required public utility commissions and approval of certain franchise authorities, in most cases without the imposition of a burdensome condition, as defined in the transactions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Charter obtaining the necessary financing to complete the purchase of assets from Comcast;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completion of the debt-for-debt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approval by Charter’s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absence of an injunction or legal impediment;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accuracy of representations and warranties and performance of covenants, subject to applicable materiality thresholds;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receipt of certain opinions of tax counsel covering the tax-free nature of certain of the divestiture transactions;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assets and liabilities to be transferred to SpinCo, the assets and liabilities to be transferred by Comcast in the exchange and the assets and liabilities to be transferred by Comcast in the sale, taken as a whole;</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Charter’s obligations, absence of the assertion by Charter’s financing sources for the sale of a material adverse effect with respect to Charter;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 respect to Comcast’s obligations, absence of a material adverse change with respect to the assets and liabilities transferred by Charter in the exchange and absence of a material adverse effect with respect to Charter;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listing of the SpinCo shares on an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effectiveness of the Charter Registration Statement and approval of listing on the NASDAQ.</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merger with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agreements for each of the divestiture transactions are terminable: (1) upon termination of the merger agreement with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periods from the completion of the merger with TWC.</w:t>
      </w:r>
    </w:p>
    <w:p>
      <w:pPr>
        <w:spacing w:after="0" w:line="15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diagrams graphically illustrate, in simplified form, the steps to consummate the merger and the divestiture transactions. The diagram immediately below shows the existing corporate structure of Comcast, TWC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-19050</wp:posOffset>
            </wp:positionV>
            <wp:extent cx="2752725" cy="2426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5272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diagram immediately below shows the corporate structure of Comcast, TWC and Charter following the merger but before the divestiture transactions. Pursuant to the merger, Merger Sub will be merged with and into TWC, with TWC continuing as the surviving corporation. Upon completion of the merger, former TWC stockholders will receive shares of Comcast and will no longer own TWC stock, and TWC will be a wholly owned subsidiary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85090</wp:posOffset>
            </wp:positionV>
            <wp:extent cx="3018790" cy="27101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1879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applicable conditions to the divestiture transactions are satisfied or waived, the diagram immediately below shows the corporate structure of Comcast, TWC and Charter following the merger and the spin-off but before the SpinCo merger and the other divestiture transactions, each of which will take place immediately following the spin-off. Accordingly, if the spin-off occurs, it will be immediately followed by the SpinCo merger and the other divestiture transactions, with the result that the corporate structure shown in the final diagram below will apply.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connection with the spin-off, Comcast will contribute the SpinCo systems to SpinCo, and will distribute all of the outstanding SpinCo shares to Comcast shareholders (including former TWC stockholders who received Comcast shares in the merger and continue to hold Comcast shares through the record date for the spin-off). In addition, as part of the Charter reorganization, New Charter will convert into a corporation, all shares of Charter will be converted into shares of New Charter, and New Charter will survive as the publicly-traded parent company of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74930</wp:posOffset>
            </wp:positionV>
            <wp:extent cx="4622165" cy="31299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2216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60"/>
          </w:cols>
          <w:pgMar w:left="240" w:top="460" w:right="5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diagram immediately below shows the corporate structure of Comcast, TWC and Charter following the merger and the divestiture transactions. In connection with the SpinCo merger, a newly formed, wholly owned subsidiary of New Charter, Charter Merger Sub, will merge with and into SpinCo, with SpinCo surviving the merger. As a result of the SpinCo merger, New Charter or a subsidiary of New Charter will receive shares of SpinCo common stock, and SpinCo’s stockholders will receive shares of New Charter common stock and will continue to hold shares of SpinCo common stock, which are currently estimated to represent 67% of SpinCo’s outstanding common stock in the aggregate. Following consummation of the exchange and the sale, Comcast will own the Charter exchange systems, and Charter will own the TWC exchange systems and the TWC sale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71120</wp:posOffset>
            </wp:positionV>
            <wp:extent cx="4905375" cy="41763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05375"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300"/>
          </w:cols>
          <w:pgMar w:left="240" w:top="459" w:right="3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presents an indicative sequence of events related to the merger of Comcast and TWC and the divestiture transactions, including the debt-for-debt exchange, the spin-off, the SpinCo merger, the exchange and the sale. The merger of Comcast and TWC and the divestiture transactions are subject to separate conditions and the merger may be completed whether or not the divestiture transactions are ultimately consummated. The divestiture transactions, however, are conditioned upon the completion of the merger of Comcast and TWC. The timing associated with the merger of Comcast and TWC will depend on when (and if) the conditions to the merger are satisfied or waived, including receipt of regulatory approvals. As of the date of this joint proxy statement/prospectus, we expect to complete the merger in early 2015 due to our current expectations regarding the timing of certain regulatory approvals. See “TWC Proposal I: Adoption of the Merger Agreement and Comcast Proposal I: Approval of the Stock Issuance—Regulatory Approvals Required for the Merger—Timing.” The timing associated with the closing of the divestiture transactions will depend on when (and if) the conditions to the divestiture transactions are satisfied or waived. See the description of the conditions to the divestiture transactions above. Due to the timing associated with the debt-for-debt exchange, as described above, the earliest the divestiture transactions could be completed is four weeks following completion of the merger of Comcast and TWC and could take significantly longer or may not occur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142240</wp:posOffset>
            </wp:positionV>
            <wp:extent cx="5145405" cy="3456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540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map below highlights the expected footprint of Comcast following the merger and assuming completion of the divestiture transactions based on the current footprint of each company and the terms of the transactions agreement. The systems included in the divestiture transactions were determined through negotiations between Comcast and Charter considering a number of factors, including the current and post-transactions geographic alignment of each company’s service areas to provide operating efficiencies and improve technology deployment, while providing a tax efficient transaction structure.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139700</wp:posOffset>
            </wp:positionV>
            <wp:extent cx="5188585" cy="28987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885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Liberty voting agreement will terminate upon the earliest of (i) immediately prior to the consummation of the divestiture transactions; (ii) the termination of the transactions agreement in accordance with its terms; (iii)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40"/>
          </w:cols>
          <w:pgMar w:left="240" w:top="460" w:right="3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CERTAIN BENEFICIAL OWNERS OF TWC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TWC Board of Directors and Executive Officers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July 31, 2014 as to the number of shares of TWC common stock beneficially owned by:</w:t>
      </w:r>
    </w:p>
    <w:p>
      <w:pPr>
        <w:spacing w:after="0" w:line="76" w:lineRule="exact"/>
        <w:rPr>
          <w:sz w:val="20"/>
          <w:szCs w:val="20"/>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TWC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current TWC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current TWC executive officers and directors, as a group.</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TWC Common Stock</w:t>
      </w:r>
    </w:p>
    <w:p>
      <w:pPr>
        <w:ind w:left="9280"/>
        <w:spacing w:after="0" w:line="236" w:lineRule="auto"/>
        <w:rPr>
          <w:sz w:val="20"/>
          <w:szCs w:val="20"/>
          <w:color w:val="auto"/>
        </w:rPr>
      </w:pPr>
      <w:r>
        <w:rPr>
          <w:rFonts w:ascii="Arial" w:cs="Arial" w:eastAsia="Arial" w:hAnsi="Arial"/>
          <w:sz w:val="14"/>
          <w:szCs w:val="14"/>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Right to</w:t>
            </w:r>
          </w:p>
        </w:tc>
        <w:tc>
          <w:tcPr>
            <w:tcW w:w="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Acquire</w:t>
            </w:r>
          </w:p>
        </w:tc>
        <w:tc>
          <w:tcPr>
            <w:tcW w:w="4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40" w:type="dxa"/>
            <w:vAlign w:val="bottom"/>
            <w:gridSpan w:val="2"/>
            <w:vMerge w:val="continue"/>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Shares(2)</w:t>
            </w:r>
          </w:p>
        </w:tc>
        <w:tc>
          <w:tcPr>
            <w:tcW w:w="6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210"/>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Thomas H. Castro</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Chang</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James E. Copeland, Jr.</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Irene M. Esteves</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Peter R. Haje(3)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15,622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A. James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Michael LaJoie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11,801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50,819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Logan</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Robert D. Marcus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61,281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171,339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G. Meeks</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Arthur T. Minson, Jr.</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25,065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 Nicholas, Jr.</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Wayne H. Pace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26,221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D. Shirley</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John E. Sununu</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(18 persons)(3)-(4)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139,191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383,347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TWC common stock on July 31, 2014.</w:t>
      </w:r>
    </w:p>
    <w:p>
      <w:pPr>
        <w:spacing w:after="0" w:line="23" w:lineRule="exact"/>
        <w:rPr>
          <w:sz w:val="20"/>
          <w:szCs w:val="20"/>
          <w:color w:val="auto"/>
        </w:rPr>
      </w:pPr>
    </w:p>
    <w:p>
      <w:pPr>
        <w:ind w:left="460" w:hanging="452"/>
        <w:spacing w:after="0" w:line="281" w:lineRule="auto"/>
        <w:tabs>
          <w:tab w:leader="none" w:pos="4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July 31, 2014, the only equity securities of TWC beneficially owned by the named persons or group were (i) shares of TWC common stock, (ii) options to purchase shares of TWC common stock and</w:t>
      </w:r>
    </w:p>
    <w:p>
      <w:pPr>
        <w:spacing w:after="0" w:line="3" w:lineRule="exact"/>
        <w:rPr>
          <w:rFonts w:ascii="Arial" w:cs="Arial" w:eastAsia="Arial" w:hAnsi="Arial"/>
          <w:sz w:val="16"/>
          <w:szCs w:val="16"/>
          <w:color w:val="auto"/>
        </w:rPr>
      </w:pPr>
    </w:p>
    <w:p>
      <w:pPr>
        <w:ind w:left="460" w:right="440" w:hanging="6"/>
        <w:spacing w:after="0" w:line="250" w:lineRule="auto"/>
        <w:tabs>
          <w:tab w:leader="none" w:pos="77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restricted stock units and deferred stock units reflecting the contingent right to receive shares of TWC common stock. None of these shares of TWC common stock was pledged as security.</w:t>
      </w:r>
    </w:p>
    <w:p>
      <w:pPr>
        <w:ind w:left="460" w:hanging="452"/>
        <w:spacing w:after="0" w:line="281" w:lineRule="auto"/>
        <w:tabs>
          <w:tab w:leader="none" w:pos="4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July 31, 2014, were unexercised, but were exercisable on or within 60 days after that date and (ii) restricted stock units that, on July 31,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w:t>
      </w:r>
    </w:p>
    <w:p>
      <w:pPr>
        <w:spacing w:after="0" w:line="3" w:lineRule="exact"/>
        <w:rPr>
          <w:rFonts w:ascii="Arial" w:cs="Arial" w:eastAsia="Arial" w:hAnsi="Arial"/>
          <w:sz w:val="16"/>
          <w:szCs w:val="16"/>
          <w:color w:val="auto"/>
        </w:rPr>
      </w:pPr>
    </w:p>
    <w:p>
      <w:pPr>
        <w:ind w:left="460" w:right="260" w:hanging="6"/>
        <w:spacing w:after="0" w:line="323" w:lineRule="auto"/>
        <w:tabs>
          <w:tab w:leader="none" w:pos="67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July 31, 2014 are set forth below. The directors do not have voting rights with respect to these restricted stock units and deferred stock units, but they represent an economic interest in the shares of TWC common stock.</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Pre-2011</w:t>
            </w:r>
          </w:p>
        </w:tc>
        <w:tc>
          <w:tcPr>
            <w:tcW w:w="13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7"/>
              </w:rPr>
              <w:t>Deferred</w:t>
            </w:r>
          </w:p>
        </w:tc>
      </w:tr>
      <w:tr>
        <w:trPr>
          <w:trHeight w:val="149"/>
        </w:trPr>
        <w:tc>
          <w:tcPr>
            <w:tcW w:w="4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66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71"/>
        </w:trPr>
        <w:tc>
          <w:tcPr>
            <w:tcW w:w="4140" w:type="dxa"/>
            <w:vAlign w:val="bottom"/>
          </w:tcPr>
          <w:p>
            <w:pPr>
              <w:spacing w:after="0"/>
              <w:rPr>
                <w:sz w:val="14"/>
                <w:szCs w:val="14"/>
                <w:color w:val="auto"/>
              </w:rPr>
            </w:pPr>
          </w:p>
        </w:tc>
        <w:tc>
          <w:tcPr>
            <w:tcW w:w="3220" w:type="dxa"/>
            <w:vAlign w:val="bottom"/>
            <w:gridSpan w:val="2"/>
          </w:tcPr>
          <w:p>
            <w:pPr>
              <w:jc w:val="center"/>
              <w:ind w:left="2392"/>
              <w:spacing w:after="0"/>
              <w:rPr>
                <w:sz w:val="20"/>
                <w:szCs w:val="20"/>
                <w:color w:val="auto"/>
              </w:rPr>
            </w:pPr>
            <w:r>
              <w:rPr>
                <w:rFonts w:ascii="Arial" w:cs="Arial" w:eastAsia="Arial" w:hAnsi="Arial"/>
                <w:sz w:val="14"/>
                <w:szCs w:val="14"/>
                <w:b w:val="1"/>
                <w:bCs w:val="1"/>
                <w:color w:val="auto"/>
                <w:w w:val="90"/>
              </w:rPr>
              <w:t>Stock Units</w:t>
            </w:r>
          </w:p>
        </w:tc>
        <w:tc>
          <w:tcPr>
            <w:tcW w:w="6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Carole Black</w:t>
            </w:r>
          </w:p>
        </w:tc>
        <w:tc>
          <w:tcPr>
            <w:tcW w:w="2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Thomas H. Castro</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David C. Chang</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6,832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James E. Copeland,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6,126</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Peter R. Haje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7,737</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Donna A. James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Don Logan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N.J. Nicholas, Jr.</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1220" w:type="dxa"/>
            <w:vAlign w:val="bottom"/>
            <w:gridSpan w:val="2"/>
          </w:tcPr>
          <w:p>
            <w:pPr>
              <w:jc w:val="center"/>
              <w:ind w:left="713"/>
              <w:spacing w:after="0"/>
              <w:rPr>
                <w:sz w:val="20"/>
                <w:szCs w:val="20"/>
                <w:color w:val="auto"/>
              </w:rPr>
            </w:pPr>
            <w:r>
              <w:rPr>
                <w:rFonts w:ascii="Arial" w:cs="Arial" w:eastAsia="Arial" w:hAnsi="Arial"/>
                <w:sz w:val="18"/>
                <w:szCs w:val="18"/>
                <w:color w:val="auto"/>
                <w:w w:val="93"/>
              </w:rPr>
              <w:t>7,085</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Wayne H. Pace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22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3"/>
              </w:rPr>
              <w:t>4,316</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Edward D. Shirley</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5,912</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John E. Sununu</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60" w:right="220" w:hanging="452"/>
        <w:spacing w:after="0" w:line="258"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Includes 666 shares of TWC common stock owned by the Peter and Helen Haje Foundation, as to which Mr. Haje and his spouse share voting power but have no investment power.</w:t>
      </w:r>
    </w:p>
    <w:p>
      <w:pPr>
        <w:spacing w:after="0" w:line="1" w:lineRule="exact"/>
        <w:rPr>
          <w:rFonts w:ascii="Arial" w:cs="Arial" w:eastAsia="Arial" w:hAnsi="Arial"/>
          <w:sz w:val="18"/>
          <w:szCs w:val="18"/>
          <w:color w:val="auto"/>
        </w:rPr>
      </w:pPr>
    </w:p>
    <w:p>
      <w:pPr>
        <w:jc w:val="both"/>
        <w:ind w:left="460" w:right="120" w:hanging="452"/>
        <w:spacing w:after="0" w:line="255"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Includes (a) an aggregate of approximately 1,028 shares of TWC common stock held by a trust under the TWC Savings Plan for the benefit of TWC’s current executive officers and (b) 69 shares beneficially owned by the spouse of a current executive officer. Shares of TWC common stock held by the estate of Mr. Britt are not included.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Based on a review of filings with the SEC, as of July 31, 2014, TWC has determined that each of the persons listed below is a beneficial holder of more than 5% of the outstanding shares of TWC common stock as of the date indicated.</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of TWC</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00" w:type="dxa"/>
            <w:vAlign w:val="bottom"/>
          </w:tcPr>
          <w:p>
            <w:pPr>
              <w:spacing w:after="0"/>
              <w:rPr>
                <w:sz w:val="12"/>
                <w:szCs w:val="12"/>
                <w:color w:val="auto"/>
              </w:rPr>
            </w:pPr>
          </w:p>
        </w:tc>
        <w:tc>
          <w:tcPr>
            <w:tcW w:w="96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Beneficially</w:t>
            </w:r>
          </w:p>
        </w:tc>
        <w:tc>
          <w:tcPr>
            <w:tcW w:w="1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02"/>
              <w:spacing w:after="0"/>
              <w:rPr>
                <w:sz w:val="20"/>
                <w:szCs w:val="20"/>
                <w:color w:val="auto"/>
              </w:rPr>
            </w:pPr>
            <w:r>
              <w:rPr>
                <w:rFonts w:ascii="Arial" w:cs="Arial" w:eastAsia="Arial" w:hAnsi="Arial"/>
                <w:sz w:val="14"/>
                <w:szCs w:val="14"/>
                <w:b w:val="1"/>
                <w:bCs w:val="1"/>
                <w:color w:val="auto"/>
              </w:rPr>
              <w:t>Owned</w:t>
            </w:r>
          </w:p>
        </w:tc>
        <w:tc>
          <w:tcPr>
            <w:tcW w:w="1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2620" w:type="dxa"/>
            <w:vAlign w:val="bottom"/>
            <w:vMerge w:val="restart"/>
            <w:shd w:val="clear" w:color="auto" w:fill="CCEEFF"/>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Dodge &amp; Cox(1)</w:t>
            </w:r>
          </w:p>
        </w:tc>
        <w:tc>
          <w:tcPr>
            <w:tcW w:w="26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15,524,188</w:t>
            </w:r>
          </w:p>
        </w:tc>
        <w:tc>
          <w:tcPr>
            <w:tcW w:w="7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555 California Street, 40th Floor</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Francisco, CA 94104</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The Vanguard Group Inc.(2)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14,222,130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100 Vanguard Boulevard</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Malvern, PA 19355</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8"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spacing w:after="0" w:line="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BENEFICIAL OWNERS OF COMCAST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by the Comcast Board of Directors and Executive Officers</w:t>
      </w:r>
    </w:p>
    <w:p>
      <w:pPr>
        <w:spacing w:after="0" w:line="12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sets forth information as of the close of business on July 31, 2014 as to the number of shares of Comcast common stock beneficially owned by:</w:t>
      </w:r>
    </w:p>
    <w:p>
      <w:pPr>
        <w:spacing w:after="0" w:line="76" w:lineRule="exact"/>
        <w:rPr>
          <w:sz w:val="20"/>
          <w:szCs w:val="20"/>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Comcast named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current Comcast director;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current Comcast executive officers and directors, as a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3"/>
          </w:tcPr>
          <w:p>
            <w:pPr>
              <w:jc w:val="right"/>
              <w:ind w:right="1400"/>
              <w:spacing w:after="0"/>
              <w:rPr>
                <w:sz w:val="20"/>
                <w:szCs w:val="20"/>
                <w:color w:val="auto"/>
              </w:rPr>
            </w:pPr>
            <w:r>
              <w:rPr>
                <w:rFonts w:ascii="Arial" w:cs="Arial" w:eastAsia="Arial" w:hAnsi="Arial"/>
                <w:sz w:val="14"/>
                <w:szCs w:val="14"/>
                <w:b w:val="1"/>
                <w:bCs w:val="1"/>
                <w:color w:val="auto"/>
              </w:rPr>
              <w:t>Amount Beneficially Owned(1)</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89"/>
              </w:rPr>
              <w:t>Percent of Class</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1"/>
              </w:rPr>
              <w:t>Comcast</w:t>
            </w:r>
          </w:p>
        </w:tc>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40" w:type="dxa"/>
            <w:vAlign w:val="bottom"/>
            <w:gridSpan w:val="2"/>
            <w:vMerge w:val="restart"/>
          </w:tcPr>
          <w:p>
            <w:pPr>
              <w:jc w:val="right"/>
              <w:ind w:right="1520"/>
              <w:spacing w:after="0"/>
              <w:rPr>
                <w:sz w:val="20"/>
                <w:szCs w:val="20"/>
                <w:color w:val="auto"/>
              </w:rPr>
            </w:pPr>
            <w:r>
              <w:rPr>
                <w:rFonts w:ascii="Arial" w:cs="Arial" w:eastAsia="Arial" w:hAnsi="Arial"/>
                <w:sz w:val="14"/>
                <w:szCs w:val="14"/>
                <w:b w:val="1"/>
                <w:bCs w:val="1"/>
                <w:color w:val="auto"/>
              </w:rPr>
              <w:t>Comcast Class A</w:t>
            </w: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Comcast</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Comcast</w:t>
            </w:r>
          </w:p>
        </w:tc>
        <w:tc>
          <w:tcPr>
            <w:tcW w:w="7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Comcast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Class A</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124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Class A(2)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rPr>
              <w:t>Special</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Class A(2)</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Special</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29"/>
        </w:trPr>
        <w:tc>
          <w:tcPr>
            <w:tcW w:w="18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Michael J. Angelakis</w:t>
            </w:r>
          </w:p>
        </w:tc>
        <w:tc>
          <w:tcPr>
            <w:tcW w:w="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1,194,510</w:t>
            </w:r>
          </w:p>
        </w:tc>
        <w:tc>
          <w:tcPr>
            <w:tcW w:w="1080" w:type="dxa"/>
            <w:vAlign w:val="bottom"/>
            <w:tcBorders>
              <w:top w:val="single" w:sz="8" w:color="CCEEFF"/>
            </w:tcBorders>
            <w:shd w:val="clear" w:color="auto" w:fill="CCEEFF"/>
          </w:tcPr>
          <w:p>
            <w:pPr>
              <w:jc w:val="right"/>
              <w:ind w:right="877"/>
              <w:spacing w:after="0" w:line="120" w:lineRule="exact"/>
              <w:rPr>
                <w:sz w:val="20"/>
                <w:szCs w:val="20"/>
                <w:color w:val="auto"/>
              </w:rPr>
            </w:pPr>
            <w:r>
              <w:rPr>
                <w:rFonts w:ascii="Arial" w:cs="Arial" w:eastAsia="Arial" w:hAnsi="Arial"/>
                <w:sz w:val="11"/>
                <w:szCs w:val="11"/>
                <w:color w:val="auto"/>
                <w:w w:val="88"/>
              </w:rPr>
              <w:t>(3)</w:t>
            </w:r>
          </w:p>
        </w:tc>
        <w:tc>
          <w:tcPr>
            <w:tcW w:w="1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Kenneth J. Bacon</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31,165</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Sheldon M. Bonovitz</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877"/>
              <w:spacing w:after="0" w:line="135" w:lineRule="exact"/>
              <w:rPr>
                <w:sz w:val="20"/>
                <w:szCs w:val="20"/>
                <w:color w:val="auto"/>
              </w:rPr>
            </w:pPr>
            <w:r>
              <w:rPr>
                <w:rFonts w:ascii="Arial" w:cs="Arial" w:eastAsia="Arial" w:hAnsi="Arial"/>
                <w:sz w:val="13"/>
                <w:szCs w:val="13"/>
                <w:color w:val="auto"/>
              </w:rPr>
              <w:t>32,005</w:t>
            </w:r>
            <w:r>
              <w:rPr>
                <w:rFonts w:ascii="Arial" w:cs="Arial" w:eastAsia="Arial" w:hAnsi="Arial"/>
                <w:sz w:val="10"/>
                <w:szCs w:val="10"/>
                <w:color w:val="auto"/>
              </w:rPr>
              <w:t>(4)</w:t>
            </w:r>
          </w:p>
        </w:tc>
        <w:tc>
          <w:tcPr>
            <w:tcW w:w="2840" w:type="dxa"/>
            <w:vAlign w:val="bottom"/>
            <w:gridSpan w:val="2"/>
            <w:shd w:val="clear" w:color="auto" w:fill="CCEEFF"/>
          </w:tcPr>
          <w:p>
            <w:pPr>
              <w:jc w:val="right"/>
              <w:ind w:right="1120"/>
              <w:spacing w:after="0" w:line="135" w:lineRule="exact"/>
              <w:rPr>
                <w:sz w:val="20"/>
                <w:szCs w:val="20"/>
                <w:color w:val="auto"/>
              </w:rPr>
            </w:pPr>
            <w:r>
              <w:rPr>
                <w:rFonts w:ascii="Arial" w:cs="Arial" w:eastAsia="Arial" w:hAnsi="Arial"/>
                <w:sz w:val="13"/>
                <w:szCs w:val="13"/>
                <w:color w:val="auto"/>
              </w:rPr>
              <w:t>116,952</w:t>
            </w:r>
            <w:r>
              <w:rPr>
                <w:rFonts w:ascii="Arial" w:cs="Arial" w:eastAsia="Arial" w:hAnsi="Arial"/>
                <w:sz w:val="10"/>
                <w:szCs w:val="10"/>
                <w:color w:val="auto"/>
              </w:rPr>
              <w:t>(5)</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Edward D. Breen</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51,065</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Stephen B. Burke</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w w:val="96"/>
              </w:rPr>
              <w:t>1,979,255</w:t>
            </w: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3,718</w:t>
            </w:r>
          </w:p>
        </w:tc>
        <w:tc>
          <w:tcPr>
            <w:tcW w:w="1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David L. Cohen</w:t>
            </w:r>
          </w:p>
        </w:tc>
        <w:tc>
          <w:tcPr>
            <w:tcW w:w="1240" w:type="dxa"/>
            <w:vAlign w:val="bottom"/>
          </w:tcPr>
          <w:p>
            <w:pPr>
              <w:spacing w:after="0"/>
              <w:rPr>
                <w:sz w:val="11"/>
                <w:szCs w:val="11"/>
                <w:color w:val="auto"/>
              </w:rPr>
            </w:pPr>
          </w:p>
        </w:tc>
        <w:tc>
          <w:tcPr>
            <w:tcW w:w="1660" w:type="dxa"/>
            <w:vAlign w:val="bottom"/>
            <w:gridSpan w:val="2"/>
          </w:tcPr>
          <w:p>
            <w:pPr>
              <w:jc w:val="right"/>
              <w:ind w:right="877"/>
              <w:spacing w:after="0" w:line="135" w:lineRule="exact"/>
              <w:rPr>
                <w:sz w:val="20"/>
                <w:szCs w:val="20"/>
                <w:color w:val="auto"/>
              </w:rPr>
            </w:pPr>
            <w:r>
              <w:rPr>
                <w:rFonts w:ascii="Arial" w:cs="Arial" w:eastAsia="Arial" w:hAnsi="Arial"/>
                <w:sz w:val="13"/>
                <w:szCs w:val="13"/>
                <w:color w:val="auto"/>
                <w:w w:val="99"/>
              </w:rPr>
              <w:t>2,711,812</w:t>
            </w:r>
            <w:r>
              <w:rPr>
                <w:rFonts w:ascii="Arial" w:cs="Arial" w:eastAsia="Arial" w:hAnsi="Arial"/>
                <w:sz w:val="10"/>
                <w:szCs w:val="10"/>
                <w:color w:val="auto"/>
                <w:w w:val="99"/>
              </w:rPr>
              <w:t>(6)</w:t>
            </w:r>
          </w:p>
        </w:tc>
        <w:tc>
          <w:tcPr>
            <w:tcW w:w="2840" w:type="dxa"/>
            <w:vAlign w:val="bottom"/>
            <w:gridSpan w:val="2"/>
          </w:tcPr>
          <w:p>
            <w:pPr>
              <w:jc w:val="right"/>
              <w:ind w:right="1120"/>
              <w:spacing w:after="0" w:line="135" w:lineRule="exact"/>
              <w:rPr>
                <w:sz w:val="20"/>
                <w:szCs w:val="20"/>
                <w:color w:val="auto"/>
              </w:rPr>
            </w:pPr>
            <w:r>
              <w:rPr>
                <w:rFonts w:ascii="Arial" w:cs="Arial" w:eastAsia="Arial" w:hAnsi="Arial"/>
                <w:sz w:val="13"/>
                <w:szCs w:val="13"/>
                <w:color w:val="auto"/>
              </w:rPr>
              <w:t>53,731</w:t>
            </w:r>
            <w:r>
              <w:rPr>
                <w:rFonts w:ascii="Arial" w:cs="Arial" w:eastAsia="Arial" w:hAnsi="Arial"/>
                <w:sz w:val="10"/>
                <w:szCs w:val="10"/>
                <w:color w:val="auto"/>
              </w:rPr>
              <w:t>(7)</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Joseph J. Collins</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877"/>
              <w:spacing w:after="0" w:line="135" w:lineRule="exact"/>
              <w:rPr>
                <w:sz w:val="20"/>
                <w:szCs w:val="20"/>
                <w:color w:val="auto"/>
              </w:rPr>
            </w:pPr>
            <w:r>
              <w:rPr>
                <w:rFonts w:ascii="Arial" w:cs="Arial" w:eastAsia="Arial" w:hAnsi="Arial"/>
                <w:sz w:val="13"/>
                <w:szCs w:val="13"/>
                <w:color w:val="auto"/>
              </w:rPr>
              <w:t>182,947</w:t>
            </w:r>
            <w:r>
              <w:rPr>
                <w:rFonts w:ascii="Arial" w:cs="Arial" w:eastAsia="Arial" w:hAnsi="Arial"/>
                <w:sz w:val="10"/>
                <w:szCs w:val="10"/>
                <w:color w:val="auto"/>
              </w:rPr>
              <w:t>(8)</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 Michael Cook</w:t>
            </w:r>
          </w:p>
        </w:tc>
        <w:tc>
          <w:tcPr>
            <w:tcW w:w="1240" w:type="dxa"/>
            <w:vAlign w:val="bottom"/>
          </w:tcPr>
          <w:p>
            <w:pPr>
              <w:spacing w:after="0"/>
              <w:rPr>
                <w:sz w:val="11"/>
                <w:szCs w:val="11"/>
                <w:color w:val="auto"/>
              </w:rPr>
            </w:pPr>
          </w:p>
        </w:tc>
        <w:tc>
          <w:tcPr>
            <w:tcW w:w="1660" w:type="dxa"/>
            <w:vAlign w:val="bottom"/>
            <w:gridSpan w:val="2"/>
          </w:tcPr>
          <w:p>
            <w:pPr>
              <w:jc w:val="right"/>
              <w:ind w:right="877"/>
              <w:spacing w:after="0" w:line="135" w:lineRule="exact"/>
              <w:rPr>
                <w:sz w:val="20"/>
                <w:szCs w:val="20"/>
                <w:color w:val="auto"/>
              </w:rPr>
            </w:pPr>
            <w:r>
              <w:rPr>
                <w:rFonts w:ascii="Arial" w:cs="Arial" w:eastAsia="Arial" w:hAnsi="Arial"/>
                <w:sz w:val="13"/>
                <w:szCs w:val="13"/>
                <w:color w:val="auto"/>
              </w:rPr>
              <w:t>51,106</w:t>
            </w:r>
            <w:r>
              <w:rPr>
                <w:rFonts w:ascii="Arial" w:cs="Arial" w:eastAsia="Arial" w:hAnsi="Arial"/>
                <w:sz w:val="10"/>
                <w:szCs w:val="10"/>
                <w:color w:val="auto"/>
              </w:rPr>
              <w:t>(9)</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3,450</w:t>
            </w:r>
            <w:r>
              <w:rPr>
                <w:rFonts w:ascii="Arial" w:cs="Arial" w:eastAsia="Arial" w:hAnsi="Arial"/>
                <w:sz w:val="10"/>
                <w:szCs w:val="10"/>
                <w:color w:val="auto"/>
              </w:rPr>
              <w:t>(10)</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Gerald L. Hassell</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51,191</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Jeffrey A. Honickman</w:t>
            </w:r>
          </w:p>
        </w:tc>
        <w:tc>
          <w:tcPr>
            <w:tcW w:w="1240" w:type="dxa"/>
            <w:vAlign w:val="bottom"/>
          </w:tcPr>
          <w:p>
            <w:pPr>
              <w:spacing w:after="0"/>
              <w:rPr>
                <w:sz w:val="11"/>
                <w:szCs w:val="11"/>
                <w:color w:val="auto"/>
              </w:rPr>
            </w:pPr>
          </w:p>
        </w:tc>
        <w:tc>
          <w:tcPr>
            <w:tcW w:w="1660" w:type="dxa"/>
            <w:vAlign w:val="bottom"/>
            <w:gridSpan w:val="2"/>
          </w:tcPr>
          <w:p>
            <w:pPr>
              <w:jc w:val="right"/>
              <w:ind w:right="837"/>
              <w:spacing w:after="0" w:line="135" w:lineRule="exact"/>
              <w:rPr>
                <w:sz w:val="20"/>
                <w:szCs w:val="20"/>
                <w:color w:val="auto"/>
              </w:rPr>
            </w:pPr>
            <w:r>
              <w:rPr>
                <w:rFonts w:ascii="Arial" w:cs="Arial" w:eastAsia="Arial" w:hAnsi="Arial"/>
                <w:sz w:val="13"/>
                <w:szCs w:val="13"/>
                <w:color w:val="auto"/>
              </w:rPr>
              <w:t>116,517</w:t>
            </w:r>
            <w:r>
              <w:rPr>
                <w:rFonts w:ascii="Arial" w:cs="Arial" w:eastAsia="Arial" w:hAnsi="Arial"/>
                <w:sz w:val="10"/>
                <w:szCs w:val="10"/>
                <w:color w:val="auto"/>
              </w:rPr>
              <w:t>(11)</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10,217</w:t>
            </w:r>
            <w:r>
              <w:rPr>
                <w:rFonts w:ascii="Arial" w:cs="Arial" w:eastAsia="Arial" w:hAnsi="Arial"/>
                <w:sz w:val="10"/>
                <w:szCs w:val="10"/>
                <w:color w:val="auto"/>
              </w:rPr>
              <w:t>(12)</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Eduardo G. Mestre</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44,179</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Brian L. Roberts</w:t>
            </w:r>
          </w:p>
        </w:tc>
        <w:tc>
          <w:tcPr>
            <w:tcW w:w="1240" w:type="dxa"/>
            <w:vAlign w:val="bottom"/>
          </w:tcPr>
          <w:p>
            <w:pPr>
              <w:spacing w:after="0"/>
              <w:rPr>
                <w:sz w:val="11"/>
                <w:szCs w:val="11"/>
                <w:color w:val="auto"/>
              </w:rPr>
            </w:pPr>
          </w:p>
        </w:tc>
        <w:tc>
          <w:tcPr>
            <w:tcW w:w="1660" w:type="dxa"/>
            <w:vAlign w:val="bottom"/>
            <w:gridSpan w:val="2"/>
          </w:tcPr>
          <w:p>
            <w:pPr>
              <w:jc w:val="right"/>
              <w:ind w:right="837"/>
              <w:spacing w:after="0" w:line="135" w:lineRule="exact"/>
              <w:rPr>
                <w:sz w:val="20"/>
                <w:szCs w:val="20"/>
                <w:color w:val="auto"/>
              </w:rPr>
            </w:pPr>
            <w:r>
              <w:rPr>
                <w:rFonts w:ascii="Arial" w:cs="Arial" w:eastAsia="Arial" w:hAnsi="Arial"/>
                <w:sz w:val="13"/>
                <w:szCs w:val="13"/>
                <w:color w:val="auto"/>
                <w:w w:val="97"/>
              </w:rPr>
              <w:t>5,222,930</w:t>
            </w:r>
            <w:r>
              <w:rPr>
                <w:rFonts w:ascii="Arial" w:cs="Arial" w:eastAsia="Arial" w:hAnsi="Arial"/>
                <w:sz w:val="10"/>
                <w:szCs w:val="10"/>
                <w:color w:val="auto"/>
                <w:w w:val="97"/>
              </w:rPr>
              <w:t>(13)</w:t>
            </w:r>
          </w:p>
        </w:tc>
        <w:tc>
          <w:tcPr>
            <w:tcW w:w="2840" w:type="dxa"/>
            <w:vAlign w:val="bottom"/>
            <w:gridSpan w:val="2"/>
          </w:tcPr>
          <w:p>
            <w:pPr>
              <w:jc w:val="right"/>
              <w:ind w:right="1060"/>
              <w:spacing w:after="0" w:line="135" w:lineRule="exact"/>
              <w:rPr>
                <w:sz w:val="20"/>
                <w:szCs w:val="20"/>
                <w:color w:val="auto"/>
              </w:rPr>
            </w:pPr>
            <w:r>
              <w:rPr>
                <w:rFonts w:ascii="Arial" w:cs="Arial" w:eastAsia="Arial" w:hAnsi="Arial"/>
                <w:sz w:val="13"/>
                <w:szCs w:val="13"/>
                <w:color w:val="auto"/>
              </w:rPr>
              <w:t>8,157,857</w:t>
            </w:r>
            <w:r>
              <w:rPr>
                <w:rFonts w:ascii="Arial" w:cs="Arial" w:eastAsia="Arial" w:hAnsi="Arial"/>
                <w:sz w:val="10"/>
                <w:szCs w:val="10"/>
                <w:color w:val="auto"/>
              </w:rPr>
              <w:t>(14)</w:t>
            </w:r>
          </w:p>
        </w:tc>
        <w:tc>
          <w:tcPr>
            <w:tcW w:w="13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Ralph J. Roberts</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w w:val="96"/>
              </w:rPr>
              <w:t>1,894,568</w:t>
            </w:r>
          </w:p>
        </w:tc>
        <w:tc>
          <w:tcPr>
            <w:tcW w:w="2840" w:type="dxa"/>
            <w:vAlign w:val="bottom"/>
            <w:gridSpan w:val="2"/>
            <w:shd w:val="clear" w:color="auto" w:fill="CCEEFF"/>
          </w:tcPr>
          <w:p>
            <w:pPr>
              <w:jc w:val="right"/>
              <w:ind w:right="1060"/>
              <w:spacing w:after="0" w:line="135" w:lineRule="exact"/>
              <w:rPr>
                <w:sz w:val="20"/>
                <w:szCs w:val="20"/>
                <w:color w:val="auto"/>
              </w:rPr>
            </w:pPr>
            <w:r>
              <w:rPr>
                <w:rFonts w:ascii="Arial" w:cs="Arial" w:eastAsia="Arial" w:hAnsi="Arial"/>
                <w:sz w:val="13"/>
                <w:szCs w:val="13"/>
                <w:color w:val="auto"/>
              </w:rPr>
              <w:t>1,508,443</w:t>
            </w:r>
            <w:r>
              <w:rPr>
                <w:rFonts w:ascii="Arial" w:cs="Arial" w:eastAsia="Arial" w:hAnsi="Arial"/>
                <w:sz w:val="10"/>
                <w:szCs w:val="10"/>
                <w:color w:val="auto"/>
              </w:rPr>
              <w:t>(16)</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Johnathan A. Rodgers</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19,399</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Dr. Judith Rodin</w:t>
            </w:r>
          </w:p>
        </w:tc>
        <w:tc>
          <w:tcPr>
            <w:tcW w:w="1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79,042</w:t>
            </w:r>
          </w:p>
        </w:tc>
        <w:tc>
          <w:tcPr>
            <w:tcW w:w="2840" w:type="dxa"/>
            <w:vAlign w:val="bottom"/>
            <w:gridSpan w:val="2"/>
            <w:shd w:val="clear" w:color="auto" w:fill="CCEEFF"/>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Neil Smit</w:t>
            </w:r>
          </w:p>
        </w:tc>
        <w:tc>
          <w:tcPr>
            <w:tcW w:w="1240" w:type="dxa"/>
            <w:vAlign w:val="bottom"/>
          </w:tcPr>
          <w:p>
            <w:pPr>
              <w:spacing w:after="0"/>
              <w:rPr>
                <w:sz w:val="11"/>
                <w:szCs w:val="11"/>
                <w:color w:val="auto"/>
              </w:rPr>
            </w:pPr>
          </w:p>
        </w:tc>
        <w:tc>
          <w:tcPr>
            <w:tcW w:w="1660" w:type="dxa"/>
            <w:vAlign w:val="bottom"/>
            <w:gridSpan w:val="2"/>
          </w:tcPr>
          <w:p>
            <w:pPr>
              <w:jc w:val="right"/>
              <w:ind w:right="1017"/>
              <w:spacing w:after="0" w:line="135" w:lineRule="exact"/>
              <w:rPr>
                <w:sz w:val="20"/>
                <w:szCs w:val="20"/>
                <w:color w:val="auto"/>
              </w:rPr>
            </w:pPr>
            <w:r>
              <w:rPr>
                <w:rFonts w:ascii="Arial" w:cs="Arial" w:eastAsia="Arial" w:hAnsi="Arial"/>
                <w:sz w:val="13"/>
                <w:szCs w:val="13"/>
                <w:color w:val="auto"/>
              </w:rPr>
              <w:t>738,483</w:t>
            </w:r>
          </w:p>
        </w:tc>
        <w:tc>
          <w:tcPr>
            <w:tcW w:w="2840" w:type="dxa"/>
            <w:vAlign w:val="bottom"/>
            <w:gridSpan w:val="2"/>
          </w:tcPr>
          <w:p>
            <w:pPr>
              <w:jc w:val="right"/>
              <w:ind w:right="130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All directors and executive officers</w:t>
            </w:r>
          </w:p>
        </w:tc>
        <w:tc>
          <w:tcPr>
            <w:tcW w:w="1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 a group (18 persons)</w:t>
            </w:r>
          </w:p>
        </w:tc>
        <w:tc>
          <w:tcPr>
            <w:tcW w:w="12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95"/>
              </w:rPr>
              <w:t>14,500,251</w:t>
            </w:r>
            <w:r>
              <w:rPr>
                <w:rFonts w:ascii="Arial" w:cs="Arial" w:eastAsia="Arial" w:hAnsi="Arial"/>
                <w:sz w:val="10"/>
                <w:szCs w:val="10"/>
                <w:color w:val="auto"/>
                <w:w w:val="95"/>
              </w:rPr>
              <w:t>(3)(4)(6)(8)(9)(11)(13)</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9,897,897</w:t>
            </w:r>
            <w:r>
              <w:rPr>
                <w:rFonts w:ascii="Arial" w:cs="Arial" w:eastAsia="Arial" w:hAnsi="Arial"/>
                <w:sz w:val="10"/>
                <w:szCs w:val="10"/>
                <w:color w:val="auto"/>
              </w:rPr>
              <w:t>(5)(7)(10)(12)(14)(16)(17)</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9,444,375</w:t>
            </w:r>
            <w:r>
              <w:rPr>
                <w:rFonts w:ascii="Arial" w:cs="Arial" w:eastAsia="Arial" w:hAnsi="Arial"/>
                <w:sz w:val="10"/>
                <w:szCs w:val="10"/>
                <w:color w:val="auto"/>
              </w:rPr>
              <w:t>(15)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100%</w:t>
            </w:r>
            <w:r>
              <w:rPr>
                <w:rFonts w:ascii="Arial" w:cs="Arial" w:eastAsia="Arial" w:hAnsi="Arial"/>
                <w:sz w:val="10"/>
                <w:szCs w:val="10"/>
                <w:color w:val="auto"/>
                <w:w w:val="9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23" w:lineRule="exact"/>
        <w:rPr>
          <w:sz w:val="20"/>
          <w:szCs w:val="20"/>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Exchange Act.</w:t>
      </w:r>
    </w:p>
    <w:p>
      <w:pPr>
        <w:spacing w:after="0" w:line="9" w:lineRule="exact"/>
        <w:rPr>
          <w:rFonts w:ascii="Arial" w:cs="Arial" w:eastAsia="Arial" w:hAnsi="Arial"/>
          <w:sz w:val="18"/>
          <w:szCs w:val="18"/>
          <w:color w:val="auto"/>
        </w:rPr>
      </w:pPr>
    </w:p>
    <w:p>
      <w:pPr>
        <w:ind w:left="580" w:right="100" w:hanging="572"/>
        <w:spacing w:after="0" w:line="254"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of Comcast Class A common stock for which the following persons hold options exercisable on or within 60 days of July 31, 2014: Mr. Angelakis, 947,966; Mr. Burke, 1,247,440; Mr. Cohen, 2,155,875 (597,015 of which are held by family trusts); Mr. Collins, 14,062; Mr. Brian L. Roberts, 4,521,825; Mr. Ralph J. Roberts, 679,940; Dr. Rodin, 11,250; Mr. Smit, 592,170; and all directors and executive officers as a group, 10,200,298.</w:t>
      </w:r>
    </w:p>
    <w:p>
      <w:pPr>
        <w:spacing w:after="0" w:line="81" w:lineRule="exact"/>
        <w:rPr>
          <w:rFonts w:ascii="Arial" w:cs="Arial" w:eastAsia="Arial" w:hAnsi="Arial"/>
          <w:sz w:val="18"/>
          <w:szCs w:val="18"/>
          <w:color w:val="auto"/>
        </w:rPr>
      </w:pPr>
    </w:p>
    <w:p>
      <w:pPr>
        <w:ind w:left="580" w:right="140"/>
        <w:spacing w:after="0" w:line="291" w:lineRule="auto"/>
        <w:rPr>
          <w:rFonts w:ascii="Arial" w:cs="Arial" w:eastAsia="Arial" w:hAnsi="Arial"/>
          <w:sz w:val="18"/>
          <w:szCs w:val="18"/>
          <w:color w:val="auto"/>
        </w:rPr>
      </w:pPr>
      <w:r>
        <w:rPr>
          <w:rFonts w:ascii="Arial" w:cs="Arial" w:eastAsia="Arial" w:hAnsi="Arial"/>
          <w:sz w:val="16"/>
          <w:szCs w:val="16"/>
          <w:color w:val="auto"/>
        </w:rPr>
        <w:t>Includes the following number of share equivalents that will be paid at a future date in cash and/or in Comcast Class A common stock pursuant to an election made under Comcast’s restricted stock plan for the following persons: Mr. Bacon, 13,059; Mr. Bonovitz, 14,383; Mr. Breen, 11,504;</w:t>
      </w:r>
    </w:p>
    <w:p>
      <w:pPr>
        <w:ind w:left="580" w:right="940"/>
        <w:spacing w:after="0" w:line="261" w:lineRule="auto"/>
        <w:rPr>
          <w:rFonts w:ascii="Arial" w:cs="Arial" w:eastAsia="Arial" w:hAnsi="Arial"/>
          <w:sz w:val="18"/>
          <w:szCs w:val="18"/>
          <w:color w:val="auto"/>
        </w:rPr>
      </w:pPr>
      <w:r>
        <w:rPr>
          <w:rFonts w:ascii="Arial" w:cs="Arial" w:eastAsia="Arial" w:hAnsi="Arial"/>
          <w:sz w:val="18"/>
          <w:szCs w:val="18"/>
          <w:color w:val="auto"/>
        </w:rPr>
        <w:t>Mr. Collins, 53,519; Mr. Cook, 35,119; Mr. Hassell, 42,030; Mr. Honickman, 53,622; Mr. Mestre, 17,832; Mr. Ralph J. Roberts, 748,270; Mr. Rodgers, 14,091; and Dr. Rodin, 53,516.</w:t>
      </w:r>
    </w:p>
    <w:p>
      <w:pPr>
        <w:spacing w:after="0" w:line="75" w:lineRule="exact"/>
        <w:rPr>
          <w:rFonts w:ascii="Arial" w:cs="Arial" w:eastAsia="Arial" w:hAnsi="Arial"/>
          <w:sz w:val="18"/>
          <w:szCs w:val="18"/>
          <w:color w:val="auto"/>
        </w:rPr>
      </w:pPr>
    </w:p>
    <w:p>
      <w:pPr>
        <w:ind w:left="580" w:right="160"/>
        <w:spacing w:after="0" w:line="256"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Comcast Class A common stock under Comcast’s deferred compensation plans for the following persons: Mr. Breen, 6,643; Mr. Collins, 13,367; Mr. Cook, 5,718; Mr. Hassell, 9,161; Mr. Honickman, 12,393; Mr. Mestre, 3,847; Mr. Rodgers, 1,886; and Dr. Rodin, 7,887.</w:t>
      </w:r>
    </w:p>
    <w:p>
      <w:pPr>
        <w:ind w:left="580" w:right="340" w:hanging="572"/>
        <w:spacing w:after="0" w:line="261" w:lineRule="auto"/>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Includes 168,242 shares of Comcast Class A common stock held jointly by him and his wife; 48,551 shares held by a family trust of which he is a trustee; and 29,074 shares owned by a charitable foundation of which he and his wife are trustees.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680" w:hanging="572"/>
        <w:spacing w:after="0" w:line="258"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72 shares of Comcast Class A common stock held by a testamentary trust of which he is a trustee and 2,992 shares owned by family partnerships.</w:t>
      </w:r>
    </w:p>
    <w:p>
      <w:pPr>
        <w:spacing w:after="0" w:line="1" w:lineRule="exact"/>
        <w:rPr>
          <w:rFonts w:ascii="Arial" w:cs="Arial" w:eastAsia="Arial" w:hAnsi="Arial"/>
          <w:sz w:val="18"/>
          <w:szCs w:val="18"/>
          <w:color w:val="auto"/>
        </w:rPr>
      </w:pPr>
    </w:p>
    <w:p>
      <w:pPr>
        <w:ind w:left="580" w:right="400" w:hanging="572"/>
        <w:spacing w:after="0" w:line="250"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15,714 shares of Comcast Class A Special common stock owned by a charitable foundation of which his wife is a trustee; 97,891 shares owned by family partnerships; and 3,000 shares owned by a family trust of which he is a trustee.</w:t>
      </w:r>
    </w:p>
    <w:p>
      <w:pPr>
        <w:ind w:left="580" w:right="60" w:hanging="572"/>
        <w:spacing w:after="0" w:line="250"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ind w:left="580" w:right="360" w:hanging="572"/>
        <w:spacing w:after="0" w:line="265" w:lineRule="auto"/>
        <w:tabs>
          <w:tab w:leader="none" w:pos="5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102,000 shares of Comcast Class A common stock held by grantor retained annuity trusts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2,425 shares of Comcast Class A common stock owned by his wife and 1,455 shares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Represents 3,450 shares of Comcast Class A Special common stock held jointly by him and his wife.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10,000 shares of Comcast Class A common stock held by a grantor trust of which he is a trustee.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77 shares of Comcast Class A Special common stock owned by his daughters.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19,000 shares of Comcast Class A common stock held by a family trust; 16,308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14,667,305 shares of Comcast Class A common stock, representing less than 1% of the Comcast Class A common stock.</w:t>
      </w:r>
    </w:p>
    <w:p>
      <w:pPr>
        <w:spacing w:after="0" w:line="2"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69,504 shares of Comcast Class A Special common stock owned in Comcast’s retirement-investment plan. Also includes 269,835 shares owned by his wife; 240 shares owned by his daughter; and 229,865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17,602,232 shares of Comcast Class A Special common stock, representing approximately 4.1% of the Comcast Class A Special common stock.</w:t>
      </w:r>
    </w:p>
    <w:p>
      <w:pPr>
        <w:spacing w:after="0" w:line="3" w:lineRule="exact"/>
        <w:rPr>
          <w:rFonts w:ascii="Arial" w:cs="Arial" w:eastAsia="Arial" w:hAnsi="Arial"/>
          <w:sz w:val="18"/>
          <w:szCs w:val="18"/>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See footnote (3) under “—Security Ownership of Certain Beneficial Owners” below.</w:t>
      </w:r>
    </w:p>
    <w:p>
      <w:pPr>
        <w:spacing w:after="0" w:line="9"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278,346 shares of Comcast Class A Special common stock owned by family partnerships, the general partner of which is controlled by him; and 248,768 shares held by grantor retained annuity trusts of which he is a trustee.</w:t>
      </w:r>
    </w:p>
    <w:p>
      <w:pPr>
        <w:ind w:left="580" w:hanging="572"/>
        <w:spacing w:after="0"/>
        <w:tabs>
          <w:tab w:leader="none" w:pos="5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Includes 22,571 shares of Comcast Class A Special common stock owned by the children of an executive officer, other than those named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a review of filings with the SEC, Comcast has determined that each of the persons listed below is a beneficial holder of more than 5% of the outstanding shares of Comcast common stock as of July 31,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Voting Class</w:t>
            </w: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Name and Address of</w:t>
            </w:r>
          </w:p>
        </w:tc>
        <w:tc>
          <w:tcPr>
            <w:tcW w:w="2700" w:type="dxa"/>
            <w:vAlign w:val="bottom"/>
            <w:gridSpan w:val="2"/>
            <w:vMerge w:val="restart"/>
          </w:tcPr>
          <w:p>
            <w:pPr>
              <w:jc w:val="right"/>
              <w:ind w:right="870"/>
              <w:spacing w:after="0"/>
              <w:rPr>
                <w:sz w:val="20"/>
                <w:szCs w:val="20"/>
                <w:color w:val="auto"/>
              </w:rPr>
            </w:pPr>
            <w:r>
              <w:rPr>
                <w:rFonts w:ascii="Arial" w:cs="Arial" w:eastAsia="Arial" w:hAnsi="Arial"/>
                <w:sz w:val="14"/>
                <w:szCs w:val="14"/>
                <w:b w:val="1"/>
                <w:bCs w:val="1"/>
                <w:color w:val="auto"/>
                <w:w w:val="92"/>
              </w:rPr>
              <w:t>Amount Beneficially Owned</w:t>
            </w:r>
          </w:p>
        </w:tc>
        <w:tc>
          <w:tcPr>
            <w:tcW w:w="12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71"/>
        </w:trPr>
        <w:tc>
          <w:tcPr>
            <w:tcW w:w="282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Beneficial Owner</w:t>
            </w:r>
          </w:p>
        </w:tc>
        <w:tc>
          <w:tcPr>
            <w:tcW w:w="27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Class A common</w:t>
            </w:r>
          </w:p>
        </w:tc>
        <w:tc>
          <w:tcPr>
            <w:tcW w:w="156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stock</w:t>
            </w:r>
          </w:p>
        </w:tc>
        <w:tc>
          <w:tcPr>
            <w:tcW w:w="114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BlackRock, Inc.</w:t>
            </w:r>
          </w:p>
        </w:tc>
        <w:tc>
          <w:tcPr>
            <w:tcW w:w="7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146,212,072</w:t>
            </w:r>
          </w:p>
        </w:tc>
        <w:tc>
          <w:tcPr>
            <w:tcW w:w="960" w:type="dxa"/>
            <w:vAlign w:val="bottom"/>
            <w:tcBorders>
              <w:top w:val="single" w:sz="8" w:color="CCEEFF"/>
            </w:tcBorders>
            <w:shd w:val="clear" w:color="auto" w:fill="CCEEFF"/>
          </w:tcPr>
          <w:p>
            <w:pPr>
              <w:jc w:val="right"/>
              <w:ind w:right="670"/>
              <w:spacing w:after="0" w:line="195" w:lineRule="exact"/>
              <w:rPr>
                <w:sz w:val="20"/>
                <w:szCs w:val="20"/>
                <w:color w:val="auto"/>
              </w:rPr>
            </w:pPr>
            <w:r>
              <w:rPr>
                <w:rFonts w:ascii="Arial" w:cs="Arial" w:eastAsia="Arial" w:hAnsi="Arial"/>
                <w:sz w:val="18"/>
                <w:szCs w:val="18"/>
                <w:color w:val="auto"/>
                <w:w w:val="81"/>
              </w:rPr>
              <w:t>(1)</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6.80</w:t>
            </w:r>
          </w:p>
        </w:tc>
        <w:tc>
          <w:tcPr>
            <w:tcW w:w="2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40 East 52nd Street</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New York, NY 10022</w:t>
            </w: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The Vanguard Group</w:t>
            </w:r>
          </w:p>
        </w:tc>
        <w:tc>
          <w:tcPr>
            <w:tcW w:w="2700" w:type="dxa"/>
            <w:vAlign w:val="bottom"/>
            <w:gridSpan w:val="2"/>
          </w:tcPr>
          <w:p>
            <w:pPr>
              <w:jc w:val="right"/>
              <w:ind w:right="670"/>
              <w:spacing w:after="0"/>
              <w:rPr>
                <w:sz w:val="20"/>
                <w:szCs w:val="20"/>
                <w:color w:val="auto"/>
              </w:rPr>
            </w:pPr>
            <w:r>
              <w:rPr>
                <w:rFonts w:ascii="Arial" w:cs="Arial" w:eastAsia="Arial" w:hAnsi="Arial"/>
                <w:sz w:val="18"/>
                <w:szCs w:val="18"/>
                <w:color w:val="auto"/>
              </w:rPr>
              <w:t>115,773,453(2)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100 Vanguard Blvd.</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80" w:type="dxa"/>
            <w:vAlign w:val="bottom"/>
            <w:gridSpan w:val="3"/>
          </w:tcPr>
          <w:p>
            <w:pPr>
              <w:ind w:left="1140"/>
              <w:spacing w:after="0"/>
              <w:rPr>
                <w:sz w:val="20"/>
                <w:szCs w:val="20"/>
                <w:color w:val="auto"/>
              </w:rPr>
            </w:pPr>
            <w:r>
              <w:rPr>
                <w:rFonts w:ascii="Arial" w:cs="Arial" w:eastAsia="Arial" w:hAnsi="Arial"/>
                <w:sz w:val="18"/>
                <w:szCs w:val="18"/>
                <w:color w:val="auto"/>
              </w:rPr>
              <w:t>Malvern, PA 19355</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w:t>
            </w:r>
          </w:p>
        </w:tc>
        <w:tc>
          <w:tcPr>
            <w:tcW w:w="3780" w:type="dxa"/>
            <w:vAlign w:val="bottom"/>
            <w:gridSpan w:val="3"/>
            <w:shd w:val="clear" w:color="auto" w:fill="CCEEFF"/>
          </w:tcPr>
          <w:p>
            <w:pPr>
              <w:ind w:left="1140"/>
              <w:spacing w:after="0" w:line="201" w:lineRule="exact"/>
              <w:rPr>
                <w:sz w:val="20"/>
                <w:szCs w:val="20"/>
                <w:color w:val="auto"/>
              </w:rPr>
            </w:pPr>
            <w:r>
              <w:rPr>
                <w:rFonts w:ascii="Arial" w:cs="Arial" w:eastAsia="Arial" w:hAnsi="Arial"/>
                <w:sz w:val="18"/>
                <w:szCs w:val="18"/>
                <w:color w:val="auto"/>
              </w:rPr>
              <w:t>Brian L. Roberts</w:t>
            </w:r>
          </w:p>
        </w:tc>
        <w:tc>
          <w:tcPr>
            <w:tcW w:w="2700" w:type="dxa"/>
            <w:vAlign w:val="bottom"/>
            <w:gridSpan w:val="2"/>
            <w:shd w:val="clear" w:color="auto" w:fill="CCEEFF"/>
          </w:tcPr>
          <w:p>
            <w:pPr>
              <w:jc w:val="right"/>
              <w:ind w:right="670"/>
              <w:spacing w:after="0" w:line="201" w:lineRule="exact"/>
              <w:rPr>
                <w:sz w:val="20"/>
                <w:szCs w:val="20"/>
                <w:color w:val="auto"/>
              </w:rPr>
            </w:pPr>
            <w:r>
              <w:rPr>
                <w:rFonts w:ascii="Arial" w:cs="Arial" w:eastAsia="Arial" w:hAnsi="Arial"/>
                <w:sz w:val="18"/>
                <w:szCs w:val="18"/>
                <w:color w:val="auto"/>
              </w:rPr>
              <w:t>9,444,375(3)</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One Comcast Center</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Philadelphia, PA</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19103</w:t>
            </w:r>
          </w:p>
        </w:tc>
        <w:tc>
          <w:tcPr>
            <w:tcW w:w="7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40" w:hanging="452"/>
        <w:spacing w:after="0" w:line="258"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4, 2014 made by BlackRock, Inc. setting forth information as of December 31, 2013.</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2014 made by The Vanguard Group setting forth information as of December 31, 2013.</w:t>
      </w:r>
    </w:p>
    <w:p>
      <w:pPr>
        <w:jc w:val="both"/>
        <w:ind w:left="460" w:right="280" w:hanging="452"/>
        <w:spacing w:after="0" w:line="243" w:lineRule="auto"/>
        <w:tabs>
          <w:tab w:leader="none" w:pos="4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the two classes of the Comcast voting common stock, which percentage is generally non dilutable under the terms of Comcast’s articles.</w:t>
      </w:r>
    </w:p>
    <w:p>
      <w:pPr>
        <w:spacing w:after="0" w:line="2"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340"/>
          </w:cols>
          <w:pgMar w:left="240" w:top="460" w:right="3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COMCAST CAPITAL STOCK</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 of this joint proxy statement/prospectus.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Comcast’s articles, as of [—],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Common Stock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81" w:lineRule="exact"/>
        <w:rPr>
          <w:sz w:val="20"/>
          <w:szCs w:val="20"/>
          <w:color w:val="auto"/>
        </w:rPr>
      </w:pPr>
    </w:p>
    <w:p>
      <w:pPr>
        <w:ind w:right="20" w:firstLine="456"/>
        <w:spacing w:after="0" w:line="220" w:lineRule="auto"/>
        <w:rPr>
          <w:sz w:val="20"/>
          <w:szCs w:val="20"/>
          <w:color w:val="auto"/>
        </w:rPr>
      </w:pPr>
      <w:r>
        <w:rPr>
          <w:rFonts w:ascii="Arial" w:cs="Arial" w:eastAsia="Arial" w:hAnsi="Arial"/>
          <w:sz w:val="17"/>
          <w:szCs w:val="17"/>
          <w:color w:val="auto"/>
        </w:rPr>
        <w:t xml:space="preserve">As of [—], 2014, on all matters submitted for a vote of holders of all outstanding shares of each class of Comcast’s voting stock, holders of shares of Comcast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the Comcast capital stock. As of [—], 2014, holders of shares of Comcast Class B common stock have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2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93" w:lineRule="exact"/>
        <w:rPr>
          <w:sz w:val="20"/>
          <w:szCs w:val="20"/>
          <w:color w:val="auto"/>
        </w:rPr>
      </w:pPr>
    </w:p>
    <w:p>
      <w:pPr>
        <w:jc w:val="center"/>
        <w:ind w:left="580" w:right="120"/>
        <w:spacing w:after="0" w:line="449" w:lineRule="auto"/>
        <w:rPr>
          <w:sz w:val="20"/>
          <w:szCs w:val="20"/>
          <w:color w:val="auto"/>
        </w:rPr>
      </w:pPr>
      <w:r>
        <w:rPr>
          <w:rFonts w:ascii="Arial" w:cs="Arial" w:eastAsia="Arial" w:hAnsi="Arial"/>
          <w:sz w:val="18"/>
          <w:szCs w:val="18"/>
          <w:color w:val="auto"/>
        </w:rPr>
        <w:t>The transfer agent and registrar for Comcast Class A common stock and Comcast Class A Special common stock is Wells Fargo Shareowner Services. 218</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Approval Rights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Largest Shareholder</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 2014, if Mr. Roberts were to convert the Comcast Class B common stock he beneficially owns into Comcast Class A common stock, Mr. Roberts would beneficially own [13,993,718] shares of Comcast Class A common stock, which is less than [1]% of the Comcast Class A common stock that would be outstanding after the conversion.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Comcast Shares, Including Preferred Shares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holders of shares of Comcast Class A common stock, Comcast Class A Special common stock and Comcast Class B common stock do not have any preemptive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Shareholding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have credited to a book-entry account established for them by, and maintained at, the transfer agent and registrar the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Comcast Class A common stock owned by them. Each holder of record receives an ownership statement from the transfer agent and registrar promptly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transfer to or from such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Meetings of Shareholders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Comcast Preferred Shares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8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Provisions for Shareholder Nominations and Share Proposals at Annual Meetings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Comcast’s by-laws establish an advance notice procedure for shareholders to nominate candidates for election as directors or to bring other business before annual meetings of shareholders of Comcast.</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6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Issuances of Rights to Purchase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Shareholder Action by Written Consent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w:t>
      </w:r>
    </w:p>
    <w:p>
      <w:pPr>
        <w:ind w:firstLine="8"/>
        <w:spacing w:after="0" w:line="277" w:lineRule="auto"/>
        <w:tabs>
          <w:tab w:leader="none" w:pos="21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Shareholder Approval of Business Combination and Other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to Amendments to Comcast’s Articles and Comcast’s By-laws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6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Anti-Takeover Statutes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Comcast has opted out of Subchapters E, F, G, H, I and J and Section 2538 of Subchapter D of the PBCL. Subchapter E of Chapter 25 of the PBCL requires a person who acquires 20% or more of the shares of a publicly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 of this joint proxy statement/prospectus.</w:t>
      </w:r>
    </w:p>
    <w:p>
      <w:pPr>
        <w:sectPr>
          <w:pgSz w:w="11900" w:h="16838" w:orient="portrait"/>
          <w:cols w:equalWidth="0" w:num="1">
            <w:col w:w="11400"/>
          </w:cols>
          <w:pgMar w:left="240" w:top="460" w:right="25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Differences in Stockholder Rights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32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authorized capital stock of Comcast consists of</w:t>
      </w:r>
    </w:p>
    <w:p>
      <w:pPr>
        <w:spacing w:after="0" w:line="44" w:lineRule="exact"/>
        <w:rPr>
          <w:sz w:val="20"/>
          <w:szCs w:val="20"/>
          <w:color w:val="auto"/>
        </w:rPr>
      </w:pPr>
    </w:p>
    <w:p>
      <w:pPr>
        <w:ind w:left="1" w:right="20" w:hanging="1"/>
        <w:spacing w:after="0" w:line="290" w:lineRule="auto"/>
        <w:tabs>
          <w:tab w:leader="none" w:pos="21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56" w:lineRule="exact"/>
        <w:rPr>
          <w:sz w:val="20"/>
          <w:szCs w:val="20"/>
          <w:color w:val="auto"/>
        </w:rPr>
      </w:pPr>
    </w:p>
    <w:p>
      <w:pPr>
        <w:ind w:left="1" w:right="100"/>
        <w:spacing w:after="0" w:line="270"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300" w:space="540"/>
            <w:col w:w="3700" w:space="139"/>
            <w:col w:w="3721"/>
          </w:cols>
          <w:pgMar w:left="240" w:top="460" w:right="259" w:bottom="1440" w:gutter="0" w:footer="0" w:header="0"/>
          <w:type w:val="continuous"/>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As of [—], 2014, there were outstanding (i) [—]</w:t>
      </w:r>
    </w:p>
    <w:p>
      <w:pPr>
        <w:spacing w:after="0" w:line="3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TWC common stock and (ii) no shares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 preferred stock.</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1"/>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 w:lineRule="exact"/>
        <w:rPr>
          <w:sz w:val="20"/>
          <w:szCs w:val="20"/>
          <w:color w:val="auto"/>
        </w:rPr>
      </w:pPr>
    </w:p>
    <w:p>
      <w:pPr>
        <w:ind w:left="1" w:right="60"/>
        <w:spacing w:after="0" w:line="287" w:lineRule="auto"/>
        <w:rPr>
          <w:sz w:val="20"/>
          <w:szCs w:val="20"/>
          <w:color w:val="auto"/>
        </w:rPr>
      </w:pPr>
      <w:r>
        <w:rPr>
          <w:rFonts w:ascii="Arial" w:cs="Arial" w:eastAsia="Arial" w:hAnsi="Arial"/>
          <w:sz w:val="16"/>
          <w:szCs w:val="16"/>
          <w:color w:val="auto"/>
        </w:rPr>
        <w:t>As of [—], 2014, there were outstanding (i) [—] shares of Comcast Class A common stock, (ii) [—] shares of Comcast Class A Special common stock,</w:t>
      </w:r>
    </w:p>
    <w:p>
      <w:pPr>
        <w:ind w:left="1" w:right="60" w:hanging="1"/>
        <w:spacing w:after="0" w:line="323" w:lineRule="auto"/>
        <w:tabs>
          <w:tab w:leader="none" w:pos="31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9,444,375 shares of Comcast Class B common stock and (iv) [—] shares of preferred stock.</w:t>
      </w:r>
    </w:p>
    <w:p>
      <w:pPr>
        <w:spacing w:after="0" w:line="27" w:lineRule="exact"/>
        <w:rPr>
          <w:sz w:val="20"/>
          <w:szCs w:val="20"/>
          <w:color w:val="auto"/>
        </w:rPr>
      </w:pPr>
    </w:p>
    <w:p>
      <w:pPr>
        <w:sectPr>
          <w:pgSz w:w="11900" w:h="16838" w:orient="portrait"/>
          <w:cols w:equalWidth="0" w:num="2">
            <w:col w:w="7520" w:space="159"/>
            <w:col w:w="3741"/>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TWC board of directors currently has 13</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members.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Under TWC’s charter and by-laws, the number of</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shall be as fixed from time to time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pursuant to the by-laws.</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Delaware law permits classified boards of</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but TWC has not adopted one.</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TWC’s by-laws provide that directors are elected</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 the affirmative vote of a majority of the votes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cast in uncontested elections and a plurality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votes cast for contested elections of directors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at which a quorum is present.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The Comcast board of directors currently has 12 members.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Comcast’s by-laws, the number of directors shall be as determined by the board of directors from time to time.</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Pennsylvania law permits classified boards of directors, but Comcast has not adopted one.</w:t>
      </w:r>
    </w:p>
    <w:p>
      <w:pPr>
        <w:spacing w:after="0" w:line="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420" w:space="260"/>
            <w:col w:w="3740"/>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TWC’s charter provides that directors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removed from office without cause by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affirmative vote of the holders of at least a majority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votes represented by the shares then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outstanding and entitled to vote in the election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directors. Any director may be removed for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cause as provided under Delaware law.</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Voting</w:t>
      </w:r>
      <w:r>
        <w:rPr>
          <w:sz w:val="20"/>
          <w:szCs w:val="20"/>
          <w:color w:val="auto"/>
        </w:rPr>
        <w:tab/>
      </w:r>
      <w:r>
        <w:rPr>
          <w:rFonts w:ascii="Arial" w:cs="Arial" w:eastAsia="Arial" w:hAnsi="Arial"/>
          <w:sz w:val="18"/>
          <w:szCs w:val="18"/>
          <w:color w:val="auto"/>
        </w:rPr>
        <w:t>Under TWC’s charter, each holder of TWC</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common stock is entitled to one vote per share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br w:type="column"/>
      </w:r>
    </w:p>
    <w:p>
      <w:pPr>
        <w:ind w:left="1" w:right="160"/>
        <w:spacing w:after="0" w:line="279"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line="285" w:lineRule="auto"/>
        <w:rPr>
          <w:sz w:val="20"/>
          <w:szCs w:val="20"/>
          <w:color w:val="auto"/>
        </w:rPr>
      </w:pPr>
      <w:r>
        <w:rPr>
          <w:rFonts w:ascii="Arial" w:cs="Arial" w:eastAsia="Arial" w:hAnsi="Arial"/>
          <w:sz w:val="16"/>
          <w:szCs w:val="16"/>
          <w:color w:val="auto"/>
        </w:rPr>
        <w:t>Under Comcast’s articles, (i) each share of Comcast Class A common stock shall entitle the holder thereof to the number of votes equal to a quotient the numerator of which is the excess of (x) the Total Number of Votes (as defined below) over</w:t>
      </w:r>
    </w:p>
    <w:p>
      <w:pPr>
        <w:spacing w:after="0" w:line="2" w:lineRule="exact"/>
        <w:rPr>
          <w:sz w:val="20"/>
          <w:szCs w:val="20"/>
          <w:color w:val="auto"/>
        </w:rPr>
      </w:pPr>
    </w:p>
    <w:p>
      <w:pPr>
        <w:ind w:left="1" w:right="20" w:hanging="1"/>
        <w:spacing w:after="0" w:line="268" w:lineRule="auto"/>
        <w:tabs>
          <w:tab w:leader="none" w:pos="25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19"/>
            <w:col w:w="3741"/>
          </w:cols>
          <w:pgMar w:left="240" w:top="459" w:right="2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B common stock shall entitle the holder thereof to</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fifteen (15) votes.</w:t>
      </w:r>
    </w:p>
    <w:p>
      <w:pPr>
        <w:spacing w:after="0" w:line="10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Holders of shares of Comcast Class A Special</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 shall not be entitled to vote for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election of directors or any other matter except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may be required by applicable law, in which case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each share of Comcast Class A Special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stock shall entitle the holder thereof to the same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votes to which each holder of Comcast</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A common stock is entitled for each of such</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holder’s shares of Comcast Class A common stock.</w:t>
      </w:r>
    </w:p>
    <w:p>
      <w:pPr>
        <w:spacing w:after="0" w:line="13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“Total Number of Votes” on any record date is</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equal to a quotient the numerator of which is the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Total Number of B Votes on such record date and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 denominator of which is the B Voting</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Percentage (as defined below) on such record date.</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“Total Number of B Votes” on any record date is</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equal to the product of (i) 15 and (ii) the number of</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outstanding shares of Comcast Class B common</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on such record date. “Total Number of Other</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Votes” on any record date means the aggregate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capital stock of Comcast other than Comcast</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 A shareholders and Comcast Class B</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are entitled to cast on such record date</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in an election of directors. “B Voting Percentage”</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 any record date means the portion (expressed as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a percentage) of the total number of votes entitled</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to be cast in an election of directors by the holders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 capital stock of Comcast to which all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Class B shareholders are entitled to cast on such</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record date in an election of directors.</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entitled to vote.</w:t>
      </w:r>
    </w:p>
    <w:p>
      <w:pPr>
        <w:spacing w:after="0" w:line="116"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1/3% of the combined voting power of the two</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classes 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7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TWC Stockholder Rights</w:t>
            </w:r>
          </w:p>
        </w:tc>
      </w:tr>
      <w:tr>
        <w:trPr>
          <w:trHeight w:val="830"/>
        </w:trPr>
        <w:tc>
          <w:tcPr>
            <w:tcW w:w="3840" w:type="dxa"/>
            <w:vAlign w:val="bottom"/>
          </w:tcPr>
          <w:p>
            <w:pPr>
              <w:spacing w:after="0"/>
              <w:rPr>
                <w:sz w:val="20"/>
                <w:szCs w:val="20"/>
                <w:color w:val="auto"/>
              </w:rPr>
            </w:pPr>
            <w:r>
              <w:rPr>
                <w:rFonts w:ascii="Arial" w:cs="Arial" w:eastAsia="Arial" w:hAnsi="Arial"/>
                <w:sz w:val="18"/>
                <w:szCs w:val="18"/>
                <w:b w:val="1"/>
                <w:bCs w:val="1"/>
                <w:color w:val="auto"/>
              </w:rPr>
              <w:t>Cumulative Voting</w:t>
            </w:r>
          </w:p>
        </w:tc>
        <w:tc>
          <w:tcPr>
            <w:tcW w:w="3740" w:type="dxa"/>
            <w:vAlign w:val="bottom"/>
          </w:tcPr>
          <w:p>
            <w:pPr>
              <w:spacing w:after="0"/>
              <w:rPr>
                <w:sz w:val="20"/>
                <w:szCs w:val="20"/>
                <w:color w:val="auto"/>
              </w:rPr>
            </w:pPr>
            <w:r>
              <w:rPr>
                <w:rFonts w:ascii="Arial" w:cs="Arial" w:eastAsia="Arial" w:hAnsi="Arial"/>
                <w:sz w:val="18"/>
                <w:szCs w:val="18"/>
                <w:color w:val="auto"/>
              </w:rPr>
              <w:t>Delaware law allows for cumulative voting, but</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7"/>
              </w:rPr>
              <w:t>TWC’s charter and by-laws do not provide for it.</w:t>
            </w:r>
          </w:p>
        </w:tc>
      </w:tr>
      <w:tr>
        <w:trPr>
          <w:trHeight w:val="310"/>
        </w:trPr>
        <w:tc>
          <w:tcPr>
            <w:tcW w:w="3840" w:type="dxa"/>
            <w:vAlign w:val="bottom"/>
          </w:tcPr>
          <w:p>
            <w:pPr>
              <w:spacing w:after="0"/>
              <w:rPr>
                <w:sz w:val="20"/>
                <w:szCs w:val="20"/>
                <w:color w:val="auto"/>
              </w:rPr>
            </w:pPr>
            <w:r>
              <w:rPr>
                <w:rFonts w:ascii="Arial" w:cs="Arial" w:eastAsia="Arial" w:hAnsi="Arial"/>
                <w:sz w:val="18"/>
                <w:szCs w:val="18"/>
                <w:b w:val="1"/>
                <w:bCs w:val="1"/>
                <w:color w:val="auto"/>
              </w:rPr>
              <w:t>Vacancies on the Board of Directors</w:t>
            </w:r>
          </w:p>
        </w:tc>
        <w:tc>
          <w:tcPr>
            <w:tcW w:w="3740" w:type="dxa"/>
            <w:vAlign w:val="bottom"/>
          </w:tcPr>
          <w:p>
            <w:pPr>
              <w:spacing w:after="0"/>
              <w:rPr>
                <w:sz w:val="20"/>
                <w:szCs w:val="20"/>
                <w:color w:val="auto"/>
              </w:rPr>
            </w:pPr>
            <w:r>
              <w:rPr>
                <w:rFonts w:ascii="Arial" w:cs="Arial" w:eastAsia="Arial" w:hAnsi="Arial"/>
                <w:sz w:val="18"/>
                <w:szCs w:val="18"/>
                <w:color w:val="auto"/>
                <w:w w:val="96"/>
              </w:rPr>
              <w:t>Under TWC’s charter, vacancies on the board of</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directors shall be filled by a majority vote of the</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remaining directors, even if less than a quorum, or</w:t>
            </w:r>
          </w:p>
        </w:tc>
      </w:tr>
      <w:tr>
        <w:trPr>
          <w:trHeight w:val="216"/>
        </w:trPr>
        <w:tc>
          <w:tcPr>
            <w:tcW w:w="38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by an affirmative vote of the sole remaining</w:t>
            </w:r>
          </w:p>
        </w:tc>
      </w:tr>
      <w:tr>
        <w:trPr>
          <w:trHeight w:val="230"/>
        </w:trPr>
        <w:tc>
          <w:tcPr>
            <w:tcW w:w="38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Special Meeting of the Board of Directors</w:t>
      </w:r>
      <w:r>
        <w:rPr>
          <w:sz w:val="20"/>
          <w:szCs w:val="20"/>
          <w:color w:val="auto"/>
        </w:rPr>
        <w:tab/>
      </w:r>
      <w:r>
        <w:rPr>
          <w:rFonts w:ascii="Arial" w:cs="Arial" w:eastAsia="Arial" w:hAnsi="Arial"/>
          <w:sz w:val="16"/>
          <w:szCs w:val="16"/>
          <w:color w:val="auto"/>
        </w:rPr>
        <w:t>Under TWC’s by-laws, special meetings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board of directors may be called by the Chairman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the Board, the Chief Executive Officer or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of the existing 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Under TWC’s charter, any action required 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permitted to be taken by the stockholders of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effected at a duly called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meeting of the stockholders of TWC, and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ability of the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Comcast voting common stock, which percentage is generally non dilutable under Comcast’s articles.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Pennsylvania law allows for cumulative voting, but Comcast’s articles expressly preclude it.</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80" w:space="100"/>
            <w:col w:w="3740"/>
          </w:cols>
          <w:pgMar w:left="240" w:top="460" w:right="23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to consent in writing to the taking of</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action is specifically denied.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57" w:lineRule="exact"/>
        <w:rPr>
          <w:sz w:val="20"/>
          <w:szCs w:val="20"/>
          <w:color w:val="auto"/>
        </w:rPr>
      </w:pPr>
    </w:p>
    <w:p>
      <w:pPr>
        <w:sectPr>
          <w:pgSz w:w="11900" w:h="16838" w:orient="portrait"/>
          <w:cols w:equalWidth="0" w:num="2">
            <w:col w:w="7420" w:space="260"/>
            <w:col w:w="3740"/>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Amendment to Certificate of Incorporation</w:t>
      </w:r>
      <w:r>
        <w:rPr>
          <w:sz w:val="20"/>
          <w:szCs w:val="20"/>
          <w:color w:val="auto"/>
        </w:rPr>
        <w:tab/>
      </w:r>
      <w:r>
        <w:rPr>
          <w:rFonts w:ascii="Arial" w:cs="Arial" w:eastAsia="Arial" w:hAnsi="Arial"/>
          <w:sz w:val="16"/>
          <w:szCs w:val="16"/>
          <w:color w:val="auto"/>
        </w:rPr>
        <w:t>Under Delaware law, an amendment to TWC’s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charter generally requires the approval of the TWC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a majority of the combined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power of the then outstanding shares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voting stock, voting together as a single class.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70" w:lineRule="exact"/>
        <w:rPr>
          <w:sz w:val="20"/>
          <w:szCs w:val="20"/>
          <w:color w:val="auto"/>
        </w:rPr>
      </w:pPr>
    </w:p>
    <w:p>
      <w:pPr>
        <w:sectPr>
          <w:pgSz w:w="11900" w:h="16838" w:orient="portrait"/>
          <w:cols w:equalWidth="0" w:num="2">
            <w:col w:w="7520" w:space="160"/>
            <w:col w:w="3740"/>
          </w:cols>
          <w:pgMar w:left="240" w:top="459" w:right="239" w:bottom="1440" w:gutter="0" w:footer="0" w:header="0"/>
          <w:type w:val="continuous"/>
        </w:sectPr>
      </w:pPr>
    </w:p>
    <w:p>
      <w:pPr>
        <w:ind w:left="3840"/>
        <w:spacing w:after="0"/>
        <w:rPr>
          <w:sz w:val="20"/>
          <w:szCs w:val="20"/>
          <w:color w:val="auto"/>
        </w:rPr>
      </w:pPr>
      <w:r>
        <w:rPr>
          <w:rFonts w:ascii="Arial" w:cs="Arial" w:eastAsia="Arial" w:hAnsi="Arial"/>
          <w:sz w:val="18"/>
          <w:szCs w:val="18"/>
          <w:color w:val="auto"/>
        </w:rPr>
        <w:t>Under TWC’s charter, in addition to any vote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required by law or under its charter, both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affirmative vote of a majority of the voting power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then outstanding shares of common stock</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held by persons other than Time Warner Inc. and its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affiliates (other than TWC and its subsidiaries)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approval of a majority of the total number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independent directors then serving on the TWC</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shall be required to amend, alter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repeal, or adopt any provisions inconsistent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Section 7 of Article IV (Mergers, Consolidations,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etc.), Section 6 of Article V (Independence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Article VI (Amendment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By-laws) or Article IX (Amendment to Certificate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 Incorporation).</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60" w:space="120"/>
            <w:col w:w="3740"/>
          </w:cols>
          <w:pgMar w:left="240" w:top="459" w:right="239" w:bottom="1440" w:gutter="0" w:footer="0" w:header="0"/>
          <w:type w:val="continuous"/>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tabs>
          <w:tab w:leader="none" w:pos="864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respect to the Comcast capital stock, in which case</w:t>
      </w:r>
    </w:p>
    <w:p>
      <w:pPr>
        <w:spacing w:after="0" w:line="46"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there shall be required the approval of Comcast</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Class B shareholders, voting separately as a class.</w:t>
      </w:r>
    </w:p>
    <w:p>
      <w:pPr>
        <w:sectPr>
          <w:pgSz w:w="11900" w:h="16838" w:orient="portrait"/>
          <w:cols w:equalWidth="0" w:num="1">
            <w:col w:w="11420"/>
          </w:cols>
          <w:pgMar w:left="240" w:top="460" w:right="239" w:bottom="1440" w:gutter="0" w:footer="0" w:header="0"/>
        </w:sectPr>
      </w:pPr>
    </w:p>
    <w:p>
      <w:pPr>
        <w:spacing w:after="0" w:line="12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Amendment of By-laws</w:t>
      </w:r>
      <w:r>
        <w:rPr>
          <w:sz w:val="20"/>
          <w:szCs w:val="20"/>
          <w:color w:val="auto"/>
        </w:rPr>
        <w:tab/>
      </w:r>
      <w:r>
        <w:rPr>
          <w:rFonts w:ascii="Arial" w:cs="Arial" w:eastAsia="Arial" w:hAnsi="Arial"/>
          <w:sz w:val="16"/>
          <w:szCs w:val="16"/>
          <w:color w:val="auto"/>
        </w:rPr>
        <w:t>Under TWC’s charter, the by-laws may be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by the TWC board of directors or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affirmative vote of holders of a majority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combined voting power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the voting stock, voting as a single class.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3" w:lineRule="exact"/>
        <w:rPr>
          <w:sz w:val="20"/>
          <w:szCs w:val="20"/>
          <w:color w:val="auto"/>
        </w:rPr>
      </w:pPr>
    </w:p>
    <w:p>
      <w:pPr>
        <w:sectPr>
          <w:pgSz w:w="11900" w:h="16838" w:orient="portrait"/>
          <w:cols w:equalWidth="0" w:num="2">
            <w:col w:w="7460" w:space="220"/>
            <w:col w:w="3740"/>
          </w:cols>
          <w:pgMar w:left="240" w:top="460"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Special Stockholder Meetings</w:t>
      </w:r>
      <w:r>
        <w:rPr>
          <w:sz w:val="20"/>
          <w:szCs w:val="20"/>
          <w:color w:val="auto"/>
        </w:rPr>
        <w:tab/>
      </w:r>
      <w:r>
        <w:rPr>
          <w:rFonts w:ascii="Arial" w:cs="Arial" w:eastAsia="Arial" w:hAnsi="Arial"/>
          <w:sz w:val="16"/>
          <w:szCs w:val="16"/>
          <w:color w:val="auto"/>
        </w:rPr>
        <w:t>Under TWC’s by-laws, a special meeting of the</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the Chief Executive Officer or a majority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Board. A special meeting of the stockholders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shall be called by the Secretary of TWC at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request or requests of one or more holders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record owning at least 25% of the voting power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outstanding capital stock of TWC entitled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vote on the matter or matters to be brought before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proposed special meeting.</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Notice of Stockholder Meetings</w:t>
      </w:r>
      <w:r>
        <w:rPr>
          <w:sz w:val="20"/>
          <w:szCs w:val="20"/>
          <w:color w:val="auto"/>
        </w:rPr>
        <w:tab/>
      </w:r>
      <w:r>
        <w:rPr>
          <w:rFonts w:ascii="Arial" w:cs="Arial" w:eastAsia="Arial" w:hAnsi="Arial"/>
          <w:sz w:val="16"/>
          <w:szCs w:val="16"/>
          <w:color w:val="auto"/>
        </w:rPr>
        <w:t>Under TWC’s by-laws, written notice of each</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meeting, whether annual or special,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must be given not less than 10 days nor more than</w:t>
      </w:r>
    </w:p>
    <w:p>
      <w:pPr>
        <w:spacing w:after="0" w:line="32"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60 days before the meeting.</w:t>
      </w:r>
    </w:p>
    <w:p>
      <w:pPr>
        <w:spacing w:after="0" w:line="14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Under Comcast’s articles and Comcast’s by-laws, a special meeting of the Comcast shareholders may be called by the board of directors. Special meetings of the shareholders may not be called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60" w:right="239" w:bottom="1440" w:gutter="0" w:footer="0" w:header="0"/>
          <w:type w:val="continuous"/>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be timely, a stockholder’s notice must be delivered to TWC’s principal executive offices not less than 90 days nor more than 120 days prior to the first anniversary of the date of the immediately preceding annual meeting. However, in the event that the date of the annual meeting is more than 30 days earlier or more than 60 days later than such anniversary date, notice by the stockholder to be timely must be so delivered or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10th day following the day on which public announcement of the date of such meeting is first made.</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be in proper written form, the notice must set forth as to each matter the stockholder proposes to bring before the meeting: (i) a description in reasonable detail of the business desired to be brought before the annual meeting and the reasons for conducting such business at the annual meeting,</w:t>
      </w:r>
    </w:p>
    <w:p>
      <w:pPr>
        <w:spacing w:after="0" w:line="5" w:lineRule="exact"/>
        <w:rPr>
          <w:sz w:val="20"/>
          <w:szCs w:val="20"/>
          <w:color w:val="auto"/>
        </w:rPr>
      </w:pPr>
    </w:p>
    <w:p>
      <w:pPr>
        <w:ind w:firstLine="4"/>
        <w:spacing w:after="0" w:line="269" w:lineRule="auto"/>
        <w:tabs>
          <w:tab w:leader="none" w:pos="26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name and address, as they appear on TWC’s books, of the stockholder proposing such business, of the beneficial owner, if any, on whose behalf the proposal is made as well as the name and address of any affiliate or associate of any such person (as such terms are defined in Rule 12b–2 promulgated under the Exchange</w:t>
      </w:r>
    </w:p>
    <w:p>
      <w:pPr>
        <w:spacing w:after="0" w:line="11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spacing w:after="0" w:line="276" w:lineRule="auto"/>
        <w:rPr>
          <w:sz w:val="20"/>
          <w:szCs w:val="20"/>
          <w:color w:val="auto"/>
        </w:rPr>
      </w:pPr>
      <w:r>
        <w:rPr>
          <w:rFonts w:ascii="Arial" w:cs="Arial" w:eastAsia="Arial" w:hAnsi="Arial"/>
          <w:sz w:val="17"/>
          <w:szCs w:val="17"/>
          <w:color w:val="auto"/>
        </w:rPr>
        <w:t>Comcast’s by-laws generally permit shareholders to bring business before an annual shareholders’ meeting if the shareholder intending to bring such business gives timely notice thereof in writing in proper form.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 w:right="140"/>
        <w:spacing w:after="0" w:line="291" w:lineRule="auto"/>
        <w:rPr>
          <w:sz w:val="20"/>
          <w:szCs w:val="20"/>
          <w:color w:val="auto"/>
        </w:rPr>
      </w:pPr>
      <w:r>
        <w:rPr>
          <w:rFonts w:ascii="Arial" w:cs="Arial" w:eastAsia="Arial" w:hAnsi="Arial"/>
          <w:sz w:val="16"/>
          <w:szCs w:val="16"/>
          <w:color w:val="auto"/>
        </w:rPr>
        <w:t>To be timely, a shareholder’s notice must be delivered to Comcast’s principal executive offices</w:t>
      </w:r>
    </w:p>
    <w:p>
      <w:pPr>
        <w:ind w:left="1" w:right="140" w:hanging="1"/>
        <w:spacing w:after="0" w:line="281" w:lineRule="auto"/>
        <w:tabs>
          <w:tab w:leader="none" w:pos="21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w:t>
      </w:r>
    </w:p>
    <w:p>
      <w:pPr>
        <w:spacing w:after="0" w:line="4" w:lineRule="exact"/>
        <w:rPr>
          <w:rFonts w:ascii="Arial" w:cs="Arial" w:eastAsia="Arial" w:hAnsi="Arial"/>
          <w:sz w:val="16"/>
          <w:szCs w:val="16"/>
          <w:color w:val="auto"/>
        </w:rPr>
      </w:pPr>
    </w:p>
    <w:p>
      <w:pPr>
        <w:ind w:left="1" w:right="20"/>
        <w:spacing w:after="0" w:line="290" w:lineRule="auto"/>
        <w:rPr>
          <w:rFonts w:ascii="Arial" w:cs="Arial" w:eastAsia="Arial" w:hAnsi="Arial"/>
          <w:sz w:val="16"/>
          <w:szCs w:val="16"/>
          <w:color w:val="auto"/>
        </w:rPr>
      </w:pPr>
      <w:r>
        <w:rPr>
          <w:rFonts w:ascii="Arial" w:cs="Arial" w:eastAsia="Arial" w:hAnsi="Arial"/>
          <w:sz w:val="16"/>
          <w:szCs w:val="16"/>
          <w:color w:val="auto"/>
        </w:rPr>
        <w:t>30 days before or after the anniversary date of the immediately preceding annual meeting,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7"/>
          <w:szCs w:val="17"/>
          <w:color w:val="auto"/>
        </w:rPr>
        <w:t>To be in proper form, each notice must set forth:</w:t>
      </w:r>
    </w:p>
    <w:p>
      <w:pPr>
        <w:spacing w:after="0" w:line="35" w:lineRule="exact"/>
        <w:rPr>
          <w:sz w:val="20"/>
          <w:szCs w:val="20"/>
          <w:color w:val="auto"/>
        </w:rPr>
      </w:pPr>
    </w:p>
    <w:p>
      <w:pPr>
        <w:jc w:val="both"/>
        <w:ind w:left="1" w:right="260" w:hanging="1"/>
        <w:spacing w:after="0" w:line="281" w:lineRule="auto"/>
        <w:tabs>
          <w:tab w:leader="none" w:pos="21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name and address of the shareholder who intends to bring the business before the meeting,</w:t>
      </w:r>
    </w:p>
    <w:p>
      <w:pPr>
        <w:spacing w:after="0" w:line="1" w:lineRule="exact"/>
        <w:rPr>
          <w:rFonts w:ascii="Arial" w:cs="Arial" w:eastAsia="Arial" w:hAnsi="Arial"/>
          <w:sz w:val="16"/>
          <w:szCs w:val="16"/>
          <w:color w:val="auto"/>
        </w:rPr>
      </w:pPr>
    </w:p>
    <w:p>
      <w:pPr>
        <w:ind w:left="1" w:hanging="1"/>
        <w:spacing w:after="0" w:line="268" w:lineRule="auto"/>
        <w:tabs>
          <w:tab w:leader="none" w:pos="26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3">
            <w:col w:w="3640" w:space="200"/>
            <w:col w:w="3720" w:space="119"/>
            <w:col w:w="3741"/>
          </w:cols>
          <w:pgMar w:left="240" w:top="459" w:right="2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23666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classes and number of shares of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are owned beneficially or of record by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(iv) a description in reasonable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detail of any derivative contracts,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or derivative transactions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to which each proposing person is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party and which gives such proposing person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economic equivalent of ownership of an amount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equity securities of any type or class of TWC, (v)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description in reasonable detail of any derivative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contracts, derivative securities or derivative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transactions as of the date of such stockholder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(and if a record date for the meeting has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been established prior to the delivery of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which each proposing person is a party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reduces such proposing person’s economic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interest in any voting securities of any type or class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 which it beneficially owns, as well 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description in reasonable detail of any voting</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securities of any type or class of TWC which each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proposing person owns or has title to as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such stockholder notice (and if a record date for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meeting has been established prior to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delivery of such stockholder notice to TWC,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record date) which are subject to a repurchase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agreement or arrangement, (vi) a description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reasonable detail of any other proxy (including any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revocable proxy), contract, arrangement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understanding pursuant to which such proposing</w:t>
      </w:r>
    </w:p>
    <w:p>
      <w:pPr>
        <w:spacing w:after="0" w:line="1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29845</wp:posOffset>
            </wp:positionV>
            <wp:extent cx="23755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2">
            <w:col w:w="7940" w:space="720"/>
            <w:col w:w="1780"/>
          </w:cols>
          <w:pgMar w:left="240" w:top="460" w:right="12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be timely, a stockholder’s notice must be delivered to TWC’s principal executive offices not less than 90 days nor more than 120</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Comcast’s by-laws generally permit shareholders to nominate persons for election as directors if the shareholder intending to make such nomination gives timely notice thereof in writing in proper form.</w:t>
      </w:r>
    </w:p>
    <w:p>
      <w:pPr>
        <w:spacing w:after="0" w:line="2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3">
            <w:col w:w="3120" w:space="720"/>
            <w:col w:w="3720" w:space="120"/>
            <w:col w:w="3740"/>
          </w:cols>
          <w:pgMar w:left="240" w:top="460" w:right="23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year’s annual meeting of stockholders. However, if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date of the annual meeting is more than 30 days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or more than 60 days later than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anniversary date, then to be timely such notice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must be received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day on which public announcement of the date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such meeting is first made. With respect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election to be held at a special meeting of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stockholders for the election of directors, not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earlier than the 90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and not later than the close of business 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later of the 60</w:t>
      </w:r>
      <w:r>
        <w:rPr>
          <w:rFonts w:ascii="Arial" w:cs="Arial" w:eastAsia="Arial" w:hAnsi="Arial"/>
          <w:sz w:val="15"/>
          <w:szCs w:val="15"/>
          <w:color w:val="auto"/>
        </w:rPr>
        <w:t>th</w:t>
      </w:r>
      <w:r>
        <w:rPr>
          <w:rFonts w:ascii="Arial" w:cs="Arial" w:eastAsia="Arial" w:hAnsi="Arial"/>
          <w:sz w:val="18"/>
          <w:szCs w:val="18"/>
          <w:color w:val="auto"/>
        </w:rPr>
        <w:t xml:space="preserve"> day prior to such special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public announcement is first made of the date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the special meeting and of the nominees to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elected at such meeting.</w:t>
      </w:r>
    </w:p>
    <w:p>
      <w:pPr>
        <w:spacing w:after="0" w:line="10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3840" w:firstLine="4"/>
        <w:spacing w:after="0" w:line="281" w:lineRule="auto"/>
        <w:tabs>
          <w:tab w:leader="none" w:pos="405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stockholder’s intent to nominate one or more persons for election as a director of TWC, the name of each such nominee proposed by the stockholder giving the notice, and the reason for making such nomination at the meeting, (ii) the proposal information, (iii) any material interest of the proposing person in such nomination, (iv) a description of all arrangements or understandings between or among any of (A) the proposing person,</w:t>
      </w:r>
    </w:p>
    <w:p>
      <w:pPr>
        <w:spacing w:after="0" w:line="6" w:lineRule="exact"/>
        <w:rPr>
          <w:rFonts w:ascii="Arial" w:cs="Arial" w:eastAsia="Arial" w:hAnsi="Arial"/>
          <w:sz w:val="16"/>
          <w:szCs w:val="16"/>
          <w:color w:val="auto"/>
        </w:rPr>
      </w:pPr>
    </w:p>
    <w:p>
      <w:pPr>
        <w:ind w:left="3840" w:right="100"/>
        <w:spacing w:after="0" w:line="252" w:lineRule="auto"/>
        <w:rPr>
          <w:rFonts w:ascii="Arial" w:cs="Arial" w:eastAsia="Arial" w:hAnsi="Arial"/>
          <w:sz w:val="16"/>
          <w:szCs w:val="16"/>
          <w:color w:val="auto"/>
        </w:rPr>
      </w:pPr>
      <w:r>
        <w:rPr>
          <w:rFonts w:ascii="Arial" w:cs="Arial" w:eastAsia="Arial" w:hAnsi="Arial"/>
          <w:sz w:val="18"/>
          <w:szCs w:val="18"/>
          <w:color w:val="auto"/>
        </w:rPr>
        <w:t>(B) each nominee and (C) any other person or persons (naming such person or persons) pursuant to which the nomination or nominations are to be made by a proposing person, (v) such other information regarding each proposing person and each nominee</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 w:right="120" w:hanging="1"/>
        <w:spacing w:after="0" w:line="284" w:lineRule="auto"/>
        <w:tabs>
          <w:tab w:leader="none" w:pos="21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w:t>
      </w:r>
    </w:p>
    <w:p>
      <w:pPr>
        <w:spacing w:after="0" w:line="4" w:lineRule="exact"/>
        <w:rPr>
          <w:rFonts w:ascii="Arial" w:cs="Arial" w:eastAsia="Arial" w:hAnsi="Arial"/>
          <w:sz w:val="16"/>
          <w:szCs w:val="16"/>
          <w:color w:val="auto"/>
        </w:rPr>
      </w:pPr>
    </w:p>
    <w:p>
      <w:pPr>
        <w:ind w:left="1" w:right="60" w:hanging="1"/>
        <w:spacing w:after="0" w:line="286" w:lineRule="auto"/>
        <w:tabs>
          <w:tab w:leader="none" w:pos="26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Arial" w:cs="Arial" w:eastAsia="Arial" w:hAnsi="Arial"/>
          <w:sz w:val="18"/>
          <w:szCs w:val="18"/>
          <w:color w:val="auto"/>
        </w:rPr>
        <w:t>To be in proper form, the notice must set forth:</w:t>
      </w:r>
    </w:p>
    <w:p>
      <w:pPr>
        <w:spacing w:after="0" w:line="23" w:lineRule="exact"/>
        <w:rPr>
          <w:sz w:val="20"/>
          <w:szCs w:val="20"/>
          <w:color w:val="auto"/>
        </w:rPr>
      </w:pPr>
    </w:p>
    <w:p>
      <w:pPr>
        <w:ind w:left="1" w:hanging="1"/>
        <w:spacing w:after="0" w:line="284" w:lineRule="auto"/>
        <w:tabs>
          <w:tab w:leader="none" w:pos="21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60" w:space="119"/>
            <w:col w:w="3741"/>
          </w:cols>
          <w:pgMar w:left="240" w:top="460" w:right="23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proposing person as would be</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disclosed in a proxy statement or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other filings required to be made in connection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 the solicitations of proxies for election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or would be otherwise required, in each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case pursuant to Section 14 of the Exchange 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the rules and regulations promulgated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thereunder, (vi) the signed consent of each nominee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proposed by the stockholder giving the notice to</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serve as a director of TWC if so elected and (vii)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representation by the stockholder as to whether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such stockholder intends to solicit proxies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support of such stockholder’s nominee(s).</w:t>
      </w:r>
    </w:p>
    <w:p>
      <w:pPr>
        <w:spacing w:after="0" w:line="9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Limitation of Liability of Directors and Officers</w:t>
      </w:r>
      <w:r>
        <w:rPr>
          <w:sz w:val="20"/>
          <w:szCs w:val="20"/>
          <w:color w:val="auto"/>
        </w:rPr>
        <w:tab/>
      </w:r>
      <w:r>
        <w:rPr>
          <w:rFonts w:ascii="Arial" w:cs="Arial" w:eastAsia="Arial" w:hAnsi="Arial"/>
          <w:sz w:val="16"/>
          <w:szCs w:val="16"/>
          <w:color w:val="auto"/>
        </w:rPr>
        <w:t>TWC’s charter provides that to the fullest extent</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permitted by Delaware law, as it may be amended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from time to time, TWC’s directors will not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personally liable to TWC or its stockholders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monetary damages for breach of fiduciary duty as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Indemnification of Directors, Officers,</w:t>
      </w:r>
      <w:r>
        <w:rPr>
          <w:sz w:val="20"/>
          <w:szCs w:val="20"/>
          <w:color w:val="auto"/>
        </w:rPr>
        <w:tab/>
      </w:r>
      <w:r>
        <w:rPr>
          <w:rFonts w:ascii="Arial" w:cs="Arial" w:eastAsia="Arial" w:hAnsi="Arial"/>
          <w:sz w:val="16"/>
          <w:szCs w:val="16"/>
          <w:color w:val="auto"/>
        </w:rPr>
        <w:t>Under TWC’s by-laws, to the fullest extent</w:t>
      </w:r>
    </w:p>
    <w:p>
      <w:pPr>
        <w:spacing w:after="0" w:line="27"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Employees and Agents</w:t>
      </w:r>
      <w:r>
        <w:rPr>
          <w:sz w:val="20"/>
          <w:szCs w:val="20"/>
          <w:color w:val="auto"/>
        </w:rPr>
        <w:tab/>
      </w:r>
      <w:r>
        <w:rPr>
          <w:rFonts w:ascii="Arial" w:cs="Arial" w:eastAsia="Arial" w:hAnsi="Arial"/>
          <w:sz w:val="16"/>
          <w:szCs w:val="16"/>
          <w:color w:val="auto"/>
        </w:rPr>
        <w:t>permitted by Delaware or other applicable law,</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 will indemnify any person who is or was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 or officer of TWC and who is or was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involved in any proceeding by reason of the fact</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that such person is or was a director, officer,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or agent of TWC or is or was serving at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request of TWC as a director, officer, employee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agent of another corporation or other entity and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will advance expenses to such persons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20"/>
          </w:cols>
          <w:pgMar w:left="240" w:top="459" w:right="25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(within 20 days after the receipt of statements</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indemnify a director or officer with respect to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officer unless the proceeding was commenced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either with the approval of the board of directors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after a change in control (as defined in Article VII</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TWC’s by-laws). Additionally, under TWC’s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laws, TWC will indemnify, under certain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circumstances, any person who is or was an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employee of TWC and who is or was involved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any proceeding by reason of the fact that such</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employee is or was serving as a director of another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corporation and will also advance expenses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advancement provisions for indemnified TWC</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directors and officers.</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Under TWC’s by-laws, TWC may also indemnify</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person who is or was an employee or agent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and may also advance expenses incurred by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any such person consistent with the advancement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provisions for indemnified TWC directors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officers.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3229" w:lineRule="exact"/>
        <w:rPr>
          <w:sz w:val="20"/>
          <w:szCs w:val="20"/>
          <w:color w:val="auto"/>
        </w:rPr>
      </w:pPr>
    </w:p>
    <w:p>
      <w:pPr>
        <w:sectPr>
          <w:pgSz w:w="11900" w:h="16838" w:orient="portrait"/>
          <w:cols w:equalWidth="0" w:num="2">
            <w:col w:w="7560" w:space="120"/>
            <w:col w:w="3740"/>
          </w:cols>
          <w:pgMar w:left="240" w:top="45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Appraisal Rights or Dissenters’ Rights</w:t>
      </w:r>
      <w:r>
        <w:rPr>
          <w:sz w:val="20"/>
          <w:szCs w:val="20"/>
          <w:color w:val="auto"/>
        </w:rPr>
        <w:tab/>
      </w:r>
      <w:r>
        <w:rPr>
          <w:rFonts w:ascii="Arial" w:cs="Arial" w:eastAsia="Arial" w:hAnsi="Arial"/>
          <w:sz w:val="16"/>
          <w:szCs w:val="16"/>
          <w:color w:val="auto"/>
        </w:rPr>
        <w:t>Under Delaware law, unless the charter or by-laws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provide otherwise, stockholders of a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have the right to dissent from any plan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merger or consolidation to which the 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a party, and to demand payment for the fair value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their shares pursuant to, and in compliance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procedures set forth in, the “appraisal rights”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provisions of the DGCL, except in connection with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 merger or consolidation with respect to shares (i)</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listed on a national securities exchange or held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record by more than 2,000 holders and (ii) for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which, pursuant to the plan of merger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consolidation,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740"/>
          </w:cols>
          <w:pgMar w:left="240" w:top="459" w:right="23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-627380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23666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Neither the TWC charter nor the TWC by-laws contain provisions in this regard.</w:t>
      </w:r>
    </w:p>
    <w:p>
      <w:pPr>
        <w:spacing w:after="0" w:line="7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3755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Neither Comcast’s articles nor Comcast’s by-laws contain provisions in this regard.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680" w:space="160"/>
            <w:col w:w="3720"/>
          </w:cols>
          <w:pgMar w:left="240" w:top="460" w:right="259" w:bottom="1440" w:gutter="0" w:footer="0" w:header="0"/>
        </w:sectPr>
      </w:pPr>
    </w:p>
    <w:p>
      <w:pPr>
        <w:ind w:right="120"/>
        <w:spacing w:after="0" w:line="347" w:lineRule="auto"/>
        <w:rPr>
          <w:sz w:val="20"/>
          <w:szCs w:val="20"/>
          <w:color w:val="auto"/>
        </w:rPr>
      </w:pPr>
      <w:r>
        <w:rPr>
          <w:rFonts w:ascii="Arial" w:cs="Arial" w:eastAsia="Arial" w:hAnsi="Arial"/>
          <w:sz w:val="16"/>
          <w:szCs w:val="16"/>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720" w:space="120"/>
            <w:col w:w="3720"/>
          </w:cols>
          <w:pgMar w:left="240" w:top="460" w:right="259" w:bottom="1440" w:gutter="0" w:footer="0" w:header="0"/>
          <w:type w:val="continuous"/>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8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TWC’s charter provides that in addition to any</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other vote required by law, the affirmative vote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holders of a majority of the then outstanding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shares of common stock shall be required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(i) any merger, consolidation or business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combination of TWC with or into another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whether or not TWC is the surviving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 or (ii) any sale of all or substantially all</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the assets of TWC, in each case only if such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action is otherwise required to be approved by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of TWC under the DGCL or any other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law or stock exchange rule or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State Anti-Takeover Provisions</w:t>
      </w:r>
      <w:r>
        <w:rPr>
          <w:sz w:val="20"/>
          <w:szCs w:val="20"/>
          <w:color w:val="auto"/>
        </w:rPr>
        <w:tab/>
      </w:r>
      <w:r>
        <w:rPr>
          <w:rFonts w:ascii="Arial" w:cs="Arial" w:eastAsia="Arial" w:hAnsi="Arial"/>
          <w:sz w:val="16"/>
          <w:szCs w:val="16"/>
          <w:color w:val="auto"/>
        </w:rPr>
        <w:t>TWC has expressly elected to be governed by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203 of the DGCL, which provides that, if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person acquires 15% or more of the stock of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Delaware corporation without the approval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board of directors of that corporation, thereby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becoming an “interested</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affirmative vote of a majority of the votes cast in any required class vote. 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6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40"/>
          </w:cols>
          <w:pgMar w:left="240" w:top="460" w:right="239" w:bottom="1440" w:gutter="0" w:footer="0" w:header="0"/>
          <w:type w:val="continuous"/>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transactions, including mergers, with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for a period of three years unless one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following exceptions applies: (i) the board of</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approved the acquisition of stock or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 prior to the time that the person became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 interested stockholder, (ii) the person became an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 stockholder and an 85% owner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stock of the corporation in the transaction,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excluding voting stock owned by directors who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also officers and certain employee stock plans,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(iii) the transaction is approved by the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by the affirmative vote of two-thirds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outstanding voting stock which is not owned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Stockholder Rights Plan</w:t>
      </w:r>
      <w:r>
        <w:rPr>
          <w:sz w:val="20"/>
          <w:szCs w:val="20"/>
          <w:color w:val="auto"/>
        </w:rPr>
        <w:tab/>
      </w:r>
      <w:r>
        <w:rPr>
          <w:rFonts w:ascii="Arial" w:cs="Arial" w:eastAsia="Arial" w:hAnsi="Arial"/>
          <w:sz w:val="16"/>
          <w:szCs w:val="16"/>
          <w:color w:val="auto"/>
        </w:rPr>
        <w:t>While Delaware law does not include a statutory</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provision expressly validating stockholder rights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plans, such plans have generally been upheld by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court decisions applying Delaware law.</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Pennsylvania law expressly authorizes a corporation to adopt a shareholder rights plan.</w:t>
      </w:r>
    </w:p>
    <w:p>
      <w:pPr>
        <w:spacing w:after="0" w:line="448" w:lineRule="exact"/>
        <w:rPr>
          <w:sz w:val="20"/>
          <w:szCs w:val="20"/>
          <w:color w:val="auto"/>
        </w:rPr>
      </w:pPr>
    </w:p>
    <w:p>
      <w:pPr>
        <w:sectPr>
          <w:pgSz w:w="11900" w:h="16838" w:orient="portrait"/>
          <w:cols w:equalWidth="0" w:num="2">
            <w:col w:w="7560" w:space="120"/>
            <w:col w:w="3720"/>
          </w:cols>
          <w:pgMar w:left="240" w:top="460" w:right="259" w:bottom="1440" w:gutter="0" w:footer="0" w:header="0"/>
          <w:type w:val="continuous"/>
        </w:sectPr>
      </w:pPr>
    </w:p>
    <w:p>
      <w:pPr>
        <w:ind w:left="3840"/>
        <w:spacing w:after="0"/>
        <w:rPr>
          <w:sz w:val="20"/>
          <w:szCs w:val="20"/>
          <w:color w:val="auto"/>
        </w:rPr>
      </w:pPr>
      <w:r>
        <w:rPr>
          <w:rFonts w:ascii="Arial" w:cs="Arial" w:eastAsia="Arial" w:hAnsi="Arial"/>
          <w:sz w:val="17"/>
          <w:szCs w:val="17"/>
          <w:color w:val="auto"/>
        </w:rPr>
        <w:t>TWC currently has no stockholder rights plan.</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While TWC has no present intention to adopt a</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stockholder rights plan, the TWC board of</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retains the right to adopt a new plan at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future date.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400" w:space="280"/>
            <w:col w:w="3720"/>
          </w:cols>
          <w:pgMar w:left="240" w:top="460" w:right="259" w:bottom="1440" w:gutter="0" w:footer="0" w:header="0"/>
          <w:type w:val="continuous"/>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960"/>
        <w:spacing w:after="0"/>
        <w:tabs>
          <w:tab w:leader="none" w:pos="1760" w:val="left"/>
        </w:tabs>
        <w:rPr>
          <w:sz w:val="20"/>
          <w:szCs w:val="20"/>
          <w:color w:val="auto"/>
        </w:rPr>
      </w:pPr>
      <w:r>
        <w:rPr>
          <w:rFonts w:ascii="Arial" w:cs="Arial" w:eastAsia="Arial" w:hAnsi="Arial"/>
          <w:sz w:val="14"/>
          <w:szCs w:val="14"/>
          <w:b w:val="1"/>
          <w:bCs w:val="1"/>
          <w:color w:val="auto"/>
        </w:rPr>
        <w:t>TWC Stockholder Rights</w:t>
      </w:r>
      <w:r>
        <w:rPr>
          <w:sz w:val="20"/>
          <w:szCs w:val="20"/>
          <w:color w:val="auto"/>
        </w:rPr>
        <w:tab/>
      </w:r>
      <w:r>
        <w:rPr>
          <w:rFonts w:ascii="Arial" w:cs="Arial" w:eastAsia="Arial" w:hAnsi="Arial"/>
          <w:sz w:val="12"/>
          <w:szCs w:val="12"/>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15240</wp:posOffset>
            </wp:positionV>
            <wp:extent cx="48107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13"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Preemptive Rights</w:t>
      </w:r>
      <w:r>
        <w:rPr>
          <w:sz w:val="20"/>
          <w:szCs w:val="20"/>
          <w:color w:val="auto"/>
        </w:rPr>
        <w:tab/>
      </w:r>
      <w:r>
        <w:rPr>
          <w:rFonts w:ascii="Arial" w:cs="Arial" w:eastAsia="Arial" w:hAnsi="Arial"/>
          <w:sz w:val="16"/>
          <w:szCs w:val="16"/>
          <w:color w:val="auto"/>
        </w:rPr>
        <w:t>Under Delaware law, stockholders of a corporation</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do not have preemptive rights to subscribe to 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additional issue of stock or to any security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convertible into such stock, unless such right is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expressly included in the charter.</w:t>
      </w:r>
    </w:p>
    <w:p>
      <w:pPr>
        <w:spacing w:after="0" w:line="11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rights.</w:t>
      </w:r>
    </w:p>
    <w:p>
      <w:pPr>
        <w:spacing w:after="0" w:line="11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b w:val="1"/>
          <w:bCs w:val="1"/>
          <w:color w:val="auto"/>
        </w:rPr>
        <w:t>Duties of Directors</w:t>
      </w:r>
      <w:r>
        <w:rPr>
          <w:sz w:val="20"/>
          <w:szCs w:val="20"/>
          <w:color w:val="auto"/>
        </w:rPr>
        <w:tab/>
      </w:r>
      <w:r>
        <w:rPr>
          <w:rFonts w:ascii="Arial" w:cs="Arial" w:eastAsia="Arial" w:hAnsi="Arial"/>
          <w:sz w:val="16"/>
          <w:szCs w:val="16"/>
          <w:color w:val="auto"/>
        </w:rPr>
        <w:t>Under Delaware law, the standards of conduct for</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have developed through Delaware court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case law. Generally, directors of Delaware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corporations are subject to a duty of loyalty and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duty of care. The duty of loyalty requires directors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refrain from self-dealing, and the duty of care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requires directors in managing the corporation’s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affairs to use that level of care which ordinarily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careful and prudent persons would use in similar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circumstances. When directors act consistently</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their duties of loyalty and care, their decisions</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generally are presumed to be valid under the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 w:right="20"/>
        <w:spacing w:after="0" w:line="286" w:lineRule="auto"/>
        <w:rPr>
          <w:sz w:val="20"/>
          <w:szCs w:val="20"/>
          <w:color w:val="auto"/>
        </w:rPr>
      </w:pPr>
      <w:r>
        <w:rPr>
          <w:rFonts w:ascii="Arial" w:cs="Arial" w:eastAsia="Arial" w:hAnsi="Arial"/>
          <w:sz w:val="16"/>
          <w:szCs w:val="16"/>
          <w:color w:val="auto"/>
        </w:rPr>
        <w:t>Under Pennsylvania law, the standard of conduct for directors is governed by statute and case law. The PBCL requires that a director of a Pennsylvania corporation perform his or her duties:</w:t>
      </w:r>
    </w:p>
    <w:p>
      <w:pPr>
        <w:spacing w:after="0" w:line="2" w:lineRule="exact"/>
        <w:rPr>
          <w:sz w:val="20"/>
          <w:szCs w:val="20"/>
          <w:color w:val="auto"/>
        </w:rPr>
      </w:pPr>
    </w:p>
    <w:p>
      <w:pPr>
        <w:ind w:left="1" w:right="20" w:hanging="1"/>
        <w:spacing w:after="0" w:line="252" w:lineRule="auto"/>
        <w:tabs>
          <w:tab w:leader="none" w:pos="21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good faith, (ii) in a manner he or she reasonably believes to be in the best interests of the corporation, and (iii) with such care, including reasonable inquiry, skill and diligence, as a person of ordinary prudence would use under similar circumstances.</w:t>
      </w:r>
    </w:p>
    <w:p>
      <w:pPr>
        <w:spacing w:after="0" w:line="100" w:lineRule="exact"/>
        <w:rPr>
          <w:sz w:val="20"/>
          <w:szCs w:val="20"/>
          <w:color w:val="auto"/>
        </w:rPr>
      </w:pPr>
    </w:p>
    <w:p>
      <w:pPr>
        <w:ind w:left="1" w:right="20"/>
        <w:spacing w:after="0" w:line="28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40" w:space="139"/>
            <w:col w:w="3721"/>
          </w:cols>
          <w:pgMar w:left="240" w:top="459" w:right="25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consolidated financial statements of Time Warner Cable Inc. incorporated herein by reference from Time Warner Cable Inc.’s (a) Report on Form 8-K dated April 24, 2014 and (b) Time Warner Cable Inc.’s Annual Report on Form 10-K for the year ended December 31, 2013 with respect to the effectiveness of Time Warner Cable Inc.’s internal control over financial reporting as of December 31, 2013 have been audited by Ernst &amp; Young LLP, independent registered public accounting firm, as set forth in their reports thereon and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will hold an annual meeting in 2015 regardless of whether the merger has been completed.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shareholder proposals intended to be presented at Comcast’s 2015 annual meeting of shareholders and considered for inclusion in Comcast’s proxy materials must be received by December 12, 2014 and must comply with the procedures of Rule 14a-8 under the Exchange Act. Shareholder proposals failing to comply with the procedures of Rule 14a-8 under the Exchange Act will be excluded. If the date of Comcast’s 2015 annual meeting is more than 30 days from May 21, 2015, Comcast will publicly announce a different submission deadline from that set forth above, in compliance with SEC rules.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Comcast’s annual meeting of shareholders in 2015 but are not included in Comcast’s proxy materials must comply with the advance notice provision in Section 2.09 of Comcast’s by-laws. If Comcast calls the 2015 annual meeting of shareholders for a date between April 21, 2015 and June 20, 2015, Comcast must have received notice of the proposal on or after February 20, 2015 and on or before March 22,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22,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Any shareholder proposals seeking to nominate directors that are intended to be presented at Comcast’s annual meeting of shareholders in 2015 but are not included in Comcast’s proxy materials must comply with the advance notice provisions in Section 3.10 of Comcast’s by-laws. If Comcast calls the 2015 annual meeting of shareholders for a date between April 21, 2015 and June 20, 2015, Comcast must have received notice of the proposal on or after January 21, 2015 and on or before February 20,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20,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7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All shareholder proposals should be directed to Arthur R. Block, Secretary, Comcast Corporation, One Comcast Center, Philadelphia, Pennsylvania 19103-2838.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TWC</w:t>
      </w:r>
    </w:p>
    <w:p>
      <w:pPr>
        <w:spacing w:after="0" w:line="121"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December 31, 2014.</w:t>
      </w:r>
    </w:p>
    <w:p>
      <w:pPr>
        <w:spacing w:after="0" w:line="187"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February 5, 2015 but no later than March 7, 2015.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previously filed with the SEC:</w:t>
      </w:r>
    </w:p>
    <w:p>
      <w:pPr>
        <w:spacing w:after="0" w:line="131" w:lineRule="exact"/>
        <w:rPr>
          <w:sz w:val="20"/>
          <w:szCs w:val="20"/>
          <w:color w:val="auto"/>
        </w:rPr>
      </w:pPr>
    </w:p>
    <w:p>
      <w:pPr>
        <w:ind w:left="900" w:right="60" w:hanging="446"/>
        <w:spacing w:after="0" w:line="259"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92"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13, 2014, February 14, 2014, February 25, 2014, April 28, 2014, May 22, 2014, July 1, 2014 and August 8, 2014 (other than the portions of those documents not deemed to be filed).</w:t>
      </w:r>
    </w:p>
    <w:p>
      <w:pPr>
        <w:spacing w:after="0" w:line="7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Proxy Statement for the 2014 annual meeting, filed on April 11, 2014.</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Comcast’s Quarterly Reports on Form 10-Q for the quarter ended March 31, 2014, filed on April 22, 2014, and for the quarter ended June 30, 2014, filed on July 24,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Annual Report on Form 10-K for the year ended December 31, 2013, filed on February 18, 2014 as recast to reflect certain changes to its consolidated financial statements in TWC’s Current Report on Form 8-K filed on April 24, 2014.</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Current Reports on Form 8-K filed on January 14, 2014, February 11, 2014, February 13, 2014, April 24, 2014, April 28, 2014, June 11, 2014 and June 13,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Proxy Statement for the 2014 annual meeting, filed on April 29, 2014.</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TWC’s Quarterly Reports on Form 10-Q for the quarter ended March 31, 2014, filed on April 24, 2014, and for the quarter ended June 30, 2014, filed on July 31, 2014.</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Pennsylvania 19103-2838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(866) 281-2100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10023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(877) 446-3689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ir@twcable.com</w:t>
      </w:r>
    </w:p>
    <w:p>
      <w:pPr>
        <w:spacing w:after="0" w:line="207"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If you would like to request documents, please do so by no later than five business days before the date of the Comcast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or five business days before the date of the TWC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as applicable.</w:t>
      </w:r>
    </w:p>
    <w:p>
      <w:pPr>
        <w:spacing w:after="0" w:line="14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joint proxy statement/prospectus is dated [—].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A</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ACQUISITION SUB, INC.</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p>
        </w:tc>
      </w:tr>
      <w:tr>
        <w:trPr>
          <w:trHeight w:val="392"/>
        </w:trPr>
        <w:tc>
          <w:tcPr>
            <w:tcW w:w="1820" w:type="dxa"/>
            <w:vAlign w:val="bottom"/>
          </w:tcPr>
          <w:p>
            <w:pPr>
              <w:spacing w:after="0"/>
              <w:rPr>
                <w:sz w:val="20"/>
                <w:szCs w:val="20"/>
                <w:color w:val="auto"/>
              </w:rPr>
            </w:pPr>
            <w:r>
              <w:rPr>
                <w:rFonts w:ascii="Arial" w:cs="Arial" w:eastAsia="Arial" w:hAnsi="Arial"/>
                <w:sz w:val="16"/>
                <w:szCs w:val="16"/>
                <w:color w:val="auto"/>
              </w:rPr>
              <w:t>ARTICLE 1 Definitions</w:t>
            </w:r>
          </w:p>
        </w:tc>
        <w:tc>
          <w:tcPr>
            <w:tcW w:w="9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A-1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1.01.</w:t>
            </w:r>
          </w:p>
        </w:tc>
        <w:tc>
          <w:tcPr>
            <w:tcW w:w="9120" w:type="dxa"/>
            <w:vAlign w:val="bottom"/>
          </w:tcPr>
          <w:p>
            <w:pPr>
              <w:ind w:left="220"/>
              <w:spacing w:after="0"/>
              <w:rPr>
                <w:sz w:val="20"/>
                <w:szCs w:val="20"/>
                <w:color w:val="auto"/>
              </w:rPr>
            </w:pPr>
            <w:r>
              <w:rPr>
                <w:rFonts w:ascii="Arial" w:cs="Arial" w:eastAsia="Arial" w:hAnsi="Arial"/>
                <w:sz w:val="16"/>
                <w:szCs w:val="16"/>
                <w:color w:val="auto"/>
              </w:rPr>
              <w:t>Definitions</w:t>
            </w:r>
          </w:p>
        </w:tc>
        <w:tc>
          <w:tcPr>
            <w:tcW w:w="480" w:type="dxa"/>
            <w:vAlign w:val="bottom"/>
          </w:tcPr>
          <w:p>
            <w:pPr>
              <w:spacing w:after="0"/>
              <w:rPr>
                <w:sz w:val="20"/>
                <w:szCs w:val="20"/>
                <w:color w:val="auto"/>
              </w:rPr>
            </w:pPr>
            <w:r>
              <w:rPr>
                <w:rFonts w:ascii="Arial" w:cs="Arial" w:eastAsia="Arial" w:hAnsi="Arial"/>
                <w:sz w:val="16"/>
                <w:szCs w:val="16"/>
                <w:color w:val="auto"/>
              </w:rPr>
              <w:t>A-1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1.02.</w:t>
            </w:r>
          </w:p>
        </w:tc>
        <w:tc>
          <w:tcPr>
            <w:tcW w:w="9120" w:type="dxa"/>
            <w:vAlign w:val="bottom"/>
          </w:tcPr>
          <w:p>
            <w:pPr>
              <w:ind w:left="220"/>
              <w:spacing w:after="0"/>
              <w:rPr>
                <w:sz w:val="20"/>
                <w:szCs w:val="20"/>
                <w:color w:val="auto"/>
              </w:rPr>
            </w:pPr>
            <w:r>
              <w:rPr>
                <w:rFonts w:ascii="Arial" w:cs="Arial" w:eastAsia="Arial" w:hAnsi="Arial"/>
                <w:sz w:val="16"/>
                <w:szCs w:val="16"/>
                <w:color w:val="auto"/>
              </w:rPr>
              <w:t>Other Definitional and Interpretative Provisions</w:t>
            </w:r>
          </w:p>
        </w:tc>
        <w:tc>
          <w:tcPr>
            <w:tcW w:w="480" w:type="dxa"/>
            <w:vAlign w:val="bottom"/>
          </w:tcPr>
          <w:p>
            <w:pPr>
              <w:spacing w:after="0"/>
              <w:rPr>
                <w:sz w:val="20"/>
                <w:szCs w:val="20"/>
                <w:color w:val="auto"/>
              </w:rPr>
            </w:pPr>
            <w:r>
              <w:rPr>
                <w:rFonts w:ascii="Arial" w:cs="Arial" w:eastAsia="Arial" w:hAnsi="Arial"/>
                <w:sz w:val="16"/>
                <w:szCs w:val="16"/>
                <w:color w:val="auto"/>
              </w:rPr>
              <w:t>A-8</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ARTICLE 2 The Merger</w:t>
            </w:r>
          </w:p>
        </w:tc>
        <w:tc>
          <w:tcPr>
            <w:tcW w:w="91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A-8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2.01.</w:t>
            </w:r>
          </w:p>
        </w:tc>
        <w:tc>
          <w:tcPr>
            <w:tcW w:w="9120" w:type="dxa"/>
            <w:vAlign w:val="bottom"/>
          </w:tcPr>
          <w:p>
            <w:pPr>
              <w:ind w:left="220"/>
              <w:spacing w:after="0"/>
              <w:rPr>
                <w:sz w:val="20"/>
                <w:szCs w:val="20"/>
                <w:color w:val="auto"/>
              </w:rPr>
            </w:pPr>
            <w:r>
              <w:rPr>
                <w:rFonts w:ascii="Arial" w:cs="Arial" w:eastAsia="Arial" w:hAnsi="Arial"/>
                <w:sz w:val="16"/>
                <w:szCs w:val="16"/>
                <w:color w:val="auto"/>
              </w:rPr>
              <w:t>The Merger</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2.02.</w:t>
            </w:r>
          </w:p>
        </w:tc>
        <w:tc>
          <w:tcPr>
            <w:tcW w:w="9120" w:type="dxa"/>
            <w:vAlign w:val="bottom"/>
          </w:tcPr>
          <w:p>
            <w:pPr>
              <w:ind w:left="220"/>
              <w:spacing w:after="0"/>
              <w:rPr>
                <w:sz w:val="20"/>
                <w:szCs w:val="20"/>
                <w:color w:val="auto"/>
              </w:rPr>
            </w:pPr>
            <w:r>
              <w:rPr>
                <w:rFonts w:ascii="Arial" w:cs="Arial" w:eastAsia="Arial" w:hAnsi="Arial"/>
                <w:sz w:val="16"/>
                <w:szCs w:val="16"/>
                <w:color w:val="auto"/>
              </w:rPr>
              <w:t>Conversion of Shares</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2.03.</w:t>
            </w:r>
          </w:p>
        </w:tc>
        <w:tc>
          <w:tcPr>
            <w:tcW w:w="9120" w:type="dxa"/>
            <w:vAlign w:val="bottom"/>
          </w:tcPr>
          <w:p>
            <w:pPr>
              <w:ind w:left="220"/>
              <w:spacing w:after="0"/>
              <w:rPr>
                <w:sz w:val="20"/>
                <w:szCs w:val="20"/>
                <w:color w:val="auto"/>
              </w:rPr>
            </w:pPr>
            <w:r>
              <w:rPr>
                <w:rFonts w:ascii="Arial" w:cs="Arial" w:eastAsia="Arial" w:hAnsi="Arial"/>
                <w:sz w:val="16"/>
                <w:szCs w:val="16"/>
                <w:color w:val="auto"/>
              </w:rPr>
              <w:t>Surrender and Payment</w:t>
            </w:r>
          </w:p>
        </w:tc>
        <w:tc>
          <w:tcPr>
            <w:tcW w:w="480" w:type="dxa"/>
            <w:vAlign w:val="bottom"/>
          </w:tcPr>
          <w:p>
            <w:pPr>
              <w:spacing w:after="0"/>
              <w:rPr>
                <w:sz w:val="20"/>
                <w:szCs w:val="20"/>
                <w:color w:val="auto"/>
              </w:rPr>
            </w:pPr>
            <w:r>
              <w:rPr>
                <w:rFonts w:ascii="Arial" w:cs="Arial" w:eastAsia="Arial" w:hAnsi="Arial"/>
                <w:sz w:val="16"/>
                <w:szCs w:val="16"/>
                <w:color w:val="auto"/>
              </w:rPr>
              <w:t>A-9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2.04.</w:t>
            </w:r>
          </w:p>
        </w:tc>
        <w:tc>
          <w:tcPr>
            <w:tcW w:w="9120" w:type="dxa"/>
            <w:vAlign w:val="bottom"/>
          </w:tcPr>
          <w:p>
            <w:pPr>
              <w:ind w:left="220"/>
              <w:spacing w:after="0"/>
              <w:rPr>
                <w:sz w:val="20"/>
                <w:szCs w:val="20"/>
                <w:color w:val="auto"/>
              </w:rPr>
            </w:pPr>
            <w:r>
              <w:rPr>
                <w:rFonts w:ascii="Arial" w:cs="Arial" w:eastAsia="Arial" w:hAnsi="Arial"/>
                <w:sz w:val="16"/>
                <w:szCs w:val="16"/>
                <w:color w:val="auto"/>
              </w:rPr>
              <w:t>Equity-Based Awards</w:t>
            </w:r>
          </w:p>
        </w:tc>
        <w:tc>
          <w:tcPr>
            <w:tcW w:w="480" w:type="dxa"/>
            <w:vAlign w:val="bottom"/>
          </w:tcPr>
          <w:p>
            <w:pPr>
              <w:spacing w:after="0"/>
              <w:rPr>
                <w:sz w:val="20"/>
                <w:szCs w:val="20"/>
                <w:color w:val="auto"/>
              </w:rPr>
            </w:pPr>
            <w:r>
              <w:rPr>
                <w:rFonts w:ascii="Arial" w:cs="Arial" w:eastAsia="Arial" w:hAnsi="Arial"/>
                <w:sz w:val="16"/>
                <w:szCs w:val="16"/>
                <w:color w:val="auto"/>
              </w:rPr>
              <w:t>A-10</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2.05.</w:t>
            </w:r>
          </w:p>
        </w:tc>
        <w:tc>
          <w:tcPr>
            <w:tcW w:w="9120" w:type="dxa"/>
            <w:vAlign w:val="bottom"/>
          </w:tcPr>
          <w:p>
            <w:pPr>
              <w:ind w:left="220"/>
              <w:spacing w:after="0"/>
              <w:rPr>
                <w:sz w:val="20"/>
                <w:szCs w:val="20"/>
                <w:color w:val="auto"/>
              </w:rPr>
            </w:pPr>
            <w:r>
              <w:rPr>
                <w:rFonts w:ascii="Arial" w:cs="Arial" w:eastAsia="Arial" w:hAnsi="Arial"/>
                <w:sz w:val="16"/>
                <w:szCs w:val="16"/>
                <w:color w:val="auto"/>
              </w:rPr>
              <w:t>Adjustments</w:t>
            </w:r>
          </w:p>
        </w:tc>
        <w:tc>
          <w:tcPr>
            <w:tcW w:w="480" w:type="dxa"/>
            <w:vAlign w:val="bottom"/>
          </w:tcPr>
          <w:p>
            <w:pPr>
              <w:spacing w:after="0"/>
              <w:rPr>
                <w:sz w:val="20"/>
                <w:szCs w:val="20"/>
                <w:color w:val="auto"/>
              </w:rPr>
            </w:pPr>
            <w:r>
              <w:rPr>
                <w:rFonts w:ascii="Arial" w:cs="Arial" w:eastAsia="Arial" w:hAnsi="Arial"/>
                <w:sz w:val="16"/>
                <w:szCs w:val="16"/>
                <w:color w:val="auto"/>
              </w:rPr>
              <w:t>A-11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2.06.</w:t>
            </w:r>
          </w:p>
        </w:tc>
        <w:tc>
          <w:tcPr>
            <w:tcW w:w="9120" w:type="dxa"/>
            <w:vAlign w:val="bottom"/>
          </w:tcPr>
          <w:p>
            <w:pPr>
              <w:ind w:left="220"/>
              <w:spacing w:after="0"/>
              <w:rPr>
                <w:sz w:val="20"/>
                <w:szCs w:val="20"/>
                <w:color w:val="auto"/>
              </w:rPr>
            </w:pPr>
            <w:r>
              <w:rPr>
                <w:rFonts w:ascii="Arial" w:cs="Arial" w:eastAsia="Arial" w:hAnsi="Arial"/>
                <w:sz w:val="16"/>
                <w:szCs w:val="16"/>
                <w:color w:val="auto"/>
              </w:rPr>
              <w:t>Fractional Shares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2.07.</w:t>
            </w:r>
          </w:p>
        </w:tc>
        <w:tc>
          <w:tcPr>
            <w:tcW w:w="9120" w:type="dxa"/>
            <w:vAlign w:val="bottom"/>
          </w:tcPr>
          <w:p>
            <w:pPr>
              <w:ind w:left="220"/>
              <w:spacing w:after="0"/>
              <w:rPr>
                <w:sz w:val="20"/>
                <w:szCs w:val="20"/>
                <w:color w:val="auto"/>
              </w:rPr>
            </w:pPr>
            <w:r>
              <w:rPr>
                <w:rFonts w:ascii="Arial" w:cs="Arial" w:eastAsia="Arial" w:hAnsi="Arial"/>
                <w:sz w:val="16"/>
                <w:szCs w:val="16"/>
                <w:color w:val="auto"/>
              </w:rPr>
              <w:t>Withholding</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2.08.</w:t>
            </w:r>
          </w:p>
        </w:tc>
        <w:tc>
          <w:tcPr>
            <w:tcW w:w="9120" w:type="dxa"/>
            <w:vAlign w:val="bottom"/>
          </w:tcPr>
          <w:p>
            <w:pPr>
              <w:ind w:left="220"/>
              <w:spacing w:after="0"/>
              <w:rPr>
                <w:sz w:val="20"/>
                <w:szCs w:val="20"/>
                <w:color w:val="auto"/>
              </w:rPr>
            </w:pPr>
            <w:r>
              <w:rPr>
                <w:rFonts w:ascii="Arial" w:cs="Arial" w:eastAsia="Arial" w:hAnsi="Arial"/>
                <w:sz w:val="16"/>
                <w:szCs w:val="16"/>
                <w:color w:val="auto"/>
              </w:rPr>
              <w:t>Lost Certificates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0940" w:type="dxa"/>
            <w:vAlign w:val="bottom"/>
            <w:gridSpan w:val="2"/>
          </w:tcPr>
          <w:p>
            <w:pPr>
              <w:spacing w:after="0"/>
              <w:rPr>
                <w:sz w:val="20"/>
                <w:szCs w:val="20"/>
                <w:color w:val="auto"/>
              </w:rPr>
            </w:pPr>
            <w:r>
              <w:rPr>
                <w:rFonts w:ascii="Arial" w:cs="Arial" w:eastAsia="Arial" w:hAnsi="Arial"/>
                <w:sz w:val="16"/>
                <w:szCs w:val="16"/>
                <w:color w:val="auto"/>
              </w:rPr>
              <w:t>ARTICLE 3 The Surviving Corporation</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3.01.</w:t>
            </w:r>
          </w:p>
        </w:tc>
        <w:tc>
          <w:tcPr>
            <w:tcW w:w="9120" w:type="dxa"/>
            <w:vAlign w:val="bottom"/>
          </w:tcPr>
          <w:p>
            <w:pPr>
              <w:ind w:left="220"/>
              <w:spacing w:after="0"/>
              <w:rPr>
                <w:sz w:val="20"/>
                <w:szCs w:val="20"/>
                <w:color w:val="auto"/>
              </w:rPr>
            </w:pPr>
            <w:r>
              <w:rPr>
                <w:rFonts w:ascii="Arial" w:cs="Arial" w:eastAsia="Arial" w:hAnsi="Arial"/>
                <w:sz w:val="16"/>
                <w:szCs w:val="16"/>
                <w:color w:val="auto"/>
              </w:rPr>
              <w:t>Certificate of Incorporation</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3.02.</w:t>
            </w:r>
          </w:p>
        </w:tc>
        <w:tc>
          <w:tcPr>
            <w:tcW w:w="9120" w:type="dxa"/>
            <w:vAlign w:val="bottom"/>
          </w:tcPr>
          <w:p>
            <w:pPr>
              <w:ind w:left="220"/>
              <w:spacing w:after="0"/>
              <w:rPr>
                <w:sz w:val="20"/>
                <w:szCs w:val="20"/>
                <w:color w:val="auto"/>
              </w:rPr>
            </w:pPr>
            <w:r>
              <w:rPr>
                <w:rFonts w:ascii="Arial" w:cs="Arial" w:eastAsia="Arial" w:hAnsi="Arial"/>
                <w:sz w:val="16"/>
                <w:szCs w:val="16"/>
                <w:color w:val="auto"/>
              </w:rPr>
              <w:t>Bylaws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3.03.</w:t>
            </w:r>
          </w:p>
        </w:tc>
        <w:tc>
          <w:tcPr>
            <w:tcW w:w="9120" w:type="dxa"/>
            <w:vAlign w:val="bottom"/>
          </w:tcPr>
          <w:p>
            <w:pPr>
              <w:ind w:left="220"/>
              <w:spacing w:after="0"/>
              <w:rPr>
                <w:sz w:val="20"/>
                <w:szCs w:val="20"/>
                <w:color w:val="auto"/>
              </w:rPr>
            </w:pPr>
            <w:r>
              <w:rPr>
                <w:rFonts w:ascii="Arial" w:cs="Arial" w:eastAsia="Arial" w:hAnsi="Arial"/>
                <w:sz w:val="16"/>
                <w:szCs w:val="16"/>
                <w:color w:val="auto"/>
              </w:rPr>
              <w:t>Directors and Officers</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0940" w:type="dxa"/>
            <w:vAlign w:val="bottom"/>
            <w:gridSpan w:val="2"/>
          </w:tcPr>
          <w:p>
            <w:pPr>
              <w:spacing w:after="0"/>
              <w:rPr>
                <w:sz w:val="20"/>
                <w:szCs w:val="20"/>
                <w:color w:val="auto"/>
              </w:rPr>
            </w:pPr>
            <w:r>
              <w:rPr>
                <w:rFonts w:ascii="Arial" w:cs="Arial" w:eastAsia="Arial" w:hAnsi="Arial"/>
                <w:sz w:val="16"/>
                <w:szCs w:val="16"/>
                <w:color w:val="auto"/>
              </w:rPr>
              <w:t>ARTICLE 4 Representations and Warranties of the Company</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4.01.</w:t>
            </w:r>
          </w:p>
        </w:tc>
        <w:tc>
          <w:tcPr>
            <w:tcW w:w="9120" w:type="dxa"/>
            <w:vAlign w:val="bottom"/>
          </w:tcPr>
          <w:p>
            <w:pPr>
              <w:ind w:left="220"/>
              <w:spacing w:after="0"/>
              <w:rPr>
                <w:sz w:val="20"/>
                <w:szCs w:val="20"/>
                <w:color w:val="auto"/>
              </w:rPr>
            </w:pPr>
            <w:r>
              <w:rPr>
                <w:rFonts w:ascii="Arial" w:cs="Arial" w:eastAsia="Arial" w:hAnsi="Arial"/>
                <w:sz w:val="16"/>
                <w:szCs w:val="16"/>
                <w:color w:val="auto"/>
              </w:rPr>
              <w:t>Corporate Existence and Power</w:t>
            </w:r>
          </w:p>
        </w:tc>
        <w:tc>
          <w:tcPr>
            <w:tcW w:w="480" w:type="dxa"/>
            <w:vAlign w:val="bottom"/>
          </w:tcPr>
          <w:p>
            <w:pPr>
              <w:spacing w:after="0"/>
              <w:rPr>
                <w:sz w:val="20"/>
                <w:szCs w:val="20"/>
                <w:color w:val="auto"/>
              </w:rPr>
            </w:pPr>
            <w:r>
              <w:rPr>
                <w:rFonts w:ascii="Arial" w:cs="Arial" w:eastAsia="Arial" w:hAnsi="Arial"/>
                <w:sz w:val="16"/>
                <w:szCs w:val="16"/>
                <w:color w:val="auto"/>
              </w:rPr>
              <w:t>A-12</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4.02.</w:t>
            </w:r>
          </w:p>
        </w:tc>
        <w:tc>
          <w:tcPr>
            <w:tcW w:w="9120" w:type="dxa"/>
            <w:vAlign w:val="bottom"/>
          </w:tcPr>
          <w:p>
            <w:pPr>
              <w:ind w:left="220"/>
              <w:spacing w:after="0"/>
              <w:rPr>
                <w:sz w:val="20"/>
                <w:szCs w:val="20"/>
                <w:color w:val="auto"/>
              </w:rPr>
            </w:pPr>
            <w:r>
              <w:rPr>
                <w:rFonts w:ascii="Arial" w:cs="Arial" w:eastAsia="Arial" w:hAnsi="Arial"/>
                <w:sz w:val="16"/>
                <w:szCs w:val="16"/>
                <w:color w:val="auto"/>
              </w:rPr>
              <w:t>Corporate Authorization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4.03.</w:t>
            </w:r>
          </w:p>
        </w:tc>
        <w:tc>
          <w:tcPr>
            <w:tcW w:w="9120" w:type="dxa"/>
            <w:vAlign w:val="bottom"/>
          </w:tcPr>
          <w:p>
            <w:pPr>
              <w:ind w:left="220"/>
              <w:spacing w:after="0"/>
              <w:rPr>
                <w:sz w:val="20"/>
                <w:szCs w:val="20"/>
                <w:color w:val="auto"/>
              </w:rPr>
            </w:pPr>
            <w:r>
              <w:rPr>
                <w:rFonts w:ascii="Arial" w:cs="Arial" w:eastAsia="Arial" w:hAnsi="Arial"/>
                <w:sz w:val="16"/>
                <w:szCs w:val="16"/>
                <w:color w:val="auto"/>
              </w:rPr>
              <w:t>Governmental Authorization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4.04.</w:t>
            </w:r>
          </w:p>
        </w:tc>
        <w:tc>
          <w:tcPr>
            <w:tcW w:w="9120" w:type="dxa"/>
            <w:vAlign w:val="bottom"/>
          </w:tcPr>
          <w:p>
            <w:pPr>
              <w:ind w:left="220"/>
              <w:spacing w:after="0"/>
              <w:rPr>
                <w:sz w:val="20"/>
                <w:szCs w:val="20"/>
                <w:color w:val="auto"/>
              </w:rPr>
            </w:pPr>
            <w:r>
              <w:rPr>
                <w:rFonts w:ascii="Arial" w:cs="Arial" w:eastAsia="Arial" w:hAnsi="Arial"/>
                <w:sz w:val="16"/>
                <w:szCs w:val="16"/>
                <w:color w:val="auto"/>
              </w:rPr>
              <w:t>Non-contravention</w:t>
            </w:r>
          </w:p>
        </w:tc>
        <w:tc>
          <w:tcPr>
            <w:tcW w:w="480" w:type="dxa"/>
            <w:vAlign w:val="bottom"/>
          </w:tcPr>
          <w:p>
            <w:pPr>
              <w:spacing w:after="0"/>
              <w:rPr>
                <w:sz w:val="20"/>
                <w:szCs w:val="20"/>
                <w:color w:val="auto"/>
              </w:rPr>
            </w:pPr>
            <w:r>
              <w:rPr>
                <w:rFonts w:ascii="Arial" w:cs="Arial" w:eastAsia="Arial" w:hAnsi="Arial"/>
                <w:sz w:val="16"/>
                <w:szCs w:val="16"/>
                <w:color w:val="auto"/>
              </w:rPr>
              <w:t>A-13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4.05.</w:t>
            </w:r>
          </w:p>
        </w:tc>
        <w:tc>
          <w:tcPr>
            <w:tcW w:w="9120" w:type="dxa"/>
            <w:vAlign w:val="bottom"/>
          </w:tcPr>
          <w:p>
            <w:pPr>
              <w:ind w:left="220"/>
              <w:spacing w:after="0"/>
              <w:rPr>
                <w:sz w:val="20"/>
                <w:szCs w:val="20"/>
                <w:color w:val="auto"/>
              </w:rPr>
            </w:pPr>
            <w:r>
              <w:rPr>
                <w:rFonts w:ascii="Arial" w:cs="Arial" w:eastAsia="Arial" w:hAnsi="Arial"/>
                <w:sz w:val="16"/>
                <w:szCs w:val="16"/>
                <w:color w:val="auto"/>
              </w:rPr>
              <w:t>Capitalization</w:t>
            </w:r>
          </w:p>
        </w:tc>
        <w:tc>
          <w:tcPr>
            <w:tcW w:w="480" w:type="dxa"/>
            <w:vAlign w:val="bottom"/>
          </w:tcPr>
          <w:p>
            <w:pPr>
              <w:spacing w:after="0"/>
              <w:rPr>
                <w:sz w:val="20"/>
                <w:szCs w:val="20"/>
                <w:color w:val="auto"/>
              </w:rPr>
            </w:pPr>
            <w:r>
              <w:rPr>
                <w:rFonts w:ascii="Arial" w:cs="Arial" w:eastAsia="Arial" w:hAnsi="Arial"/>
                <w:sz w:val="16"/>
                <w:szCs w:val="16"/>
                <w:color w:val="auto"/>
              </w:rPr>
              <w:t>A-14</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4.06.</w:t>
            </w:r>
          </w:p>
        </w:tc>
        <w:tc>
          <w:tcPr>
            <w:tcW w:w="9120" w:type="dxa"/>
            <w:vAlign w:val="bottom"/>
          </w:tcPr>
          <w:p>
            <w:pPr>
              <w:ind w:left="220"/>
              <w:spacing w:after="0"/>
              <w:rPr>
                <w:sz w:val="20"/>
                <w:szCs w:val="20"/>
                <w:color w:val="auto"/>
              </w:rPr>
            </w:pPr>
            <w:r>
              <w:rPr>
                <w:rFonts w:ascii="Arial" w:cs="Arial" w:eastAsia="Arial" w:hAnsi="Arial"/>
                <w:sz w:val="16"/>
                <w:szCs w:val="16"/>
                <w:color w:val="auto"/>
              </w:rPr>
              <w:t>Subsidiaries</w:t>
            </w:r>
          </w:p>
        </w:tc>
        <w:tc>
          <w:tcPr>
            <w:tcW w:w="480" w:type="dxa"/>
            <w:vAlign w:val="bottom"/>
          </w:tcPr>
          <w:p>
            <w:pPr>
              <w:spacing w:after="0"/>
              <w:rPr>
                <w:sz w:val="20"/>
                <w:szCs w:val="20"/>
                <w:color w:val="auto"/>
              </w:rPr>
            </w:pPr>
            <w:r>
              <w:rPr>
                <w:rFonts w:ascii="Arial" w:cs="Arial" w:eastAsia="Arial" w:hAnsi="Arial"/>
                <w:sz w:val="16"/>
                <w:szCs w:val="16"/>
                <w:color w:val="auto"/>
              </w:rPr>
              <w:t>A-14</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4.07.</w:t>
            </w:r>
          </w:p>
        </w:tc>
        <w:tc>
          <w:tcPr>
            <w:tcW w:w="9120" w:type="dxa"/>
            <w:vAlign w:val="bottom"/>
          </w:tcPr>
          <w:p>
            <w:pPr>
              <w:ind w:left="220"/>
              <w:spacing w:after="0"/>
              <w:rPr>
                <w:sz w:val="20"/>
                <w:szCs w:val="20"/>
                <w:color w:val="auto"/>
              </w:rPr>
            </w:pPr>
            <w:r>
              <w:rPr>
                <w:rFonts w:ascii="Arial" w:cs="Arial" w:eastAsia="Arial" w:hAnsi="Arial"/>
                <w:sz w:val="16"/>
                <w:szCs w:val="16"/>
                <w:color w:val="auto"/>
              </w:rPr>
              <w:t>SEC Filings and the Sarbanes-Oxley Act</w:t>
            </w:r>
          </w:p>
        </w:tc>
        <w:tc>
          <w:tcPr>
            <w:tcW w:w="480" w:type="dxa"/>
            <w:vAlign w:val="bottom"/>
          </w:tcPr>
          <w:p>
            <w:pPr>
              <w:spacing w:after="0"/>
              <w:rPr>
                <w:sz w:val="20"/>
                <w:szCs w:val="20"/>
                <w:color w:val="auto"/>
              </w:rPr>
            </w:pPr>
            <w:r>
              <w:rPr>
                <w:rFonts w:ascii="Arial" w:cs="Arial" w:eastAsia="Arial" w:hAnsi="Arial"/>
                <w:sz w:val="16"/>
                <w:szCs w:val="16"/>
                <w:color w:val="auto"/>
              </w:rPr>
              <w:t>A-15</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4.08.</w:t>
            </w:r>
          </w:p>
        </w:tc>
        <w:tc>
          <w:tcPr>
            <w:tcW w:w="9120" w:type="dxa"/>
            <w:vAlign w:val="bottom"/>
          </w:tcPr>
          <w:p>
            <w:pPr>
              <w:ind w:left="220"/>
              <w:spacing w:after="0"/>
              <w:rPr>
                <w:sz w:val="20"/>
                <w:szCs w:val="20"/>
                <w:color w:val="auto"/>
              </w:rPr>
            </w:pPr>
            <w:r>
              <w:rPr>
                <w:rFonts w:ascii="Arial" w:cs="Arial" w:eastAsia="Arial" w:hAnsi="Arial"/>
                <w:sz w:val="16"/>
                <w:szCs w:val="16"/>
                <w:color w:val="auto"/>
              </w:rPr>
              <w:t>Financial Statements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4.09.</w:t>
            </w:r>
          </w:p>
        </w:tc>
        <w:tc>
          <w:tcPr>
            <w:tcW w:w="9120" w:type="dxa"/>
            <w:vAlign w:val="bottom"/>
          </w:tcPr>
          <w:p>
            <w:pPr>
              <w:ind w:left="220"/>
              <w:spacing w:after="0"/>
              <w:rPr>
                <w:sz w:val="20"/>
                <w:szCs w:val="20"/>
                <w:color w:val="auto"/>
              </w:rPr>
            </w:pPr>
            <w:r>
              <w:rPr>
                <w:rFonts w:ascii="Arial" w:cs="Arial" w:eastAsia="Arial" w:hAnsi="Arial"/>
                <w:sz w:val="16"/>
                <w:szCs w:val="16"/>
                <w:color w:val="auto"/>
              </w:rPr>
              <w:t>Disclosure Documents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4.10.</w:t>
            </w:r>
          </w:p>
        </w:tc>
        <w:tc>
          <w:tcPr>
            <w:tcW w:w="9120" w:type="dxa"/>
            <w:vAlign w:val="bottom"/>
          </w:tcPr>
          <w:p>
            <w:pPr>
              <w:ind w:left="220"/>
              <w:spacing w:after="0"/>
              <w:rPr>
                <w:sz w:val="20"/>
                <w:szCs w:val="20"/>
                <w:color w:val="auto"/>
              </w:rPr>
            </w:pPr>
            <w:r>
              <w:rPr>
                <w:rFonts w:ascii="Arial" w:cs="Arial" w:eastAsia="Arial" w:hAnsi="Arial"/>
                <w:sz w:val="16"/>
                <w:szCs w:val="16"/>
                <w:color w:val="auto"/>
              </w:rPr>
              <w:t>Absence of Certain Changes</w:t>
            </w:r>
          </w:p>
        </w:tc>
        <w:tc>
          <w:tcPr>
            <w:tcW w:w="480" w:type="dxa"/>
            <w:vAlign w:val="bottom"/>
          </w:tcPr>
          <w:p>
            <w:pPr>
              <w:spacing w:after="0"/>
              <w:rPr>
                <w:sz w:val="20"/>
                <w:szCs w:val="20"/>
                <w:color w:val="auto"/>
              </w:rPr>
            </w:pPr>
            <w:r>
              <w:rPr>
                <w:rFonts w:ascii="Arial" w:cs="Arial" w:eastAsia="Arial" w:hAnsi="Arial"/>
                <w:sz w:val="16"/>
                <w:szCs w:val="16"/>
                <w:color w:val="auto"/>
              </w:rPr>
              <w:t>A-16</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4.11.</w:t>
            </w:r>
          </w:p>
        </w:tc>
        <w:tc>
          <w:tcPr>
            <w:tcW w:w="9120" w:type="dxa"/>
            <w:vAlign w:val="bottom"/>
          </w:tcPr>
          <w:p>
            <w:pPr>
              <w:ind w:left="220"/>
              <w:spacing w:after="0"/>
              <w:rPr>
                <w:sz w:val="20"/>
                <w:szCs w:val="20"/>
                <w:color w:val="auto"/>
              </w:rPr>
            </w:pPr>
            <w:r>
              <w:rPr>
                <w:rFonts w:ascii="Arial" w:cs="Arial" w:eastAsia="Arial" w:hAnsi="Arial"/>
                <w:sz w:val="16"/>
                <w:szCs w:val="16"/>
                <w:color w:val="auto"/>
              </w:rPr>
              <w:t>No Undisclosed Material Liabilities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4.12.</w:t>
            </w:r>
          </w:p>
        </w:tc>
        <w:tc>
          <w:tcPr>
            <w:tcW w:w="9120" w:type="dxa"/>
            <w:vAlign w:val="bottom"/>
          </w:tcPr>
          <w:p>
            <w:pPr>
              <w:ind w:left="220"/>
              <w:spacing w:after="0"/>
              <w:rPr>
                <w:sz w:val="20"/>
                <w:szCs w:val="20"/>
                <w:color w:val="auto"/>
              </w:rPr>
            </w:pPr>
            <w:r>
              <w:rPr>
                <w:rFonts w:ascii="Arial" w:cs="Arial" w:eastAsia="Arial" w:hAnsi="Arial"/>
                <w:sz w:val="16"/>
                <w:szCs w:val="16"/>
                <w:color w:val="auto"/>
              </w:rPr>
              <w:t>Compliance with Laws and Court Orders; Governmental Authorizations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4.13.</w:t>
            </w:r>
          </w:p>
        </w:tc>
        <w:tc>
          <w:tcPr>
            <w:tcW w:w="9120" w:type="dxa"/>
            <w:vAlign w:val="bottom"/>
          </w:tcPr>
          <w:p>
            <w:pPr>
              <w:ind w:left="220"/>
              <w:spacing w:after="0"/>
              <w:rPr>
                <w:sz w:val="20"/>
                <w:szCs w:val="20"/>
                <w:color w:val="auto"/>
              </w:rPr>
            </w:pPr>
            <w:r>
              <w:rPr>
                <w:rFonts w:ascii="Arial" w:cs="Arial" w:eastAsia="Arial" w:hAnsi="Arial"/>
                <w:sz w:val="16"/>
                <w:szCs w:val="16"/>
                <w:color w:val="auto"/>
              </w:rPr>
              <w:t>Litigation</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4.14.</w:t>
            </w:r>
          </w:p>
        </w:tc>
        <w:tc>
          <w:tcPr>
            <w:tcW w:w="9120" w:type="dxa"/>
            <w:vAlign w:val="bottom"/>
          </w:tcPr>
          <w:p>
            <w:pPr>
              <w:ind w:left="220"/>
              <w:spacing w:after="0"/>
              <w:rPr>
                <w:sz w:val="20"/>
                <w:szCs w:val="20"/>
                <w:color w:val="auto"/>
              </w:rPr>
            </w:pPr>
            <w:r>
              <w:rPr>
                <w:rFonts w:ascii="Arial" w:cs="Arial" w:eastAsia="Arial" w:hAnsi="Arial"/>
                <w:sz w:val="16"/>
                <w:szCs w:val="16"/>
                <w:color w:val="auto"/>
              </w:rPr>
              <w:t>Properties</w:t>
            </w:r>
          </w:p>
        </w:tc>
        <w:tc>
          <w:tcPr>
            <w:tcW w:w="480" w:type="dxa"/>
            <w:vAlign w:val="bottom"/>
          </w:tcPr>
          <w:p>
            <w:pPr>
              <w:spacing w:after="0"/>
              <w:rPr>
                <w:sz w:val="20"/>
                <w:szCs w:val="20"/>
                <w:color w:val="auto"/>
              </w:rPr>
            </w:pPr>
            <w:r>
              <w:rPr>
                <w:rFonts w:ascii="Arial" w:cs="Arial" w:eastAsia="Arial" w:hAnsi="Arial"/>
                <w:sz w:val="16"/>
                <w:szCs w:val="16"/>
                <w:color w:val="auto"/>
              </w:rPr>
              <w:t>A-17</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4.15.</w:t>
            </w:r>
          </w:p>
        </w:tc>
        <w:tc>
          <w:tcPr>
            <w:tcW w:w="9120" w:type="dxa"/>
            <w:vAlign w:val="bottom"/>
          </w:tcPr>
          <w:p>
            <w:pPr>
              <w:ind w:left="220"/>
              <w:spacing w:after="0"/>
              <w:rPr>
                <w:sz w:val="20"/>
                <w:szCs w:val="20"/>
                <w:color w:val="auto"/>
              </w:rPr>
            </w:pPr>
            <w:r>
              <w:rPr>
                <w:rFonts w:ascii="Arial" w:cs="Arial" w:eastAsia="Arial" w:hAnsi="Arial"/>
                <w:sz w:val="16"/>
                <w:szCs w:val="16"/>
                <w:color w:val="auto"/>
              </w:rPr>
              <w:t>Intellectual Property</w:t>
            </w:r>
          </w:p>
        </w:tc>
        <w:tc>
          <w:tcPr>
            <w:tcW w:w="480" w:type="dxa"/>
            <w:vAlign w:val="bottom"/>
          </w:tcPr>
          <w:p>
            <w:pPr>
              <w:spacing w:after="0"/>
              <w:rPr>
                <w:sz w:val="20"/>
                <w:szCs w:val="20"/>
                <w:color w:val="auto"/>
              </w:rPr>
            </w:pPr>
            <w:r>
              <w:rPr>
                <w:rFonts w:ascii="Arial" w:cs="Arial" w:eastAsia="Arial" w:hAnsi="Arial"/>
                <w:sz w:val="16"/>
                <w:szCs w:val="16"/>
                <w:color w:val="auto"/>
              </w:rPr>
              <w:t>A-18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4.16.</w:t>
            </w:r>
          </w:p>
        </w:tc>
        <w:tc>
          <w:tcPr>
            <w:tcW w:w="9120" w:type="dxa"/>
            <w:vAlign w:val="bottom"/>
          </w:tcPr>
          <w:p>
            <w:pPr>
              <w:ind w:left="220"/>
              <w:spacing w:after="0"/>
              <w:rPr>
                <w:sz w:val="20"/>
                <w:szCs w:val="20"/>
                <w:color w:val="auto"/>
              </w:rPr>
            </w:pPr>
            <w:r>
              <w:rPr>
                <w:rFonts w:ascii="Arial" w:cs="Arial" w:eastAsia="Arial" w:hAnsi="Arial"/>
                <w:sz w:val="16"/>
                <w:szCs w:val="16"/>
                <w:color w:val="auto"/>
              </w:rPr>
              <w:t>Taxes</w:t>
            </w:r>
          </w:p>
        </w:tc>
        <w:tc>
          <w:tcPr>
            <w:tcW w:w="480" w:type="dxa"/>
            <w:vAlign w:val="bottom"/>
          </w:tcPr>
          <w:p>
            <w:pPr>
              <w:spacing w:after="0"/>
              <w:rPr>
                <w:sz w:val="20"/>
                <w:szCs w:val="20"/>
                <w:color w:val="auto"/>
              </w:rPr>
            </w:pPr>
            <w:r>
              <w:rPr>
                <w:rFonts w:ascii="Arial" w:cs="Arial" w:eastAsia="Arial" w:hAnsi="Arial"/>
                <w:sz w:val="16"/>
                <w:szCs w:val="16"/>
                <w:color w:val="auto"/>
              </w:rPr>
              <w:t>A-18</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4.17.</w:t>
            </w:r>
          </w:p>
        </w:tc>
        <w:tc>
          <w:tcPr>
            <w:tcW w:w="9120" w:type="dxa"/>
            <w:vAlign w:val="bottom"/>
          </w:tcPr>
          <w:p>
            <w:pPr>
              <w:ind w:left="220"/>
              <w:spacing w:after="0"/>
              <w:rPr>
                <w:sz w:val="20"/>
                <w:szCs w:val="20"/>
                <w:color w:val="auto"/>
              </w:rPr>
            </w:pPr>
            <w:r>
              <w:rPr>
                <w:rFonts w:ascii="Arial" w:cs="Arial" w:eastAsia="Arial" w:hAnsi="Arial"/>
                <w:sz w:val="16"/>
                <w:szCs w:val="16"/>
                <w:color w:val="auto"/>
              </w:rPr>
              <w:t>Employees and Employee Benefit Plans</w:t>
            </w:r>
          </w:p>
        </w:tc>
        <w:tc>
          <w:tcPr>
            <w:tcW w:w="480" w:type="dxa"/>
            <w:vAlign w:val="bottom"/>
          </w:tcPr>
          <w:p>
            <w:pPr>
              <w:spacing w:after="0"/>
              <w:rPr>
                <w:sz w:val="20"/>
                <w:szCs w:val="20"/>
                <w:color w:val="auto"/>
              </w:rPr>
            </w:pPr>
            <w:r>
              <w:rPr>
                <w:rFonts w:ascii="Arial" w:cs="Arial" w:eastAsia="Arial" w:hAnsi="Arial"/>
                <w:sz w:val="16"/>
                <w:szCs w:val="16"/>
                <w:color w:val="auto"/>
              </w:rPr>
              <w:t>A-19</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4.18.</w:t>
            </w:r>
          </w:p>
        </w:tc>
        <w:tc>
          <w:tcPr>
            <w:tcW w:w="9120" w:type="dxa"/>
            <w:vAlign w:val="bottom"/>
          </w:tcPr>
          <w:p>
            <w:pPr>
              <w:ind w:left="220"/>
              <w:spacing w:after="0"/>
              <w:rPr>
                <w:sz w:val="20"/>
                <w:szCs w:val="20"/>
                <w:color w:val="auto"/>
              </w:rPr>
            </w:pPr>
            <w:r>
              <w:rPr>
                <w:rFonts w:ascii="Arial" w:cs="Arial" w:eastAsia="Arial" w:hAnsi="Arial"/>
                <w:sz w:val="16"/>
                <w:szCs w:val="16"/>
                <w:color w:val="auto"/>
              </w:rPr>
              <w:t>Environmental Matters</w:t>
            </w:r>
          </w:p>
        </w:tc>
        <w:tc>
          <w:tcPr>
            <w:tcW w:w="480" w:type="dxa"/>
            <w:vAlign w:val="bottom"/>
          </w:tcPr>
          <w:p>
            <w:pPr>
              <w:spacing w:after="0"/>
              <w:rPr>
                <w:sz w:val="20"/>
                <w:szCs w:val="20"/>
                <w:color w:val="auto"/>
              </w:rPr>
            </w:pPr>
            <w:r>
              <w:rPr>
                <w:rFonts w:ascii="Arial" w:cs="Arial" w:eastAsia="Arial" w:hAnsi="Arial"/>
                <w:sz w:val="16"/>
                <w:szCs w:val="16"/>
                <w:color w:val="auto"/>
              </w:rPr>
              <w:t>A-21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4.19.</w:t>
            </w:r>
          </w:p>
        </w:tc>
        <w:tc>
          <w:tcPr>
            <w:tcW w:w="9120" w:type="dxa"/>
            <w:vAlign w:val="bottom"/>
          </w:tcPr>
          <w:p>
            <w:pPr>
              <w:ind w:left="220"/>
              <w:spacing w:after="0"/>
              <w:rPr>
                <w:sz w:val="20"/>
                <w:szCs w:val="20"/>
                <w:color w:val="auto"/>
              </w:rPr>
            </w:pPr>
            <w:r>
              <w:rPr>
                <w:rFonts w:ascii="Arial" w:cs="Arial" w:eastAsia="Arial" w:hAnsi="Arial"/>
                <w:sz w:val="16"/>
                <w:szCs w:val="16"/>
                <w:color w:val="auto"/>
              </w:rPr>
              <w:t>Material Contracts</w:t>
            </w:r>
          </w:p>
        </w:tc>
        <w:tc>
          <w:tcPr>
            <w:tcW w:w="480" w:type="dxa"/>
            <w:vAlign w:val="bottom"/>
          </w:tcPr>
          <w:p>
            <w:pPr>
              <w:spacing w:after="0"/>
              <w:rPr>
                <w:sz w:val="20"/>
                <w:szCs w:val="20"/>
                <w:color w:val="auto"/>
              </w:rPr>
            </w:pPr>
            <w:r>
              <w:rPr>
                <w:rFonts w:ascii="Arial" w:cs="Arial" w:eastAsia="Arial" w:hAnsi="Arial"/>
                <w:sz w:val="16"/>
                <w:szCs w:val="16"/>
                <w:color w:val="auto"/>
              </w:rPr>
              <w:t>A-21</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4.20.</w:t>
            </w:r>
          </w:p>
        </w:tc>
        <w:tc>
          <w:tcPr>
            <w:tcW w:w="9120" w:type="dxa"/>
            <w:vAlign w:val="bottom"/>
          </w:tcPr>
          <w:p>
            <w:pPr>
              <w:ind w:left="220"/>
              <w:spacing w:after="0"/>
              <w:rPr>
                <w:sz w:val="20"/>
                <w:szCs w:val="20"/>
                <w:color w:val="auto"/>
              </w:rPr>
            </w:pPr>
            <w:r>
              <w:rPr>
                <w:rFonts w:ascii="Arial" w:cs="Arial" w:eastAsia="Arial" w:hAnsi="Arial"/>
                <w:sz w:val="16"/>
                <w:szCs w:val="16"/>
                <w:color w:val="auto"/>
              </w:rPr>
              <w:t>Cable System and Subscriber Information</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r>
        <w:trPr>
          <w:trHeight w:val="203"/>
        </w:trPr>
        <w:tc>
          <w:tcPr>
            <w:tcW w:w="1820" w:type="dxa"/>
            <w:vAlign w:val="bottom"/>
          </w:tcPr>
          <w:p>
            <w:pPr>
              <w:ind w:left="180"/>
              <w:spacing w:after="0"/>
              <w:rPr>
                <w:sz w:val="20"/>
                <w:szCs w:val="20"/>
                <w:color w:val="auto"/>
              </w:rPr>
            </w:pPr>
            <w:r>
              <w:rPr>
                <w:rFonts w:ascii="Arial" w:cs="Arial" w:eastAsia="Arial" w:hAnsi="Arial"/>
                <w:sz w:val="16"/>
                <w:szCs w:val="16"/>
                <w:color w:val="auto"/>
              </w:rPr>
              <w:t>Section 4.21.</w:t>
            </w:r>
          </w:p>
        </w:tc>
        <w:tc>
          <w:tcPr>
            <w:tcW w:w="9120" w:type="dxa"/>
            <w:vAlign w:val="bottom"/>
          </w:tcPr>
          <w:p>
            <w:pPr>
              <w:ind w:left="220"/>
              <w:spacing w:after="0"/>
              <w:rPr>
                <w:sz w:val="20"/>
                <w:szCs w:val="20"/>
                <w:color w:val="auto"/>
              </w:rPr>
            </w:pPr>
            <w:r>
              <w:rPr>
                <w:rFonts w:ascii="Arial" w:cs="Arial" w:eastAsia="Arial" w:hAnsi="Arial"/>
                <w:sz w:val="16"/>
                <w:szCs w:val="16"/>
                <w:color w:val="auto"/>
              </w:rPr>
              <w:t>Franchises</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r>
        <w:trPr>
          <w:trHeight w:val="206"/>
        </w:trPr>
        <w:tc>
          <w:tcPr>
            <w:tcW w:w="1820" w:type="dxa"/>
            <w:vAlign w:val="bottom"/>
          </w:tcPr>
          <w:p>
            <w:pPr>
              <w:ind w:left="180"/>
              <w:spacing w:after="0"/>
              <w:rPr>
                <w:sz w:val="20"/>
                <w:szCs w:val="20"/>
                <w:color w:val="auto"/>
              </w:rPr>
            </w:pPr>
            <w:r>
              <w:rPr>
                <w:rFonts w:ascii="Arial" w:cs="Arial" w:eastAsia="Arial" w:hAnsi="Arial"/>
                <w:sz w:val="16"/>
                <w:szCs w:val="16"/>
                <w:color w:val="auto"/>
              </w:rPr>
              <w:t>Section 4.22.</w:t>
            </w:r>
          </w:p>
        </w:tc>
        <w:tc>
          <w:tcPr>
            <w:tcW w:w="9120" w:type="dxa"/>
            <w:vAlign w:val="bottom"/>
          </w:tcPr>
          <w:p>
            <w:pPr>
              <w:ind w:left="220"/>
              <w:spacing w:after="0"/>
              <w:rPr>
                <w:sz w:val="20"/>
                <w:szCs w:val="20"/>
                <w:color w:val="auto"/>
              </w:rPr>
            </w:pPr>
            <w:r>
              <w:rPr>
                <w:rFonts w:ascii="Arial" w:cs="Arial" w:eastAsia="Arial" w:hAnsi="Arial"/>
                <w:sz w:val="16"/>
                <w:szCs w:val="16"/>
                <w:color w:val="auto"/>
              </w:rPr>
              <w:t>Tax Treatment</w:t>
            </w:r>
          </w:p>
        </w:tc>
        <w:tc>
          <w:tcPr>
            <w:tcW w:w="480" w:type="dxa"/>
            <w:vAlign w:val="bottom"/>
          </w:tcPr>
          <w:p>
            <w:pPr>
              <w:spacing w:after="0"/>
              <w:rPr>
                <w:sz w:val="20"/>
                <w:szCs w:val="20"/>
                <w:color w:val="auto"/>
              </w:rPr>
            </w:pPr>
            <w:r>
              <w:rPr>
                <w:rFonts w:ascii="Arial" w:cs="Arial" w:eastAsia="Arial" w:hAnsi="Arial"/>
                <w:sz w:val="16"/>
                <w:szCs w:val="16"/>
                <w:color w:val="auto"/>
              </w:rPr>
              <w:t>A-23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4.23.</w:t>
            </w:r>
          </w:p>
        </w:tc>
        <w:tc>
          <w:tcPr>
            <w:tcW w:w="7320" w:type="dxa"/>
            <w:vAlign w:val="bottom"/>
          </w:tcPr>
          <w:p>
            <w:pPr>
              <w:ind w:left="500"/>
              <w:spacing w:after="0"/>
              <w:rPr>
                <w:sz w:val="20"/>
                <w:szCs w:val="20"/>
                <w:color w:val="auto"/>
              </w:rPr>
            </w:pPr>
            <w:r>
              <w:rPr>
                <w:rFonts w:ascii="Arial" w:cs="Arial" w:eastAsia="Arial" w:hAnsi="Arial"/>
                <w:sz w:val="16"/>
                <w:szCs w:val="16"/>
                <w:color w:val="auto"/>
              </w:rPr>
              <w:t>Finders’ Fees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4.24.</w:t>
            </w:r>
          </w:p>
        </w:tc>
        <w:tc>
          <w:tcPr>
            <w:tcW w:w="7320" w:type="dxa"/>
            <w:vAlign w:val="bottom"/>
          </w:tcPr>
          <w:p>
            <w:pPr>
              <w:ind w:left="500"/>
              <w:spacing w:after="0"/>
              <w:rPr>
                <w:sz w:val="20"/>
                <w:szCs w:val="20"/>
                <w:color w:val="auto"/>
              </w:rPr>
            </w:pPr>
            <w:r>
              <w:rPr>
                <w:rFonts w:ascii="Arial" w:cs="Arial" w:eastAsia="Arial" w:hAnsi="Arial"/>
                <w:sz w:val="16"/>
                <w:szCs w:val="16"/>
                <w:color w:val="auto"/>
              </w:rPr>
              <w:t>Opinion of Financial Advisor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4.25.</w:t>
            </w:r>
          </w:p>
        </w:tc>
        <w:tc>
          <w:tcPr>
            <w:tcW w:w="7320" w:type="dxa"/>
            <w:vAlign w:val="bottom"/>
          </w:tcPr>
          <w:p>
            <w:pPr>
              <w:ind w:left="500"/>
              <w:spacing w:after="0"/>
              <w:rPr>
                <w:sz w:val="20"/>
                <w:szCs w:val="20"/>
                <w:color w:val="auto"/>
              </w:rPr>
            </w:pPr>
            <w:r>
              <w:rPr>
                <w:rFonts w:ascii="Arial" w:cs="Arial" w:eastAsia="Arial" w:hAnsi="Arial"/>
                <w:sz w:val="16"/>
                <w:szCs w:val="16"/>
                <w:color w:val="auto"/>
              </w:rPr>
              <w:t>Antitakeover Statutes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4.26.</w:t>
            </w:r>
          </w:p>
        </w:tc>
        <w:tc>
          <w:tcPr>
            <w:tcW w:w="7320" w:type="dxa"/>
            <w:vAlign w:val="bottom"/>
          </w:tcPr>
          <w:p>
            <w:pPr>
              <w:ind w:left="500"/>
              <w:spacing w:after="0"/>
              <w:rPr>
                <w:sz w:val="20"/>
                <w:szCs w:val="20"/>
                <w:color w:val="auto"/>
              </w:rPr>
            </w:pPr>
            <w:r>
              <w:rPr>
                <w:rFonts w:ascii="Arial" w:cs="Arial" w:eastAsia="Arial" w:hAnsi="Arial"/>
                <w:sz w:val="16"/>
                <w:szCs w:val="16"/>
                <w:color w:val="auto"/>
              </w:rPr>
              <w:t>No Additional Representations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5 Representations and Warranties of Parent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5.01.</w:t>
            </w:r>
          </w:p>
        </w:tc>
        <w:tc>
          <w:tcPr>
            <w:tcW w:w="7320" w:type="dxa"/>
            <w:vAlign w:val="bottom"/>
          </w:tcPr>
          <w:p>
            <w:pPr>
              <w:ind w:left="500"/>
              <w:spacing w:after="0"/>
              <w:rPr>
                <w:sz w:val="20"/>
                <w:szCs w:val="20"/>
                <w:color w:val="auto"/>
              </w:rPr>
            </w:pPr>
            <w:r>
              <w:rPr>
                <w:rFonts w:ascii="Arial" w:cs="Arial" w:eastAsia="Arial" w:hAnsi="Arial"/>
                <w:sz w:val="16"/>
                <w:szCs w:val="16"/>
                <w:color w:val="auto"/>
              </w:rPr>
              <w:t>Corporate Existence and Power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5.02.</w:t>
            </w:r>
          </w:p>
        </w:tc>
        <w:tc>
          <w:tcPr>
            <w:tcW w:w="7320" w:type="dxa"/>
            <w:vAlign w:val="bottom"/>
          </w:tcPr>
          <w:p>
            <w:pPr>
              <w:ind w:left="500"/>
              <w:spacing w:after="0"/>
              <w:rPr>
                <w:sz w:val="20"/>
                <w:szCs w:val="20"/>
                <w:color w:val="auto"/>
              </w:rPr>
            </w:pPr>
            <w:r>
              <w:rPr>
                <w:rFonts w:ascii="Arial" w:cs="Arial" w:eastAsia="Arial" w:hAnsi="Arial"/>
                <w:sz w:val="16"/>
                <w:szCs w:val="16"/>
                <w:color w:val="auto"/>
              </w:rPr>
              <w:t>Corporate Authorization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A-24</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5.03.</w:t>
            </w:r>
          </w:p>
        </w:tc>
        <w:tc>
          <w:tcPr>
            <w:tcW w:w="7320" w:type="dxa"/>
            <w:vAlign w:val="bottom"/>
          </w:tcPr>
          <w:p>
            <w:pPr>
              <w:ind w:left="500"/>
              <w:spacing w:after="0"/>
              <w:rPr>
                <w:sz w:val="20"/>
                <w:szCs w:val="20"/>
                <w:color w:val="auto"/>
              </w:rPr>
            </w:pPr>
            <w:r>
              <w:rPr>
                <w:rFonts w:ascii="Arial" w:cs="Arial" w:eastAsia="Arial" w:hAnsi="Arial"/>
                <w:sz w:val="16"/>
                <w:szCs w:val="16"/>
                <w:color w:val="auto"/>
              </w:rPr>
              <w:t>Governmental Authorization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5.04.</w:t>
            </w:r>
          </w:p>
        </w:tc>
        <w:tc>
          <w:tcPr>
            <w:tcW w:w="7320" w:type="dxa"/>
            <w:vAlign w:val="bottom"/>
          </w:tcPr>
          <w:p>
            <w:pPr>
              <w:ind w:left="500"/>
              <w:spacing w:after="0"/>
              <w:rPr>
                <w:sz w:val="20"/>
                <w:szCs w:val="20"/>
                <w:color w:val="auto"/>
              </w:rPr>
            </w:pPr>
            <w:r>
              <w:rPr>
                <w:rFonts w:ascii="Arial" w:cs="Arial" w:eastAsia="Arial" w:hAnsi="Arial"/>
                <w:sz w:val="16"/>
                <w:szCs w:val="16"/>
                <w:color w:val="auto"/>
              </w:rPr>
              <w:t>Non-contravention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5.05.</w:t>
            </w:r>
          </w:p>
        </w:tc>
        <w:tc>
          <w:tcPr>
            <w:tcW w:w="7320" w:type="dxa"/>
            <w:vAlign w:val="bottom"/>
          </w:tcPr>
          <w:p>
            <w:pPr>
              <w:ind w:left="500"/>
              <w:spacing w:after="0"/>
              <w:rPr>
                <w:sz w:val="20"/>
                <w:szCs w:val="20"/>
                <w:color w:val="auto"/>
              </w:rPr>
            </w:pPr>
            <w:r>
              <w:rPr>
                <w:rFonts w:ascii="Arial" w:cs="Arial" w:eastAsia="Arial" w:hAnsi="Arial"/>
                <w:sz w:val="16"/>
                <w:szCs w:val="16"/>
                <w:color w:val="auto"/>
              </w:rPr>
              <w:t>Capitalization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A-25</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5.06.</w:t>
            </w:r>
          </w:p>
        </w:tc>
        <w:tc>
          <w:tcPr>
            <w:tcW w:w="7320" w:type="dxa"/>
            <w:vAlign w:val="bottom"/>
          </w:tcPr>
          <w:p>
            <w:pPr>
              <w:ind w:left="500"/>
              <w:spacing w:after="0"/>
              <w:rPr>
                <w:sz w:val="20"/>
                <w:szCs w:val="20"/>
                <w:color w:val="auto"/>
              </w:rPr>
            </w:pPr>
            <w:r>
              <w:rPr>
                <w:rFonts w:ascii="Arial" w:cs="Arial" w:eastAsia="Arial" w:hAnsi="Arial"/>
                <w:sz w:val="16"/>
                <w:szCs w:val="16"/>
                <w:color w:val="auto"/>
              </w:rPr>
              <w:t>Subsidiaries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5.07.</w:t>
            </w:r>
          </w:p>
        </w:tc>
        <w:tc>
          <w:tcPr>
            <w:tcW w:w="7320" w:type="dxa"/>
            <w:vAlign w:val="bottom"/>
          </w:tcPr>
          <w:p>
            <w:pPr>
              <w:ind w:left="500"/>
              <w:spacing w:after="0"/>
              <w:rPr>
                <w:sz w:val="20"/>
                <w:szCs w:val="20"/>
                <w:color w:val="auto"/>
              </w:rPr>
            </w:pPr>
            <w:r>
              <w:rPr>
                <w:rFonts w:ascii="Arial" w:cs="Arial" w:eastAsia="Arial" w:hAnsi="Arial"/>
                <w:sz w:val="16"/>
                <w:szCs w:val="16"/>
                <w:color w:val="auto"/>
              </w:rPr>
              <w:t>SEC Filings and the Sarbanes-Oxley Act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5.08.</w:t>
            </w:r>
          </w:p>
        </w:tc>
        <w:tc>
          <w:tcPr>
            <w:tcW w:w="7320" w:type="dxa"/>
            <w:vAlign w:val="bottom"/>
          </w:tcPr>
          <w:p>
            <w:pPr>
              <w:ind w:left="500"/>
              <w:spacing w:after="0"/>
              <w:rPr>
                <w:sz w:val="20"/>
                <w:szCs w:val="20"/>
                <w:color w:val="auto"/>
              </w:rPr>
            </w:pPr>
            <w:r>
              <w:rPr>
                <w:rFonts w:ascii="Arial" w:cs="Arial" w:eastAsia="Arial" w:hAnsi="Arial"/>
                <w:sz w:val="16"/>
                <w:szCs w:val="16"/>
                <w:color w:val="auto"/>
              </w:rPr>
              <w:t>Financial Statements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5.09.</w:t>
            </w:r>
          </w:p>
        </w:tc>
        <w:tc>
          <w:tcPr>
            <w:tcW w:w="7320" w:type="dxa"/>
            <w:vAlign w:val="bottom"/>
          </w:tcPr>
          <w:p>
            <w:pPr>
              <w:ind w:left="500"/>
              <w:spacing w:after="0"/>
              <w:rPr>
                <w:sz w:val="20"/>
                <w:szCs w:val="20"/>
                <w:color w:val="auto"/>
              </w:rPr>
            </w:pPr>
            <w:r>
              <w:rPr>
                <w:rFonts w:ascii="Arial" w:cs="Arial" w:eastAsia="Arial" w:hAnsi="Arial"/>
                <w:sz w:val="16"/>
                <w:szCs w:val="16"/>
                <w:color w:val="auto"/>
              </w:rPr>
              <w:t>Disclosure Documents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5.10.</w:t>
            </w:r>
          </w:p>
        </w:tc>
        <w:tc>
          <w:tcPr>
            <w:tcW w:w="7320" w:type="dxa"/>
            <w:vAlign w:val="bottom"/>
          </w:tcPr>
          <w:p>
            <w:pPr>
              <w:ind w:left="500"/>
              <w:spacing w:after="0"/>
              <w:rPr>
                <w:sz w:val="20"/>
                <w:szCs w:val="20"/>
                <w:color w:val="auto"/>
              </w:rPr>
            </w:pPr>
            <w:r>
              <w:rPr>
                <w:rFonts w:ascii="Arial" w:cs="Arial" w:eastAsia="Arial" w:hAnsi="Arial"/>
                <w:sz w:val="16"/>
                <w:szCs w:val="16"/>
                <w:color w:val="auto"/>
              </w:rPr>
              <w:t>Absence of Certain Changes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5.11.</w:t>
            </w:r>
          </w:p>
        </w:tc>
        <w:tc>
          <w:tcPr>
            <w:tcW w:w="7320" w:type="dxa"/>
            <w:vAlign w:val="bottom"/>
          </w:tcPr>
          <w:p>
            <w:pPr>
              <w:ind w:left="500"/>
              <w:spacing w:after="0"/>
              <w:rPr>
                <w:sz w:val="20"/>
                <w:szCs w:val="20"/>
                <w:color w:val="auto"/>
              </w:rPr>
            </w:pPr>
            <w:r>
              <w:rPr>
                <w:rFonts w:ascii="Arial" w:cs="Arial" w:eastAsia="Arial" w:hAnsi="Arial"/>
                <w:sz w:val="16"/>
                <w:szCs w:val="16"/>
                <w:color w:val="auto"/>
              </w:rPr>
              <w:t>No Undisclosed Material Liabilities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5.12.</w:t>
            </w:r>
          </w:p>
        </w:tc>
        <w:tc>
          <w:tcPr>
            <w:tcW w:w="7320" w:type="dxa"/>
            <w:vAlign w:val="bottom"/>
          </w:tcPr>
          <w:p>
            <w:pPr>
              <w:ind w:left="500"/>
              <w:spacing w:after="0"/>
              <w:rPr>
                <w:sz w:val="20"/>
                <w:szCs w:val="20"/>
                <w:color w:val="auto"/>
              </w:rPr>
            </w:pPr>
            <w:r>
              <w:rPr>
                <w:rFonts w:ascii="Arial" w:cs="Arial" w:eastAsia="Arial" w:hAnsi="Arial"/>
                <w:sz w:val="16"/>
                <w:szCs w:val="16"/>
                <w:color w:val="auto"/>
              </w:rPr>
              <w:t>Compliance with Laws and Court Orders; Governmental Authorizations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5.13.</w:t>
            </w:r>
          </w:p>
        </w:tc>
        <w:tc>
          <w:tcPr>
            <w:tcW w:w="7320" w:type="dxa"/>
            <w:vAlign w:val="bottom"/>
          </w:tcPr>
          <w:p>
            <w:pPr>
              <w:ind w:left="500"/>
              <w:spacing w:after="0"/>
              <w:rPr>
                <w:sz w:val="20"/>
                <w:szCs w:val="20"/>
                <w:color w:val="auto"/>
              </w:rPr>
            </w:pPr>
            <w:r>
              <w:rPr>
                <w:rFonts w:ascii="Arial" w:cs="Arial" w:eastAsia="Arial" w:hAnsi="Arial"/>
                <w:sz w:val="16"/>
                <w:szCs w:val="16"/>
                <w:color w:val="auto"/>
              </w:rPr>
              <w:t>Litigation</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5.14.</w:t>
            </w:r>
          </w:p>
        </w:tc>
        <w:tc>
          <w:tcPr>
            <w:tcW w:w="7320" w:type="dxa"/>
            <w:vAlign w:val="bottom"/>
          </w:tcPr>
          <w:p>
            <w:pPr>
              <w:ind w:left="500"/>
              <w:spacing w:after="0"/>
              <w:rPr>
                <w:sz w:val="20"/>
                <w:szCs w:val="20"/>
                <w:color w:val="auto"/>
              </w:rPr>
            </w:pPr>
            <w:r>
              <w:rPr>
                <w:rFonts w:ascii="Arial" w:cs="Arial" w:eastAsia="Arial" w:hAnsi="Arial"/>
                <w:sz w:val="16"/>
                <w:szCs w:val="16"/>
                <w:color w:val="auto"/>
              </w:rPr>
              <w:t>Taxes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5.15.</w:t>
            </w:r>
          </w:p>
        </w:tc>
        <w:tc>
          <w:tcPr>
            <w:tcW w:w="7320" w:type="dxa"/>
            <w:vAlign w:val="bottom"/>
          </w:tcPr>
          <w:p>
            <w:pPr>
              <w:ind w:left="500"/>
              <w:spacing w:after="0"/>
              <w:rPr>
                <w:sz w:val="20"/>
                <w:szCs w:val="20"/>
                <w:color w:val="auto"/>
              </w:rPr>
            </w:pPr>
            <w:r>
              <w:rPr>
                <w:rFonts w:ascii="Arial" w:cs="Arial" w:eastAsia="Arial" w:hAnsi="Arial"/>
                <w:sz w:val="16"/>
                <w:szCs w:val="16"/>
                <w:color w:val="auto"/>
              </w:rPr>
              <w:t>Franchises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5.16.</w:t>
            </w:r>
          </w:p>
        </w:tc>
        <w:tc>
          <w:tcPr>
            <w:tcW w:w="7320" w:type="dxa"/>
            <w:vAlign w:val="bottom"/>
          </w:tcPr>
          <w:p>
            <w:pPr>
              <w:ind w:left="500"/>
              <w:spacing w:after="0"/>
              <w:rPr>
                <w:sz w:val="20"/>
                <w:szCs w:val="20"/>
                <w:color w:val="auto"/>
              </w:rPr>
            </w:pPr>
            <w:r>
              <w:rPr>
                <w:rFonts w:ascii="Arial" w:cs="Arial" w:eastAsia="Arial" w:hAnsi="Arial"/>
                <w:sz w:val="16"/>
                <w:szCs w:val="16"/>
                <w:color w:val="auto"/>
              </w:rPr>
              <w:t>Tax Treatment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5.17.</w:t>
            </w:r>
          </w:p>
        </w:tc>
        <w:tc>
          <w:tcPr>
            <w:tcW w:w="7320" w:type="dxa"/>
            <w:vAlign w:val="bottom"/>
          </w:tcPr>
          <w:p>
            <w:pPr>
              <w:ind w:left="500"/>
              <w:spacing w:after="0"/>
              <w:rPr>
                <w:sz w:val="20"/>
                <w:szCs w:val="20"/>
                <w:color w:val="auto"/>
              </w:rPr>
            </w:pPr>
            <w:r>
              <w:rPr>
                <w:rFonts w:ascii="Arial" w:cs="Arial" w:eastAsia="Arial" w:hAnsi="Arial"/>
                <w:sz w:val="16"/>
                <w:szCs w:val="16"/>
                <w:color w:val="auto"/>
              </w:rPr>
              <w:t>NBCUniversal Agreement</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A-29</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5.18.</w:t>
            </w:r>
          </w:p>
        </w:tc>
        <w:tc>
          <w:tcPr>
            <w:tcW w:w="7320" w:type="dxa"/>
            <w:vAlign w:val="bottom"/>
          </w:tcPr>
          <w:p>
            <w:pPr>
              <w:ind w:left="500"/>
              <w:spacing w:after="0"/>
              <w:rPr>
                <w:sz w:val="20"/>
                <w:szCs w:val="20"/>
                <w:color w:val="auto"/>
              </w:rPr>
            </w:pPr>
            <w:r>
              <w:rPr>
                <w:rFonts w:ascii="Arial" w:cs="Arial" w:eastAsia="Arial" w:hAnsi="Arial"/>
                <w:sz w:val="16"/>
                <w:szCs w:val="16"/>
                <w:color w:val="auto"/>
              </w:rPr>
              <w:t>Finders’ Fees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5.19.</w:t>
            </w:r>
          </w:p>
        </w:tc>
        <w:tc>
          <w:tcPr>
            <w:tcW w:w="7320" w:type="dxa"/>
            <w:vAlign w:val="bottom"/>
          </w:tcPr>
          <w:p>
            <w:pPr>
              <w:ind w:left="500"/>
              <w:spacing w:after="0"/>
              <w:rPr>
                <w:sz w:val="20"/>
                <w:szCs w:val="20"/>
                <w:color w:val="auto"/>
              </w:rPr>
            </w:pPr>
            <w:r>
              <w:rPr>
                <w:rFonts w:ascii="Arial" w:cs="Arial" w:eastAsia="Arial" w:hAnsi="Arial"/>
                <w:sz w:val="16"/>
                <w:szCs w:val="16"/>
                <w:color w:val="auto"/>
              </w:rPr>
              <w:t>Opinion of Financial Advisor</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5.20.</w:t>
            </w:r>
          </w:p>
        </w:tc>
        <w:tc>
          <w:tcPr>
            <w:tcW w:w="7320" w:type="dxa"/>
            <w:vAlign w:val="bottom"/>
          </w:tcPr>
          <w:p>
            <w:pPr>
              <w:ind w:left="500"/>
              <w:spacing w:after="0"/>
              <w:rPr>
                <w:sz w:val="20"/>
                <w:szCs w:val="20"/>
                <w:color w:val="auto"/>
              </w:rPr>
            </w:pPr>
            <w:r>
              <w:rPr>
                <w:rFonts w:ascii="Arial" w:cs="Arial" w:eastAsia="Arial" w:hAnsi="Arial"/>
                <w:sz w:val="16"/>
                <w:szCs w:val="16"/>
                <w:color w:val="auto"/>
              </w:rPr>
              <w:t>No Additional Representations</w:t>
            </w:r>
          </w:p>
        </w:tc>
        <w:tc>
          <w:tcPr>
            <w:tcW w:w="2460" w:type="dxa"/>
            <w:vAlign w:val="bottom"/>
          </w:tcPr>
          <w:p>
            <w:pPr>
              <w:ind w:left="2120"/>
              <w:spacing w:after="0"/>
              <w:rPr>
                <w:sz w:val="20"/>
                <w:szCs w:val="20"/>
                <w:color w:val="auto"/>
              </w:rPr>
            </w:pPr>
            <w:r>
              <w:rPr>
                <w:rFonts w:ascii="Arial" w:cs="Arial" w:eastAsia="Arial" w:hAnsi="Arial"/>
                <w:sz w:val="16"/>
                <w:szCs w:val="16"/>
                <w:color w:val="auto"/>
                <w:w w:val="94"/>
              </w:rPr>
              <w:t>A-30</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6 Covenants of the Company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6.01.</w:t>
            </w:r>
          </w:p>
        </w:tc>
        <w:tc>
          <w:tcPr>
            <w:tcW w:w="7320" w:type="dxa"/>
            <w:vAlign w:val="bottom"/>
          </w:tcPr>
          <w:p>
            <w:pPr>
              <w:ind w:left="500"/>
              <w:spacing w:after="0"/>
              <w:rPr>
                <w:sz w:val="20"/>
                <w:szCs w:val="20"/>
                <w:color w:val="auto"/>
              </w:rPr>
            </w:pPr>
            <w:r>
              <w:rPr>
                <w:rFonts w:ascii="Arial" w:cs="Arial" w:eastAsia="Arial" w:hAnsi="Arial"/>
                <w:sz w:val="16"/>
                <w:szCs w:val="16"/>
                <w:color w:val="auto"/>
              </w:rPr>
              <w:t>Conduct of the Company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A-30</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6.02.</w:t>
            </w:r>
          </w:p>
        </w:tc>
        <w:tc>
          <w:tcPr>
            <w:tcW w:w="7320" w:type="dxa"/>
            <w:vAlign w:val="bottom"/>
          </w:tcPr>
          <w:p>
            <w:pPr>
              <w:ind w:left="500"/>
              <w:spacing w:after="0"/>
              <w:rPr>
                <w:sz w:val="20"/>
                <w:szCs w:val="20"/>
                <w:color w:val="auto"/>
              </w:rPr>
            </w:pPr>
            <w:r>
              <w:rPr>
                <w:rFonts w:ascii="Arial" w:cs="Arial" w:eastAsia="Arial" w:hAnsi="Arial"/>
                <w:sz w:val="16"/>
                <w:szCs w:val="16"/>
                <w:color w:val="auto"/>
              </w:rPr>
              <w:t>Company Stockholder Meeting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6.03.</w:t>
            </w:r>
          </w:p>
        </w:tc>
        <w:tc>
          <w:tcPr>
            <w:tcW w:w="7320" w:type="dxa"/>
            <w:vAlign w:val="bottom"/>
          </w:tcPr>
          <w:p>
            <w:pPr>
              <w:ind w:left="500"/>
              <w:spacing w:after="0"/>
              <w:rPr>
                <w:sz w:val="20"/>
                <w:szCs w:val="20"/>
                <w:color w:val="auto"/>
              </w:rPr>
            </w:pPr>
            <w:r>
              <w:rPr>
                <w:rFonts w:ascii="Arial" w:cs="Arial" w:eastAsia="Arial" w:hAnsi="Arial"/>
                <w:sz w:val="16"/>
                <w:szCs w:val="16"/>
                <w:color w:val="auto"/>
              </w:rPr>
              <w:t>No Solicitation; Other Offers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A-33</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6.04.</w:t>
            </w:r>
          </w:p>
        </w:tc>
        <w:tc>
          <w:tcPr>
            <w:tcW w:w="7320" w:type="dxa"/>
            <w:vAlign w:val="bottom"/>
          </w:tcPr>
          <w:p>
            <w:pPr>
              <w:ind w:left="500"/>
              <w:spacing w:after="0"/>
              <w:rPr>
                <w:sz w:val="20"/>
                <w:szCs w:val="20"/>
                <w:color w:val="auto"/>
              </w:rPr>
            </w:pPr>
            <w:r>
              <w:rPr>
                <w:rFonts w:ascii="Arial" w:cs="Arial" w:eastAsia="Arial" w:hAnsi="Arial"/>
                <w:sz w:val="16"/>
                <w:szCs w:val="16"/>
                <w:color w:val="auto"/>
              </w:rPr>
              <w:t>Tax Matters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6.05.</w:t>
            </w:r>
          </w:p>
        </w:tc>
        <w:tc>
          <w:tcPr>
            <w:tcW w:w="7320" w:type="dxa"/>
            <w:vAlign w:val="bottom"/>
          </w:tcPr>
          <w:p>
            <w:pPr>
              <w:ind w:left="500"/>
              <w:spacing w:after="0"/>
              <w:rPr>
                <w:sz w:val="20"/>
                <w:szCs w:val="20"/>
                <w:color w:val="auto"/>
              </w:rPr>
            </w:pPr>
            <w:r>
              <w:rPr>
                <w:rFonts w:ascii="Arial" w:cs="Arial" w:eastAsia="Arial" w:hAnsi="Arial"/>
                <w:sz w:val="16"/>
                <w:szCs w:val="16"/>
                <w:color w:val="auto"/>
              </w:rPr>
              <w:t>Voting of Shares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8860" w:type="dxa"/>
            <w:vAlign w:val="bottom"/>
            <w:gridSpan w:val="2"/>
          </w:tcPr>
          <w:p>
            <w:pPr>
              <w:spacing w:after="0"/>
              <w:rPr>
                <w:sz w:val="20"/>
                <w:szCs w:val="20"/>
                <w:color w:val="auto"/>
              </w:rPr>
            </w:pPr>
            <w:r>
              <w:rPr>
                <w:rFonts w:ascii="Arial" w:cs="Arial" w:eastAsia="Arial" w:hAnsi="Arial"/>
                <w:sz w:val="16"/>
                <w:szCs w:val="16"/>
                <w:color w:val="auto"/>
              </w:rPr>
              <w:t>ARTICLE 7 Covenants of Parent</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7.01.</w:t>
            </w:r>
          </w:p>
        </w:tc>
        <w:tc>
          <w:tcPr>
            <w:tcW w:w="7320" w:type="dxa"/>
            <w:vAlign w:val="bottom"/>
          </w:tcPr>
          <w:p>
            <w:pPr>
              <w:ind w:left="500"/>
              <w:spacing w:after="0"/>
              <w:rPr>
                <w:sz w:val="20"/>
                <w:szCs w:val="20"/>
                <w:color w:val="auto"/>
              </w:rPr>
            </w:pPr>
            <w:r>
              <w:rPr>
                <w:rFonts w:ascii="Arial" w:cs="Arial" w:eastAsia="Arial" w:hAnsi="Arial"/>
                <w:sz w:val="16"/>
                <w:szCs w:val="16"/>
                <w:color w:val="auto"/>
              </w:rPr>
              <w:t>Conduct of Parent</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A-36</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7.02.</w:t>
            </w:r>
          </w:p>
        </w:tc>
        <w:tc>
          <w:tcPr>
            <w:tcW w:w="7320" w:type="dxa"/>
            <w:vAlign w:val="bottom"/>
          </w:tcPr>
          <w:p>
            <w:pPr>
              <w:ind w:left="500"/>
              <w:spacing w:after="0"/>
              <w:rPr>
                <w:sz w:val="20"/>
                <w:szCs w:val="20"/>
                <w:color w:val="auto"/>
              </w:rPr>
            </w:pPr>
            <w:r>
              <w:rPr>
                <w:rFonts w:ascii="Arial" w:cs="Arial" w:eastAsia="Arial" w:hAnsi="Arial"/>
                <w:sz w:val="16"/>
                <w:szCs w:val="16"/>
                <w:color w:val="auto"/>
              </w:rPr>
              <w:t>Obligations of Merger Subsidiary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7.03.</w:t>
            </w:r>
          </w:p>
        </w:tc>
        <w:tc>
          <w:tcPr>
            <w:tcW w:w="7320" w:type="dxa"/>
            <w:vAlign w:val="bottom"/>
          </w:tcPr>
          <w:p>
            <w:pPr>
              <w:ind w:left="500"/>
              <w:spacing w:after="0"/>
              <w:rPr>
                <w:sz w:val="20"/>
                <w:szCs w:val="20"/>
                <w:color w:val="auto"/>
              </w:rPr>
            </w:pPr>
            <w:r>
              <w:rPr>
                <w:rFonts w:ascii="Arial" w:cs="Arial" w:eastAsia="Arial" w:hAnsi="Arial"/>
                <w:sz w:val="16"/>
                <w:szCs w:val="16"/>
                <w:color w:val="auto"/>
              </w:rPr>
              <w:t>Parent Shareholder Meeting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7.04.</w:t>
            </w:r>
          </w:p>
        </w:tc>
        <w:tc>
          <w:tcPr>
            <w:tcW w:w="7320" w:type="dxa"/>
            <w:vAlign w:val="bottom"/>
          </w:tcPr>
          <w:p>
            <w:pPr>
              <w:ind w:left="500"/>
              <w:spacing w:after="0"/>
              <w:rPr>
                <w:sz w:val="20"/>
                <w:szCs w:val="20"/>
                <w:color w:val="auto"/>
              </w:rPr>
            </w:pPr>
            <w:r>
              <w:rPr>
                <w:rFonts w:ascii="Arial" w:cs="Arial" w:eastAsia="Arial" w:hAnsi="Arial"/>
                <w:sz w:val="16"/>
                <w:szCs w:val="16"/>
                <w:color w:val="auto"/>
              </w:rPr>
              <w:t>Certain Prohibitions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7.05.</w:t>
            </w:r>
          </w:p>
        </w:tc>
        <w:tc>
          <w:tcPr>
            <w:tcW w:w="7320" w:type="dxa"/>
            <w:vAlign w:val="bottom"/>
          </w:tcPr>
          <w:p>
            <w:pPr>
              <w:ind w:left="500"/>
              <w:spacing w:after="0"/>
              <w:rPr>
                <w:sz w:val="20"/>
                <w:szCs w:val="20"/>
                <w:color w:val="auto"/>
              </w:rPr>
            </w:pPr>
            <w:r>
              <w:rPr>
                <w:rFonts w:ascii="Arial" w:cs="Arial" w:eastAsia="Arial" w:hAnsi="Arial"/>
                <w:sz w:val="16"/>
                <w:szCs w:val="16"/>
                <w:color w:val="auto"/>
              </w:rPr>
              <w:t>Approval by Sole Stockholder of Merger Subsidiary</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7.06.</w:t>
            </w:r>
          </w:p>
        </w:tc>
        <w:tc>
          <w:tcPr>
            <w:tcW w:w="7320" w:type="dxa"/>
            <w:vAlign w:val="bottom"/>
          </w:tcPr>
          <w:p>
            <w:pPr>
              <w:ind w:left="500"/>
              <w:spacing w:after="0"/>
              <w:rPr>
                <w:sz w:val="20"/>
                <w:szCs w:val="20"/>
                <w:color w:val="auto"/>
              </w:rPr>
            </w:pPr>
            <w:r>
              <w:rPr>
                <w:rFonts w:ascii="Arial" w:cs="Arial" w:eastAsia="Arial" w:hAnsi="Arial"/>
                <w:sz w:val="16"/>
                <w:szCs w:val="16"/>
                <w:color w:val="auto"/>
              </w:rPr>
              <w:t>Voting of Shares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A-37</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7.07.</w:t>
            </w:r>
          </w:p>
        </w:tc>
        <w:tc>
          <w:tcPr>
            <w:tcW w:w="7320" w:type="dxa"/>
            <w:vAlign w:val="bottom"/>
          </w:tcPr>
          <w:p>
            <w:pPr>
              <w:ind w:left="500"/>
              <w:spacing w:after="0"/>
              <w:rPr>
                <w:sz w:val="20"/>
                <w:szCs w:val="20"/>
                <w:color w:val="auto"/>
              </w:rPr>
            </w:pPr>
            <w:r>
              <w:rPr>
                <w:rFonts w:ascii="Arial" w:cs="Arial" w:eastAsia="Arial" w:hAnsi="Arial"/>
                <w:sz w:val="16"/>
                <w:szCs w:val="16"/>
                <w:color w:val="auto"/>
              </w:rPr>
              <w:t>Director and Officer Indemnification</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A-38</w:t>
            </w:r>
          </w:p>
        </w:tc>
      </w:tr>
      <w:tr>
        <w:trPr>
          <w:trHeight w:val="203"/>
        </w:trPr>
        <w:tc>
          <w:tcPr>
            <w:tcW w:w="1540" w:type="dxa"/>
            <w:vAlign w:val="bottom"/>
          </w:tcPr>
          <w:p>
            <w:pPr>
              <w:ind w:left="180"/>
              <w:spacing w:after="0"/>
              <w:rPr>
                <w:sz w:val="20"/>
                <w:szCs w:val="20"/>
                <w:color w:val="auto"/>
              </w:rPr>
            </w:pPr>
            <w:r>
              <w:rPr>
                <w:rFonts w:ascii="Arial" w:cs="Arial" w:eastAsia="Arial" w:hAnsi="Arial"/>
                <w:sz w:val="16"/>
                <w:szCs w:val="16"/>
                <w:color w:val="auto"/>
              </w:rPr>
              <w:t>Section 7.08.</w:t>
            </w:r>
          </w:p>
        </w:tc>
        <w:tc>
          <w:tcPr>
            <w:tcW w:w="7320" w:type="dxa"/>
            <w:vAlign w:val="bottom"/>
          </w:tcPr>
          <w:p>
            <w:pPr>
              <w:ind w:left="500"/>
              <w:spacing w:after="0"/>
              <w:rPr>
                <w:sz w:val="20"/>
                <w:szCs w:val="20"/>
                <w:color w:val="auto"/>
              </w:rPr>
            </w:pPr>
            <w:r>
              <w:rPr>
                <w:rFonts w:ascii="Arial" w:cs="Arial" w:eastAsia="Arial" w:hAnsi="Arial"/>
                <w:sz w:val="16"/>
                <w:szCs w:val="16"/>
                <w:color w:val="auto"/>
              </w:rPr>
              <w:t>Stock Exchange Listing</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A-39</w:t>
            </w: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Section 7.09.</w:t>
            </w:r>
          </w:p>
        </w:tc>
        <w:tc>
          <w:tcPr>
            <w:tcW w:w="7320" w:type="dxa"/>
            <w:vAlign w:val="bottom"/>
          </w:tcPr>
          <w:p>
            <w:pPr>
              <w:ind w:left="500"/>
              <w:spacing w:after="0"/>
              <w:rPr>
                <w:sz w:val="20"/>
                <w:szCs w:val="20"/>
                <w:color w:val="auto"/>
              </w:rPr>
            </w:pPr>
            <w:r>
              <w:rPr>
                <w:rFonts w:ascii="Arial" w:cs="Arial" w:eastAsia="Arial" w:hAnsi="Arial"/>
                <w:sz w:val="16"/>
                <w:szCs w:val="16"/>
                <w:color w:val="auto"/>
              </w:rPr>
              <w:t>Employee Matters</w:t>
            </w:r>
          </w:p>
        </w:tc>
        <w:tc>
          <w:tcPr>
            <w:tcW w:w="2460" w:type="dxa"/>
            <w:vAlign w:val="bottom"/>
          </w:tcPr>
          <w:p>
            <w:pPr>
              <w:ind w:left="2140"/>
              <w:spacing w:after="0"/>
              <w:rPr>
                <w:sz w:val="20"/>
                <w:szCs w:val="20"/>
                <w:color w:val="auto"/>
              </w:rPr>
            </w:pPr>
            <w:r>
              <w:rPr>
                <w:rFonts w:ascii="Arial" w:cs="Arial" w:eastAsia="Arial" w:hAnsi="Arial"/>
                <w:sz w:val="16"/>
                <w:szCs w:val="16"/>
                <w:color w:val="auto"/>
                <w:w w:val="88"/>
              </w:rPr>
              <w:t>A-39</w:t>
            </w: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60"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gridSpan w:val="2"/>
          </w:tcPr>
          <w:p>
            <w:pPr>
              <w:spacing w:after="0"/>
              <w:rPr>
                <w:sz w:val="20"/>
                <w:szCs w:val="20"/>
                <w:color w:val="auto"/>
              </w:rPr>
            </w:pPr>
            <w:r>
              <w:rPr>
                <w:rFonts w:ascii="Arial" w:cs="Arial" w:eastAsia="Arial" w:hAnsi="Arial"/>
                <w:sz w:val="16"/>
                <w:szCs w:val="16"/>
                <w:color w:val="auto"/>
              </w:rPr>
              <w:t>ARTICLE 8 Covenants of Parent and the Company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8.01.</w:t>
            </w:r>
          </w:p>
        </w:tc>
        <w:tc>
          <w:tcPr>
            <w:tcW w:w="6600" w:type="dxa"/>
            <w:vAlign w:val="bottom"/>
          </w:tcPr>
          <w:p>
            <w:pPr>
              <w:ind w:left="80"/>
              <w:spacing w:after="0"/>
              <w:rPr>
                <w:sz w:val="20"/>
                <w:szCs w:val="20"/>
                <w:color w:val="auto"/>
              </w:rPr>
            </w:pPr>
            <w:r>
              <w:rPr>
                <w:rFonts w:ascii="Arial" w:cs="Arial" w:eastAsia="Arial" w:hAnsi="Arial"/>
                <w:sz w:val="16"/>
                <w:szCs w:val="16"/>
                <w:color w:val="auto"/>
              </w:rPr>
              <w:t>Reasonable Best Efforts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8.02.</w:t>
            </w:r>
          </w:p>
        </w:tc>
        <w:tc>
          <w:tcPr>
            <w:tcW w:w="6600" w:type="dxa"/>
            <w:vAlign w:val="bottom"/>
          </w:tcPr>
          <w:p>
            <w:pPr>
              <w:ind w:left="80"/>
              <w:spacing w:after="0"/>
              <w:rPr>
                <w:sz w:val="20"/>
                <w:szCs w:val="20"/>
                <w:color w:val="auto"/>
              </w:rPr>
            </w:pPr>
            <w:r>
              <w:rPr>
                <w:rFonts w:ascii="Arial" w:cs="Arial" w:eastAsia="Arial" w:hAnsi="Arial"/>
                <w:sz w:val="16"/>
                <w:szCs w:val="16"/>
                <w:color w:val="auto"/>
              </w:rPr>
              <w:t>Joint Proxy Statement/Prospectus; Registration Statement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A-42</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8.03.</w:t>
            </w:r>
          </w:p>
        </w:tc>
        <w:tc>
          <w:tcPr>
            <w:tcW w:w="6600" w:type="dxa"/>
            <w:vAlign w:val="bottom"/>
          </w:tcPr>
          <w:p>
            <w:pPr>
              <w:ind w:left="80"/>
              <w:spacing w:after="0"/>
              <w:rPr>
                <w:sz w:val="20"/>
                <w:szCs w:val="20"/>
                <w:color w:val="auto"/>
              </w:rPr>
            </w:pPr>
            <w:r>
              <w:rPr>
                <w:rFonts w:ascii="Arial" w:cs="Arial" w:eastAsia="Arial" w:hAnsi="Arial"/>
                <w:sz w:val="16"/>
                <w:szCs w:val="16"/>
                <w:color w:val="auto"/>
              </w:rPr>
              <w:t>Public Announcements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A-43</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8.04.</w:t>
            </w:r>
          </w:p>
        </w:tc>
        <w:tc>
          <w:tcPr>
            <w:tcW w:w="6600" w:type="dxa"/>
            <w:vAlign w:val="bottom"/>
          </w:tcPr>
          <w:p>
            <w:pPr>
              <w:ind w:left="80"/>
              <w:spacing w:after="0"/>
              <w:rPr>
                <w:sz w:val="20"/>
                <w:szCs w:val="20"/>
                <w:color w:val="auto"/>
              </w:rPr>
            </w:pPr>
            <w:r>
              <w:rPr>
                <w:rFonts w:ascii="Arial" w:cs="Arial" w:eastAsia="Arial" w:hAnsi="Arial"/>
                <w:sz w:val="16"/>
                <w:szCs w:val="16"/>
                <w:color w:val="auto"/>
              </w:rPr>
              <w:t>Further Assurances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A-43</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8.05.</w:t>
            </w:r>
          </w:p>
        </w:tc>
        <w:tc>
          <w:tcPr>
            <w:tcW w:w="6600" w:type="dxa"/>
            <w:vAlign w:val="bottom"/>
          </w:tcPr>
          <w:p>
            <w:pPr>
              <w:ind w:left="80"/>
              <w:spacing w:after="0"/>
              <w:rPr>
                <w:sz w:val="20"/>
                <w:szCs w:val="20"/>
                <w:color w:val="auto"/>
              </w:rPr>
            </w:pPr>
            <w:r>
              <w:rPr>
                <w:rFonts w:ascii="Arial" w:cs="Arial" w:eastAsia="Arial" w:hAnsi="Arial"/>
                <w:sz w:val="16"/>
                <w:szCs w:val="16"/>
                <w:color w:val="auto"/>
              </w:rPr>
              <w:t>Notices of Certain Events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8.06.</w:t>
            </w:r>
          </w:p>
        </w:tc>
        <w:tc>
          <w:tcPr>
            <w:tcW w:w="6600" w:type="dxa"/>
            <w:vAlign w:val="bottom"/>
          </w:tcPr>
          <w:p>
            <w:pPr>
              <w:ind w:left="80"/>
              <w:spacing w:after="0"/>
              <w:rPr>
                <w:sz w:val="20"/>
                <w:szCs w:val="20"/>
                <w:color w:val="auto"/>
              </w:rPr>
            </w:pPr>
            <w:r>
              <w:rPr>
                <w:rFonts w:ascii="Arial" w:cs="Arial" w:eastAsia="Arial" w:hAnsi="Arial"/>
                <w:sz w:val="16"/>
                <w:szCs w:val="16"/>
                <w:color w:val="auto"/>
              </w:rPr>
              <w:t>Access to Information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8.07.</w:t>
            </w:r>
          </w:p>
        </w:tc>
        <w:tc>
          <w:tcPr>
            <w:tcW w:w="6600" w:type="dxa"/>
            <w:vAlign w:val="bottom"/>
          </w:tcPr>
          <w:p>
            <w:pPr>
              <w:ind w:left="80"/>
              <w:spacing w:after="0"/>
              <w:rPr>
                <w:sz w:val="20"/>
                <w:szCs w:val="20"/>
                <w:color w:val="auto"/>
              </w:rPr>
            </w:pPr>
            <w:r>
              <w:rPr>
                <w:rFonts w:ascii="Arial" w:cs="Arial" w:eastAsia="Arial" w:hAnsi="Arial"/>
                <w:sz w:val="16"/>
                <w:szCs w:val="16"/>
                <w:color w:val="auto"/>
              </w:rPr>
              <w:t>Tax-free Reorganization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8.08.</w:t>
            </w:r>
          </w:p>
        </w:tc>
        <w:tc>
          <w:tcPr>
            <w:tcW w:w="6600" w:type="dxa"/>
            <w:vAlign w:val="bottom"/>
          </w:tcPr>
          <w:p>
            <w:pPr>
              <w:ind w:left="80"/>
              <w:spacing w:after="0"/>
              <w:rPr>
                <w:sz w:val="20"/>
                <w:szCs w:val="20"/>
                <w:color w:val="auto"/>
              </w:rPr>
            </w:pPr>
            <w:r>
              <w:rPr>
                <w:rFonts w:ascii="Arial" w:cs="Arial" w:eastAsia="Arial" w:hAnsi="Arial"/>
                <w:sz w:val="16"/>
                <w:szCs w:val="16"/>
                <w:color w:val="auto"/>
              </w:rPr>
              <w:t>Section 16 Matters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A-44</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8.09.</w:t>
            </w:r>
          </w:p>
        </w:tc>
        <w:tc>
          <w:tcPr>
            <w:tcW w:w="6600" w:type="dxa"/>
            <w:vAlign w:val="bottom"/>
          </w:tcPr>
          <w:p>
            <w:pPr>
              <w:ind w:left="80"/>
              <w:spacing w:after="0"/>
              <w:rPr>
                <w:sz w:val="20"/>
                <w:szCs w:val="20"/>
                <w:color w:val="auto"/>
              </w:rPr>
            </w:pPr>
            <w:r>
              <w:rPr>
                <w:rFonts w:ascii="Arial" w:cs="Arial" w:eastAsia="Arial" w:hAnsi="Arial"/>
                <w:sz w:val="16"/>
                <w:szCs w:val="16"/>
                <w:color w:val="auto"/>
              </w:rPr>
              <w:t>Stock Exchange De-listing; 1934 Act Deregistration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8.10.</w:t>
            </w:r>
          </w:p>
        </w:tc>
        <w:tc>
          <w:tcPr>
            <w:tcW w:w="6600" w:type="dxa"/>
            <w:vAlign w:val="bottom"/>
          </w:tcPr>
          <w:p>
            <w:pPr>
              <w:ind w:left="80"/>
              <w:spacing w:after="0"/>
              <w:rPr>
                <w:sz w:val="20"/>
                <w:szCs w:val="20"/>
                <w:color w:val="auto"/>
              </w:rPr>
            </w:pPr>
            <w:r>
              <w:rPr>
                <w:rFonts w:ascii="Arial" w:cs="Arial" w:eastAsia="Arial" w:hAnsi="Arial"/>
                <w:sz w:val="16"/>
                <w:szCs w:val="16"/>
                <w:color w:val="auto"/>
              </w:rPr>
              <w:t>Dividends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8.11.</w:t>
            </w:r>
          </w:p>
        </w:tc>
        <w:tc>
          <w:tcPr>
            <w:tcW w:w="6600" w:type="dxa"/>
            <w:vAlign w:val="bottom"/>
          </w:tcPr>
          <w:p>
            <w:pPr>
              <w:ind w:left="80"/>
              <w:spacing w:after="0"/>
              <w:rPr>
                <w:sz w:val="20"/>
                <w:szCs w:val="20"/>
                <w:color w:val="auto"/>
              </w:rPr>
            </w:pPr>
            <w:r>
              <w:rPr>
                <w:rFonts w:ascii="Arial" w:cs="Arial" w:eastAsia="Arial" w:hAnsi="Arial"/>
                <w:sz w:val="16"/>
                <w:szCs w:val="16"/>
                <w:color w:val="auto"/>
              </w:rPr>
              <w:t>Stockholder Litigation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8560" w:type="dxa"/>
            <w:vAlign w:val="bottom"/>
            <w:gridSpan w:val="2"/>
          </w:tcPr>
          <w:p>
            <w:pPr>
              <w:spacing w:after="0"/>
              <w:rPr>
                <w:sz w:val="20"/>
                <w:szCs w:val="20"/>
                <w:color w:val="auto"/>
              </w:rPr>
            </w:pPr>
            <w:r>
              <w:rPr>
                <w:rFonts w:ascii="Arial" w:cs="Arial" w:eastAsia="Arial" w:hAnsi="Arial"/>
                <w:sz w:val="16"/>
                <w:szCs w:val="16"/>
                <w:color w:val="auto"/>
              </w:rPr>
              <w:t>ARTICLE 9 Conditions to the Merger</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9.01.</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Each Party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A-45</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9.02.</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Parent and Merger Subsidiary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A-46</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9.03.</w:t>
            </w:r>
          </w:p>
        </w:tc>
        <w:tc>
          <w:tcPr>
            <w:tcW w:w="6600" w:type="dxa"/>
            <w:vAlign w:val="bottom"/>
          </w:tcPr>
          <w:p>
            <w:pPr>
              <w:ind w:left="80"/>
              <w:spacing w:after="0"/>
              <w:rPr>
                <w:sz w:val="20"/>
                <w:szCs w:val="20"/>
                <w:color w:val="auto"/>
              </w:rPr>
            </w:pPr>
            <w:r>
              <w:rPr>
                <w:rFonts w:ascii="Arial" w:cs="Arial" w:eastAsia="Arial" w:hAnsi="Arial"/>
                <w:sz w:val="16"/>
                <w:szCs w:val="16"/>
                <w:color w:val="auto"/>
              </w:rPr>
              <w:t>Conditions to the Obligations of the Company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ARTICLE 10 Termination</w:t>
            </w:r>
          </w:p>
        </w:tc>
        <w:tc>
          <w:tcPr>
            <w:tcW w:w="6600" w:type="dxa"/>
            <w:vAlign w:val="bottom"/>
          </w:tcPr>
          <w:p>
            <w:pPr>
              <w:spacing w:after="0"/>
              <w:rPr>
                <w:sz w:val="17"/>
                <w:szCs w:val="17"/>
                <w:color w:val="auto"/>
              </w:rPr>
            </w:pP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10.01.</w:t>
            </w:r>
          </w:p>
        </w:tc>
        <w:tc>
          <w:tcPr>
            <w:tcW w:w="6600" w:type="dxa"/>
            <w:vAlign w:val="bottom"/>
          </w:tcPr>
          <w:p>
            <w:pPr>
              <w:ind w:left="80"/>
              <w:spacing w:after="0"/>
              <w:rPr>
                <w:sz w:val="20"/>
                <w:szCs w:val="20"/>
                <w:color w:val="auto"/>
              </w:rPr>
            </w:pPr>
            <w:r>
              <w:rPr>
                <w:rFonts w:ascii="Arial" w:cs="Arial" w:eastAsia="Arial" w:hAnsi="Arial"/>
                <w:sz w:val="16"/>
                <w:szCs w:val="16"/>
                <w:color w:val="auto"/>
              </w:rPr>
              <w:t>Termination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A-47</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10.02.</w:t>
            </w:r>
          </w:p>
        </w:tc>
        <w:tc>
          <w:tcPr>
            <w:tcW w:w="6600" w:type="dxa"/>
            <w:vAlign w:val="bottom"/>
          </w:tcPr>
          <w:p>
            <w:pPr>
              <w:ind w:left="80"/>
              <w:spacing w:after="0"/>
              <w:rPr>
                <w:sz w:val="20"/>
                <w:szCs w:val="20"/>
                <w:color w:val="auto"/>
              </w:rPr>
            </w:pPr>
            <w:r>
              <w:rPr>
                <w:rFonts w:ascii="Arial" w:cs="Arial" w:eastAsia="Arial" w:hAnsi="Arial"/>
                <w:sz w:val="16"/>
                <w:szCs w:val="16"/>
                <w:color w:val="auto"/>
              </w:rPr>
              <w:t>Effect of Termination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w w:val="99"/>
              </w:rPr>
              <w:t>ARTICLE 11 Miscellaneous</w:t>
            </w:r>
          </w:p>
        </w:tc>
        <w:tc>
          <w:tcPr>
            <w:tcW w:w="6600" w:type="dxa"/>
            <w:vAlign w:val="bottom"/>
          </w:tcPr>
          <w:p>
            <w:pPr>
              <w:spacing w:after="0"/>
              <w:rPr>
                <w:sz w:val="17"/>
                <w:szCs w:val="17"/>
                <w:color w:val="auto"/>
              </w:rPr>
            </w:pP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11.01.</w:t>
            </w:r>
          </w:p>
        </w:tc>
        <w:tc>
          <w:tcPr>
            <w:tcW w:w="6600" w:type="dxa"/>
            <w:vAlign w:val="bottom"/>
          </w:tcPr>
          <w:p>
            <w:pPr>
              <w:ind w:left="80"/>
              <w:spacing w:after="0"/>
              <w:rPr>
                <w:sz w:val="20"/>
                <w:szCs w:val="20"/>
                <w:color w:val="auto"/>
              </w:rPr>
            </w:pPr>
            <w:r>
              <w:rPr>
                <w:rFonts w:ascii="Arial" w:cs="Arial" w:eastAsia="Arial" w:hAnsi="Arial"/>
                <w:sz w:val="16"/>
                <w:szCs w:val="16"/>
                <w:color w:val="auto"/>
              </w:rPr>
              <w:t>Notices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A-49</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11.02.</w:t>
            </w:r>
          </w:p>
        </w:tc>
        <w:tc>
          <w:tcPr>
            <w:tcW w:w="6600" w:type="dxa"/>
            <w:vAlign w:val="bottom"/>
          </w:tcPr>
          <w:p>
            <w:pPr>
              <w:ind w:left="80"/>
              <w:spacing w:after="0"/>
              <w:rPr>
                <w:sz w:val="20"/>
                <w:szCs w:val="20"/>
                <w:color w:val="auto"/>
              </w:rPr>
            </w:pPr>
            <w:r>
              <w:rPr>
                <w:rFonts w:ascii="Arial" w:cs="Arial" w:eastAsia="Arial" w:hAnsi="Arial"/>
                <w:sz w:val="16"/>
                <w:szCs w:val="16"/>
                <w:color w:val="auto"/>
              </w:rPr>
              <w:t>Survival of Representations and Warranties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11.03.</w:t>
            </w:r>
          </w:p>
        </w:tc>
        <w:tc>
          <w:tcPr>
            <w:tcW w:w="6600" w:type="dxa"/>
            <w:vAlign w:val="bottom"/>
          </w:tcPr>
          <w:p>
            <w:pPr>
              <w:ind w:left="80"/>
              <w:spacing w:after="0"/>
              <w:rPr>
                <w:sz w:val="20"/>
                <w:szCs w:val="20"/>
                <w:color w:val="auto"/>
              </w:rPr>
            </w:pPr>
            <w:r>
              <w:rPr>
                <w:rFonts w:ascii="Arial" w:cs="Arial" w:eastAsia="Arial" w:hAnsi="Arial"/>
                <w:sz w:val="16"/>
                <w:szCs w:val="16"/>
                <w:color w:val="auto"/>
              </w:rPr>
              <w:t>Amendments and Waivers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11.04.</w:t>
            </w:r>
          </w:p>
        </w:tc>
        <w:tc>
          <w:tcPr>
            <w:tcW w:w="6600" w:type="dxa"/>
            <w:vAlign w:val="bottom"/>
          </w:tcPr>
          <w:p>
            <w:pPr>
              <w:ind w:left="80"/>
              <w:spacing w:after="0"/>
              <w:rPr>
                <w:sz w:val="20"/>
                <w:szCs w:val="20"/>
                <w:color w:val="auto"/>
              </w:rPr>
            </w:pPr>
            <w:r>
              <w:rPr>
                <w:rFonts w:ascii="Arial" w:cs="Arial" w:eastAsia="Arial" w:hAnsi="Arial"/>
                <w:sz w:val="16"/>
                <w:szCs w:val="16"/>
                <w:color w:val="auto"/>
              </w:rPr>
              <w:t>Expenses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11.05.</w:t>
            </w:r>
          </w:p>
        </w:tc>
        <w:tc>
          <w:tcPr>
            <w:tcW w:w="6600" w:type="dxa"/>
            <w:vAlign w:val="bottom"/>
          </w:tcPr>
          <w:p>
            <w:pPr>
              <w:ind w:left="80"/>
              <w:spacing w:after="0"/>
              <w:rPr>
                <w:sz w:val="20"/>
                <w:szCs w:val="20"/>
                <w:color w:val="auto"/>
              </w:rPr>
            </w:pPr>
            <w:r>
              <w:rPr>
                <w:rFonts w:ascii="Arial" w:cs="Arial" w:eastAsia="Arial" w:hAnsi="Arial"/>
                <w:sz w:val="16"/>
                <w:szCs w:val="16"/>
                <w:color w:val="auto"/>
              </w:rPr>
              <w:t>Disclosure Schedule and SEC Document References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11.06.</w:t>
            </w:r>
          </w:p>
        </w:tc>
        <w:tc>
          <w:tcPr>
            <w:tcW w:w="6600" w:type="dxa"/>
            <w:vAlign w:val="bottom"/>
          </w:tcPr>
          <w:p>
            <w:pPr>
              <w:ind w:left="80"/>
              <w:spacing w:after="0"/>
              <w:rPr>
                <w:sz w:val="20"/>
                <w:szCs w:val="20"/>
                <w:color w:val="auto"/>
              </w:rPr>
            </w:pPr>
            <w:r>
              <w:rPr>
                <w:rFonts w:ascii="Arial" w:cs="Arial" w:eastAsia="Arial" w:hAnsi="Arial"/>
                <w:sz w:val="16"/>
                <w:szCs w:val="16"/>
                <w:color w:val="auto"/>
              </w:rPr>
              <w:t>Binding Effect; Benefit; Assignment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A-50</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11.07.</w:t>
            </w:r>
          </w:p>
        </w:tc>
        <w:tc>
          <w:tcPr>
            <w:tcW w:w="6600" w:type="dxa"/>
            <w:vAlign w:val="bottom"/>
          </w:tcPr>
          <w:p>
            <w:pPr>
              <w:ind w:left="80"/>
              <w:spacing w:after="0"/>
              <w:rPr>
                <w:sz w:val="20"/>
                <w:szCs w:val="20"/>
                <w:color w:val="auto"/>
              </w:rPr>
            </w:pPr>
            <w:r>
              <w:rPr>
                <w:rFonts w:ascii="Arial" w:cs="Arial" w:eastAsia="Arial" w:hAnsi="Arial"/>
                <w:sz w:val="16"/>
                <w:szCs w:val="16"/>
                <w:color w:val="auto"/>
              </w:rPr>
              <w:t>Governing Law</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11.08.</w:t>
            </w:r>
          </w:p>
        </w:tc>
        <w:tc>
          <w:tcPr>
            <w:tcW w:w="6600" w:type="dxa"/>
            <w:vAlign w:val="bottom"/>
          </w:tcPr>
          <w:p>
            <w:pPr>
              <w:ind w:left="80"/>
              <w:spacing w:after="0"/>
              <w:rPr>
                <w:sz w:val="20"/>
                <w:szCs w:val="20"/>
                <w:color w:val="auto"/>
              </w:rPr>
            </w:pPr>
            <w:r>
              <w:rPr>
                <w:rFonts w:ascii="Arial" w:cs="Arial" w:eastAsia="Arial" w:hAnsi="Arial"/>
                <w:sz w:val="16"/>
                <w:szCs w:val="16"/>
                <w:color w:val="auto"/>
              </w:rPr>
              <w:t>Jurisdiction</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11.09.</w:t>
            </w:r>
          </w:p>
        </w:tc>
        <w:tc>
          <w:tcPr>
            <w:tcW w:w="6600" w:type="dxa"/>
            <w:vAlign w:val="bottom"/>
          </w:tcPr>
          <w:p>
            <w:pPr>
              <w:ind w:left="80"/>
              <w:spacing w:after="0"/>
              <w:rPr>
                <w:sz w:val="20"/>
                <w:szCs w:val="20"/>
                <w:color w:val="auto"/>
              </w:rPr>
            </w:pPr>
            <w:r>
              <w:rPr>
                <w:rFonts w:ascii="Arial" w:cs="Arial" w:eastAsia="Arial" w:hAnsi="Arial"/>
                <w:sz w:val="16"/>
                <w:szCs w:val="16"/>
                <w:color w:val="auto"/>
              </w:rPr>
              <w:t>WAIVER OF JURY TRIAL</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11.10.</w:t>
            </w:r>
          </w:p>
        </w:tc>
        <w:tc>
          <w:tcPr>
            <w:tcW w:w="6600" w:type="dxa"/>
            <w:vAlign w:val="bottom"/>
          </w:tcPr>
          <w:p>
            <w:pPr>
              <w:ind w:left="80"/>
              <w:spacing w:after="0"/>
              <w:rPr>
                <w:sz w:val="20"/>
                <w:szCs w:val="20"/>
                <w:color w:val="auto"/>
              </w:rPr>
            </w:pPr>
            <w:r>
              <w:rPr>
                <w:rFonts w:ascii="Arial" w:cs="Arial" w:eastAsia="Arial" w:hAnsi="Arial"/>
                <w:sz w:val="16"/>
                <w:szCs w:val="16"/>
                <w:color w:val="auto"/>
              </w:rPr>
              <w:t>Counterparts; Effectiveness</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11.11.</w:t>
            </w:r>
          </w:p>
        </w:tc>
        <w:tc>
          <w:tcPr>
            <w:tcW w:w="6600" w:type="dxa"/>
            <w:vAlign w:val="bottom"/>
          </w:tcPr>
          <w:p>
            <w:pPr>
              <w:ind w:left="80"/>
              <w:spacing w:after="0"/>
              <w:rPr>
                <w:sz w:val="20"/>
                <w:szCs w:val="20"/>
                <w:color w:val="auto"/>
              </w:rPr>
            </w:pPr>
            <w:r>
              <w:rPr>
                <w:rFonts w:ascii="Arial" w:cs="Arial" w:eastAsia="Arial" w:hAnsi="Arial"/>
                <w:sz w:val="16"/>
                <w:szCs w:val="16"/>
                <w:color w:val="auto"/>
              </w:rPr>
              <w:t>Entire Agreement</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3"/>
        </w:trPr>
        <w:tc>
          <w:tcPr>
            <w:tcW w:w="1960" w:type="dxa"/>
            <w:vAlign w:val="bottom"/>
          </w:tcPr>
          <w:p>
            <w:pPr>
              <w:ind w:left="180"/>
              <w:spacing w:after="0"/>
              <w:rPr>
                <w:sz w:val="20"/>
                <w:szCs w:val="20"/>
                <w:color w:val="auto"/>
              </w:rPr>
            </w:pPr>
            <w:r>
              <w:rPr>
                <w:rFonts w:ascii="Arial" w:cs="Arial" w:eastAsia="Arial" w:hAnsi="Arial"/>
                <w:sz w:val="16"/>
                <w:szCs w:val="16"/>
                <w:color w:val="auto"/>
              </w:rPr>
              <w:t>Section 11.12.</w:t>
            </w:r>
          </w:p>
        </w:tc>
        <w:tc>
          <w:tcPr>
            <w:tcW w:w="6600" w:type="dxa"/>
            <w:vAlign w:val="bottom"/>
          </w:tcPr>
          <w:p>
            <w:pPr>
              <w:ind w:left="80"/>
              <w:spacing w:after="0"/>
              <w:rPr>
                <w:sz w:val="20"/>
                <w:szCs w:val="20"/>
                <w:color w:val="auto"/>
              </w:rPr>
            </w:pPr>
            <w:r>
              <w:rPr>
                <w:rFonts w:ascii="Arial" w:cs="Arial" w:eastAsia="Arial" w:hAnsi="Arial"/>
                <w:sz w:val="16"/>
                <w:szCs w:val="16"/>
                <w:color w:val="auto"/>
              </w:rPr>
              <w:t>Severability</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Section 11.13.</w:t>
            </w:r>
          </w:p>
        </w:tc>
        <w:tc>
          <w:tcPr>
            <w:tcW w:w="6600" w:type="dxa"/>
            <w:vAlign w:val="bottom"/>
          </w:tcPr>
          <w:p>
            <w:pPr>
              <w:ind w:left="80"/>
              <w:spacing w:after="0"/>
              <w:rPr>
                <w:sz w:val="20"/>
                <w:szCs w:val="20"/>
                <w:color w:val="auto"/>
              </w:rPr>
            </w:pPr>
            <w:r>
              <w:rPr>
                <w:rFonts w:ascii="Arial" w:cs="Arial" w:eastAsia="Arial" w:hAnsi="Arial"/>
                <w:sz w:val="16"/>
                <w:szCs w:val="16"/>
                <w:color w:val="auto"/>
              </w:rPr>
              <w:t>Specific Performance</w:t>
            </w:r>
          </w:p>
        </w:tc>
        <w:tc>
          <w:tcPr>
            <w:tcW w:w="2760" w:type="dxa"/>
            <w:vAlign w:val="bottom"/>
          </w:tcPr>
          <w:p>
            <w:pPr>
              <w:ind w:left="2440"/>
              <w:spacing w:after="0"/>
              <w:rPr>
                <w:sz w:val="20"/>
                <w:szCs w:val="20"/>
                <w:color w:val="auto"/>
              </w:rPr>
            </w:pPr>
            <w:r>
              <w:rPr>
                <w:rFonts w:ascii="Arial" w:cs="Arial" w:eastAsia="Arial" w:hAnsi="Arial"/>
                <w:sz w:val="16"/>
                <w:szCs w:val="16"/>
                <w:color w:val="auto"/>
                <w:w w:val="88"/>
              </w:rPr>
              <w:t>A-51</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SCHEDULES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Company Disclosure Schedule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Parent Disclosure Schedule</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60"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AGREEMENT AND PLAN OF MERGER</w:t>
      </w:r>
    </w:p>
    <w:p>
      <w:pPr>
        <w:spacing w:after="0" w:line="235" w:lineRule="exact"/>
        <w:rPr>
          <w:sz w:val="20"/>
          <w:szCs w:val="20"/>
          <w:color w:val="auto"/>
        </w:rPr>
      </w:pPr>
    </w:p>
    <w:p>
      <w:pPr>
        <w:jc w:val="both"/>
        <w:ind w:right="380" w:firstLine="799"/>
        <w:spacing w:after="0" w:line="281"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12, 2014, among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a wholly-owned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W I T N E S S E T H :</w:t>
      </w:r>
    </w:p>
    <w:p>
      <w:pPr>
        <w:spacing w:after="0" w:line="239"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89"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89" w:lineRule="exact"/>
        <w:rPr>
          <w:sz w:val="20"/>
          <w:szCs w:val="20"/>
          <w:color w:val="auto"/>
        </w:rPr>
      </w:pPr>
    </w:p>
    <w:p>
      <w:pPr>
        <w:ind w:right="80" w:firstLine="799"/>
        <w:spacing w:after="0" w:line="293" w:lineRule="auto"/>
        <w:rPr>
          <w:sz w:val="20"/>
          <w:szCs w:val="20"/>
          <w:color w:val="auto"/>
        </w:rPr>
      </w:pPr>
      <w:r>
        <w:rPr>
          <w:rFonts w:ascii="Arial" w:cs="Arial" w:eastAsia="Arial" w:hAnsi="Arial"/>
          <w:sz w:val="15"/>
          <w:szCs w:val="15"/>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5"/>
          <w:szCs w:val="15"/>
          <w:b w:val="1"/>
          <w:bCs w:val="1"/>
          <w:color w:val="auto"/>
        </w:rPr>
        <w:t>Principal Parent Stockholders</w:t>
      </w:r>
      <w:r>
        <w:rPr>
          <w:rFonts w:ascii="Arial" w:cs="Arial" w:eastAsia="Arial" w:hAnsi="Arial"/>
          <w:sz w:val="15"/>
          <w:szCs w:val="15"/>
          <w:color w:val="auto"/>
        </w:rPr>
        <w:t>”) are entering into a voting agreement (the “</w:t>
      </w:r>
      <w:r>
        <w:rPr>
          <w:rFonts w:ascii="Arial" w:cs="Arial" w:eastAsia="Arial" w:hAnsi="Arial"/>
          <w:sz w:val="15"/>
          <w:szCs w:val="15"/>
          <w:b w:val="1"/>
          <w:bCs w:val="1"/>
          <w:color w:val="auto"/>
        </w:rPr>
        <w:t>Voting Agreement</w:t>
      </w:r>
      <w:r>
        <w:rPr>
          <w:rFonts w:ascii="Arial" w:cs="Arial" w:eastAsia="Arial" w:hAnsi="Arial"/>
          <w:sz w:val="15"/>
          <w:szCs w:val="15"/>
          <w:color w:val="auto"/>
        </w:rPr>
        <w:t>”) with the Company pursuant to which the Principal Parent Stockholders have agreed, on the terms and subject to the conditions set forth in the 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176" w:lineRule="exact"/>
        <w:rPr>
          <w:sz w:val="20"/>
          <w:szCs w:val="20"/>
          <w:color w:val="auto"/>
        </w:rPr>
      </w:pPr>
    </w:p>
    <w:p>
      <w:pPr>
        <w:jc w:val="both"/>
        <w:ind w:right="120" w:firstLine="799"/>
        <w:spacing w:after="0" w:line="278" w:lineRule="auto"/>
        <w:rPr>
          <w:sz w:val="20"/>
          <w:szCs w:val="20"/>
          <w:color w:val="auto"/>
        </w:rPr>
      </w:pPr>
      <w:r>
        <w:rPr>
          <w:rFonts w:ascii="Arial" w:cs="Arial" w:eastAsia="Arial" w:hAnsi="Arial"/>
          <w:sz w:val="16"/>
          <w:szCs w:val="16"/>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84"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NOW, THEREFORE, in consideration of the foregoing and the representations, warranties, covenants and agreements contained herein, the parties hereto agree as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Definitions</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(a) As used herein, the following terms have the following meanings: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1933 Act</w:t>
      </w:r>
      <w:r>
        <w:rPr>
          <w:rFonts w:ascii="Arial" w:cs="Arial" w:eastAsia="Arial" w:hAnsi="Arial"/>
          <w:sz w:val="16"/>
          <w:szCs w:val="16"/>
          <w:color w:val="auto"/>
        </w:rPr>
        <w:t>” means the Securities Act of 1933.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1934 Act</w:t>
      </w:r>
      <w:r>
        <w:rPr>
          <w:rFonts w:ascii="Arial" w:cs="Arial" w:eastAsia="Arial" w:hAnsi="Arial"/>
          <w:sz w:val="16"/>
          <w:szCs w:val="16"/>
          <w:color w:val="auto"/>
        </w:rPr>
        <w:t>” means the Securities Exchange Act of 1934.</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Person, any other Person directly or indirectly controlling, controlled by, or under common control with such Person.</w:t>
      </w:r>
    </w:p>
    <w:p>
      <w:pPr>
        <w:spacing w:after="0" w:line="246" w:lineRule="exact"/>
        <w:rPr>
          <w:sz w:val="20"/>
          <w:szCs w:val="20"/>
          <w:color w:val="auto"/>
        </w:rPr>
      </w:pPr>
    </w:p>
    <w:p>
      <w:pPr>
        <w:ind w:right="4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459" w:right="2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Saturday, Sunday or other day on which commercial banks in New York, New York are authorized or required by Applicable Law to close.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Cable System</w:t>
      </w:r>
      <w:r>
        <w:rPr>
          <w:rFonts w:ascii="Arial" w:cs="Arial" w:eastAsia="Arial" w:hAnsi="Arial"/>
          <w:sz w:val="16"/>
          <w:szCs w:val="16"/>
          <w:color w:val="auto"/>
        </w:rPr>
        <w:t>” means a cable system, as such term is defined in 47 U.S.C. § 522(7).</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date of the Closing.</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w:t>
      </w:r>
    </w:p>
    <w:p>
      <w:pPr>
        <w:spacing w:after="0" w:line="235"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Collective Bargaining Agreements</w:t>
      </w:r>
      <w:r>
        <w:rPr>
          <w:rFonts w:ascii="Arial" w:cs="Arial" w:eastAsia="Arial" w:hAnsi="Arial"/>
          <w:sz w:val="16"/>
          <w:szCs w:val="16"/>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Communications Act</w:t>
      </w:r>
      <w:r>
        <w:rPr>
          <w:rFonts w:ascii="Arial" w:cs="Arial" w:eastAsia="Arial" w:hAnsi="Arial"/>
          <w:sz w:val="16"/>
          <w:szCs w:val="16"/>
          <w:color w:val="auto"/>
        </w:rPr>
        <w:t>” means the Communications Act of 1934, together with the written orders, policies and decisions of the FCC.</w:t>
      </w:r>
    </w:p>
    <w:p>
      <w:pPr>
        <w:spacing w:after="0" w:line="235" w:lineRule="exact"/>
        <w:rPr>
          <w:sz w:val="20"/>
          <w:szCs w:val="20"/>
          <w:color w:val="auto"/>
        </w:rPr>
      </w:pPr>
    </w:p>
    <w:p>
      <w:pPr>
        <w:ind w:right="2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Adverse Recommendation Change</w:t>
      </w:r>
      <w:r>
        <w:rPr>
          <w:rFonts w:ascii="Arial" w:cs="Arial" w:eastAsia="Arial" w:hAnsi="Arial"/>
          <w:sz w:val="16"/>
          <w:szCs w:val="16"/>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178" w:lineRule="exact"/>
        <w:rPr>
          <w:sz w:val="20"/>
          <w:szCs w:val="20"/>
          <w:color w:val="auto"/>
        </w:rPr>
      </w:pPr>
    </w:p>
    <w:p>
      <w:pPr>
        <w:ind w:right="100" w:firstLine="79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Acquisition Proposal</w:t>
      </w:r>
      <w:r>
        <w:rPr>
          <w:rFonts w:ascii="Arial" w:cs="Arial" w:eastAsia="Arial" w:hAnsi="Arial"/>
          <w:sz w:val="16"/>
          <w:szCs w:val="16"/>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Balance Sheet</w:t>
      </w:r>
      <w:r>
        <w:rPr>
          <w:rFonts w:ascii="Arial" w:cs="Arial" w:eastAsia="Arial" w:hAnsi="Arial"/>
          <w:sz w:val="14"/>
          <w:szCs w:val="14"/>
          <w:color w:val="auto"/>
        </w:rPr>
        <w:t>” means the consolidated balance sheet of the Company as of December 31, 2013 and the footnotes thereto set forth in the Company 10-</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K.</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Balance Sheet Date</w:t>
      </w:r>
      <w:r>
        <w:rPr>
          <w:rFonts w:ascii="Arial" w:cs="Arial" w:eastAsia="Arial" w:hAnsi="Arial"/>
          <w:sz w:val="16"/>
          <w:szCs w:val="16"/>
          <w:color w:val="auto"/>
        </w:rPr>
        <w:t>” means December 31, 2013.</w:t>
      </w:r>
    </w:p>
    <w:p>
      <w:pPr>
        <w:spacing w:after="0" w:line="235"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means the disclosure schedule dated the date hereof regarding this Agreement that has been provided by the Company to Parent and Merger Subsidiary.</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Intervening Event</w:t>
      </w:r>
      <w:r>
        <w:rPr>
          <w:rFonts w:ascii="Arial" w:cs="Arial" w:eastAsia="Arial" w:hAnsi="Arial"/>
          <w:sz w:val="15"/>
          <w:szCs w:val="15"/>
          <w:color w:val="auto"/>
        </w:rPr>
        <w:t>” means any material event, change, effect, development or occurrence occurring or arising after the date of this Agreement that</w:t>
      </w:r>
    </w:p>
    <w:p>
      <w:pPr>
        <w:spacing w:after="0" w:line="38" w:lineRule="exact"/>
        <w:rPr>
          <w:sz w:val="20"/>
          <w:szCs w:val="20"/>
          <w:color w:val="auto"/>
        </w:rPr>
      </w:pPr>
    </w:p>
    <w:p>
      <w:pPr>
        <w:ind w:right="100" w:firstLine="8"/>
        <w:spacing w:after="0" w:line="281" w:lineRule="auto"/>
        <w:tabs>
          <w:tab w:leader="none" w:pos="194" w:val="left"/>
        </w:tabs>
        <w:numPr>
          <w:ilvl w:val="0"/>
          <w:numId w:val="254"/>
        </w:numPr>
        <w:rPr>
          <w:rFonts w:ascii="Arial" w:cs="Arial" w:eastAsia="Arial" w:hAnsi="Arial"/>
          <w:sz w:val="15"/>
          <w:szCs w:val="15"/>
          <w:color w:val="auto"/>
        </w:rPr>
      </w:pPr>
      <w:r>
        <w:rPr>
          <w:rFonts w:ascii="Arial" w:cs="Arial" w:eastAsia="Arial" w:hAnsi="Arial"/>
          <w:sz w:val="15"/>
          <w:szCs w:val="15"/>
          <w:color w:val="auto"/>
        </w:rPr>
        <w:t>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w:t>
      </w:r>
    </w:p>
    <w:p>
      <w:pPr>
        <w:spacing w:after="0" w:line="1" w:lineRule="exact"/>
        <w:rPr>
          <w:rFonts w:ascii="Arial" w:cs="Arial" w:eastAsia="Arial" w:hAnsi="Arial"/>
          <w:sz w:val="15"/>
          <w:szCs w:val="15"/>
          <w:color w:val="auto"/>
        </w:rPr>
      </w:pPr>
    </w:p>
    <w:p>
      <w:pPr>
        <w:ind w:right="240"/>
        <w:spacing w:after="0" w:line="272" w:lineRule="auto"/>
        <w:rPr>
          <w:rFonts w:ascii="Arial" w:cs="Arial" w:eastAsia="Arial" w:hAnsi="Arial"/>
          <w:sz w:val="15"/>
          <w:szCs w:val="15"/>
          <w:color w:val="auto"/>
        </w:rPr>
      </w:pPr>
      <w:r>
        <w:rPr>
          <w:rFonts w:ascii="Arial" w:cs="Arial" w:eastAsia="Arial" w:hAnsi="Arial"/>
          <w:sz w:val="16"/>
          <w:szCs w:val="16"/>
          <w:color w:val="auto"/>
        </w:rPr>
        <w:t>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constitute, be deemed to contribute to or otherwise be taken into account in determining whether there has been a Company Intervening Event.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Licenses</w:t>
      </w:r>
      <w:r>
        <w:rPr>
          <w:rFonts w:ascii="Arial" w:cs="Arial" w:eastAsia="Arial" w:hAnsi="Arial"/>
          <w:sz w:val="16"/>
          <w:szCs w:val="16"/>
          <w:color w:val="auto"/>
        </w:rPr>
        <w:t>” means Governmental Authorizations issued by the FCC to the Company or any of its Subsidiaries or Affiliates</w:t>
      </w:r>
    </w:p>
    <w:p>
      <w:pPr>
        <w:spacing w:after="0" w:line="235"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 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9.02(a)(ii)(C) 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w:t>
      </w:r>
    </w:p>
    <w:p>
      <w:pPr>
        <w:spacing w:after="0" w:line="4" w:lineRule="exact"/>
        <w:rPr>
          <w:sz w:val="20"/>
          <w:szCs w:val="20"/>
          <w:color w:val="auto"/>
        </w:rPr>
      </w:pPr>
    </w:p>
    <w:p>
      <w:pPr>
        <w:ind w:right="60" w:firstLine="8"/>
        <w:spacing w:after="0" w:line="270" w:lineRule="auto"/>
        <w:tabs>
          <w:tab w:leader="none" w:pos="23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Operating Plan</w:t>
      </w:r>
      <w:r>
        <w:rPr>
          <w:rFonts w:ascii="Arial" w:cs="Arial" w:eastAsia="Arial" w:hAnsi="Arial"/>
          <w:sz w:val="15"/>
          <w:szCs w:val="15"/>
          <w:color w:val="auto"/>
        </w:rPr>
        <w:t>” means the Operating Plan of the Company and its Subsidiaries for fiscal years 2014 to 2016 previously disclosed to Parent.</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Stock</w:t>
      </w:r>
      <w:r>
        <w:rPr>
          <w:rFonts w:ascii="Arial" w:cs="Arial" w:eastAsia="Arial" w:hAnsi="Arial"/>
          <w:sz w:val="16"/>
          <w:szCs w:val="16"/>
          <w:color w:val="auto"/>
        </w:rPr>
        <w:t>” means the common stock, $0.01 par value, of the Company.</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10-K</w:t>
      </w:r>
      <w:r>
        <w:rPr>
          <w:rFonts w:ascii="Arial" w:cs="Arial" w:eastAsia="Arial" w:hAnsi="Arial"/>
          <w:sz w:val="15"/>
          <w:szCs w:val="15"/>
          <w:color w:val="auto"/>
        </w:rPr>
        <w:t>” means the Company’s annual report on Form 10-K for the fiscal year ended December 31, 2013, in the form previously delivered to Parent.</w:t>
      </w:r>
    </w:p>
    <w:p>
      <w:pPr>
        <w:spacing w:after="0" w:line="246" w:lineRule="exact"/>
        <w:rPr>
          <w:sz w:val="20"/>
          <w:szCs w:val="20"/>
          <w:color w:val="auto"/>
        </w:rPr>
      </w:pPr>
    </w:p>
    <w:p>
      <w:pPr>
        <w:ind w:right="4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Delaware Law</w:t>
      </w:r>
      <w:r>
        <w:rPr>
          <w:rFonts w:ascii="Arial" w:cs="Arial" w:eastAsia="Arial" w:hAnsi="Arial"/>
          <w:sz w:val="16"/>
          <w:szCs w:val="16"/>
          <w:color w:val="auto"/>
        </w:rPr>
        <w:t>” means the General Corporation Law of the State of Delaware.</w:t>
      </w:r>
    </w:p>
    <w:p>
      <w:pPr>
        <w:spacing w:after="0" w:line="235" w:lineRule="exact"/>
        <w:rPr>
          <w:sz w:val="20"/>
          <w:szCs w:val="20"/>
          <w:color w:val="auto"/>
        </w:rPr>
      </w:pPr>
    </w:p>
    <w:p>
      <w:pPr>
        <w:ind w:right="4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Applicable Law or any agreement with any Person relating to human health and safety, the environment or any pollutants, contaminants or hazardous or toxic substances, materials or wastes.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all Governmental Authorizations relating to or required by Environmental Laws.</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of any entity means any other entity that, together with such entity, would be treated as a single employer under Section 414 of the Code.</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w:t>
      </w:r>
      <w:r>
        <w:rPr>
          <w:rFonts w:ascii="Arial" w:cs="Arial" w:eastAsia="Arial" w:hAnsi="Arial"/>
          <w:sz w:val="16"/>
          <w:szCs w:val="16"/>
          <w:color w:val="auto"/>
        </w:rPr>
        <w:t>” means the Federal Communications Commission.</w:t>
      </w:r>
    </w:p>
    <w:p>
      <w:pPr>
        <w:spacing w:after="0" w:line="235"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FCC Order</w:t>
      </w:r>
      <w:r>
        <w:rPr>
          <w:rFonts w:ascii="Arial" w:cs="Arial" w:eastAsia="Arial" w:hAnsi="Arial"/>
          <w:sz w:val="16"/>
          <w:szCs w:val="16"/>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Franchise</w:t>
      </w:r>
      <w:r>
        <w:rPr>
          <w:rFonts w:ascii="Arial" w:cs="Arial" w:eastAsia="Arial" w:hAnsi="Arial"/>
          <w:sz w:val="16"/>
          <w:szCs w:val="16"/>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35" w:lineRule="exact"/>
        <w:rPr>
          <w:sz w:val="20"/>
          <w:szCs w:val="20"/>
          <w:color w:val="auto"/>
        </w:rPr>
      </w:pPr>
    </w:p>
    <w:p>
      <w:pPr>
        <w:ind w:right="1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transnational, domestic or foreign federal, state or local governmental, regulatory or administrative authority, department, court, agency, commission or official, including any political subdivision thereof.</w:t>
      </w:r>
    </w:p>
    <w:p>
      <w:pPr>
        <w:spacing w:after="0" w:line="164" w:lineRule="exact"/>
        <w:rPr>
          <w:sz w:val="20"/>
          <w:szCs w:val="20"/>
          <w:color w:val="auto"/>
        </w:rPr>
      </w:pPr>
    </w:p>
    <w:p>
      <w:pPr>
        <w:ind w:right="20" w:firstLine="79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83" w:lineRule="exact"/>
        <w:rPr>
          <w:sz w:val="20"/>
          <w:szCs w:val="20"/>
          <w:color w:val="auto"/>
        </w:rPr>
      </w:pPr>
    </w:p>
    <w:p>
      <w:pPr>
        <w:jc w:val="both"/>
        <w:ind w:right="20"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w:t>
      </w:r>
      <w:r>
        <w:rPr>
          <w:rFonts w:ascii="Arial" w:cs="Arial" w:eastAsia="Arial" w:hAnsi="Arial"/>
          <w:sz w:val="16"/>
          <w:szCs w:val="16"/>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means the Hart-Scott-Rodino Antitrust Improvements Act of 1976.</w:t>
      </w:r>
    </w:p>
    <w:p>
      <w:pPr>
        <w:spacing w:after="0" w:line="235"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 means any and all intellectual property rights or similar proprietary rights throughout the world, including all (i)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76" w:lineRule="exact"/>
        <w:rPr>
          <w:sz w:val="20"/>
          <w:szCs w:val="20"/>
          <w:color w:val="auto"/>
        </w:rPr>
      </w:pPr>
    </w:p>
    <w:p>
      <w:pPr>
        <w:ind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Assets</w:t>
      </w:r>
      <w:r>
        <w:rPr>
          <w:rFonts w:ascii="Arial" w:cs="Arial" w:eastAsia="Arial" w:hAnsi="Arial"/>
          <w:sz w:val="16"/>
          <w:szCs w:val="16"/>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78" w:lineRule="exact"/>
        <w:rPr>
          <w:sz w:val="20"/>
          <w:szCs w:val="20"/>
          <w:color w:val="auto"/>
        </w:rPr>
      </w:pPr>
    </w:p>
    <w:p>
      <w:pPr>
        <w:ind w:right="2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knowledge</w:t>
      </w:r>
      <w:r>
        <w:rPr>
          <w:rFonts w:ascii="Arial" w:cs="Arial" w:eastAsia="Arial" w:hAnsi="Arial"/>
          <w:sz w:val="16"/>
          <w:szCs w:val="16"/>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64" w:lineRule="exact"/>
        <w:rPr>
          <w:sz w:val="20"/>
          <w:szCs w:val="20"/>
          <w:color w:val="auto"/>
        </w:rPr>
      </w:pPr>
    </w:p>
    <w:p>
      <w:pPr>
        <w:ind w:right="2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Intellectual Property Rights</w:t>
      </w:r>
      <w:r>
        <w:rPr>
          <w:rFonts w:ascii="Arial" w:cs="Arial" w:eastAsia="Arial" w:hAnsi="Arial"/>
          <w:sz w:val="16"/>
          <w:szCs w:val="16"/>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64" w:lineRule="exact"/>
        <w:rPr>
          <w:sz w:val="20"/>
          <w:szCs w:val="20"/>
          <w:color w:val="auto"/>
        </w:rPr>
      </w:pPr>
    </w:p>
    <w:p>
      <w:pPr>
        <w:ind w:right="140" w:firstLine="799"/>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means the NASDAQ Global Select Market.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NBCUniversal Agreement</w:t>
      </w:r>
      <w:r>
        <w:rPr>
          <w:rFonts w:ascii="Arial" w:cs="Arial" w:eastAsia="Arial" w:hAnsi="Arial"/>
          <w:sz w:val="16"/>
          <w:szCs w:val="16"/>
          <w:color w:val="auto"/>
        </w:rPr>
        <w:t>” means the Transaction Agreement, dated as of February 12, 2013, by and among General Electric Company, Parent, National Broadcasting Company Holding, Inc., Navy Holdings, Inc., NBCUniversal, LLC and NBCUniversal Media, LLC.</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Owned Intellectual Property Rights</w:t>
      </w:r>
      <w:r>
        <w:rPr>
          <w:rFonts w:ascii="Arial" w:cs="Arial" w:eastAsia="Arial" w:hAnsi="Arial"/>
          <w:sz w:val="14"/>
          <w:szCs w:val="14"/>
          <w:color w:val="auto"/>
        </w:rPr>
        <w:t>” means any and all Intellectual Property Rights owned or purported to be owned by the Company or any of its Subsidiaries.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Balance Sheet</w:t>
      </w:r>
      <w:r>
        <w:rPr>
          <w:rFonts w:ascii="Arial" w:cs="Arial" w:eastAsia="Arial" w:hAnsi="Arial"/>
          <w:sz w:val="15"/>
          <w:szCs w:val="15"/>
          <w:color w:val="auto"/>
        </w:rPr>
        <w:t>” means the consolidated balance sheet of Parent as of December 31, 2013, and the footnotes thereto set forth in the Parent 10-K.</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Balance Sheet Date</w:t>
      </w:r>
      <w:r>
        <w:rPr>
          <w:rFonts w:ascii="Arial" w:cs="Arial" w:eastAsia="Arial" w:hAnsi="Arial"/>
          <w:sz w:val="16"/>
          <w:szCs w:val="16"/>
          <w:color w:val="auto"/>
        </w:rPr>
        <w:t>” means December 31, 2013.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A Common Stock</w:t>
      </w:r>
      <w:r>
        <w:rPr>
          <w:rFonts w:ascii="Arial" w:cs="Arial" w:eastAsia="Arial" w:hAnsi="Arial"/>
          <w:sz w:val="16"/>
          <w:szCs w:val="16"/>
          <w:color w:val="auto"/>
        </w:rPr>
        <w:t>” means the Class A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A Special Common Stock</w:t>
      </w:r>
      <w:r>
        <w:rPr>
          <w:rFonts w:ascii="Arial" w:cs="Arial" w:eastAsia="Arial" w:hAnsi="Arial"/>
          <w:sz w:val="16"/>
          <w:szCs w:val="16"/>
          <w:color w:val="auto"/>
        </w:rPr>
        <w:t>” means the Class A Special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Class B Common Stock</w:t>
      </w:r>
      <w:r>
        <w:rPr>
          <w:rFonts w:ascii="Arial" w:cs="Arial" w:eastAsia="Arial" w:hAnsi="Arial"/>
          <w:sz w:val="16"/>
          <w:szCs w:val="16"/>
          <w:color w:val="auto"/>
        </w:rPr>
        <w:t>” means the Class B Common Stock, par value $0.01 per share, of Parent.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Disclosure Schedule</w:t>
      </w:r>
      <w:r>
        <w:rPr>
          <w:rFonts w:ascii="Arial" w:cs="Arial" w:eastAsia="Arial" w:hAnsi="Arial"/>
          <w:sz w:val="14"/>
          <w:szCs w:val="14"/>
          <w:color w:val="auto"/>
        </w:rPr>
        <w:t>” means the disclosure schedule dated the date hereof regarding this Agreement that has been provided by Parent to the Company.</w:t>
      </w:r>
    </w:p>
    <w:p>
      <w:pPr>
        <w:spacing w:after="0" w:line="258" w:lineRule="exact"/>
        <w:rPr>
          <w:sz w:val="20"/>
          <w:szCs w:val="20"/>
          <w:color w:val="auto"/>
        </w:rPr>
      </w:pPr>
    </w:p>
    <w:p>
      <w:pPr>
        <w:ind w:right="20" w:firstLine="799"/>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Material Adverse Effect</w:t>
      </w:r>
      <w:r>
        <w:rPr>
          <w:rFonts w:ascii="Arial" w:cs="Arial" w:eastAsia="Arial" w:hAnsi="Arial"/>
          <w:sz w:val="14"/>
          <w:szCs w:val="14"/>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3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means, collectively, Parent Class A Common Stock, Parent Class A Special Common Stock and Parent Class B Common Stock.</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10-K</w:t>
      </w:r>
      <w:r>
        <w:rPr>
          <w:rFonts w:ascii="Arial" w:cs="Arial" w:eastAsia="Arial" w:hAnsi="Arial"/>
          <w:sz w:val="16"/>
          <w:szCs w:val="16"/>
          <w:color w:val="auto"/>
        </w:rPr>
        <w:t>” means Parent’s annual report on Form 10-K for the fiscal year ended December 31, 2013.</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Pennsylvania Law</w:t>
      </w:r>
      <w:r>
        <w:rPr>
          <w:rFonts w:ascii="Arial" w:cs="Arial" w:eastAsia="Arial" w:hAnsi="Arial"/>
          <w:sz w:val="16"/>
          <w:szCs w:val="16"/>
          <w:color w:val="auto"/>
        </w:rPr>
        <w:t>” means the Pennsylvania Business Corporation law of 1988.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30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w:t>
      </w:r>
    </w:p>
    <w:p>
      <w:pPr>
        <w:spacing w:after="0" w:line="1" w:lineRule="exact"/>
        <w:rPr>
          <w:sz w:val="20"/>
          <w:szCs w:val="20"/>
          <w:color w:val="auto"/>
        </w:rPr>
      </w:pPr>
    </w:p>
    <w:p>
      <w:pPr>
        <w:ind w:firstLine="8"/>
        <w:spacing w:after="0" w:line="290" w:lineRule="auto"/>
        <w:tabs>
          <w:tab w:leader="none" w:pos="284" w:val="left"/>
        </w:tabs>
        <w:numPr>
          <w:ilvl w:val="0"/>
          <w:numId w:val="256"/>
        </w:numPr>
        <w:rPr>
          <w:rFonts w:ascii="Arial" w:cs="Arial" w:eastAsia="Arial" w:hAnsi="Arial"/>
          <w:sz w:val="15"/>
          <w:szCs w:val="15"/>
          <w:color w:val="auto"/>
        </w:rPr>
      </w:pPr>
      <w:r>
        <w:rPr>
          <w:rFonts w:ascii="Arial" w:cs="Arial" w:eastAsia="Arial" w:hAnsi="Arial"/>
          <w:sz w:val="15"/>
          <w:szCs w:val="15"/>
          <w:color w:val="auto"/>
        </w:rPr>
        <w:t>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 (vii) 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73" w:lineRule="exact"/>
        <w:rPr>
          <w:sz w:val="20"/>
          <w:szCs w:val="20"/>
          <w:color w:val="auto"/>
        </w:rPr>
      </w:pPr>
    </w:p>
    <w:p>
      <w:pPr>
        <w:ind w:right="3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Sarbanes-Oxley Act</w:t>
      </w:r>
      <w:r>
        <w:rPr>
          <w:rFonts w:ascii="Arial" w:cs="Arial" w:eastAsia="Arial" w:hAnsi="Arial"/>
          <w:sz w:val="16"/>
          <w:szCs w:val="16"/>
          <w:color w:val="auto"/>
        </w:rPr>
        <w:t>” means the Sarbanes-Oxley Act of 2002.</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35"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64" w:lineRule="exact"/>
        <w:rPr>
          <w:sz w:val="20"/>
          <w:szCs w:val="20"/>
          <w:color w:val="auto"/>
        </w:rPr>
      </w:pPr>
    </w:p>
    <w:p>
      <w:pPr>
        <w:ind w:right="40" w:firstLine="799"/>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w:t>
      </w:r>
      <w:r>
        <w:rPr>
          <w:rFonts w:ascii="Arial" w:cs="Arial" w:eastAsia="Arial" w:hAnsi="Arial"/>
          <w:sz w:val="15"/>
          <w:szCs w:val="15"/>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5"/>
          <w:szCs w:val="15"/>
          <w:b w:val="1"/>
          <w:bCs w:val="1"/>
          <w:color w:val="auto"/>
        </w:rPr>
        <w:t>Taxing Authority</w:t>
      </w:r>
      <w:r>
        <w:rPr>
          <w:rFonts w:ascii="Arial" w:cs="Arial" w:eastAsia="Arial" w:hAnsi="Arial"/>
          <w:sz w:val="15"/>
          <w:szCs w:val="15"/>
          <w:color w:val="auto"/>
        </w:rPr>
        <w:t>”) responsible for the imposition of any such tax (domestic or foreign), and any liability for any of the foregoing as transferee, (ii) liability for the payment of any amount of the type described in clause (i) 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5" w:lineRule="exact"/>
        <w:rPr>
          <w:sz w:val="20"/>
          <w:szCs w:val="20"/>
          <w:color w:val="auto"/>
        </w:rPr>
      </w:pPr>
    </w:p>
    <w:p>
      <w:pPr>
        <w:ind w:right="180" w:firstLine="799"/>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Representation Letters</w:t>
      </w:r>
      <w:r>
        <w:rPr>
          <w:rFonts w:ascii="Arial" w:cs="Arial" w:eastAsia="Arial" w:hAnsi="Arial"/>
          <w:sz w:val="15"/>
          <w:szCs w:val="15"/>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67" w:lineRule="exact"/>
        <w:rPr>
          <w:sz w:val="20"/>
          <w:szCs w:val="20"/>
          <w:color w:val="auto"/>
        </w:rPr>
      </w:pPr>
    </w:p>
    <w:p>
      <w:pPr>
        <w:ind w:firstLine="79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78" w:lineRule="exact"/>
        <w:rPr>
          <w:sz w:val="20"/>
          <w:szCs w:val="20"/>
          <w:color w:val="auto"/>
        </w:rPr>
      </w:pPr>
    </w:p>
    <w:p>
      <w:pPr>
        <w:ind w:right="60" w:firstLine="799"/>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Sharing Agreements</w:t>
      </w:r>
      <w:r>
        <w:rPr>
          <w:rFonts w:ascii="Arial" w:cs="Arial" w:eastAsia="Arial" w:hAnsi="Arial"/>
          <w:sz w:val="15"/>
          <w:szCs w:val="15"/>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including as defined in Section 13(d) of the 1934 Act, other than Parent or any of its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Regulations</w:t>
      </w:r>
      <w:r>
        <w:rPr>
          <w:rFonts w:ascii="Arial" w:cs="Arial" w:eastAsia="Arial" w:hAnsi="Arial"/>
          <w:sz w:val="16"/>
          <w:szCs w:val="16"/>
          <w:color w:val="auto"/>
        </w:rPr>
        <w:t>” means the regulations promulgated under the Code.</w:t>
      </w:r>
    </w:p>
    <w:p>
      <w:pPr>
        <w:spacing w:after="0" w:line="239" w:lineRule="exact"/>
        <w:rPr>
          <w:sz w:val="20"/>
          <w:szCs w:val="20"/>
          <w:color w:val="auto"/>
        </w:rPr>
      </w:pPr>
    </w:p>
    <w:p>
      <w:pPr>
        <w:ind w:left="2160" w:hanging="440"/>
        <w:spacing w:after="0"/>
        <w:tabs>
          <w:tab w:leader="none" w:pos="216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Each of the following terms is defined in the Section set forth opposite such term:</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Term</w:t>
            </w:r>
          </w:p>
        </w:tc>
        <w:tc>
          <w:tcPr>
            <w:tcW w:w="2600" w:type="dxa"/>
            <w:vAlign w:val="bottom"/>
          </w:tcPr>
          <w:p>
            <w:pPr>
              <w:ind w:left="1900"/>
              <w:spacing w:after="0"/>
              <w:rPr>
                <w:sz w:val="20"/>
                <w:szCs w:val="20"/>
                <w:color w:val="auto"/>
              </w:rPr>
            </w:pPr>
            <w:r>
              <w:rPr>
                <w:rFonts w:ascii="Arial" w:cs="Arial" w:eastAsia="Arial" w:hAnsi="Arial"/>
                <w:sz w:val="16"/>
                <w:szCs w:val="16"/>
                <w:color w:val="auto"/>
              </w:rPr>
              <w:t>Section</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368 Reorganization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4.22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Adjusted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Adjusted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Agreement</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Burdensome Condition</w:t>
            </w:r>
          </w:p>
        </w:tc>
        <w:tc>
          <w:tcPr>
            <w:tcW w:w="2600" w:type="dxa"/>
            <w:vAlign w:val="bottom"/>
          </w:tcPr>
          <w:p>
            <w:pPr>
              <w:ind w:left="1900"/>
              <w:spacing w:after="0"/>
              <w:rPr>
                <w:sz w:val="20"/>
                <w:szCs w:val="20"/>
                <w:color w:val="auto"/>
              </w:rPr>
            </w:pPr>
            <w:r>
              <w:rPr>
                <w:rFonts w:ascii="Arial" w:cs="Arial" w:eastAsia="Arial" w:hAnsi="Arial"/>
                <w:sz w:val="16"/>
                <w:szCs w:val="16"/>
                <w:color w:val="auto"/>
              </w:rPr>
              <w:t>8.01</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Certificates</w:t>
            </w:r>
          </w:p>
        </w:tc>
        <w:tc>
          <w:tcPr>
            <w:tcW w:w="2600" w:type="dxa"/>
            <w:vAlign w:val="bottom"/>
          </w:tcPr>
          <w:p>
            <w:pPr>
              <w:ind w:left="1900"/>
              <w:spacing w:after="0"/>
              <w:rPr>
                <w:sz w:val="20"/>
                <w:szCs w:val="20"/>
                <w:color w:val="auto"/>
              </w:rPr>
            </w:pPr>
            <w:r>
              <w:rPr>
                <w:rFonts w:ascii="Arial" w:cs="Arial" w:eastAsia="Arial" w:hAnsi="Arial"/>
                <w:sz w:val="16"/>
                <w:szCs w:val="16"/>
                <w:color w:val="auto"/>
              </w:rPr>
              <w:t>2.03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Closing</w:t>
            </w:r>
          </w:p>
        </w:tc>
        <w:tc>
          <w:tcPr>
            <w:tcW w:w="2600" w:type="dxa"/>
            <w:vAlign w:val="bottom"/>
          </w:tcPr>
          <w:p>
            <w:pPr>
              <w:ind w:left="1900"/>
              <w:spacing w:after="0"/>
              <w:rPr>
                <w:sz w:val="20"/>
                <w:szCs w:val="20"/>
                <w:color w:val="auto"/>
              </w:rPr>
            </w:pPr>
            <w:r>
              <w:rPr>
                <w:rFonts w:ascii="Arial" w:cs="Arial" w:eastAsia="Arial" w:hAnsi="Arial"/>
                <w:sz w:val="16"/>
                <w:szCs w:val="16"/>
                <w:color w:val="auto"/>
              </w:rPr>
              <w:t>2.01(b)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Board Recommendation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4.02(b)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International Plan</w:t>
            </w:r>
          </w:p>
        </w:tc>
        <w:tc>
          <w:tcPr>
            <w:tcW w:w="2600" w:type="dxa"/>
            <w:vAlign w:val="bottom"/>
          </w:tcPr>
          <w:p>
            <w:pPr>
              <w:ind w:left="1900"/>
              <w:spacing w:after="0"/>
              <w:rPr>
                <w:sz w:val="20"/>
                <w:szCs w:val="20"/>
                <w:color w:val="auto"/>
              </w:rPr>
            </w:pPr>
            <w:r>
              <w:rPr>
                <w:rFonts w:ascii="Arial" w:cs="Arial" w:eastAsia="Arial" w:hAnsi="Arial"/>
                <w:sz w:val="16"/>
                <w:szCs w:val="16"/>
                <w:color w:val="auto"/>
              </w:rPr>
              <w:t>4.17(i)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Investment</w:t>
            </w:r>
          </w:p>
        </w:tc>
        <w:tc>
          <w:tcPr>
            <w:tcW w:w="2600" w:type="dxa"/>
            <w:vAlign w:val="bottom"/>
          </w:tcPr>
          <w:p>
            <w:pPr>
              <w:ind w:left="1900"/>
              <w:spacing w:after="0"/>
              <w:rPr>
                <w:sz w:val="20"/>
                <w:szCs w:val="20"/>
                <w:color w:val="auto"/>
              </w:rPr>
            </w:pPr>
            <w:r>
              <w:rPr>
                <w:rFonts w:ascii="Arial" w:cs="Arial" w:eastAsia="Arial" w:hAnsi="Arial"/>
                <w:sz w:val="16"/>
                <w:szCs w:val="16"/>
                <w:color w:val="auto"/>
              </w:rPr>
              <w:t>4.06(c)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Material Contract</w:t>
            </w:r>
          </w:p>
        </w:tc>
        <w:tc>
          <w:tcPr>
            <w:tcW w:w="2600" w:type="dxa"/>
            <w:vAlign w:val="bottom"/>
          </w:tcPr>
          <w:p>
            <w:pPr>
              <w:ind w:left="1900"/>
              <w:spacing w:after="0"/>
              <w:rPr>
                <w:sz w:val="20"/>
                <w:szCs w:val="20"/>
                <w:color w:val="auto"/>
              </w:rPr>
            </w:pPr>
            <w:r>
              <w:rPr>
                <w:rFonts w:ascii="Arial" w:cs="Arial" w:eastAsia="Arial" w:hAnsi="Arial"/>
                <w:sz w:val="16"/>
                <w:szCs w:val="16"/>
                <w:color w:val="auto"/>
                <w:w w:val="92"/>
              </w:rPr>
              <w:t>10.01(b)(i)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Plans</w:t>
            </w:r>
          </w:p>
        </w:tc>
        <w:tc>
          <w:tcPr>
            <w:tcW w:w="2600" w:type="dxa"/>
            <w:vAlign w:val="bottom"/>
          </w:tcPr>
          <w:p>
            <w:pPr>
              <w:ind w:left="1900"/>
              <w:spacing w:after="0"/>
              <w:rPr>
                <w:sz w:val="20"/>
                <w:szCs w:val="20"/>
                <w:color w:val="auto"/>
              </w:rPr>
            </w:pPr>
            <w:r>
              <w:rPr>
                <w:rFonts w:ascii="Arial" w:cs="Arial" w:eastAsia="Arial" w:hAnsi="Arial"/>
                <w:sz w:val="16"/>
                <w:szCs w:val="16"/>
                <w:color w:val="auto"/>
              </w:rPr>
              <w:t>4.17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SEC Documents</w:t>
            </w:r>
          </w:p>
        </w:tc>
        <w:tc>
          <w:tcPr>
            <w:tcW w:w="2600" w:type="dxa"/>
            <w:vAlign w:val="bottom"/>
          </w:tcPr>
          <w:p>
            <w:pPr>
              <w:ind w:left="1900"/>
              <w:spacing w:after="0"/>
              <w:rPr>
                <w:sz w:val="20"/>
                <w:szCs w:val="20"/>
                <w:color w:val="auto"/>
              </w:rPr>
            </w:pPr>
            <w:r>
              <w:rPr>
                <w:rFonts w:ascii="Arial" w:cs="Arial" w:eastAsia="Arial" w:hAnsi="Arial"/>
                <w:sz w:val="16"/>
                <w:szCs w:val="16"/>
                <w:color w:val="auto"/>
              </w:rPr>
              <w:t>4.07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4.05(b)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Stockholder Approval</w:t>
            </w:r>
          </w:p>
        </w:tc>
        <w:tc>
          <w:tcPr>
            <w:tcW w:w="2600" w:type="dxa"/>
            <w:vAlign w:val="bottom"/>
          </w:tcPr>
          <w:p>
            <w:pPr>
              <w:ind w:left="1900"/>
              <w:spacing w:after="0"/>
              <w:rPr>
                <w:sz w:val="20"/>
                <w:szCs w:val="20"/>
                <w:color w:val="auto"/>
              </w:rPr>
            </w:pPr>
            <w:r>
              <w:rPr>
                <w:rFonts w:ascii="Arial" w:cs="Arial" w:eastAsia="Arial" w:hAnsi="Arial"/>
                <w:sz w:val="16"/>
                <w:szCs w:val="16"/>
                <w:color w:val="auto"/>
              </w:rPr>
              <w:t>4.02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Stockholder Meeting</w:t>
            </w:r>
          </w:p>
        </w:tc>
        <w:tc>
          <w:tcPr>
            <w:tcW w:w="2600" w:type="dxa"/>
            <w:vAlign w:val="bottom"/>
          </w:tcPr>
          <w:p>
            <w:pPr>
              <w:ind w:left="1900"/>
              <w:spacing w:after="0"/>
              <w:rPr>
                <w:sz w:val="20"/>
                <w:szCs w:val="20"/>
                <w:color w:val="auto"/>
              </w:rPr>
            </w:pPr>
            <w:r>
              <w:rPr>
                <w:rFonts w:ascii="Arial" w:cs="Arial" w:eastAsia="Arial" w:hAnsi="Arial"/>
                <w:sz w:val="16"/>
                <w:szCs w:val="16"/>
                <w:color w:val="auto"/>
              </w:rPr>
              <w:t>6.02</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Subsidiary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4.06(b)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Company Superior Proposal</w:t>
            </w:r>
          </w:p>
        </w:tc>
        <w:tc>
          <w:tcPr>
            <w:tcW w:w="2600" w:type="dxa"/>
            <w:vAlign w:val="bottom"/>
          </w:tcPr>
          <w:p>
            <w:pPr>
              <w:ind w:left="1900"/>
              <w:spacing w:after="0"/>
              <w:rPr>
                <w:sz w:val="20"/>
                <w:szCs w:val="20"/>
                <w:color w:val="auto"/>
              </w:rPr>
            </w:pPr>
            <w:r>
              <w:rPr>
                <w:rFonts w:ascii="Arial" w:cs="Arial" w:eastAsia="Arial" w:hAnsi="Arial"/>
                <w:sz w:val="16"/>
                <w:szCs w:val="16"/>
                <w:color w:val="auto"/>
              </w:rPr>
              <w:t>6.03(e)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Confidentiality Agreement</w:t>
            </w:r>
          </w:p>
        </w:tc>
        <w:tc>
          <w:tcPr>
            <w:tcW w:w="2600" w:type="dxa"/>
            <w:vAlign w:val="bottom"/>
          </w:tcPr>
          <w:p>
            <w:pPr>
              <w:ind w:left="1900"/>
              <w:spacing w:after="0"/>
              <w:rPr>
                <w:sz w:val="20"/>
                <w:szCs w:val="20"/>
                <w:color w:val="auto"/>
              </w:rPr>
            </w:pPr>
            <w:r>
              <w:rPr>
                <w:rFonts w:ascii="Arial" w:cs="Arial" w:eastAsia="Arial" w:hAnsi="Arial"/>
                <w:sz w:val="16"/>
                <w:szCs w:val="16"/>
                <w:color w:val="auto"/>
              </w:rPr>
              <w:t>6.03(b)(i)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Continuing Employee</w:t>
            </w:r>
          </w:p>
        </w:tc>
        <w:tc>
          <w:tcPr>
            <w:tcW w:w="2600" w:type="dxa"/>
            <w:vAlign w:val="bottom"/>
          </w:tcPr>
          <w:p>
            <w:pPr>
              <w:ind w:left="1900"/>
              <w:spacing w:after="0"/>
              <w:rPr>
                <w:sz w:val="20"/>
                <w:szCs w:val="20"/>
                <w:color w:val="auto"/>
              </w:rPr>
            </w:pPr>
            <w:r>
              <w:rPr>
                <w:rFonts w:ascii="Arial" w:cs="Arial" w:eastAsia="Arial" w:hAnsi="Arial"/>
                <w:sz w:val="16"/>
                <w:szCs w:val="16"/>
                <w:color w:val="auto"/>
              </w:rPr>
              <w:t>7.09</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D&amp;O Insurance</w:t>
            </w:r>
          </w:p>
        </w:tc>
        <w:tc>
          <w:tcPr>
            <w:tcW w:w="2600" w:type="dxa"/>
            <w:vAlign w:val="bottom"/>
          </w:tcPr>
          <w:p>
            <w:pPr>
              <w:ind w:left="1900"/>
              <w:spacing w:after="0"/>
              <w:rPr>
                <w:sz w:val="20"/>
                <w:szCs w:val="20"/>
                <w:color w:val="auto"/>
              </w:rPr>
            </w:pPr>
            <w:r>
              <w:rPr>
                <w:rFonts w:ascii="Arial" w:cs="Arial" w:eastAsia="Arial" w:hAnsi="Arial"/>
                <w:sz w:val="16"/>
                <w:szCs w:val="16"/>
                <w:color w:val="auto"/>
              </w:rPr>
              <w:t>7.07(c)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Director</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Director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Effective Time</w:t>
            </w:r>
          </w:p>
        </w:tc>
        <w:tc>
          <w:tcPr>
            <w:tcW w:w="2600" w:type="dxa"/>
            <w:vAlign w:val="bottom"/>
          </w:tcPr>
          <w:p>
            <w:pPr>
              <w:ind w:left="1900"/>
              <w:spacing w:after="0"/>
              <w:rPr>
                <w:sz w:val="20"/>
                <w:szCs w:val="20"/>
                <w:color w:val="auto"/>
              </w:rPr>
            </w:pPr>
            <w:r>
              <w:rPr>
                <w:rFonts w:ascii="Arial" w:cs="Arial" w:eastAsia="Arial" w:hAnsi="Arial"/>
                <w:sz w:val="16"/>
                <w:szCs w:val="16"/>
                <w:color w:val="auto"/>
              </w:rPr>
              <w:t>2.01(c)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End Date</w:t>
            </w:r>
          </w:p>
        </w:tc>
        <w:tc>
          <w:tcPr>
            <w:tcW w:w="2600" w:type="dxa"/>
            <w:vAlign w:val="bottom"/>
          </w:tcPr>
          <w:p>
            <w:pPr>
              <w:ind w:left="1900"/>
              <w:spacing w:after="0"/>
              <w:rPr>
                <w:sz w:val="20"/>
                <w:szCs w:val="20"/>
                <w:color w:val="auto"/>
              </w:rPr>
            </w:pPr>
            <w:r>
              <w:rPr>
                <w:rFonts w:ascii="Arial" w:cs="Arial" w:eastAsia="Arial" w:hAnsi="Arial"/>
                <w:sz w:val="16"/>
                <w:szCs w:val="16"/>
                <w:color w:val="auto"/>
                <w:w w:val="92"/>
              </w:rPr>
              <w:t>10.01(b)(i)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Exchange Agent</w:t>
            </w:r>
          </w:p>
        </w:tc>
        <w:tc>
          <w:tcPr>
            <w:tcW w:w="2600" w:type="dxa"/>
            <w:vAlign w:val="bottom"/>
          </w:tcPr>
          <w:p>
            <w:pPr>
              <w:ind w:left="1900"/>
              <w:spacing w:after="0"/>
              <w:rPr>
                <w:sz w:val="20"/>
                <w:szCs w:val="20"/>
                <w:color w:val="auto"/>
              </w:rPr>
            </w:pPr>
            <w:r>
              <w:rPr>
                <w:rFonts w:ascii="Arial" w:cs="Arial" w:eastAsia="Arial" w:hAnsi="Arial"/>
                <w:sz w:val="16"/>
                <w:szCs w:val="16"/>
                <w:color w:val="auto"/>
              </w:rPr>
              <w:t>2.03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Exchange Ratio</w:t>
            </w:r>
          </w:p>
        </w:tc>
        <w:tc>
          <w:tcPr>
            <w:tcW w:w="2600" w:type="dxa"/>
            <w:vAlign w:val="bottom"/>
          </w:tcPr>
          <w:p>
            <w:pPr>
              <w:ind w:left="1900"/>
              <w:spacing w:after="0"/>
              <w:rPr>
                <w:sz w:val="20"/>
                <w:szCs w:val="20"/>
                <w:color w:val="auto"/>
              </w:rPr>
            </w:pPr>
            <w:r>
              <w:rPr>
                <w:rFonts w:ascii="Arial" w:cs="Arial" w:eastAsia="Arial" w:hAnsi="Arial"/>
                <w:sz w:val="16"/>
                <w:szCs w:val="16"/>
                <w:color w:val="auto"/>
              </w:rPr>
              <w:t>2.02(a)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Former Employee RSU</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2.04(d)(ii)</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Indemnified Person</w:t>
            </w:r>
          </w:p>
        </w:tc>
        <w:tc>
          <w:tcPr>
            <w:tcW w:w="2600" w:type="dxa"/>
            <w:vAlign w:val="bottom"/>
          </w:tcPr>
          <w:p>
            <w:pPr>
              <w:ind w:left="1900"/>
              <w:spacing w:after="0"/>
              <w:rPr>
                <w:sz w:val="20"/>
                <w:szCs w:val="20"/>
                <w:color w:val="auto"/>
              </w:rPr>
            </w:pPr>
            <w:r>
              <w:rPr>
                <w:rFonts w:ascii="Arial" w:cs="Arial" w:eastAsia="Arial" w:hAnsi="Arial"/>
                <w:sz w:val="16"/>
                <w:szCs w:val="16"/>
                <w:color w:val="auto"/>
              </w:rPr>
              <w:t>7.07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internal controls</w:t>
            </w:r>
          </w:p>
        </w:tc>
        <w:tc>
          <w:tcPr>
            <w:tcW w:w="2600" w:type="dxa"/>
            <w:vAlign w:val="bottom"/>
          </w:tcPr>
          <w:p>
            <w:pPr>
              <w:ind w:left="1900"/>
              <w:spacing w:after="0"/>
              <w:rPr>
                <w:sz w:val="20"/>
                <w:szCs w:val="20"/>
                <w:color w:val="auto"/>
              </w:rPr>
            </w:pPr>
            <w:r>
              <w:rPr>
                <w:rFonts w:ascii="Arial" w:cs="Arial" w:eastAsia="Arial" w:hAnsi="Arial"/>
                <w:sz w:val="16"/>
                <w:szCs w:val="16"/>
                <w:color w:val="auto"/>
              </w:rPr>
              <w:t>4.07(f)</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Joint Proxy Statement/Prospectus</w:t>
            </w:r>
          </w:p>
        </w:tc>
        <w:tc>
          <w:tcPr>
            <w:tcW w:w="2600" w:type="dxa"/>
            <w:vAlign w:val="bottom"/>
          </w:tcPr>
          <w:p>
            <w:pPr>
              <w:ind w:left="1900"/>
              <w:spacing w:after="0"/>
              <w:rPr>
                <w:sz w:val="20"/>
                <w:szCs w:val="20"/>
                <w:color w:val="auto"/>
              </w:rPr>
            </w:pPr>
            <w:r>
              <w:rPr>
                <w:rFonts w:ascii="Arial" w:cs="Arial" w:eastAsia="Arial" w:hAnsi="Arial"/>
                <w:sz w:val="16"/>
                <w:szCs w:val="16"/>
                <w:color w:val="auto"/>
              </w:rPr>
              <w:t>4.09</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Lease</w:t>
            </w:r>
          </w:p>
        </w:tc>
        <w:tc>
          <w:tcPr>
            <w:tcW w:w="2600" w:type="dxa"/>
            <w:vAlign w:val="bottom"/>
          </w:tcPr>
          <w:p>
            <w:pPr>
              <w:ind w:left="1900"/>
              <w:spacing w:after="0"/>
              <w:rPr>
                <w:sz w:val="20"/>
                <w:szCs w:val="20"/>
                <w:color w:val="auto"/>
              </w:rPr>
            </w:pPr>
            <w:r>
              <w:rPr>
                <w:rFonts w:ascii="Arial" w:cs="Arial" w:eastAsia="Arial" w:hAnsi="Arial"/>
                <w:sz w:val="16"/>
                <w:szCs w:val="16"/>
                <w:color w:val="auto"/>
              </w:rPr>
              <w:t>4.14(b)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w:t>
            </w:r>
          </w:p>
        </w:tc>
        <w:tc>
          <w:tcPr>
            <w:tcW w:w="2600" w:type="dxa"/>
            <w:vAlign w:val="bottom"/>
          </w:tcPr>
          <w:p>
            <w:pPr>
              <w:ind w:left="1900"/>
              <w:spacing w:after="0"/>
              <w:rPr>
                <w:sz w:val="20"/>
                <w:szCs w:val="20"/>
                <w:color w:val="auto"/>
              </w:rPr>
            </w:pPr>
            <w:r>
              <w:rPr>
                <w:rFonts w:ascii="Arial" w:cs="Arial" w:eastAsia="Arial" w:hAnsi="Arial"/>
                <w:sz w:val="16"/>
                <w:szCs w:val="16"/>
                <w:color w:val="auto"/>
              </w:rPr>
              <w:t>2.01</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Communication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8.03(b)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Consideration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2.02(a)</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Merger Subsidiary</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Multiemployer Plan</w:t>
            </w:r>
          </w:p>
        </w:tc>
        <w:tc>
          <w:tcPr>
            <w:tcW w:w="2600" w:type="dxa"/>
            <w:vAlign w:val="bottom"/>
          </w:tcPr>
          <w:p>
            <w:pPr>
              <w:ind w:left="1900"/>
              <w:spacing w:after="0"/>
              <w:rPr>
                <w:sz w:val="20"/>
                <w:szCs w:val="20"/>
                <w:color w:val="auto"/>
              </w:rPr>
            </w:pPr>
            <w:r>
              <w:rPr>
                <w:rFonts w:ascii="Arial" w:cs="Arial" w:eastAsia="Arial" w:hAnsi="Arial"/>
                <w:sz w:val="16"/>
                <w:szCs w:val="16"/>
                <w:color w:val="auto"/>
              </w:rPr>
              <w:t>4.17(c)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Notional Adjusted Option</w:t>
            </w:r>
          </w:p>
        </w:tc>
        <w:tc>
          <w:tcPr>
            <w:tcW w:w="2600" w:type="dxa"/>
            <w:vAlign w:val="bottom"/>
          </w:tcPr>
          <w:p>
            <w:pPr>
              <w:ind w:left="1900"/>
              <w:spacing w:after="0"/>
              <w:rPr>
                <w:sz w:val="20"/>
                <w:szCs w:val="20"/>
                <w:color w:val="auto"/>
              </w:rPr>
            </w:pPr>
            <w:r>
              <w:rPr>
                <w:rFonts w:ascii="Arial" w:cs="Arial" w:eastAsia="Arial" w:hAnsi="Arial"/>
                <w:sz w:val="16"/>
                <w:szCs w:val="16"/>
                <w:color w:val="auto"/>
              </w:rPr>
              <w:t>2.04(d)</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Notional Adjusted RSU</w:t>
            </w:r>
          </w:p>
        </w:tc>
        <w:tc>
          <w:tcPr>
            <w:tcW w:w="2600" w:type="dxa"/>
            <w:vAlign w:val="bottom"/>
          </w:tcPr>
          <w:p>
            <w:pPr>
              <w:ind w:left="1900"/>
              <w:spacing w:after="0"/>
              <w:rPr>
                <w:sz w:val="20"/>
                <w:szCs w:val="20"/>
                <w:color w:val="auto"/>
              </w:rPr>
            </w:pPr>
            <w:r>
              <w:rPr>
                <w:rFonts w:ascii="Arial" w:cs="Arial" w:eastAsia="Arial" w:hAnsi="Arial"/>
                <w:sz w:val="16"/>
                <w:szCs w:val="16"/>
                <w:color w:val="auto"/>
              </w:rPr>
              <w:t>2.04(c)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NYSE</w:t>
            </w:r>
          </w:p>
        </w:tc>
        <w:tc>
          <w:tcPr>
            <w:tcW w:w="2600" w:type="dxa"/>
            <w:vAlign w:val="bottom"/>
          </w:tcPr>
          <w:p>
            <w:pPr>
              <w:ind w:left="1900"/>
              <w:spacing w:after="0"/>
              <w:rPr>
                <w:sz w:val="20"/>
                <w:szCs w:val="20"/>
                <w:color w:val="auto"/>
              </w:rPr>
            </w:pPr>
            <w:r>
              <w:rPr>
                <w:rFonts w:ascii="Arial" w:cs="Arial" w:eastAsia="Arial" w:hAnsi="Arial"/>
                <w:sz w:val="16"/>
                <w:szCs w:val="16"/>
                <w:color w:val="auto"/>
              </w:rPr>
              <w:t>4.03</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w:t>
            </w:r>
          </w:p>
        </w:tc>
        <w:tc>
          <w:tcPr>
            <w:tcW w:w="2600" w:type="dxa"/>
            <w:vAlign w:val="bottom"/>
          </w:tcPr>
          <w:p>
            <w:pPr>
              <w:ind w:left="1900"/>
              <w:spacing w:after="0"/>
              <w:rPr>
                <w:sz w:val="20"/>
                <w:szCs w:val="20"/>
                <w:color w:val="auto"/>
              </w:rPr>
            </w:pPr>
            <w:r>
              <w:rPr>
                <w:rFonts w:ascii="Arial" w:cs="Arial" w:eastAsia="Arial" w:hAnsi="Arial"/>
                <w:sz w:val="16"/>
                <w:szCs w:val="16"/>
                <w:color w:val="auto"/>
                <w:w w:val="99"/>
              </w:rPr>
              <w:t>Preamble</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Board Recommendation</w:t>
            </w:r>
          </w:p>
        </w:tc>
        <w:tc>
          <w:tcPr>
            <w:tcW w:w="2600" w:type="dxa"/>
            <w:vAlign w:val="bottom"/>
          </w:tcPr>
          <w:p>
            <w:pPr>
              <w:ind w:left="1900"/>
              <w:spacing w:after="0"/>
              <w:rPr>
                <w:sz w:val="20"/>
                <w:szCs w:val="20"/>
                <w:color w:val="auto"/>
              </w:rPr>
            </w:pPr>
            <w:r>
              <w:rPr>
                <w:rFonts w:ascii="Arial" w:cs="Arial" w:eastAsia="Arial" w:hAnsi="Arial"/>
                <w:sz w:val="16"/>
                <w:szCs w:val="16"/>
                <w:color w:val="auto"/>
              </w:rPr>
              <w:t>5.02(b)</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Plans</w:t>
            </w:r>
          </w:p>
        </w:tc>
        <w:tc>
          <w:tcPr>
            <w:tcW w:w="2600" w:type="dxa"/>
            <w:vAlign w:val="bottom"/>
          </w:tcPr>
          <w:p>
            <w:pPr>
              <w:ind w:left="1900"/>
              <w:spacing w:after="0"/>
              <w:rPr>
                <w:sz w:val="20"/>
                <w:szCs w:val="20"/>
                <w:color w:val="auto"/>
              </w:rPr>
            </w:pPr>
            <w:r>
              <w:rPr>
                <w:rFonts w:ascii="Arial" w:cs="Arial" w:eastAsia="Arial" w:hAnsi="Arial"/>
                <w:sz w:val="16"/>
                <w:szCs w:val="16"/>
                <w:color w:val="auto"/>
              </w:rPr>
              <w:t>7.09(c)</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SEC Documents</w:t>
            </w:r>
          </w:p>
        </w:tc>
        <w:tc>
          <w:tcPr>
            <w:tcW w:w="2600" w:type="dxa"/>
            <w:vAlign w:val="bottom"/>
          </w:tcPr>
          <w:p>
            <w:pPr>
              <w:ind w:left="1900"/>
              <w:spacing w:after="0"/>
              <w:rPr>
                <w:sz w:val="20"/>
                <w:szCs w:val="20"/>
                <w:color w:val="auto"/>
              </w:rPr>
            </w:pPr>
            <w:r>
              <w:rPr>
                <w:rFonts w:ascii="Arial" w:cs="Arial" w:eastAsia="Arial" w:hAnsi="Arial"/>
                <w:sz w:val="16"/>
                <w:szCs w:val="16"/>
                <w:color w:val="auto"/>
              </w:rPr>
              <w:t>5.07</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Parent Securities</w:t>
            </w:r>
          </w:p>
        </w:tc>
        <w:tc>
          <w:tcPr>
            <w:tcW w:w="2600" w:type="dxa"/>
            <w:vAlign w:val="bottom"/>
          </w:tcPr>
          <w:p>
            <w:pPr>
              <w:ind w:left="1900"/>
              <w:spacing w:after="0"/>
              <w:rPr>
                <w:sz w:val="20"/>
                <w:szCs w:val="20"/>
                <w:color w:val="auto"/>
              </w:rPr>
            </w:pPr>
            <w:r>
              <w:rPr>
                <w:rFonts w:ascii="Arial" w:cs="Arial" w:eastAsia="Arial" w:hAnsi="Arial"/>
                <w:sz w:val="16"/>
                <w:szCs w:val="16"/>
                <w:color w:val="auto"/>
              </w:rPr>
              <w:t>5.05(b)</w:t>
            </w:r>
          </w:p>
        </w:tc>
      </w:tr>
      <w:tr>
        <w:trPr>
          <w:trHeight w:val="206"/>
        </w:trPr>
        <w:tc>
          <w:tcPr>
            <w:tcW w:w="4160" w:type="dxa"/>
            <w:vAlign w:val="bottom"/>
          </w:tcPr>
          <w:p>
            <w:pPr>
              <w:spacing w:after="0"/>
              <w:rPr>
                <w:sz w:val="20"/>
                <w:szCs w:val="20"/>
                <w:color w:val="auto"/>
              </w:rPr>
            </w:pPr>
            <w:r>
              <w:rPr>
                <w:rFonts w:ascii="Arial" w:cs="Arial" w:eastAsia="Arial" w:hAnsi="Arial"/>
                <w:sz w:val="16"/>
                <w:szCs w:val="16"/>
                <w:color w:val="auto"/>
              </w:rPr>
              <w:t>Parent Shareholder Approval</w:t>
            </w:r>
          </w:p>
        </w:tc>
        <w:tc>
          <w:tcPr>
            <w:tcW w:w="2600" w:type="dxa"/>
            <w:vAlign w:val="bottom"/>
          </w:tcPr>
          <w:p>
            <w:pPr>
              <w:ind w:left="1900"/>
              <w:spacing w:after="0"/>
              <w:rPr>
                <w:sz w:val="20"/>
                <w:szCs w:val="20"/>
                <w:color w:val="auto"/>
              </w:rPr>
            </w:pPr>
            <w:r>
              <w:rPr>
                <w:rFonts w:ascii="Arial" w:cs="Arial" w:eastAsia="Arial" w:hAnsi="Arial"/>
                <w:sz w:val="16"/>
                <w:szCs w:val="16"/>
                <w:color w:val="auto"/>
              </w:rPr>
              <w:t>5.02</w:t>
            </w:r>
          </w:p>
        </w:tc>
      </w:tr>
    </w:tbl>
    <w:p>
      <w:pPr>
        <w:spacing w:after="0" w:line="1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219"/>
          </w:cols>
          <w:pgMar w:left="240" w:top="459" w:right="1440"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Parent Shareholder Meeting</w:t>
            </w:r>
          </w:p>
        </w:tc>
        <w:tc>
          <w:tcPr>
            <w:tcW w:w="2400" w:type="dxa"/>
            <w:vAlign w:val="bottom"/>
          </w:tcPr>
          <w:p>
            <w:pPr>
              <w:ind w:left="1820"/>
              <w:spacing w:after="0"/>
              <w:rPr>
                <w:sz w:val="20"/>
                <w:szCs w:val="20"/>
                <w:color w:val="auto"/>
              </w:rPr>
            </w:pPr>
            <w:r>
              <w:rPr>
                <w:rFonts w:ascii="Arial" w:cs="Arial" w:eastAsia="Arial" w:hAnsi="Arial"/>
                <w:sz w:val="16"/>
                <w:szCs w:val="16"/>
                <w:color w:val="auto"/>
              </w:rPr>
              <w:t>7.03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Parent Stock Issuance</w:t>
            </w:r>
          </w:p>
        </w:tc>
        <w:tc>
          <w:tcPr>
            <w:tcW w:w="2400" w:type="dxa"/>
            <w:vAlign w:val="bottom"/>
          </w:tcPr>
          <w:p>
            <w:pPr>
              <w:ind w:left="1820"/>
              <w:spacing w:after="0"/>
              <w:rPr>
                <w:sz w:val="20"/>
                <w:szCs w:val="20"/>
                <w:color w:val="auto"/>
              </w:rPr>
            </w:pPr>
            <w:r>
              <w:rPr>
                <w:rFonts w:ascii="Arial" w:cs="Arial" w:eastAsia="Arial" w:hAnsi="Arial"/>
                <w:sz w:val="16"/>
                <w:szCs w:val="16"/>
                <w:color w:val="auto"/>
              </w:rPr>
              <w:t>7.03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Principal Parent Stockholders</w:t>
            </w:r>
          </w:p>
        </w:tc>
        <w:tc>
          <w:tcPr>
            <w:tcW w:w="2400" w:type="dxa"/>
            <w:vAlign w:val="bottom"/>
          </w:tcPr>
          <w:p>
            <w:pPr>
              <w:ind w:left="1820"/>
              <w:spacing w:after="0"/>
              <w:rPr>
                <w:sz w:val="20"/>
                <w:szCs w:val="20"/>
                <w:color w:val="auto"/>
              </w:rPr>
            </w:pPr>
            <w:r>
              <w:rPr>
                <w:rFonts w:ascii="Arial" w:cs="Arial" w:eastAsia="Arial" w:hAnsi="Arial"/>
                <w:sz w:val="16"/>
                <w:szCs w:val="16"/>
                <w:color w:val="auto"/>
                <w:w w:val="98"/>
              </w:rPr>
              <w:t>Recitals</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Registration Statement</w:t>
            </w:r>
          </w:p>
        </w:tc>
        <w:tc>
          <w:tcPr>
            <w:tcW w:w="2400" w:type="dxa"/>
            <w:vAlign w:val="bottom"/>
          </w:tcPr>
          <w:p>
            <w:pPr>
              <w:ind w:left="1820"/>
              <w:spacing w:after="0"/>
              <w:rPr>
                <w:sz w:val="20"/>
                <w:szCs w:val="20"/>
                <w:color w:val="auto"/>
              </w:rPr>
            </w:pPr>
            <w:r>
              <w:rPr>
                <w:rFonts w:ascii="Arial" w:cs="Arial" w:eastAsia="Arial" w:hAnsi="Arial"/>
                <w:sz w:val="16"/>
                <w:szCs w:val="16"/>
                <w:color w:val="auto"/>
              </w:rPr>
              <w:t>4.09</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Representatives</w:t>
            </w:r>
          </w:p>
        </w:tc>
        <w:tc>
          <w:tcPr>
            <w:tcW w:w="2400" w:type="dxa"/>
            <w:vAlign w:val="bottom"/>
          </w:tcPr>
          <w:p>
            <w:pPr>
              <w:ind w:left="1820"/>
              <w:spacing w:after="0"/>
              <w:rPr>
                <w:sz w:val="20"/>
                <w:szCs w:val="20"/>
                <w:color w:val="auto"/>
              </w:rPr>
            </w:pPr>
            <w:r>
              <w:rPr>
                <w:rFonts w:ascii="Arial" w:cs="Arial" w:eastAsia="Arial" w:hAnsi="Arial"/>
                <w:sz w:val="16"/>
                <w:szCs w:val="16"/>
                <w:color w:val="auto"/>
              </w:rPr>
              <w:t>6.03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Significant Subsidiary</w:t>
            </w:r>
          </w:p>
        </w:tc>
        <w:tc>
          <w:tcPr>
            <w:tcW w:w="2400" w:type="dxa"/>
            <w:vAlign w:val="bottom"/>
          </w:tcPr>
          <w:p>
            <w:pPr>
              <w:ind w:left="1820"/>
              <w:spacing w:after="0"/>
              <w:rPr>
                <w:sz w:val="20"/>
                <w:szCs w:val="20"/>
                <w:color w:val="auto"/>
              </w:rPr>
            </w:pPr>
            <w:r>
              <w:rPr>
                <w:rFonts w:ascii="Arial" w:cs="Arial" w:eastAsia="Arial" w:hAnsi="Arial"/>
                <w:sz w:val="16"/>
                <w:szCs w:val="16"/>
                <w:color w:val="auto"/>
              </w:rPr>
              <w:t>4.06</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Specified Company SEC Documents</w:t>
            </w:r>
          </w:p>
        </w:tc>
        <w:tc>
          <w:tcPr>
            <w:tcW w:w="2400" w:type="dxa"/>
            <w:vAlign w:val="bottom"/>
          </w:tcPr>
          <w:p>
            <w:pPr>
              <w:ind w:left="1820"/>
              <w:spacing w:after="0"/>
              <w:rPr>
                <w:sz w:val="20"/>
                <w:szCs w:val="20"/>
                <w:color w:val="auto"/>
              </w:rPr>
            </w:pPr>
            <w:r>
              <w:rPr>
                <w:rFonts w:ascii="Arial" w:cs="Arial" w:eastAsia="Arial" w:hAnsi="Arial"/>
                <w:sz w:val="16"/>
                <w:szCs w:val="16"/>
                <w:color w:val="auto"/>
                <w:w w:val="96"/>
              </w:rPr>
              <w:t>Article 4</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Specified Parent SEC Documents</w:t>
            </w:r>
          </w:p>
        </w:tc>
        <w:tc>
          <w:tcPr>
            <w:tcW w:w="2400" w:type="dxa"/>
            <w:vAlign w:val="bottom"/>
          </w:tcPr>
          <w:p>
            <w:pPr>
              <w:ind w:left="1820"/>
              <w:spacing w:after="0"/>
              <w:rPr>
                <w:sz w:val="20"/>
                <w:szCs w:val="20"/>
                <w:color w:val="auto"/>
              </w:rPr>
            </w:pPr>
            <w:r>
              <w:rPr>
                <w:rFonts w:ascii="Arial" w:cs="Arial" w:eastAsia="Arial" w:hAnsi="Arial"/>
                <w:sz w:val="16"/>
                <w:szCs w:val="16"/>
                <w:color w:val="auto"/>
                <w:w w:val="96"/>
              </w:rPr>
              <w:t>Article 5</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Surviving Corporation</w:t>
            </w:r>
          </w:p>
        </w:tc>
        <w:tc>
          <w:tcPr>
            <w:tcW w:w="2400" w:type="dxa"/>
            <w:vAlign w:val="bottom"/>
          </w:tcPr>
          <w:p>
            <w:pPr>
              <w:ind w:left="1820"/>
              <w:spacing w:after="0"/>
              <w:rPr>
                <w:sz w:val="20"/>
                <w:szCs w:val="20"/>
                <w:color w:val="auto"/>
              </w:rPr>
            </w:pPr>
            <w:r>
              <w:rPr>
                <w:rFonts w:ascii="Arial" w:cs="Arial" w:eastAsia="Arial" w:hAnsi="Arial"/>
                <w:sz w:val="16"/>
                <w:szCs w:val="16"/>
                <w:color w:val="auto"/>
              </w:rPr>
              <w:t>2.01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Taxing Authority</w:t>
            </w:r>
          </w:p>
        </w:tc>
        <w:tc>
          <w:tcPr>
            <w:tcW w:w="2400" w:type="dxa"/>
            <w:vAlign w:val="bottom"/>
          </w:tcPr>
          <w:p>
            <w:pPr>
              <w:ind w:left="1820"/>
              <w:spacing w:after="0"/>
              <w:rPr>
                <w:sz w:val="20"/>
                <w:szCs w:val="20"/>
                <w:color w:val="auto"/>
              </w:rPr>
            </w:pPr>
            <w:r>
              <w:rPr>
                <w:rFonts w:ascii="Arial" w:cs="Arial" w:eastAsia="Arial" w:hAnsi="Arial"/>
                <w:sz w:val="16"/>
                <w:szCs w:val="16"/>
                <w:color w:val="auto"/>
              </w:rPr>
              <w:t>1.01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Title IV Plan</w:t>
            </w:r>
          </w:p>
        </w:tc>
        <w:tc>
          <w:tcPr>
            <w:tcW w:w="2400" w:type="dxa"/>
            <w:vAlign w:val="bottom"/>
          </w:tcPr>
          <w:p>
            <w:pPr>
              <w:ind w:left="1820"/>
              <w:spacing w:after="0"/>
              <w:rPr>
                <w:sz w:val="20"/>
                <w:szCs w:val="20"/>
                <w:color w:val="auto"/>
              </w:rPr>
            </w:pPr>
            <w:r>
              <w:rPr>
                <w:rFonts w:ascii="Arial" w:cs="Arial" w:eastAsia="Arial" w:hAnsi="Arial"/>
                <w:sz w:val="16"/>
                <w:szCs w:val="16"/>
                <w:color w:val="auto"/>
              </w:rPr>
              <w:t>4.17(b)</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TWX</w:t>
            </w:r>
          </w:p>
        </w:tc>
        <w:tc>
          <w:tcPr>
            <w:tcW w:w="2400" w:type="dxa"/>
            <w:vAlign w:val="bottom"/>
          </w:tcPr>
          <w:p>
            <w:pPr>
              <w:ind w:left="1820"/>
              <w:spacing w:after="0"/>
              <w:rPr>
                <w:sz w:val="20"/>
                <w:szCs w:val="20"/>
                <w:color w:val="auto"/>
              </w:rPr>
            </w:pPr>
            <w:r>
              <w:rPr>
                <w:rFonts w:ascii="Arial" w:cs="Arial" w:eastAsia="Arial" w:hAnsi="Arial"/>
                <w:sz w:val="16"/>
                <w:szCs w:val="16"/>
                <w:color w:val="auto"/>
              </w:rPr>
              <w:t>4.16(b)</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Uncertificated Shares</w:t>
            </w:r>
          </w:p>
        </w:tc>
        <w:tc>
          <w:tcPr>
            <w:tcW w:w="2400" w:type="dxa"/>
            <w:vAlign w:val="bottom"/>
          </w:tcPr>
          <w:p>
            <w:pPr>
              <w:ind w:left="1820"/>
              <w:spacing w:after="0"/>
              <w:rPr>
                <w:sz w:val="20"/>
                <w:szCs w:val="20"/>
                <w:color w:val="auto"/>
              </w:rPr>
            </w:pPr>
            <w:r>
              <w:rPr>
                <w:rFonts w:ascii="Arial" w:cs="Arial" w:eastAsia="Arial" w:hAnsi="Arial"/>
                <w:sz w:val="16"/>
                <w:szCs w:val="16"/>
                <w:color w:val="auto"/>
              </w:rPr>
              <w:t>2.03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Union Employee</w:t>
            </w:r>
          </w:p>
        </w:tc>
        <w:tc>
          <w:tcPr>
            <w:tcW w:w="2400" w:type="dxa"/>
            <w:vAlign w:val="bottom"/>
          </w:tcPr>
          <w:p>
            <w:pPr>
              <w:ind w:left="1820"/>
              <w:spacing w:after="0"/>
              <w:rPr>
                <w:sz w:val="20"/>
                <w:szCs w:val="20"/>
                <w:color w:val="auto"/>
              </w:rPr>
            </w:pPr>
            <w:r>
              <w:rPr>
                <w:rFonts w:ascii="Arial" w:cs="Arial" w:eastAsia="Arial" w:hAnsi="Arial"/>
                <w:sz w:val="16"/>
                <w:szCs w:val="16"/>
                <w:color w:val="auto"/>
              </w:rPr>
              <w:t>7.09</w:t>
            </w:r>
          </w:p>
        </w:tc>
      </w:tr>
      <w:tr>
        <w:trPr>
          <w:trHeight w:val="206"/>
        </w:trPr>
        <w:tc>
          <w:tcPr>
            <w:tcW w:w="4240" w:type="dxa"/>
            <w:vAlign w:val="bottom"/>
          </w:tcPr>
          <w:p>
            <w:pPr>
              <w:spacing w:after="0"/>
              <w:rPr>
                <w:sz w:val="20"/>
                <w:szCs w:val="20"/>
                <w:color w:val="auto"/>
              </w:rPr>
            </w:pPr>
            <w:r>
              <w:rPr>
                <w:rFonts w:ascii="Arial" w:cs="Arial" w:eastAsia="Arial" w:hAnsi="Arial"/>
                <w:sz w:val="16"/>
                <w:szCs w:val="16"/>
                <w:color w:val="auto"/>
              </w:rPr>
              <w:t>Voting Agreement</w:t>
            </w:r>
          </w:p>
        </w:tc>
        <w:tc>
          <w:tcPr>
            <w:tcW w:w="2400" w:type="dxa"/>
            <w:vAlign w:val="bottom"/>
          </w:tcPr>
          <w:p>
            <w:pPr>
              <w:ind w:left="1820"/>
              <w:spacing w:after="0"/>
              <w:rPr>
                <w:sz w:val="20"/>
                <w:szCs w:val="20"/>
                <w:color w:val="auto"/>
              </w:rPr>
            </w:pPr>
            <w:r>
              <w:rPr>
                <w:rFonts w:ascii="Arial" w:cs="Arial" w:eastAsia="Arial" w:hAnsi="Arial"/>
                <w:sz w:val="16"/>
                <w:szCs w:val="16"/>
                <w:color w:val="auto"/>
                <w:w w:val="98"/>
              </w:rPr>
              <w:t>Recitals</w:t>
            </w:r>
          </w:p>
        </w:tc>
      </w:tr>
    </w:tbl>
    <w:p>
      <w:pPr>
        <w:spacing w:after="0" w:line="20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Other Definitional and Interpretative Provisions</w:t>
      </w:r>
      <w:r>
        <w:rPr>
          <w:rFonts w:ascii="Arial" w:cs="Arial" w:eastAsia="Arial" w:hAnsi="Arial"/>
          <w:sz w:val="15"/>
          <w:szCs w:val="15"/>
          <w:color w:val="auto"/>
        </w:rPr>
        <w:t>. The words “</w:t>
      </w:r>
      <w:r>
        <w:rPr>
          <w:rFonts w:ascii="Arial" w:cs="Arial" w:eastAsia="Arial" w:hAnsi="Arial"/>
          <w:sz w:val="15"/>
          <w:szCs w:val="15"/>
          <w:b w:val="1"/>
          <w:bCs w:val="1"/>
          <w:color w:val="auto"/>
        </w:rPr>
        <w:t>hereof</w:t>
      </w:r>
      <w:r>
        <w:rPr>
          <w:rFonts w:ascii="Arial" w:cs="Arial" w:eastAsia="Arial" w:hAnsi="Arial"/>
          <w:sz w:val="15"/>
          <w:szCs w:val="15"/>
          <w:color w:val="auto"/>
        </w:rPr>
        <w:t>”, “</w:t>
      </w:r>
      <w:r>
        <w:rPr>
          <w:rFonts w:ascii="Arial" w:cs="Arial" w:eastAsia="Arial" w:hAnsi="Arial"/>
          <w:sz w:val="15"/>
          <w:szCs w:val="15"/>
          <w:b w:val="1"/>
          <w:bCs w:val="1"/>
          <w:color w:val="auto"/>
        </w:rPr>
        <w:t>herein</w:t>
      </w:r>
      <w:r>
        <w:rPr>
          <w:rFonts w:ascii="Arial" w:cs="Arial" w:eastAsia="Arial" w:hAnsi="Arial"/>
          <w:sz w:val="15"/>
          <w:szCs w:val="15"/>
          <w:color w:val="auto"/>
        </w:rPr>
        <w:t>” and “</w:t>
      </w:r>
      <w:r>
        <w:rPr>
          <w:rFonts w:ascii="Arial" w:cs="Arial" w:eastAsia="Arial" w:hAnsi="Arial"/>
          <w:sz w:val="15"/>
          <w:szCs w:val="15"/>
          <w:b w:val="1"/>
          <w:bCs w:val="1"/>
          <w:color w:val="auto"/>
        </w:rPr>
        <w:t>hereunder</w:t>
      </w:r>
      <w:r>
        <w:rPr>
          <w:rFonts w:ascii="Arial" w:cs="Arial" w:eastAsia="Arial" w:hAnsi="Arial"/>
          <w:sz w:val="15"/>
          <w:szCs w:val="15"/>
          <w:color w:val="auto"/>
        </w:rPr>
        <w:t>” and words of like import used in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shall refer to this Agreement as a whole and not to any particular provision of this Agreement. The captions herein are included for convenience of reference only and shall be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ignored in the construction or interpretation hereof. References to Articles, Sections, Exhibits and Schedules are to Articles, Sections, Exhibits and Schedules of this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Agreement unless otherwise specified. All Exhibits and Schedules annexed hereto or referred to herein are hereby incorporated in and made a part of this Agreement as if set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forth in full herein. Any capitalized terms used in any Exhibit or Schedule but not otherwise defined therein, shall have the meaning as defined in this Agreement. Any singular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term in this Agreement shall be deemed to include the plural, and any plural term the singular. Whenever the words “</w:t>
      </w:r>
      <w:r>
        <w:rPr>
          <w:rFonts w:ascii="Arial" w:cs="Arial" w:eastAsia="Arial" w:hAnsi="Arial"/>
          <w:sz w:val="15"/>
          <w:szCs w:val="15"/>
          <w:b w:val="1"/>
          <w:bCs w:val="1"/>
          <w:color w:val="auto"/>
        </w:rPr>
        <w:t>include</w:t>
      </w:r>
      <w:r>
        <w:rPr>
          <w:rFonts w:ascii="Arial" w:cs="Arial" w:eastAsia="Arial" w:hAnsi="Arial"/>
          <w:sz w:val="15"/>
          <w:szCs w:val="15"/>
          <w:color w:val="auto"/>
        </w:rPr>
        <w:t>”, “</w:t>
      </w:r>
      <w:r>
        <w:rPr>
          <w:rFonts w:ascii="Arial" w:cs="Arial" w:eastAsia="Arial" w:hAnsi="Arial"/>
          <w:sz w:val="15"/>
          <w:szCs w:val="15"/>
          <w:b w:val="1"/>
          <w:bCs w:val="1"/>
          <w:color w:val="auto"/>
        </w:rPr>
        <w:t>includes</w:t>
      </w:r>
      <w:r>
        <w:rPr>
          <w:rFonts w:ascii="Arial" w:cs="Arial" w:eastAsia="Arial" w:hAnsi="Arial"/>
          <w:sz w:val="15"/>
          <w:szCs w:val="15"/>
          <w:color w:val="auto"/>
        </w:rPr>
        <w:t>” or “</w:t>
      </w:r>
      <w:r>
        <w:rPr>
          <w:rFonts w:ascii="Arial" w:cs="Arial" w:eastAsia="Arial" w:hAnsi="Arial"/>
          <w:sz w:val="15"/>
          <w:szCs w:val="15"/>
          <w:b w:val="1"/>
          <w:bCs w:val="1"/>
          <w:color w:val="auto"/>
        </w:rPr>
        <w:t>including</w:t>
      </w:r>
      <w:r>
        <w:rPr>
          <w:rFonts w:ascii="Arial" w:cs="Arial" w:eastAsia="Arial" w:hAnsi="Arial"/>
          <w:sz w:val="15"/>
          <w:szCs w:val="15"/>
          <w:color w:val="auto"/>
        </w:rPr>
        <w:t>” are used in this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Agreement, they shall be deemed to be followed by the words “</w:t>
      </w:r>
      <w:r>
        <w:rPr>
          <w:rFonts w:ascii="Arial" w:cs="Arial" w:eastAsia="Arial" w:hAnsi="Arial"/>
          <w:sz w:val="15"/>
          <w:szCs w:val="15"/>
          <w:b w:val="1"/>
          <w:bCs w:val="1"/>
          <w:color w:val="auto"/>
        </w:rPr>
        <w:t>without limitation</w:t>
      </w:r>
      <w:r>
        <w:rPr>
          <w:rFonts w:ascii="Arial" w:cs="Arial" w:eastAsia="Arial" w:hAnsi="Arial"/>
          <w:sz w:val="15"/>
          <w:szCs w:val="15"/>
          <w:color w:val="auto"/>
        </w:rPr>
        <w:t>”, whether or not they are in fact followed by those words or words of like import.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Writing</w:t>
      </w:r>
      <w:r>
        <w:rPr>
          <w:rFonts w:ascii="Arial" w:cs="Arial" w:eastAsia="Arial" w:hAnsi="Arial"/>
          <w:sz w:val="15"/>
          <w:szCs w:val="15"/>
          <w:color w:val="auto"/>
        </w:rPr>
        <w:t>”, “</w:t>
      </w:r>
      <w:r>
        <w:rPr>
          <w:rFonts w:ascii="Arial" w:cs="Arial" w:eastAsia="Arial" w:hAnsi="Arial"/>
          <w:sz w:val="15"/>
          <w:szCs w:val="15"/>
          <w:b w:val="1"/>
          <w:bCs w:val="1"/>
          <w:color w:val="auto"/>
        </w:rPr>
        <w:t>written</w:t>
      </w:r>
      <w:r>
        <w:rPr>
          <w:rFonts w:ascii="Arial" w:cs="Arial" w:eastAsia="Arial" w:hAnsi="Arial"/>
          <w:sz w:val="15"/>
          <w:szCs w:val="15"/>
          <w:color w:val="auto"/>
        </w:rPr>
        <w:t>” and comparable terms refer to printing, typing and other means of reproducing words (including electronic media) in a visible form. References to any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statute shall be deemed to refer to such statute as amended from time to time and to any rules or regulations promulgated thereunder. References to any agreement or contract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are to that agreement or contract as amended, modified or supplemented from time to time in accordance with the terms hereof and thereof. References to any Person include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the successors and permitted assigns of that Person. References from or through any date mean, unless otherwise specified, from and including or through and including,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respectively. References to “</w:t>
      </w:r>
      <w:r>
        <w:rPr>
          <w:rFonts w:ascii="Arial" w:cs="Arial" w:eastAsia="Arial" w:hAnsi="Arial"/>
          <w:sz w:val="14"/>
          <w:szCs w:val="14"/>
          <w:b w:val="1"/>
          <w:bCs w:val="1"/>
          <w:color w:val="auto"/>
        </w:rPr>
        <w:t>law</w:t>
      </w:r>
      <w:r>
        <w:rPr>
          <w:rFonts w:ascii="Arial" w:cs="Arial" w:eastAsia="Arial" w:hAnsi="Arial"/>
          <w:sz w:val="14"/>
          <w:szCs w:val="14"/>
          <w:color w:val="auto"/>
        </w:rPr>
        <w:t>”, “</w:t>
      </w:r>
      <w:r>
        <w:rPr>
          <w:rFonts w:ascii="Arial" w:cs="Arial" w:eastAsia="Arial" w:hAnsi="Arial"/>
          <w:sz w:val="14"/>
          <w:szCs w:val="14"/>
          <w:b w:val="1"/>
          <w:bCs w:val="1"/>
          <w:color w:val="auto"/>
        </w:rPr>
        <w:t>laws</w:t>
      </w:r>
      <w:r>
        <w:rPr>
          <w:rFonts w:ascii="Arial" w:cs="Arial" w:eastAsia="Arial" w:hAnsi="Arial"/>
          <w:sz w:val="14"/>
          <w:szCs w:val="14"/>
          <w:color w:val="auto"/>
        </w:rPr>
        <w:t>” or to a particular statute or law shall be deemed also to include any Applicable Law. The phrase “</w:t>
      </w:r>
      <w:r>
        <w:rPr>
          <w:rFonts w:ascii="Arial" w:cs="Arial" w:eastAsia="Arial" w:hAnsi="Arial"/>
          <w:sz w:val="14"/>
          <w:szCs w:val="14"/>
          <w:b w:val="1"/>
          <w:bCs w:val="1"/>
          <w:color w:val="auto"/>
        </w:rPr>
        <w:t>made available</w:t>
      </w:r>
      <w:r>
        <w:rPr>
          <w:rFonts w:ascii="Arial" w:cs="Arial" w:eastAsia="Arial" w:hAnsi="Arial"/>
          <w:sz w:val="14"/>
          <w:szCs w:val="14"/>
          <w:color w:val="auto"/>
        </w:rPr>
        <w:t>” shall be deemed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to include any documents filed or furnished with the SEC.</w:t>
      </w: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2</w:t>
      </w:r>
    </w:p>
    <w:p>
      <w:pPr>
        <w:spacing w:after="0" w:line="2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The Merger</w:t>
      </w:r>
    </w:p>
    <w:p>
      <w:pPr>
        <w:spacing w:after="0" w:line="227" w:lineRule="exact"/>
        <w:rPr>
          <w:sz w:val="20"/>
          <w:szCs w:val="20"/>
          <w:color w:val="auto"/>
        </w:rPr>
      </w:pPr>
    </w:p>
    <w:p>
      <w:pPr>
        <w:ind w:right="100" w:firstLine="799"/>
        <w:spacing w:after="0" w:line="28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The Merger</w:t>
      </w:r>
      <w:r>
        <w:rPr>
          <w:rFonts w:ascii="Arial" w:cs="Arial" w:eastAsia="Arial" w:hAnsi="Arial"/>
          <w:sz w:val="16"/>
          <w:szCs w:val="16"/>
          <w:color w:val="auto"/>
        </w:rPr>
        <w:t>. (a) At the Effective Time, Merger Subsidiary shall be merged (the “</w:t>
      </w:r>
      <w:r>
        <w:rPr>
          <w:rFonts w:ascii="Arial" w:cs="Arial" w:eastAsia="Arial" w:hAnsi="Arial"/>
          <w:sz w:val="16"/>
          <w:szCs w:val="16"/>
          <w:b w:val="1"/>
          <w:bCs w:val="1"/>
          <w:color w:val="auto"/>
        </w:rPr>
        <w:t>Merger</w:t>
      </w:r>
      <w:r>
        <w:rPr>
          <w:rFonts w:ascii="Arial" w:cs="Arial" w:eastAsia="Arial" w:hAnsi="Arial"/>
          <w:sz w:val="16"/>
          <w:szCs w:val="16"/>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and a wholly-owned subsidiary of Parent.</w:t>
      </w:r>
    </w:p>
    <w:p>
      <w:pPr>
        <w:spacing w:after="0" w:line="178" w:lineRule="exact"/>
        <w:rPr>
          <w:sz w:val="20"/>
          <w:szCs w:val="20"/>
          <w:color w:val="auto"/>
        </w:rPr>
      </w:pPr>
    </w:p>
    <w:p>
      <w:pPr>
        <w:ind w:right="60" w:firstLine="1720"/>
        <w:spacing w:after="0" w:line="272" w:lineRule="auto"/>
        <w:tabs>
          <w:tab w:leader="none" w:pos="214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Subject to the provisions of Article 9,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90" w:lineRule="exact"/>
        <w:rPr>
          <w:rFonts w:ascii="Arial" w:cs="Arial" w:eastAsia="Arial" w:hAnsi="Arial"/>
          <w:sz w:val="16"/>
          <w:szCs w:val="16"/>
          <w:color w:val="auto"/>
        </w:rPr>
      </w:pPr>
    </w:p>
    <w:p>
      <w:pPr>
        <w:ind w:right="100" w:firstLine="1720"/>
        <w:spacing w:after="0" w:line="305" w:lineRule="auto"/>
        <w:tabs>
          <w:tab w:leader="none" w:pos="212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15"/>
          <w:szCs w:val="15"/>
          <w:b w:val="1"/>
          <w:bCs w:val="1"/>
          <w:color w:val="auto"/>
        </w:rPr>
        <w:t>Effective Time</w:t>
      </w:r>
      <w:r>
        <w:rPr>
          <w:rFonts w:ascii="Arial" w:cs="Arial" w:eastAsia="Arial" w:hAnsi="Arial"/>
          <w:sz w:val="15"/>
          <w:szCs w:val="15"/>
          <w:color w:val="auto"/>
        </w:rPr>
        <w:t>”) as the certificate of merger is duly filed with the Delaware Secretary of State (or at such later time as may be agreed to by the parties and specified in the certificate of merger).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80" w:firstLine="1720"/>
        <w:spacing w:after="0" w:line="293" w:lineRule="auto"/>
        <w:tabs>
          <w:tab w:leader="none" w:pos="214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80"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Conversion of Shares</w:t>
      </w:r>
      <w:r>
        <w:rPr>
          <w:rFonts w:ascii="Arial" w:cs="Arial" w:eastAsia="Arial" w:hAnsi="Arial"/>
          <w:sz w:val="16"/>
          <w:szCs w:val="16"/>
          <w:color w:val="auto"/>
        </w:rPr>
        <w:t>. At the Effective Time by virtue of the Merger and without any action on the part of any holder of shares of Company Stock or any holder of shares of common stock of Merger Subsidiary:</w:t>
      </w:r>
    </w:p>
    <w:p>
      <w:pPr>
        <w:spacing w:after="0" w:line="172" w:lineRule="exact"/>
        <w:rPr>
          <w:sz w:val="20"/>
          <w:szCs w:val="20"/>
          <w:color w:val="auto"/>
        </w:rPr>
      </w:pPr>
    </w:p>
    <w:p>
      <w:pPr>
        <w:ind w:right="20" w:firstLine="1720"/>
        <w:spacing w:after="0" w:line="293" w:lineRule="auto"/>
        <w:tabs>
          <w:tab w:leader="none" w:pos="2135" w:val="left"/>
        </w:tabs>
        <w:numPr>
          <w:ilvl w:val="0"/>
          <w:numId w:val="260"/>
        </w:numPr>
        <w:rPr>
          <w:rFonts w:ascii="Arial" w:cs="Arial" w:eastAsia="Arial" w:hAnsi="Arial"/>
          <w:sz w:val="15"/>
          <w:szCs w:val="15"/>
          <w:color w:val="auto"/>
        </w:rPr>
      </w:pPr>
      <w:r>
        <w:rPr>
          <w:rFonts w:ascii="Arial" w:cs="Arial" w:eastAsia="Arial" w:hAnsi="Arial"/>
          <w:sz w:val="15"/>
          <w:szCs w:val="15"/>
          <w:color w:val="auto"/>
        </w:rPr>
        <w:t>Except as otherwise provided in Section 2.02(c), each share of Company Stock outstanding immediately prior to the Effective Time shall be converted into the right to receive 2.8750 (the “</w:t>
      </w:r>
      <w:r>
        <w:rPr>
          <w:rFonts w:ascii="Arial" w:cs="Arial" w:eastAsia="Arial" w:hAnsi="Arial"/>
          <w:sz w:val="15"/>
          <w:szCs w:val="15"/>
          <w:b w:val="1"/>
          <w:bCs w:val="1"/>
          <w:color w:val="auto"/>
        </w:rPr>
        <w:t>Exchange Ratio</w:t>
      </w:r>
      <w:r>
        <w:rPr>
          <w:rFonts w:ascii="Arial" w:cs="Arial" w:eastAsia="Arial" w:hAnsi="Arial"/>
          <w:sz w:val="15"/>
          <w:szCs w:val="15"/>
          <w:color w:val="auto"/>
        </w:rPr>
        <w:t>”) shares of Parent Class A Common Stock (together with the cash in lieu of fractional shares of Parent Class A Common Stock as specified below, the “</w:t>
      </w:r>
      <w:r>
        <w:rPr>
          <w:rFonts w:ascii="Arial" w:cs="Arial" w:eastAsia="Arial" w:hAnsi="Arial"/>
          <w:sz w:val="15"/>
          <w:szCs w:val="15"/>
          <w:b w:val="1"/>
          <w:bCs w:val="1"/>
          <w:color w:val="auto"/>
        </w:rPr>
        <w:t>Merger Consideration</w:t>
      </w:r>
      <w:r>
        <w:rPr>
          <w:rFonts w:ascii="Arial" w:cs="Arial" w:eastAsia="Arial" w:hAnsi="Arial"/>
          <w:sz w:val="15"/>
          <w:szCs w:val="15"/>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76" w:lineRule="exact"/>
        <w:rPr>
          <w:rFonts w:ascii="Arial" w:cs="Arial" w:eastAsia="Arial" w:hAnsi="Arial"/>
          <w:sz w:val="15"/>
          <w:szCs w:val="15"/>
          <w:color w:val="auto"/>
        </w:rPr>
      </w:pPr>
    </w:p>
    <w:p>
      <w:pPr>
        <w:ind w:right="40" w:firstLine="1720"/>
        <w:spacing w:after="0" w:line="278" w:lineRule="auto"/>
        <w:tabs>
          <w:tab w:leader="none" w:pos="214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84" w:lineRule="exact"/>
        <w:rPr>
          <w:rFonts w:ascii="Arial" w:cs="Arial" w:eastAsia="Arial" w:hAnsi="Arial"/>
          <w:sz w:val="16"/>
          <w:szCs w:val="16"/>
          <w:color w:val="auto"/>
        </w:rPr>
      </w:pPr>
    </w:p>
    <w:p>
      <w:pPr>
        <w:ind w:right="300" w:firstLine="1720"/>
        <w:spacing w:after="0" w:line="293" w:lineRule="auto"/>
        <w:tabs>
          <w:tab w:leader="none" w:pos="213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share of Company Stock held by the Company as treasury stock or owned by Parent immediately prior to the Effective Time shall be canceled, and no payment shall be made with respect thereto.</w:t>
      </w:r>
    </w:p>
    <w:p>
      <w:pPr>
        <w:spacing w:after="0" w:line="276" w:lineRule="exact"/>
        <w:rPr>
          <w:sz w:val="20"/>
          <w:szCs w:val="20"/>
          <w:color w:val="auto"/>
        </w:rPr>
      </w:pPr>
    </w:p>
    <w:p>
      <w:pPr>
        <w:ind w:right="60" w:firstLine="799"/>
        <w:spacing w:after="0" w:line="288"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Surrender and Payment</w:t>
      </w:r>
      <w:r>
        <w:rPr>
          <w:rFonts w:ascii="Arial" w:cs="Arial" w:eastAsia="Arial" w:hAnsi="Arial"/>
          <w:sz w:val="15"/>
          <w:szCs w:val="15"/>
          <w:color w:val="auto"/>
        </w:rPr>
        <w:t>. (a) Prior to the Effective Time, Parent shall appoint an agent reasonably acceptable to the Company (the “</w:t>
      </w:r>
      <w:r>
        <w:rPr>
          <w:rFonts w:ascii="Arial" w:cs="Arial" w:eastAsia="Arial" w:hAnsi="Arial"/>
          <w:sz w:val="15"/>
          <w:szCs w:val="15"/>
          <w:b w:val="1"/>
          <w:bCs w:val="1"/>
          <w:color w:val="auto"/>
        </w:rPr>
        <w:t>Exchange</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for the purpose of exchanging for the Merger Consideration (i) certificates representing shares of Company Stock (the “</w:t>
      </w:r>
      <w:r>
        <w:rPr>
          <w:rFonts w:ascii="Arial" w:cs="Arial" w:eastAsia="Arial" w:hAnsi="Arial"/>
          <w:sz w:val="15"/>
          <w:szCs w:val="15"/>
          <w:b w:val="1"/>
          <w:bCs w:val="1"/>
          <w:color w:val="auto"/>
        </w:rPr>
        <w:t>Certificates</w:t>
      </w:r>
      <w:r>
        <w:rPr>
          <w:rFonts w:ascii="Arial" w:cs="Arial" w:eastAsia="Arial" w:hAnsi="Arial"/>
          <w:sz w:val="15"/>
          <w:szCs w:val="15"/>
          <w:color w:val="auto"/>
        </w:rPr>
        <w:t>”) and (ii) uncertificated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Stock (the “</w:t>
      </w:r>
      <w:r>
        <w:rPr>
          <w:rFonts w:ascii="Arial" w:cs="Arial" w:eastAsia="Arial" w:hAnsi="Arial"/>
          <w:sz w:val="15"/>
          <w:szCs w:val="15"/>
          <w:b w:val="1"/>
          <w:bCs w:val="1"/>
          <w:color w:val="auto"/>
        </w:rPr>
        <w:t>Uncertificated Shares</w:t>
      </w:r>
      <w:r>
        <w:rPr>
          <w:rFonts w:ascii="Arial" w:cs="Arial" w:eastAsia="Arial" w:hAnsi="Arial"/>
          <w:sz w:val="15"/>
          <w:szCs w:val="15"/>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5"/>
          <w:szCs w:val="15"/>
          <w:b w:val="1"/>
          <w:bCs w:val="1"/>
          <w:color w:val="auto"/>
        </w:rPr>
        <w:t>agent’s message</w:t>
      </w:r>
      <w:r>
        <w:rPr>
          <w:rFonts w:ascii="Arial" w:cs="Arial" w:eastAsia="Arial" w:hAnsi="Arial"/>
          <w:sz w:val="15"/>
          <w:szCs w:val="15"/>
          <w:color w:val="auto"/>
        </w:rPr>
        <w:t>” regarding the book-entry transfer of Uncertificated Shares) for use in such exchange.</w:t>
      </w:r>
    </w:p>
    <w:p>
      <w:pPr>
        <w:spacing w:after="0" w:line="180" w:lineRule="exact"/>
        <w:rPr>
          <w:sz w:val="20"/>
          <w:szCs w:val="20"/>
          <w:color w:val="auto"/>
        </w:rPr>
      </w:pPr>
    </w:p>
    <w:p>
      <w:pPr>
        <w:ind w:right="160" w:firstLine="1720"/>
        <w:spacing w:after="0" w:line="289" w:lineRule="auto"/>
        <w:tabs>
          <w:tab w:leader="none" w:pos="2144" w:val="left"/>
        </w:tabs>
        <w:numPr>
          <w:ilvl w:val="0"/>
          <w:numId w:val="261"/>
        </w:numPr>
        <w:rPr>
          <w:rFonts w:ascii="Arial" w:cs="Arial" w:eastAsia="Arial" w:hAnsi="Arial"/>
          <w:sz w:val="15"/>
          <w:szCs w:val="15"/>
          <w:color w:val="auto"/>
        </w:rPr>
      </w:pPr>
      <w:r>
        <w:rPr>
          <w:rFonts w:ascii="Arial" w:cs="Arial" w:eastAsia="Arial" w:hAnsi="Arial"/>
          <w:sz w:val="15"/>
          <w:szCs w:val="15"/>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15"/>
          <w:szCs w:val="15"/>
          <w:b w:val="1"/>
          <w:bCs w:val="1"/>
          <w:color w:val="auto"/>
        </w:rPr>
        <w:t>agent’s message</w:t>
      </w:r>
      <w:r>
        <w:rPr>
          <w:rFonts w:ascii="Arial" w:cs="Arial" w:eastAsia="Arial" w:hAnsi="Arial"/>
          <w:sz w:val="15"/>
          <w:szCs w:val="15"/>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 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80" w:lineRule="exact"/>
        <w:rPr>
          <w:rFonts w:ascii="Arial" w:cs="Arial" w:eastAsia="Arial" w:hAnsi="Arial"/>
          <w:sz w:val="15"/>
          <w:szCs w:val="15"/>
          <w:color w:val="auto"/>
        </w:rPr>
      </w:pPr>
    </w:p>
    <w:p>
      <w:pPr>
        <w:ind w:right="20" w:firstLine="1720"/>
        <w:spacing w:after="0" w:line="271" w:lineRule="auto"/>
        <w:tabs>
          <w:tab w:leader="none" w:pos="213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40" w:firstLine="1720"/>
        <w:spacing w:after="0" w:line="278" w:lineRule="auto"/>
        <w:tabs>
          <w:tab w:leader="none" w:pos="213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84" w:lineRule="exact"/>
        <w:rPr>
          <w:rFonts w:ascii="Arial" w:cs="Arial" w:eastAsia="Arial" w:hAnsi="Arial"/>
          <w:sz w:val="16"/>
          <w:szCs w:val="16"/>
          <w:color w:val="auto"/>
        </w:rPr>
      </w:pPr>
    </w:p>
    <w:p>
      <w:pPr>
        <w:ind w:right="60" w:firstLine="1720"/>
        <w:spacing w:after="0" w:line="288" w:lineRule="auto"/>
        <w:tabs>
          <w:tab w:leader="none" w:pos="2126" w:val="left"/>
        </w:tabs>
        <w:numPr>
          <w:ilvl w:val="0"/>
          <w:numId w:val="262"/>
        </w:numPr>
        <w:rPr>
          <w:rFonts w:ascii="Arial" w:cs="Arial" w:eastAsia="Arial" w:hAnsi="Arial"/>
          <w:sz w:val="15"/>
          <w:szCs w:val="15"/>
          <w:color w:val="auto"/>
        </w:rPr>
      </w:pPr>
      <w:r>
        <w:rPr>
          <w:rFonts w:ascii="Arial" w:cs="Arial" w:eastAsia="Arial" w:hAnsi="Arial"/>
          <w:sz w:val="15"/>
          <w:szCs w:val="15"/>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80" w:lineRule="exact"/>
        <w:rPr>
          <w:rFonts w:ascii="Arial" w:cs="Arial" w:eastAsia="Arial" w:hAnsi="Arial"/>
          <w:sz w:val="15"/>
          <w:szCs w:val="15"/>
          <w:color w:val="auto"/>
        </w:rPr>
      </w:pPr>
    </w:p>
    <w:p>
      <w:pPr>
        <w:ind w:firstLine="1720"/>
        <w:spacing w:after="0" w:line="313" w:lineRule="auto"/>
        <w:tabs>
          <w:tab w:leader="none" w:pos="2117" w:val="left"/>
        </w:tabs>
        <w:numPr>
          <w:ilvl w:val="0"/>
          <w:numId w:val="262"/>
        </w:numPr>
        <w:rPr>
          <w:rFonts w:ascii="Arial" w:cs="Arial" w:eastAsia="Arial" w:hAnsi="Arial"/>
          <w:sz w:val="14"/>
          <w:szCs w:val="14"/>
          <w:color w:val="auto"/>
        </w:rPr>
      </w:pPr>
      <w:r>
        <w:rPr>
          <w:rFonts w:ascii="Arial" w:cs="Arial" w:eastAsia="Arial" w:hAnsi="Arial"/>
          <w:sz w:val="14"/>
          <w:szCs w:val="14"/>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 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4" w:lineRule="exact"/>
        <w:rPr>
          <w:rFonts w:ascii="Arial" w:cs="Arial" w:eastAsia="Arial" w:hAnsi="Arial"/>
          <w:sz w:val="14"/>
          <w:szCs w:val="14"/>
          <w:color w:val="auto"/>
        </w:rPr>
      </w:pPr>
    </w:p>
    <w:p>
      <w:pPr>
        <w:ind w:right="20" w:firstLine="1720"/>
        <w:spacing w:after="0" w:line="305" w:lineRule="auto"/>
        <w:tabs>
          <w:tab w:leader="none" w:pos="21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66"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Equity-Based Awards</w:t>
      </w:r>
      <w:r>
        <w:rPr>
          <w:rFonts w:ascii="Arial" w:cs="Arial" w:eastAsia="Arial" w:hAnsi="Arial"/>
          <w:sz w:val="15"/>
          <w:szCs w:val="15"/>
          <w:color w:val="auto"/>
        </w:rPr>
        <w:t>. (a) Except as provided in Section 2.04(d), the terms of each outstanding compensatory option to purchase shares of Company Stock (a “</w:t>
      </w:r>
      <w:r>
        <w:rPr>
          <w:rFonts w:ascii="Arial" w:cs="Arial" w:eastAsia="Arial" w:hAnsi="Arial"/>
          <w:sz w:val="15"/>
          <w:szCs w:val="15"/>
          <w:b w:val="1"/>
          <w:bCs w:val="1"/>
          <w:color w:val="auto"/>
        </w:rPr>
        <w:t>Company Stock Option</w:t>
      </w:r>
      <w:r>
        <w:rPr>
          <w:rFonts w:ascii="Arial" w:cs="Arial" w:eastAsia="Arial" w:hAnsi="Arial"/>
          <w:sz w:val="15"/>
          <w:szCs w:val="15"/>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5"/>
          <w:szCs w:val="15"/>
          <w:b w:val="1"/>
          <w:bCs w:val="1"/>
          <w:color w:val="auto"/>
        </w:rPr>
        <w:t>Adjusted Option</w:t>
      </w:r>
      <w:r>
        <w:rPr>
          <w:rFonts w:ascii="Arial" w:cs="Arial" w:eastAsia="Arial" w:hAnsi="Arial"/>
          <w:sz w:val="15"/>
          <w:szCs w:val="15"/>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 (A) 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81" w:lineRule="exact"/>
        <w:rPr>
          <w:sz w:val="20"/>
          <w:szCs w:val="20"/>
          <w:color w:val="auto"/>
        </w:rPr>
      </w:pPr>
    </w:p>
    <w:p>
      <w:pPr>
        <w:jc w:val="both"/>
        <w:ind w:right="40" w:firstLine="1720"/>
        <w:spacing w:after="0" w:line="273" w:lineRule="auto"/>
        <w:tabs>
          <w:tab w:leader="none" w:pos="21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16"/>
          <w:szCs w:val="16"/>
          <w:b w:val="1"/>
          <w:bCs w:val="1"/>
          <w:color w:val="auto"/>
        </w:rPr>
        <w:t>Company RSU</w:t>
      </w:r>
      <w:r>
        <w:rPr>
          <w:rFonts w:ascii="Arial" w:cs="Arial" w:eastAsia="Arial" w:hAnsi="Arial"/>
          <w:sz w:val="16"/>
          <w:szCs w:val="16"/>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16"/>
          <w:szCs w:val="16"/>
          <w:b w:val="1"/>
          <w:bCs w:val="1"/>
          <w:color w:val="auto"/>
        </w:rPr>
        <w:t>Adjusted RSU</w:t>
      </w:r>
      <w:r>
        <w:rPr>
          <w:rFonts w:ascii="Arial" w:cs="Arial" w:eastAsia="Arial" w:hAnsi="Arial"/>
          <w:sz w:val="16"/>
          <w:szCs w:val="16"/>
          <w:color w:val="auto"/>
        </w:rPr>
        <w:t>”) to acquire, on the same terms and conditions as were applicable under such Company RSU immediately prior to the Effective Time, the number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shares of Parent Class A Common Stock equal to the product of (i) the number of shares of Company Stock subject to such Company RSU immediately prior to the Effective Time multiplied by (ii) the Exchange Ratio, with any fractional shares rounded down to the next lower whole number of shares.</w:t>
      </w:r>
    </w:p>
    <w:p>
      <w:pPr>
        <w:spacing w:after="0" w:line="168" w:lineRule="exact"/>
        <w:rPr>
          <w:sz w:val="20"/>
          <w:szCs w:val="20"/>
          <w:color w:val="auto"/>
        </w:rPr>
      </w:pPr>
    </w:p>
    <w:p>
      <w:pPr>
        <w:ind w:firstLine="1720"/>
        <w:spacing w:after="0" w:line="304" w:lineRule="auto"/>
        <w:tabs>
          <w:tab w:leader="none" w:pos="2126" w:val="left"/>
        </w:tabs>
        <w:numPr>
          <w:ilvl w:val="1"/>
          <w:numId w:val="264"/>
        </w:numPr>
        <w:rPr>
          <w:rFonts w:ascii="Arial" w:cs="Arial" w:eastAsia="Arial" w:hAnsi="Arial"/>
          <w:sz w:val="14"/>
          <w:szCs w:val="14"/>
          <w:color w:val="auto"/>
        </w:rPr>
      </w:pPr>
      <w:r>
        <w:rPr>
          <w:rFonts w:ascii="Arial" w:cs="Arial" w:eastAsia="Arial" w:hAnsi="Arial"/>
          <w:sz w:val="14"/>
          <w:szCs w:val="14"/>
          <w:color w:val="auto"/>
        </w:rPr>
        <w:t>At or promptly after the Effective Time, each outstanding Company RSU (each, a “</w:t>
      </w:r>
      <w:r>
        <w:rPr>
          <w:rFonts w:ascii="Arial" w:cs="Arial" w:eastAsia="Arial" w:hAnsi="Arial"/>
          <w:sz w:val="14"/>
          <w:szCs w:val="14"/>
          <w:b w:val="1"/>
          <w:bCs w:val="1"/>
          <w:color w:val="auto"/>
        </w:rPr>
        <w:t>Director RSU</w:t>
      </w:r>
      <w:r>
        <w:rPr>
          <w:rFonts w:ascii="Arial" w:cs="Arial" w:eastAsia="Arial" w:hAnsi="Arial"/>
          <w:sz w:val="14"/>
          <w:szCs w:val="14"/>
          <w:color w:val="auto"/>
        </w:rPr>
        <w:t>”) held by a non-employee director or former non-employee director of the Company (each, a “</w:t>
      </w:r>
      <w:r>
        <w:rPr>
          <w:rFonts w:ascii="Arial" w:cs="Arial" w:eastAsia="Arial" w:hAnsi="Arial"/>
          <w:sz w:val="14"/>
          <w:szCs w:val="14"/>
          <w:b w:val="1"/>
          <w:bCs w:val="1"/>
          <w:color w:val="auto"/>
        </w:rPr>
        <w:t>Director</w:t>
      </w:r>
      <w:r>
        <w:rPr>
          <w:rFonts w:ascii="Arial" w:cs="Arial" w:eastAsia="Arial" w:hAnsi="Arial"/>
          <w:sz w:val="14"/>
          <w:szCs w:val="14"/>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4"/>
          <w:szCs w:val="14"/>
          <w:b w:val="1"/>
          <w:bCs w:val="1"/>
          <w:color w:val="auto"/>
        </w:rPr>
        <w:t>Notional Adjusted RSU</w:t>
      </w:r>
      <w:r>
        <w:rPr>
          <w:rFonts w:ascii="Arial" w:cs="Arial" w:eastAsia="Arial" w:hAnsi="Arial"/>
          <w:sz w:val="14"/>
          <w:szCs w:val="14"/>
          <w:color w:val="auto"/>
        </w:rPr>
        <w:t>”) and then multiplying</w:t>
      </w:r>
    </w:p>
    <w:p>
      <w:pPr>
        <w:spacing w:after="0" w:line="2" w:lineRule="exact"/>
        <w:rPr>
          <w:rFonts w:ascii="Arial" w:cs="Arial" w:eastAsia="Arial" w:hAnsi="Arial"/>
          <w:sz w:val="14"/>
          <w:szCs w:val="14"/>
          <w:color w:val="auto"/>
        </w:rPr>
      </w:pPr>
    </w:p>
    <w:p>
      <w:pPr>
        <w:ind w:right="40" w:firstLine="8"/>
        <w:spacing w:after="0" w:line="288" w:lineRule="auto"/>
        <w:tabs>
          <w:tab w:leader="none" w:pos="19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closing sale price of a share of Parent Class A Common Stock on NASDAQ on the trading day immediately preceding the Effective Time by (ii) the number of shares of Parent Class A Common Stock with respect to the Notional Adjusted RSUs.</w:t>
      </w:r>
    </w:p>
    <w:p>
      <w:pPr>
        <w:spacing w:after="0" w:line="171" w:lineRule="exact"/>
        <w:rPr>
          <w:rFonts w:ascii="Arial" w:cs="Arial" w:eastAsia="Arial" w:hAnsi="Arial"/>
          <w:sz w:val="16"/>
          <w:szCs w:val="16"/>
          <w:color w:val="auto"/>
        </w:rPr>
      </w:pPr>
    </w:p>
    <w:p>
      <w:pPr>
        <w:ind w:right="20" w:firstLine="1720"/>
        <w:spacing w:after="0" w:line="311" w:lineRule="auto"/>
        <w:tabs>
          <w:tab w:leader="none" w:pos="2144" w:val="left"/>
        </w:tabs>
        <w:numPr>
          <w:ilvl w:val="1"/>
          <w:numId w:val="265"/>
        </w:numPr>
        <w:rPr>
          <w:rFonts w:ascii="Arial" w:cs="Arial" w:eastAsia="Arial" w:hAnsi="Arial"/>
          <w:sz w:val="14"/>
          <w:szCs w:val="14"/>
          <w:color w:val="auto"/>
        </w:rPr>
      </w:pPr>
      <w:r>
        <w:rPr>
          <w:rFonts w:ascii="Arial" w:cs="Arial" w:eastAsia="Arial" w:hAnsi="Arial"/>
          <w:sz w:val="14"/>
          <w:szCs w:val="14"/>
          <w:color w:val="auto"/>
        </w:rPr>
        <w:t>(i) At or promptly after the Effective Time, each outstanding Company Stock Option (each, a “</w:t>
      </w:r>
      <w:r>
        <w:rPr>
          <w:rFonts w:ascii="Arial" w:cs="Arial" w:eastAsia="Arial" w:hAnsi="Arial"/>
          <w:sz w:val="14"/>
          <w:szCs w:val="14"/>
          <w:b w:val="1"/>
          <w:bCs w:val="1"/>
          <w:color w:val="auto"/>
        </w:rPr>
        <w:t>Former Employee Option</w:t>
      </w:r>
      <w:r>
        <w:rPr>
          <w:rFonts w:ascii="Arial" w:cs="Arial" w:eastAsia="Arial" w:hAnsi="Arial"/>
          <w:sz w:val="14"/>
          <w:szCs w:val="14"/>
          <w:color w:val="auto"/>
        </w:rPr>
        <w:t>”) held by a former employee or individual contractor of the Company (each, a “</w:t>
      </w:r>
      <w:r>
        <w:rPr>
          <w:rFonts w:ascii="Arial" w:cs="Arial" w:eastAsia="Arial" w:hAnsi="Arial"/>
          <w:sz w:val="14"/>
          <w:szCs w:val="14"/>
          <w:b w:val="1"/>
          <w:bCs w:val="1"/>
          <w:color w:val="auto"/>
        </w:rPr>
        <w:t>Former Employee</w:t>
      </w:r>
      <w:r>
        <w:rPr>
          <w:rFonts w:ascii="Arial" w:cs="Arial" w:eastAsia="Arial" w:hAnsi="Arial"/>
          <w:sz w:val="14"/>
          <w:szCs w:val="14"/>
          <w:color w:val="auto"/>
        </w:rPr>
        <w:t>”), whether or not 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4"/>
          <w:szCs w:val="14"/>
          <w:b w:val="1"/>
          <w:bCs w:val="1"/>
          <w:color w:val="auto"/>
        </w:rPr>
        <w:t>Notional Adjusted Option</w:t>
      </w:r>
      <w:r>
        <w:rPr>
          <w:rFonts w:ascii="Arial" w:cs="Arial" w:eastAsia="Arial" w:hAnsi="Arial"/>
          <w:sz w:val="14"/>
          <w:szCs w:val="14"/>
          <w:color w:val="auto"/>
        </w:rPr>
        <w:t>”) and then multiplying (A) 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1" w:lineRule="exact"/>
        <w:rPr>
          <w:rFonts w:ascii="Arial" w:cs="Arial" w:eastAsia="Arial" w:hAnsi="Arial"/>
          <w:sz w:val="14"/>
          <w:szCs w:val="14"/>
          <w:color w:val="auto"/>
        </w:rPr>
      </w:pPr>
    </w:p>
    <w:p>
      <w:pPr>
        <w:ind w:left="1720" w:right="60" w:firstLine="679"/>
        <w:spacing w:after="0" w:line="320" w:lineRule="auto"/>
        <w:tabs>
          <w:tab w:leader="none" w:pos="2831" w:val="left"/>
        </w:tabs>
        <w:numPr>
          <w:ilvl w:val="2"/>
          <w:numId w:val="265"/>
        </w:numPr>
        <w:rPr>
          <w:rFonts w:ascii="Arial" w:cs="Arial" w:eastAsia="Arial" w:hAnsi="Arial"/>
          <w:sz w:val="14"/>
          <w:szCs w:val="14"/>
          <w:color w:val="auto"/>
        </w:rPr>
      </w:pPr>
      <w:r>
        <w:rPr>
          <w:rFonts w:ascii="Arial" w:cs="Arial" w:eastAsia="Arial" w:hAnsi="Arial"/>
          <w:sz w:val="14"/>
          <w:szCs w:val="14"/>
          <w:color w:val="auto"/>
        </w:rPr>
        <w:t>At or promptly after the Effective Time, each outstanding Company RSU (each, a “</w:t>
      </w:r>
      <w:r>
        <w:rPr>
          <w:rFonts w:ascii="Arial" w:cs="Arial" w:eastAsia="Arial" w:hAnsi="Arial"/>
          <w:sz w:val="14"/>
          <w:szCs w:val="14"/>
          <w:b w:val="1"/>
          <w:bCs w:val="1"/>
          <w:color w:val="auto"/>
        </w:rPr>
        <w:t>Former Employee RSU</w:t>
      </w:r>
      <w:r>
        <w:rPr>
          <w:rFonts w:ascii="Arial" w:cs="Arial" w:eastAsia="Arial" w:hAnsi="Arial"/>
          <w:sz w:val="14"/>
          <w:szCs w:val="14"/>
          <w:color w:val="auto"/>
        </w:rPr>
        <w:t>”) held by a Former Employee, whether or not vested, shall be canceled, and the Company shall pay each such 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59" w:lineRule="exact"/>
        <w:rPr>
          <w:rFonts w:ascii="Arial" w:cs="Arial" w:eastAsia="Arial" w:hAnsi="Arial"/>
          <w:sz w:val="14"/>
          <w:szCs w:val="14"/>
          <w:color w:val="auto"/>
        </w:rPr>
      </w:pPr>
    </w:p>
    <w:p>
      <w:pPr>
        <w:ind w:left="2180" w:hanging="460"/>
        <w:spacing w:after="0"/>
        <w:tabs>
          <w:tab w:leader="none" w:pos="2180" w:val="left"/>
        </w:tabs>
        <w:numPr>
          <w:ilvl w:val="1"/>
          <w:numId w:val="265"/>
        </w:numPr>
        <w:rPr>
          <w:rFonts w:ascii="Arial" w:cs="Arial" w:eastAsia="Arial" w:hAnsi="Arial"/>
          <w:sz w:val="14"/>
          <w:szCs w:val="14"/>
          <w:color w:val="auto"/>
        </w:rPr>
      </w:pPr>
      <w:r>
        <w:rPr>
          <w:rFonts w:ascii="Arial" w:cs="Arial" w:eastAsia="Arial" w:hAnsi="Arial"/>
          <w:sz w:val="14"/>
          <w:szCs w:val="14"/>
          <w:color w:val="auto"/>
        </w:rPr>
        <w:t>Parent shall take such actions as are necessary for the assumption of the Company Stock Options and Company RSUs pursuant to Sections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79" w:lineRule="exact"/>
        <w:rPr>
          <w:sz w:val="20"/>
          <w:szCs w:val="20"/>
          <w:color w:val="auto"/>
        </w:rPr>
      </w:pPr>
    </w:p>
    <w:p>
      <w:pPr>
        <w:ind w:right="100" w:firstLine="1720"/>
        <w:spacing w:after="0" w:line="293" w:lineRule="auto"/>
        <w:tabs>
          <w:tab w:leader="none" w:pos="215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Prior to the Effective Time, the Company shall take any actions with respect to equity compensation plans or arrangements that are necessary to give effect to the transactions contemplated by this Section 2.04.</w:t>
      </w:r>
    </w:p>
    <w:p>
      <w:pPr>
        <w:spacing w:after="0" w:line="172" w:lineRule="exact"/>
        <w:rPr>
          <w:sz w:val="20"/>
          <w:szCs w:val="20"/>
          <w:color w:val="auto"/>
        </w:rPr>
      </w:pPr>
    </w:p>
    <w:p>
      <w:pPr>
        <w:ind w:right="100" w:firstLine="799"/>
        <w:spacing w:after="0" w:line="27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Adjustments</w:t>
      </w:r>
      <w:r>
        <w:rPr>
          <w:rFonts w:ascii="Arial" w:cs="Arial" w:eastAsia="Arial" w:hAnsi="Arial"/>
          <w:sz w:val="16"/>
          <w:szCs w:val="16"/>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 (b) 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90"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90" w:lineRule="exact"/>
        <w:rPr>
          <w:sz w:val="20"/>
          <w:szCs w:val="20"/>
          <w:color w:val="auto"/>
        </w:rPr>
      </w:pPr>
    </w:p>
    <w:p>
      <w:pPr>
        <w:ind w:right="100" w:firstLine="799"/>
        <w:spacing w:after="0" w:line="291"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77"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3</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Surviving Corporation</w:t>
      </w:r>
    </w:p>
    <w:p>
      <w:pPr>
        <w:spacing w:after="0" w:line="231"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The certificate of incorporation of the Company shall be the certificate of incorporation of the Surviving Corporation until amended in accordance with Applicable Law.</w:t>
      </w:r>
    </w:p>
    <w:p>
      <w:pPr>
        <w:spacing w:after="0" w:line="172" w:lineRule="exact"/>
        <w:rPr>
          <w:sz w:val="20"/>
          <w:szCs w:val="20"/>
          <w:color w:val="auto"/>
        </w:rPr>
      </w:pPr>
    </w:p>
    <w:p>
      <w:pPr>
        <w:ind w:right="440" w:firstLine="799"/>
        <w:spacing w:after="0" w:line="369"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i w:val="1"/>
          <w:iCs w:val="1"/>
          <w:color w:val="auto"/>
        </w:rPr>
        <w:t>Bylaws</w:t>
      </w:r>
      <w:r>
        <w:rPr>
          <w:rFonts w:ascii="Arial" w:cs="Arial" w:eastAsia="Arial" w:hAnsi="Arial"/>
          <w:sz w:val="14"/>
          <w:szCs w:val="14"/>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26" w:lineRule="exact"/>
        <w:rPr>
          <w:sz w:val="20"/>
          <w:szCs w:val="20"/>
          <w:color w:val="auto"/>
        </w:rPr>
      </w:pPr>
    </w:p>
    <w:p>
      <w:pPr>
        <w:ind w:right="380" w:firstLine="799"/>
        <w:spacing w:after="0" w:line="27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Directors and Officers</w:t>
      </w:r>
      <w:r>
        <w:rPr>
          <w:rFonts w:ascii="Arial" w:cs="Arial" w:eastAsia="Arial" w:hAnsi="Arial"/>
          <w:sz w:val="16"/>
          <w:szCs w:val="16"/>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31" w:lineRule="exact"/>
        <w:rPr>
          <w:sz w:val="20"/>
          <w:szCs w:val="20"/>
          <w:color w:val="auto"/>
        </w:rPr>
      </w:pPr>
    </w:p>
    <w:p>
      <w:pPr>
        <w:jc w:val="both"/>
        <w:ind w:right="280" w:firstLine="799"/>
        <w:spacing w:after="0" w:line="278" w:lineRule="auto"/>
        <w:rPr>
          <w:sz w:val="20"/>
          <w:szCs w:val="20"/>
          <w:color w:val="auto"/>
        </w:rPr>
      </w:pPr>
      <w:r>
        <w:rPr>
          <w:rFonts w:ascii="Arial" w:cs="Arial" w:eastAsia="Arial" w:hAnsi="Arial"/>
          <w:sz w:val="16"/>
          <w:szCs w:val="16"/>
          <w:color w:val="auto"/>
        </w:rPr>
        <w:t>Subject to Section 11.05, except (a) as disclosed in (i) the Company SEC Documents (as defined below) filed or furnished by the Company with the SEC since January 1, 2013 and before the date of this Agreement or (ii) the Company 10-K (together, the “</w:t>
      </w:r>
      <w:r>
        <w:rPr>
          <w:rFonts w:ascii="Arial" w:cs="Arial" w:eastAsia="Arial" w:hAnsi="Arial"/>
          <w:sz w:val="16"/>
          <w:szCs w:val="16"/>
          <w:b w:val="1"/>
          <w:bCs w:val="1"/>
          <w:color w:val="auto"/>
        </w:rPr>
        <w:t>Specified Company SEC Documents</w:t>
      </w:r>
      <w:r>
        <w:rPr>
          <w:rFonts w:ascii="Arial" w:cs="Arial" w:eastAsia="Arial" w:hAnsi="Arial"/>
          <w:sz w:val="16"/>
          <w:szCs w:val="16"/>
          <w:color w:val="auto"/>
        </w:rPr>
        <w:t>”) or (b) as set forth in the Company Disclosure Schedule, the Company represents and warrants to Parent that:</w:t>
      </w:r>
    </w:p>
    <w:p>
      <w:pPr>
        <w:spacing w:after="0" w:line="184"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The Company is a corporation duly incorporated, validly existing and in good standing under the laws of the State of Delaware and has all corporate powers and all Governmental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90"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i w:val="1"/>
          <w:iCs w:val="1"/>
          <w:color w:val="auto"/>
        </w:rPr>
        <w:t>Corporate Authorization</w:t>
      </w:r>
      <w:r>
        <w:rPr>
          <w:rFonts w:ascii="Arial" w:cs="Arial" w:eastAsia="Arial" w:hAnsi="Arial"/>
          <w:sz w:val="15"/>
          <w:szCs w:val="15"/>
          <w:color w:val="auto"/>
        </w:rPr>
        <w:t>. (a) The execution, delivery and performance by the Company of this Agreement and the Voting Agreement and the consummation by the Company of the transactions contemplated hereby and thereby are within the Company’s corporate powers and, except for the required approval of the Company’s stockholders in connection with the consummation of the Merger, have been duly authorized by all necessary corporate action on the part of the Company. The affirmative vote of the holders of a majority of the outstanding shares of Company Stock (the “</w:t>
      </w:r>
      <w:r>
        <w:rPr>
          <w:rFonts w:ascii="Arial" w:cs="Arial" w:eastAsia="Arial" w:hAnsi="Arial"/>
          <w:sz w:val="15"/>
          <w:szCs w:val="15"/>
          <w:b w:val="1"/>
          <w:bCs w:val="1"/>
          <w:color w:val="auto"/>
        </w:rPr>
        <w:t>Company Stockholder Approval</w:t>
      </w:r>
      <w:r>
        <w:rPr>
          <w:rFonts w:ascii="Arial" w:cs="Arial" w:eastAsia="Arial" w:hAnsi="Arial"/>
          <w:sz w:val="15"/>
          <w:szCs w:val="15"/>
          <w:color w:val="auto"/>
        </w:rPr>
        <w:t>”) is the only vote of the holders of any of the Company’s capital stock necessary in connection with the consummation of the Merger. This Agreement, assuming due 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181" w:lineRule="exact"/>
        <w:rPr>
          <w:sz w:val="20"/>
          <w:szCs w:val="20"/>
          <w:color w:val="auto"/>
        </w:rPr>
      </w:pPr>
    </w:p>
    <w:p>
      <w:pPr>
        <w:ind w:right="220" w:firstLine="1720"/>
        <w:spacing w:after="0" w:line="304" w:lineRule="auto"/>
        <w:tabs>
          <w:tab w:leader="none" w:pos="2135" w:val="left"/>
        </w:tabs>
        <w:numPr>
          <w:ilvl w:val="1"/>
          <w:numId w:val="267"/>
        </w:numPr>
        <w:rPr>
          <w:rFonts w:ascii="Arial" w:cs="Arial" w:eastAsia="Arial" w:hAnsi="Arial"/>
          <w:sz w:val="14"/>
          <w:szCs w:val="14"/>
          <w:color w:val="auto"/>
        </w:rPr>
      </w:pPr>
      <w:r>
        <w:rPr>
          <w:rFonts w:ascii="Arial" w:cs="Arial" w:eastAsia="Arial" w:hAnsi="Arial"/>
          <w:sz w:val="14"/>
          <w:szCs w:val="14"/>
          <w:color w:val="auto"/>
        </w:rPr>
        <w:t>At a meeting duly called and held, as of the date of this Agreement, the Company’s Board of Directors has (i) unanimously determined that this Agreement and the Voting Agreement and the transactions contemplated hereby and thereby are fair to and in the best interests of the Company’s stockholders,</w:t>
      </w:r>
    </w:p>
    <w:p>
      <w:pPr>
        <w:spacing w:after="0" w:line="1" w:lineRule="exact"/>
        <w:rPr>
          <w:rFonts w:ascii="Arial" w:cs="Arial" w:eastAsia="Arial" w:hAnsi="Arial"/>
          <w:sz w:val="14"/>
          <w:szCs w:val="14"/>
          <w:color w:val="auto"/>
        </w:rPr>
      </w:pPr>
    </w:p>
    <w:p>
      <w:pPr>
        <w:ind w:right="420" w:firstLine="8"/>
        <w:spacing w:after="0" w:line="288" w:lineRule="auto"/>
        <w:tabs>
          <w:tab w:leader="none" w:pos="23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w:t>
      </w:r>
    </w:p>
    <w:p>
      <w:pPr>
        <w:spacing w:after="0" w:line="176" w:lineRule="exact"/>
        <w:rPr>
          <w:sz w:val="20"/>
          <w:szCs w:val="20"/>
          <w:color w:val="auto"/>
        </w:rPr>
      </w:pPr>
    </w:p>
    <w:p>
      <w:pPr>
        <w:ind w:right="40" w:firstLine="799"/>
        <w:spacing w:after="0" w:line="302"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i w:val="1"/>
          <w:iCs w:val="1"/>
          <w:color w:val="auto"/>
        </w:rPr>
        <w:t>Governmental Authorization</w:t>
      </w:r>
      <w:r>
        <w:rPr>
          <w:rFonts w:ascii="Arial" w:cs="Arial" w:eastAsia="Arial" w:hAnsi="Arial"/>
          <w:sz w:val="14"/>
          <w:szCs w:val="14"/>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w:t>
      </w:r>
    </w:p>
    <w:p>
      <w:pPr>
        <w:spacing w:after="0" w:line="4" w:lineRule="exact"/>
        <w:rPr>
          <w:sz w:val="20"/>
          <w:szCs w:val="20"/>
          <w:color w:val="auto"/>
        </w:rPr>
      </w:pPr>
    </w:p>
    <w:p>
      <w:pPr>
        <w:ind w:right="80" w:firstLine="8"/>
        <w:spacing w:after="0" w:line="323" w:lineRule="auto"/>
        <w:tabs>
          <w:tab w:leader="none" w:pos="32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compliance with any applicable requirements of the New York Stock Exchange (the “</w:t>
      </w:r>
      <w:r>
        <w:rPr>
          <w:rFonts w:ascii="Arial" w:cs="Arial" w:eastAsia="Arial" w:hAnsi="Arial"/>
          <w:sz w:val="15"/>
          <w:szCs w:val="15"/>
          <w:b w:val="1"/>
          <w:bCs w:val="1"/>
          <w:color w:val="auto"/>
        </w:rPr>
        <w:t>NYSE</w:t>
      </w:r>
      <w:r>
        <w:rPr>
          <w:rFonts w:ascii="Arial" w:cs="Arial" w:eastAsia="Arial" w:hAnsi="Arial"/>
          <w:sz w:val="15"/>
          <w:szCs w:val="15"/>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53"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Non-contravention</w:t>
      </w:r>
      <w:r>
        <w:rPr>
          <w:rFonts w:ascii="Arial" w:cs="Arial" w:eastAsia="Arial" w:hAnsi="Arial"/>
          <w:sz w:val="15"/>
          <w:szCs w:val="15"/>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 (iii) 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799"/>
        <w:spacing w:after="0" w:line="26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Capitalization</w:t>
      </w:r>
      <w:r>
        <w:rPr>
          <w:rFonts w:ascii="Arial" w:cs="Arial" w:eastAsia="Arial" w:hAnsi="Arial"/>
          <w:sz w:val="16"/>
          <w:szCs w:val="16"/>
          <w:color w:val="auto"/>
        </w:rPr>
        <w:t>. (a) The authorized capital stock of the Company consists of 8,333,333,333 shares of Company Stock and 1,000,000,000 shares of preferred stock, par value $0.01, of the Company. As of February 10, 2014, there were outstanding (A) 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 respective terms thereof, duly authorized and validly issued, fully paid and nonassessable and free of preemptive rights. No Subsidiary of the Company owns any shares of capital stock of the Company or any Company Securities.</w:t>
      </w:r>
    </w:p>
    <w:p>
      <w:pPr>
        <w:spacing w:after="0" w:line="193" w:lineRule="exact"/>
        <w:rPr>
          <w:sz w:val="20"/>
          <w:szCs w:val="20"/>
          <w:color w:val="auto"/>
        </w:rPr>
      </w:pPr>
    </w:p>
    <w:p>
      <w:pPr>
        <w:ind w:right="80" w:firstLine="1720"/>
        <w:spacing w:after="0" w:line="303" w:lineRule="auto"/>
        <w:tabs>
          <w:tab w:leader="none" w:pos="2141" w:val="left"/>
        </w:tabs>
        <w:numPr>
          <w:ilvl w:val="1"/>
          <w:numId w:val="270"/>
        </w:numPr>
        <w:rPr>
          <w:rFonts w:ascii="Arial" w:cs="Arial" w:eastAsia="Arial" w:hAnsi="Arial"/>
          <w:sz w:val="14"/>
          <w:szCs w:val="14"/>
          <w:color w:val="auto"/>
        </w:rPr>
      </w:pPr>
      <w:r>
        <w:rPr>
          <w:rFonts w:ascii="Arial" w:cs="Arial" w:eastAsia="Arial" w:hAnsi="Arial"/>
          <w:sz w:val="14"/>
          <w:szCs w:val="14"/>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 (ii) securities of the Company convertible into or exchangeable for shares of capital stock or other voting securities of or other ownership interests in the Company,</w:t>
      </w:r>
    </w:p>
    <w:p>
      <w:pPr>
        <w:ind w:firstLine="8"/>
        <w:spacing w:after="0" w:line="267" w:lineRule="auto"/>
        <w:tabs>
          <w:tab w:leader="none" w:pos="28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6"/>
          <w:szCs w:val="16"/>
          <w:b w:val="1"/>
          <w:bCs w:val="1"/>
          <w:color w:val="auto"/>
        </w:rPr>
        <w:t>phantom</w:t>
      </w:r>
      <w:r>
        <w:rPr>
          <w:rFonts w:ascii="Arial" w:cs="Arial" w:eastAsia="Arial" w:hAnsi="Arial"/>
          <w:sz w:val="16"/>
          <w:szCs w:val="16"/>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6"/>
          <w:szCs w:val="16"/>
          <w:b w:val="1"/>
          <w:bCs w:val="1"/>
          <w:color w:val="auto"/>
        </w:rPr>
        <w:t>Company Securities</w:t>
      </w:r>
      <w:r>
        <w:rPr>
          <w:rFonts w:ascii="Arial" w:cs="Arial" w:eastAsia="Arial" w:hAnsi="Arial"/>
          <w:sz w:val="16"/>
          <w:szCs w:val="16"/>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95" w:lineRule="exact"/>
        <w:rPr>
          <w:sz w:val="20"/>
          <w:szCs w:val="20"/>
          <w:color w:val="auto"/>
        </w:rPr>
      </w:pPr>
    </w:p>
    <w:p>
      <w:pPr>
        <w:ind w:right="20" w:firstLine="799"/>
        <w:spacing w:after="0" w:line="287"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i w:val="1"/>
          <w:iCs w:val="1"/>
          <w:color w:val="auto"/>
        </w:rPr>
        <w:t>Subsidiaries</w:t>
      </w:r>
      <w:r>
        <w:rPr>
          <w:rFonts w:ascii="Arial" w:cs="Arial" w:eastAsia="Arial" w:hAnsi="Arial"/>
          <w:sz w:val="15"/>
          <w:szCs w:val="15"/>
          <w:color w:val="auto"/>
        </w:rPr>
        <w:t>. (a) Each Subsidiary of the Company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Company Material Adverse Effect. Each Subsidiary of the Company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Company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Company Material Adverse Effect. Section 4.06(a) of the Company Disclosure Schedule identifies all “</w:t>
      </w:r>
      <w:r>
        <w:rPr>
          <w:rFonts w:ascii="Arial" w:cs="Arial" w:eastAsia="Arial" w:hAnsi="Arial"/>
          <w:sz w:val="15"/>
          <w:szCs w:val="15"/>
          <w:b w:val="1"/>
          <w:bCs w:val="1"/>
          <w:color w:val="auto"/>
        </w:rPr>
        <w:t>significant subsidiaries</w:t>
      </w:r>
      <w:r>
        <w:rPr>
          <w:rFonts w:ascii="Arial" w:cs="Arial" w:eastAsia="Arial" w:hAnsi="Arial"/>
          <w:sz w:val="15"/>
          <w:szCs w:val="15"/>
          <w:color w:val="auto"/>
        </w:rPr>
        <w:t>” (as defined under Rule 1-02(w) of Regulation S-X promulgated pursuant to the 1934 Act) (each, a “</w:t>
      </w:r>
      <w:r>
        <w:rPr>
          <w:rFonts w:ascii="Arial" w:cs="Arial" w:eastAsia="Arial" w:hAnsi="Arial"/>
          <w:sz w:val="15"/>
          <w:szCs w:val="15"/>
          <w:b w:val="1"/>
          <w:bCs w:val="1"/>
          <w:color w:val="auto"/>
        </w:rPr>
        <w:t>Significant Subsidiary</w:t>
      </w:r>
      <w:r>
        <w:rPr>
          <w:rFonts w:ascii="Arial" w:cs="Arial" w:eastAsia="Arial" w:hAnsi="Arial"/>
          <w:sz w:val="15"/>
          <w:szCs w:val="15"/>
          <w:color w:val="auto"/>
        </w:rPr>
        <w:t>”) of the Company and their respective jurisdictions of organization</w:t>
      </w:r>
    </w:p>
    <w:p>
      <w:pPr>
        <w:spacing w:after="0" w:line="183" w:lineRule="exact"/>
        <w:rPr>
          <w:sz w:val="20"/>
          <w:szCs w:val="20"/>
          <w:color w:val="auto"/>
        </w:rPr>
      </w:pPr>
    </w:p>
    <w:p>
      <w:pPr>
        <w:ind w:right="40" w:firstLine="1720"/>
        <w:spacing w:after="0" w:line="303" w:lineRule="auto"/>
        <w:tabs>
          <w:tab w:leader="none" w:pos="2135" w:val="left"/>
        </w:tabs>
        <w:numPr>
          <w:ilvl w:val="1"/>
          <w:numId w:val="272"/>
        </w:numPr>
        <w:rPr>
          <w:rFonts w:ascii="Arial" w:cs="Arial" w:eastAsia="Arial" w:hAnsi="Arial"/>
          <w:sz w:val="14"/>
          <w:szCs w:val="14"/>
          <w:color w:val="auto"/>
        </w:rPr>
      </w:pPr>
      <w:r>
        <w:rPr>
          <w:rFonts w:ascii="Arial" w:cs="Arial" w:eastAsia="Arial" w:hAnsi="Arial"/>
          <w:sz w:val="14"/>
          <w:szCs w:val="14"/>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w:t>
      </w:r>
    </w:p>
    <w:p>
      <w:pPr>
        <w:spacing w:after="0" w:line="1" w:lineRule="exact"/>
        <w:rPr>
          <w:rFonts w:ascii="Arial" w:cs="Arial" w:eastAsia="Arial" w:hAnsi="Arial"/>
          <w:sz w:val="14"/>
          <w:szCs w:val="14"/>
          <w:color w:val="auto"/>
        </w:rPr>
      </w:pPr>
    </w:p>
    <w:p>
      <w:pPr>
        <w:ind w:right="20" w:firstLine="8"/>
        <w:spacing w:after="0" w:line="301" w:lineRule="auto"/>
        <w:tabs>
          <w:tab w:leader="none" w:pos="239" w:val="left"/>
        </w:tabs>
        <w:numPr>
          <w:ilvl w:val="0"/>
          <w:numId w:val="273"/>
        </w:numPr>
        <w:rPr>
          <w:rFonts w:ascii="Arial" w:cs="Arial" w:eastAsia="Arial" w:hAnsi="Arial"/>
          <w:sz w:val="14"/>
          <w:szCs w:val="14"/>
          <w:color w:val="auto"/>
        </w:rPr>
      </w:pPr>
      <w:r>
        <w:rPr>
          <w:rFonts w:ascii="Arial" w:cs="Arial" w:eastAsia="Arial" w:hAnsi="Arial"/>
          <w:sz w:val="14"/>
          <w:szCs w:val="14"/>
          <w:color w:val="auto"/>
        </w:rPr>
        <w:t>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14"/>
          <w:szCs w:val="14"/>
          <w:b w:val="1"/>
          <w:bCs w:val="1"/>
          <w:color w:val="auto"/>
        </w:rPr>
        <w:t>phantom</w:t>
      </w:r>
      <w:r>
        <w:rPr>
          <w:rFonts w:ascii="Arial" w:cs="Arial" w:eastAsia="Arial" w:hAnsi="Arial"/>
          <w:sz w:val="14"/>
          <w:szCs w:val="14"/>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w:t>
      </w:r>
    </w:p>
    <w:p>
      <w:pPr>
        <w:spacing w:after="0" w:line="3" w:lineRule="exact"/>
        <w:rPr>
          <w:rFonts w:ascii="Arial" w:cs="Arial" w:eastAsia="Arial" w:hAnsi="Arial"/>
          <w:sz w:val="14"/>
          <w:szCs w:val="14"/>
          <w:color w:val="auto"/>
        </w:rPr>
      </w:pPr>
    </w:p>
    <w:p>
      <w:pPr>
        <w:ind w:right="300" w:firstLine="8"/>
        <w:spacing w:after="0" w:line="288" w:lineRule="auto"/>
        <w:tabs>
          <w:tab w:leader="none" w:pos="19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through (iii) being referred to collectively as the “</w:t>
      </w:r>
      <w:r>
        <w:rPr>
          <w:rFonts w:ascii="Arial" w:cs="Arial" w:eastAsia="Arial" w:hAnsi="Arial"/>
          <w:sz w:val="16"/>
          <w:szCs w:val="16"/>
          <w:b w:val="1"/>
          <w:bCs w:val="1"/>
          <w:color w:val="auto"/>
        </w:rPr>
        <w:t>Company Subsidiary Securities</w:t>
      </w:r>
      <w:r>
        <w:rPr>
          <w:rFonts w:ascii="Arial" w:cs="Arial" w:eastAsia="Arial" w:hAnsi="Arial"/>
          <w:sz w:val="16"/>
          <w:szCs w:val="16"/>
          <w:color w:val="auto"/>
        </w:rPr>
        <w:t>”). There are no outstanding obligations of the Company or any of its Subsidiaries to repurchase, redeem or otherwise acquire any of the Company Subsidiary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firstLine="1720"/>
        <w:spacing w:after="0" w:line="268" w:lineRule="auto"/>
        <w:tabs>
          <w:tab w:leader="none" w:pos="21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6"/>
          <w:szCs w:val="16"/>
          <w:b w:val="1"/>
          <w:bCs w:val="1"/>
          <w:color w:val="auto"/>
        </w:rPr>
        <w:t>Company Investment</w:t>
      </w:r>
      <w:r>
        <w:rPr>
          <w:rFonts w:ascii="Arial" w:cs="Arial" w:eastAsia="Arial" w:hAnsi="Arial"/>
          <w:sz w:val="16"/>
          <w:szCs w:val="16"/>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93" w:lineRule="exact"/>
        <w:rPr>
          <w:sz w:val="20"/>
          <w:szCs w:val="20"/>
          <w:color w:val="auto"/>
        </w:rPr>
      </w:pPr>
    </w:p>
    <w:p>
      <w:pPr>
        <w:ind w:right="140" w:firstLine="799"/>
        <w:spacing w:after="0" w:line="273"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SEC Filings and the Sarbanes-Oxley Act</w:t>
      </w:r>
      <w:r>
        <w:rPr>
          <w:rFonts w:ascii="Arial" w:cs="Arial" w:eastAsia="Arial" w:hAnsi="Arial"/>
          <w:sz w:val="16"/>
          <w:szCs w:val="16"/>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16"/>
          <w:szCs w:val="16"/>
          <w:b w:val="1"/>
          <w:bCs w:val="1"/>
          <w:color w:val="auto"/>
        </w:rPr>
        <w:t>Company SEC Documents</w:t>
      </w:r>
      <w:r>
        <w:rPr>
          <w:rFonts w:ascii="Arial" w:cs="Arial" w:eastAsia="Arial" w:hAnsi="Arial"/>
          <w:sz w:val="16"/>
          <w:szCs w:val="16"/>
          <w:color w:val="auto"/>
        </w:rPr>
        <w:t>”).</w:t>
      </w:r>
    </w:p>
    <w:p>
      <w:pPr>
        <w:spacing w:after="0" w:line="189" w:lineRule="exact"/>
        <w:rPr>
          <w:sz w:val="20"/>
          <w:szCs w:val="20"/>
          <w:color w:val="auto"/>
        </w:rPr>
      </w:pPr>
    </w:p>
    <w:p>
      <w:pPr>
        <w:ind w:right="20" w:firstLine="1720"/>
        <w:spacing w:after="0" w:line="278" w:lineRule="auto"/>
        <w:tabs>
          <w:tab w:leader="none" w:pos="213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As of its filing date (or as of the date of any amendment filed prior to the date hereof), each Company SEC Document complied, and each Company SEC Document filed subsequent to the date hereof will comply, as to form in all material respects with the applicable requirements of the 1933 Act and the 1934 Act and the Sarbanes-Oxley Act, as the case may be.</w:t>
      </w:r>
    </w:p>
    <w:p>
      <w:pPr>
        <w:spacing w:after="0" w:line="184" w:lineRule="exact"/>
        <w:rPr>
          <w:rFonts w:ascii="Arial" w:cs="Arial" w:eastAsia="Arial" w:hAnsi="Arial"/>
          <w:sz w:val="16"/>
          <w:szCs w:val="16"/>
          <w:color w:val="auto"/>
        </w:rPr>
      </w:pPr>
    </w:p>
    <w:p>
      <w:pPr>
        <w:jc w:val="both"/>
        <w:ind w:firstLine="1720"/>
        <w:spacing w:after="0" w:line="273" w:lineRule="auto"/>
        <w:tabs>
          <w:tab w:leader="none" w:pos="212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89" w:lineRule="exact"/>
        <w:rPr>
          <w:rFonts w:ascii="Arial" w:cs="Arial" w:eastAsia="Arial" w:hAnsi="Arial"/>
          <w:sz w:val="16"/>
          <w:szCs w:val="16"/>
          <w:color w:val="auto"/>
        </w:rPr>
      </w:pPr>
    </w:p>
    <w:p>
      <w:pPr>
        <w:jc w:val="both"/>
        <w:ind w:right="140" w:firstLine="1720"/>
        <w:spacing w:after="0" w:line="278" w:lineRule="auto"/>
        <w:tabs>
          <w:tab w:leader="none" w:pos="2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84" w:lineRule="exact"/>
        <w:rPr>
          <w:rFonts w:ascii="Arial" w:cs="Arial" w:eastAsia="Arial" w:hAnsi="Arial"/>
          <w:sz w:val="16"/>
          <w:szCs w:val="16"/>
          <w:color w:val="auto"/>
        </w:rPr>
      </w:pPr>
    </w:p>
    <w:p>
      <w:pPr>
        <w:ind w:right="220" w:firstLine="1720"/>
        <w:spacing w:after="0" w:line="291" w:lineRule="auto"/>
        <w:tabs>
          <w:tab w:leader="none" w:pos="217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15"/>
          <w:szCs w:val="15"/>
          <w:b w:val="1"/>
          <w:bCs w:val="1"/>
          <w:color w:val="auto"/>
        </w:rPr>
        <w:t>principal executive officer</w:t>
      </w:r>
      <w:r>
        <w:rPr>
          <w:rFonts w:ascii="Arial" w:cs="Arial" w:eastAsia="Arial" w:hAnsi="Arial"/>
          <w:sz w:val="15"/>
          <w:szCs w:val="15"/>
          <w:color w:val="auto"/>
        </w:rPr>
        <w:t>” and “</w:t>
      </w:r>
      <w:r>
        <w:rPr>
          <w:rFonts w:ascii="Arial" w:cs="Arial" w:eastAsia="Arial" w:hAnsi="Arial"/>
          <w:sz w:val="15"/>
          <w:szCs w:val="15"/>
          <w:b w:val="1"/>
          <w:bCs w:val="1"/>
          <w:color w:val="auto"/>
        </w:rPr>
        <w:t>principal financial officer</w:t>
      </w:r>
      <w:r>
        <w:rPr>
          <w:rFonts w:ascii="Arial" w:cs="Arial" w:eastAsia="Arial" w:hAnsi="Arial"/>
          <w:sz w:val="15"/>
          <w:szCs w:val="15"/>
          <w:color w:val="auto"/>
        </w:rPr>
        <w:t>” shall have the meanings given to such terms in the Sarbanes-Oxley Act.</w:t>
      </w:r>
    </w:p>
    <w:p>
      <w:pPr>
        <w:spacing w:after="0" w:line="176" w:lineRule="exact"/>
        <w:rPr>
          <w:rFonts w:ascii="Arial" w:cs="Arial" w:eastAsia="Arial" w:hAnsi="Arial"/>
          <w:sz w:val="15"/>
          <w:szCs w:val="15"/>
          <w:color w:val="auto"/>
        </w:rPr>
      </w:pPr>
    </w:p>
    <w:p>
      <w:pPr>
        <w:ind w:right="80" w:firstLine="1720"/>
        <w:spacing w:after="0" w:line="313" w:lineRule="auto"/>
        <w:tabs>
          <w:tab w:leader="none" w:pos="2114" w:val="left"/>
        </w:tabs>
        <w:numPr>
          <w:ilvl w:val="0"/>
          <w:numId w:val="276"/>
        </w:numPr>
        <w:rPr>
          <w:rFonts w:ascii="Arial" w:cs="Arial" w:eastAsia="Arial" w:hAnsi="Arial"/>
          <w:sz w:val="14"/>
          <w:szCs w:val="14"/>
          <w:color w:val="auto"/>
        </w:rPr>
      </w:pPr>
      <w:r>
        <w:rPr>
          <w:rFonts w:ascii="Arial" w:cs="Arial" w:eastAsia="Arial" w:hAnsi="Arial"/>
          <w:sz w:val="14"/>
          <w:szCs w:val="14"/>
          <w:color w:val="auto"/>
        </w:rPr>
        <w:t>The Company and its Subsidiaries have established and maintained a system of internal controls over financial reporting (as defined in Rule 13a-15 under the 1934 Act) (“</w:t>
      </w:r>
      <w:r>
        <w:rPr>
          <w:rFonts w:ascii="Arial" w:cs="Arial" w:eastAsia="Arial" w:hAnsi="Arial"/>
          <w:sz w:val="14"/>
          <w:szCs w:val="14"/>
          <w:b w:val="1"/>
          <w:bCs w:val="1"/>
          <w:color w:val="auto"/>
        </w:rPr>
        <w:t>internal controls</w:t>
      </w:r>
      <w:r>
        <w:rPr>
          <w:rFonts w:ascii="Arial" w:cs="Arial" w:eastAsia="Arial" w:hAnsi="Arial"/>
          <w:sz w:val="14"/>
          <w:szCs w:val="14"/>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64" w:lineRule="exact"/>
        <w:rPr>
          <w:rFonts w:ascii="Arial" w:cs="Arial" w:eastAsia="Arial" w:hAnsi="Arial"/>
          <w:sz w:val="14"/>
          <w:szCs w:val="14"/>
          <w:color w:val="auto"/>
        </w:rPr>
      </w:pPr>
    </w:p>
    <w:p>
      <w:pPr>
        <w:jc w:val="both"/>
        <w:ind w:right="500" w:firstLine="1720"/>
        <w:spacing w:after="0" w:line="278" w:lineRule="auto"/>
        <w:tabs>
          <w:tab w:leader="none" w:pos="214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extended or maintained credit, arranged for the extension of credit, or renewed an extension of credit, in the form of a personal loan to or for any executive officer (as defined in Rule 3b-7 under the 1934 Act) or director of the Company in violation of Section 402 of the Sarbanes-Oxley Act.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80" w:firstLine="1720"/>
        <w:spacing w:after="0" w:line="293" w:lineRule="auto"/>
        <w:tabs>
          <w:tab w:leader="none" w:pos="214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72" w:lineRule="exact"/>
        <w:rPr>
          <w:rFonts w:ascii="Arial" w:cs="Arial" w:eastAsia="Arial" w:hAnsi="Arial"/>
          <w:sz w:val="16"/>
          <w:szCs w:val="16"/>
          <w:color w:val="auto"/>
        </w:rPr>
      </w:pPr>
    </w:p>
    <w:p>
      <w:pPr>
        <w:ind w:right="20" w:firstLine="1720"/>
        <w:spacing w:after="0" w:line="335" w:lineRule="auto"/>
        <w:tabs>
          <w:tab w:leader="none" w:pos="2108" w:val="left"/>
        </w:tabs>
        <w:numPr>
          <w:ilvl w:val="0"/>
          <w:numId w:val="277"/>
        </w:numPr>
        <w:rPr>
          <w:rFonts w:ascii="Arial" w:cs="Arial" w:eastAsia="Arial" w:hAnsi="Arial"/>
          <w:sz w:val="14"/>
          <w:szCs w:val="14"/>
          <w:color w:val="auto"/>
        </w:rPr>
      </w:pPr>
      <w:r>
        <w:rPr>
          <w:rFonts w:ascii="Arial" w:cs="Arial" w:eastAsia="Arial" w:hAnsi="Arial"/>
          <w:sz w:val="14"/>
          <w:szCs w:val="14"/>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49" w:lineRule="exact"/>
        <w:rPr>
          <w:rFonts w:ascii="Arial" w:cs="Arial" w:eastAsia="Arial" w:hAnsi="Arial"/>
          <w:sz w:val="14"/>
          <w:szCs w:val="14"/>
          <w:color w:val="auto"/>
        </w:rPr>
      </w:pPr>
    </w:p>
    <w:p>
      <w:pPr>
        <w:ind w:right="80" w:firstLine="1720"/>
        <w:spacing w:after="0" w:line="278" w:lineRule="auto"/>
        <w:tabs>
          <w:tab w:leader="none" w:pos="21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84" w:lineRule="exact"/>
        <w:rPr>
          <w:rFonts w:ascii="Arial" w:cs="Arial" w:eastAsia="Arial" w:hAnsi="Arial"/>
          <w:sz w:val="16"/>
          <w:szCs w:val="16"/>
          <w:color w:val="auto"/>
        </w:rPr>
      </w:pPr>
    </w:p>
    <w:p>
      <w:pPr>
        <w:ind w:right="160" w:firstLine="1720"/>
        <w:spacing w:after="0" w:line="297" w:lineRule="auto"/>
        <w:tabs>
          <w:tab w:leader="none" w:pos="2144" w:val="left"/>
        </w:tabs>
        <w:numPr>
          <w:ilvl w:val="0"/>
          <w:numId w:val="277"/>
        </w:numPr>
        <w:rPr>
          <w:rFonts w:ascii="Arial" w:cs="Arial" w:eastAsia="Arial" w:hAnsi="Arial"/>
          <w:sz w:val="15"/>
          <w:szCs w:val="15"/>
          <w:color w:val="auto"/>
        </w:rPr>
      </w:pPr>
      <w:r>
        <w:rPr>
          <w:rFonts w:ascii="Arial" w:cs="Arial" w:eastAsia="Arial" w:hAnsi="Arial"/>
          <w:sz w:val="15"/>
          <w:szCs w:val="15"/>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72" w:lineRule="exact"/>
        <w:rPr>
          <w:rFonts w:ascii="Arial" w:cs="Arial" w:eastAsia="Arial" w:hAnsi="Arial"/>
          <w:sz w:val="15"/>
          <w:szCs w:val="15"/>
          <w:color w:val="auto"/>
        </w:rPr>
      </w:pPr>
    </w:p>
    <w:p>
      <w:pPr>
        <w:ind w:right="180" w:firstLine="1720"/>
        <w:spacing w:after="0" w:line="293" w:lineRule="auto"/>
        <w:tabs>
          <w:tab w:leader="none" w:pos="21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2013, when filed with the SEC, will contain no material differences from the Company 10-K.</w:t>
      </w:r>
    </w:p>
    <w:p>
      <w:pPr>
        <w:spacing w:after="0" w:line="172" w:lineRule="exact"/>
        <w:rPr>
          <w:sz w:val="20"/>
          <w:szCs w:val="20"/>
          <w:color w:val="auto"/>
        </w:rPr>
      </w:pPr>
    </w:p>
    <w:p>
      <w:pPr>
        <w:ind w:right="60" w:firstLine="799"/>
        <w:spacing w:after="0" w:line="318" w:lineRule="auto"/>
        <w:rPr>
          <w:sz w:val="20"/>
          <w:szCs w:val="20"/>
          <w:color w:val="auto"/>
        </w:rPr>
      </w:pPr>
      <w:r>
        <w:rPr>
          <w:rFonts w:ascii="Arial" w:cs="Arial" w:eastAsia="Arial" w:hAnsi="Arial"/>
          <w:sz w:val="14"/>
          <w:szCs w:val="14"/>
          <w:color w:val="auto"/>
        </w:rPr>
        <w:t xml:space="preserve">Section 4.08. </w:t>
      </w:r>
      <w:r>
        <w:rPr>
          <w:rFonts w:ascii="Arial" w:cs="Arial" w:eastAsia="Arial" w:hAnsi="Arial"/>
          <w:sz w:val="14"/>
          <w:szCs w:val="14"/>
          <w:i w:val="1"/>
          <w:iCs w:val="1"/>
          <w:color w:val="auto"/>
        </w:rPr>
        <w:t>Financial Statements</w:t>
      </w:r>
      <w:r>
        <w:rPr>
          <w:rFonts w:ascii="Arial" w:cs="Arial" w:eastAsia="Arial" w:hAnsi="Arial"/>
          <w:sz w:val="14"/>
          <w:szCs w:val="14"/>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62" w:lineRule="exact"/>
        <w:rPr>
          <w:sz w:val="20"/>
          <w:szCs w:val="20"/>
          <w:color w:val="auto"/>
        </w:rPr>
      </w:pPr>
    </w:p>
    <w:p>
      <w:pPr>
        <w:ind w:right="20" w:firstLine="799"/>
        <w:spacing w:after="0" w:line="285" w:lineRule="auto"/>
        <w:rPr>
          <w:sz w:val="20"/>
          <w:szCs w:val="20"/>
          <w:color w:val="auto"/>
        </w:rPr>
      </w:pPr>
      <w:r>
        <w:rPr>
          <w:rFonts w:ascii="Arial" w:cs="Arial" w:eastAsia="Arial" w:hAnsi="Arial"/>
          <w:sz w:val="15"/>
          <w:szCs w:val="15"/>
          <w:color w:val="auto"/>
        </w:rPr>
        <w:t xml:space="preserve">Section 4.09. </w:t>
      </w:r>
      <w:r>
        <w:rPr>
          <w:rFonts w:ascii="Arial" w:cs="Arial" w:eastAsia="Arial" w:hAnsi="Arial"/>
          <w:sz w:val="15"/>
          <w:szCs w:val="15"/>
          <w:i w:val="1"/>
          <w:iCs w:val="1"/>
          <w:color w:val="auto"/>
        </w:rPr>
        <w:t>Disclosure Documents</w:t>
      </w:r>
      <w:r>
        <w:rPr>
          <w:rFonts w:ascii="Arial" w:cs="Arial" w:eastAsia="Arial" w:hAnsi="Arial"/>
          <w:sz w:val="15"/>
          <w:szCs w:val="15"/>
          <w:color w:val="auto"/>
        </w:rPr>
        <w:t>. The information supplied by the Company in writing for inclusion or incorporation by reference in the registration statement on Form S-4 or any amendment or supplement thereto pursuant to which shares of Parent Class A Common Stock issuable as part of the Merger Consideration will be registered with the SEC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5"/>
          <w:szCs w:val="15"/>
          <w:b w:val="1"/>
          <w:bCs w:val="1"/>
          <w:color w:val="auto"/>
        </w:rPr>
        <w:t>Joint Proxy Statement/Prospectus</w:t>
      </w:r>
      <w:r>
        <w:rPr>
          <w:rFonts w:ascii="Arial" w:cs="Arial" w:eastAsia="Arial" w:hAnsi="Arial"/>
          <w:sz w:val="15"/>
          <w:szCs w:val="15"/>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87" w:lineRule="exact"/>
        <w:rPr>
          <w:sz w:val="20"/>
          <w:szCs w:val="20"/>
          <w:color w:val="auto"/>
        </w:rPr>
      </w:pPr>
    </w:p>
    <w:p>
      <w:pPr>
        <w:ind w:firstLine="799"/>
        <w:spacing w:after="0" w:line="335"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Absence of Certain Changes</w:t>
      </w:r>
      <w:r>
        <w:rPr>
          <w:rFonts w:ascii="Arial" w:cs="Arial" w:eastAsia="Arial" w:hAnsi="Arial"/>
          <w:sz w:val="14"/>
          <w:szCs w:val="14"/>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180" w:firstLine="1720"/>
        <w:spacing w:after="0" w:line="278" w:lineRule="auto"/>
        <w:tabs>
          <w:tab w:leader="none" w:pos="214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84" w:lineRule="exact"/>
        <w:rPr>
          <w:sz w:val="20"/>
          <w:szCs w:val="20"/>
          <w:color w:val="auto"/>
        </w:rPr>
      </w:pPr>
    </w:p>
    <w:p>
      <w:pPr>
        <w:ind w:right="460" w:firstLine="799"/>
        <w:spacing w:after="0" w:line="293"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No Undisclosed Material Liabilities</w:t>
      </w:r>
      <w:r>
        <w:rPr>
          <w:rFonts w:ascii="Arial" w:cs="Arial" w:eastAsia="Arial" w:hAnsi="Arial"/>
          <w:sz w:val="16"/>
          <w:szCs w:val="16"/>
          <w:color w:val="auto"/>
        </w:rPr>
        <w:t>. There are no liabilities or obligations of the Company or any of its Subsidiaries of any kind whatsoever, whether accrued, contingent, absolute, determined, determinable or otherwise, other than:</w:t>
      </w:r>
    </w:p>
    <w:p>
      <w:pPr>
        <w:spacing w:after="0" w:line="172" w:lineRule="exact"/>
        <w:rPr>
          <w:sz w:val="20"/>
          <w:szCs w:val="20"/>
          <w:color w:val="auto"/>
        </w:rPr>
      </w:pPr>
    </w:p>
    <w:p>
      <w:pPr>
        <w:ind w:left="2140" w:hanging="420"/>
        <w:spacing w:after="0"/>
        <w:tabs>
          <w:tab w:leader="none" w:pos="214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liabilities or obligations disclosed, reflected, reserved against or otherwise provided for in the Company Balance Sheet or in the notes thereto;</w:t>
      </w:r>
    </w:p>
    <w:p>
      <w:pPr>
        <w:spacing w:after="0" w:line="257" w:lineRule="exact"/>
        <w:rPr>
          <w:rFonts w:ascii="Arial" w:cs="Arial" w:eastAsia="Arial" w:hAnsi="Arial"/>
          <w:sz w:val="14"/>
          <w:szCs w:val="14"/>
          <w:color w:val="auto"/>
        </w:rPr>
      </w:pPr>
    </w:p>
    <w:p>
      <w:pPr>
        <w:ind w:left="2160" w:hanging="440"/>
        <w:spacing w:after="0"/>
        <w:tabs>
          <w:tab w:leader="none" w:pos="216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liabilities or obligations incurred in the ordinary course of business consistent with past practices since the Company Balance Sheet Date;</w:t>
      </w:r>
    </w:p>
    <w:p>
      <w:pPr>
        <w:spacing w:after="0" w:line="246" w:lineRule="exact"/>
        <w:rPr>
          <w:rFonts w:ascii="Arial" w:cs="Arial" w:eastAsia="Arial" w:hAnsi="Arial"/>
          <w:sz w:val="15"/>
          <w:szCs w:val="15"/>
          <w:color w:val="auto"/>
        </w:rPr>
      </w:pPr>
    </w:p>
    <w:p>
      <w:pPr>
        <w:ind w:left="2140" w:hanging="420"/>
        <w:spacing w:after="0"/>
        <w:tabs>
          <w:tab w:leader="none" w:pos="21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liabilities or obligations arising out of this Agreement or the transactions contemplated hereby; and</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279"/>
        </w:numPr>
        <w:rPr>
          <w:rFonts w:ascii="Arial" w:cs="Arial" w:eastAsia="Arial" w:hAnsi="Arial"/>
          <w:sz w:val="14"/>
          <w:szCs w:val="14"/>
          <w:color w:val="auto"/>
        </w:rPr>
      </w:pPr>
      <w:r>
        <w:rPr>
          <w:rFonts w:ascii="Arial" w:cs="Arial" w:eastAsia="Arial" w:hAnsi="Arial"/>
          <w:sz w:val="14"/>
          <w:szCs w:val="14"/>
          <w:color w:val="auto"/>
        </w:rPr>
        <w:t>liabilities or obligations that would not reasonably be expected to have, individually or in the aggregate, a Company Material Adverse Effect.</w:t>
      </w:r>
    </w:p>
    <w:p>
      <w:pPr>
        <w:spacing w:after="0" w:line="258" w:lineRule="exact"/>
        <w:rPr>
          <w:sz w:val="20"/>
          <w:szCs w:val="20"/>
          <w:color w:val="auto"/>
        </w:rPr>
      </w:pPr>
    </w:p>
    <w:p>
      <w:pPr>
        <w:ind w:firstLine="799"/>
        <w:spacing w:after="0" w:line="315" w:lineRule="auto"/>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i w:val="1"/>
          <w:iCs w:val="1"/>
          <w:color w:val="auto"/>
        </w:rPr>
        <w:t>Compliance with Laws and Court Orders; Governmental Authorizations</w:t>
      </w:r>
      <w:r>
        <w:rPr>
          <w:rFonts w:ascii="Arial" w:cs="Arial" w:eastAsia="Arial" w:hAnsi="Arial"/>
          <w:sz w:val="14"/>
          <w:szCs w:val="14"/>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64" w:lineRule="exact"/>
        <w:rPr>
          <w:sz w:val="20"/>
          <w:szCs w:val="20"/>
          <w:color w:val="auto"/>
        </w:rPr>
      </w:pPr>
    </w:p>
    <w:p>
      <w:pPr>
        <w:ind w:right="80" w:firstLine="1720"/>
        <w:spacing w:after="0" w:line="271" w:lineRule="auto"/>
        <w:tabs>
          <w:tab w:leader="none" w:pos="21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0"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i w:val="1"/>
          <w:iCs w:val="1"/>
          <w:color w:val="auto"/>
        </w:rPr>
        <w:t>Litigation</w:t>
      </w:r>
      <w:r>
        <w:rPr>
          <w:rFonts w:ascii="Arial" w:cs="Arial" w:eastAsia="Arial" w:hAnsi="Arial"/>
          <w:sz w:val="15"/>
          <w:szCs w:val="15"/>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76"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i w:val="1"/>
          <w:iCs w:val="1"/>
          <w:color w:val="auto"/>
        </w:rPr>
        <w:t>Properties</w:t>
      </w:r>
      <w:r>
        <w:rPr>
          <w:rFonts w:ascii="Arial" w:cs="Arial" w:eastAsia="Arial" w:hAnsi="Arial"/>
          <w:sz w:val="16"/>
          <w:szCs w:val="16"/>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189" w:lineRule="exact"/>
        <w:rPr>
          <w:sz w:val="20"/>
          <w:szCs w:val="20"/>
          <w:color w:val="auto"/>
        </w:rPr>
      </w:pPr>
    </w:p>
    <w:p>
      <w:pPr>
        <w:ind w:right="20" w:firstLine="1720"/>
        <w:spacing w:after="0" w:line="304" w:lineRule="auto"/>
        <w:tabs>
          <w:tab w:leader="none" w:pos="2144" w:val="left"/>
        </w:tabs>
        <w:numPr>
          <w:ilvl w:val="1"/>
          <w:numId w:val="281"/>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individually or in the aggregate, a Company Material Adverse Effect, (i) each lease, sublease or license (each, a “</w:t>
      </w:r>
      <w:r>
        <w:rPr>
          <w:rFonts w:ascii="Arial" w:cs="Arial" w:eastAsia="Arial" w:hAnsi="Arial"/>
          <w:sz w:val="14"/>
          <w:szCs w:val="14"/>
          <w:b w:val="1"/>
          <w:bCs w:val="1"/>
          <w:color w:val="auto"/>
        </w:rPr>
        <w:t>Lease</w:t>
      </w:r>
      <w:r>
        <w:rPr>
          <w:rFonts w:ascii="Arial" w:cs="Arial" w:eastAsia="Arial" w:hAnsi="Arial"/>
          <w:sz w:val="14"/>
          <w:szCs w:val="14"/>
          <w:color w:val="auto"/>
        </w:rPr>
        <w:t>”) under which the Company or any of its Subsidiaries leases, subleases or licenses any real property is valid and in full force and effect and</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other party to a Lease, has violated any provision of, or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59" w:right="2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Section 4.15. </w:t>
      </w:r>
      <w:r>
        <w:rPr>
          <w:rFonts w:ascii="Arial" w:cs="Arial" w:eastAsia="Arial" w:hAnsi="Arial"/>
          <w:sz w:val="14"/>
          <w:szCs w:val="14"/>
          <w:i w:val="1"/>
          <w:iCs w:val="1"/>
          <w:color w:val="auto"/>
        </w:rPr>
        <w:t>Intellectual Property</w:t>
      </w:r>
      <w:r>
        <w:rPr>
          <w:rFonts w:ascii="Arial" w:cs="Arial" w:eastAsia="Arial" w:hAnsi="Arial"/>
          <w:sz w:val="14"/>
          <w:szCs w:val="14"/>
          <w:color w:val="auto"/>
        </w:rPr>
        <w:t>. (a) Except as would not reasonably be expected to have, individually or in the aggregate, a Company Material Adverse Effect,</w:t>
      </w:r>
    </w:p>
    <w:p>
      <w:pPr>
        <w:spacing w:after="0" w:line="45" w:lineRule="exact"/>
        <w:rPr>
          <w:sz w:val="20"/>
          <w:szCs w:val="20"/>
          <w:color w:val="auto"/>
        </w:rPr>
      </w:pPr>
    </w:p>
    <w:p>
      <w:pPr>
        <w:jc w:val="both"/>
        <w:ind w:right="40" w:firstLine="8"/>
        <w:spacing w:after="0" w:line="272" w:lineRule="auto"/>
        <w:tabs>
          <w:tab w:leader="none" w:pos="19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88" w:lineRule="exact"/>
        <w:rPr>
          <w:rFonts w:ascii="Arial" w:cs="Arial" w:eastAsia="Arial" w:hAnsi="Arial"/>
          <w:sz w:val="16"/>
          <w:szCs w:val="16"/>
          <w:color w:val="auto"/>
        </w:rPr>
      </w:pPr>
    </w:p>
    <w:p>
      <w:pPr>
        <w:ind w:firstLine="1720"/>
        <w:spacing w:after="0" w:line="288" w:lineRule="auto"/>
        <w:tabs>
          <w:tab w:leader="none" w:pos="2144"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80" w:lineRule="exact"/>
        <w:rPr>
          <w:rFonts w:ascii="Arial" w:cs="Arial" w:eastAsia="Arial" w:hAnsi="Arial"/>
          <w:sz w:val="15"/>
          <w:szCs w:val="15"/>
          <w:color w:val="auto"/>
        </w:rPr>
      </w:pPr>
    </w:p>
    <w:p>
      <w:pPr>
        <w:ind w:right="80" w:firstLine="1720"/>
        <w:spacing w:after="0" w:line="291" w:lineRule="auto"/>
        <w:tabs>
          <w:tab w:leader="none" w:pos="2135"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 knowledge of the Company, no Person has infringed, misappropriated or otherwise violated any Owned Intellectual Property Right.</w:t>
      </w:r>
    </w:p>
    <w:p>
      <w:pPr>
        <w:spacing w:after="0" w:line="176" w:lineRule="exact"/>
        <w:rPr>
          <w:rFonts w:ascii="Arial" w:cs="Arial" w:eastAsia="Arial" w:hAnsi="Arial"/>
          <w:sz w:val="15"/>
          <w:szCs w:val="15"/>
          <w:color w:val="auto"/>
        </w:rPr>
      </w:pPr>
    </w:p>
    <w:p>
      <w:pPr>
        <w:ind w:right="60" w:firstLine="1720"/>
        <w:spacing w:after="0" w:line="318" w:lineRule="auto"/>
        <w:tabs>
          <w:tab w:leader="none" w:pos="2144" w:val="left"/>
        </w:tabs>
        <w:numPr>
          <w:ilvl w:val="1"/>
          <w:numId w:val="283"/>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62" w:lineRule="exact"/>
        <w:rPr>
          <w:rFonts w:ascii="Arial" w:cs="Arial" w:eastAsia="Arial" w:hAnsi="Arial"/>
          <w:sz w:val="14"/>
          <w:szCs w:val="14"/>
          <w:color w:val="auto"/>
        </w:rPr>
      </w:pPr>
    </w:p>
    <w:p>
      <w:pPr>
        <w:ind w:right="160" w:firstLine="1720"/>
        <w:spacing w:after="0" w:line="271" w:lineRule="auto"/>
        <w:tabs>
          <w:tab w:leader="none" w:pos="213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i w:val="1"/>
          <w:iCs w:val="1"/>
          <w:color w:val="auto"/>
        </w:rPr>
        <w:t>Taxes</w:t>
      </w:r>
      <w:r>
        <w:rPr>
          <w:rFonts w:ascii="Arial" w:cs="Arial" w:eastAsia="Arial" w:hAnsi="Arial"/>
          <w:sz w:val="16"/>
          <w:szCs w:val="16"/>
          <w:color w:val="auto"/>
        </w:rPr>
        <w:t>. Except as would not reasonably be expected to have, individually or in the aggregate, a Company Material Adverse Effect:</w:t>
      </w:r>
    </w:p>
    <w:p>
      <w:pPr>
        <w:spacing w:after="0" w:line="235" w:lineRule="exact"/>
        <w:rPr>
          <w:sz w:val="20"/>
          <w:szCs w:val="20"/>
          <w:color w:val="auto"/>
        </w:rPr>
      </w:pPr>
    </w:p>
    <w:p>
      <w:pPr>
        <w:ind w:right="500" w:firstLine="807"/>
        <w:spacing w:after="0" w:line="293" w:lineRule="auto"/>
        <w:tabs>
          <w:tab w:leader="none" w:pos="101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72" w:lineRule="exact"/>
        <w:rPr>
          <w:sz w:val="20"/>
          <w:szCs w:val="20"/>
          <w:color w:val="auto"/>
        </w:rPr>
      </w:pPr>
    </w:p>
    <w:p>
      <w:pPr>
        <w:ind w:left="1720" w:right="180" w:firstLine="679"/>
        <w:spacing w:after="0" w:line="293" w:lineRule="auto"/>
        <w:tabs>
          <w:tab w:leader="none" w:pos="28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paid to the appropriate Taxing Authority all Taxes shown as due and payable on all Tax Returns that have been so filed;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720" w:right="600" w:firstLine="679"/>
        <w:spacing w:after="0" w:line="293" w:lineRule="auto"/>
        <w:tabs>
          <w:tab w:leader="none" w:pos="288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accruals and reserves with respect to Taxes as set forth on the Company Balance Sheet are adequate (as determined in accordance with GAAP);</w:t>
      </w:r>
    </w:p>
    <w:p>
      <w:pPr>
        <w:spacing w:after="0" w:line="172" w:lineRule="exact"/>
        <w:rPr>
          <w:rFonts w:ascii="Arial" w:cs="Arial" w:eastAsia="Arial" w:hAnsi="Arial"/>
          <w:sz w:val="16"/>
          <w:szCs w:val="16"/>
          <w:color w:val="auto"/>
        </w:rPr>
      </w:pPr>
    </w:p>
    <w:p>
      <w:pPr>
        <w:ind w:left="1720" w:right="140" w:firstLine="679"/>
        <w:spacing w:after="0" w:line="293" w:lineRule="auto"/>
        <w:tabs>
          <w:tab w:leader="none" w:pos="28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adequate accruals and reserves (as determined in accordance with GAAP) have been established for Taxes attributable to taxable periods (or portions thereof) from the Company Balance Sheet Date;</w:t>
      </w:r>
    </w:p>
    <w:p>
      <w:pPr>
        <w:spacing w:after="0" w:line="172" w:lineRule="exact"/>
        <w:rPr>
          <w:rFonts w:ascii="Arial" w:cs="Arial" w:eastAsia="Arial" w:hAnsi="Arial"/>
          <w:sz w:val="16"/>
          <w:szCs w:val="16"/>
          <w:color w:val="auto"/>
        </w:rPr>
      </w:pPr>
    </w:p>
    <w:p>
      <w:pPr>
        <w:ind w:left="1720" w:right="380" w:firstLine="679"/>
        <w:spacing w:after="0" w:line="293" w:lineRule="auto"/>
        <w:tabs>
          <w:tab w:leader="none" w:pos="283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there is no action, suit, investigation, proceeding or audit pending or, to the Company’s knowledge, threatened against or with respect to the Company or any of its Subsidiaries in respect of any material Tax; and</w:t>
      </w:r>
    </w:p>
    <w:p>
      <w:pPr>
        <w:spacing w:after="0" w:line="172" w:lineRule="exact"/>
        <w:rPr>
          <w:rFonts w:ascii="Arial" w:cs="Arial" w:eastAsia="Arial" w:hAnsi="Arial"/>
          <w:sz w:val="16"/>
          <w:szCs w:val="16"/>
          <w:color w:val="auto"/>
        </w:rPr>
      </w:pPr>
    </w:p>
    <w:p>
      <w:pPr>
        <w:jc w:val="both"/>
        <w:ind w:left="1720" w:right="20" w:firstLine="679"/>
        <w:spacing w:after="0" w:line="278" w:lineRule="auto"/>
        <w:tabs>
          <w:tab w:leader="none" w:pos="287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80" w:lineRule="exact"/>
        <w:rPr>
          <w:rFonts w:ascii="Arial" w:cs="Arial" w:eastAsia="Arial" w:hAnsi="Arial"/>
          <w:sz w:val="16"/>
          <w:szCs w:val="16"/>
          <w:color w:val="auto"/>
        </w:rPr>
      </w:pPr>
    </w:p>
    <w:p>
      <w:pPr>
        <w:ind w:right="400" w:firstLine="1720"/>
        <w:spacing w:after="0" w:line="334" w:lineRule="auto"/>
        <w:tabs>
          <w:tab w:leader="none" w:pos="2144" w:val="left"/>
        </w:tabs>
        <w:numPr>
          <w:ilvl w:val="0"/>
          <w:numId w:val="287"/>
        </w:numPr>
        <w:rPr>
          <w:rFonts w:ascii="Arial" w:cs="Arial" w:eastAsia="Arial" w:hAnsi="Arial"/>
          <w:sz w:val="15"/>
          <w:szCs w:val="15"/>
          <w:color w:val="auto"/>
        </w:rPr>
      </w:pPr>
      <w:r>
        <w:rPr>
          <w:rFonts w:ascii="Arial" w:cs="Arial" w:eastAsia="Arial" w:hAnsi="Arial"/>
          <w:sz w:val="15"/>
          <w:szCs w:val="15"/>
          <w:color w:val="auto"/>
        </w:rPr>
        <w:t>Under the Tax Sharing Agreement with Time Warner Inc. (“</w:t>
      </w:r>
      <w:r>
        <w:rPr>
          <w:rFonts w:ascii="Arial" w:cs="Arial" w:eastAsia="Arial" w:hAnsi="Arial"/>
          <w:sz w:val="15"/>
          <w:szCs w:val="15"/>
          <w:b w:val="1"/>
          <w:bCs w:val="1"/>
          <w:color w:val="auto"/>
        </w:rPr>
        <w:t>TWX</w:t>
      </w:r>
      <w:r>
        <w:rPr>
          <w:rFonts w:ascii="Arial" w:cs="Arial" w:eastAsia="Arial" w:hAnsi="Arial"/>
          <w:sz w:val="15"/>
          <w:szCs w:val="15"/>
          <w:color w:val="auto"/>
        </w:rPr>
        <w:t>”), the Company is not responsible for income and franchise taxes for taxable periods prior to and including March 31, 2003. The Company was part of the TWX federal consolidated tax return through March 12, 2009.</w:t>
      </w:r>
    </w:p>
    <w:p>
      <w:pPr>
        <w:spacing w:after="0" w:line="145" w:lineRule="exact"/>
        <w:rPr>
          <w:rFonts w:ascii="Arial" w:cs="Arial" w:eastAsia="Arial" w:hAnsi="Arial"/>
          <w:sz w:val="15"/>
          <w:szCs w:val="15"/>
          <w:color w:val="auto"/>
        </w:rPr>
      </w:pPr>
    </w:p>
    <w:p>
      <w:pPr>
        <w:ind w:right="60" w:firstLine="1720"/>
        <w:spacing w:after="0" w:line="293" w:lineRule="auto"/>
        <w:tabs>
          <w:tab w:leader="none" w:pos="21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72" w:lineRule="exact"/>
        <w:rPr>
          <w:rFonts w:ascii="Arial" w:cs="Arial" w:eastAsia="Arial" w:hAnsi="Arial"/>
          <w:sz w:val="16"/>
          <w:szCs w:val="16"/>
          <w:color w:val="auto"/>
        </w:rPr>
      </w:pPr>
    </w:p>
    <w:p>
      <w:pPr>
        <w:jc w:val="both"/>
        <w:ind w:right="300" w:firstLine="1720"/>
        <w:spacing w:after="0" w:line="273" w:lineRule="auto"/>
        <w:tabs>
          <w:tab w:leader="none" w:pos="214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85" w:lineRule="exact"/>
        <w:rPr>
          <w:rFonts w:ascii="Arial" w:cs="Arial" w:eastAsia="Arial" w:hAnsi="Arial"/>
          <w:sz w:val="16"/>
          <w:szCs w:val="16"/>
          <w:color w:val="auto"/>
        </w:rPr>
      </w:pPr>
    </w:p>
    <w:p>
      <w:pPr>
        <w:ind w:left="2140" w:hanging="420"/>
        <w:spacing w:after="0"/>
        <w:tabs>
          <w:tab w:leader="none" w:pos="2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participated in a “</w:t>
      </w:r>
      <w:r>
        <w:rPr>
          <w:rFonts w:ascii="Arial" w:cs="Arial" w:eastAsia="Arial" w:hAnsi="Arial"/>
          <w:sz w:val="15"/>
          <w:szCs w:val="15"/>
          <w:b w:val="1"/>
          <w:bCs w:val="1"/>
          <w:color w:val="auto"/>
        </w:rPr>
        <w:t>reportable transaction</w:t>
      </w:r>
      <w:r>
        <w:rPr>
          <w:rFonts w:ascii="Arial" w:cs="Arial" w:eastAsia="Arial" w:hAnsi="Arial"/>
          <w:sz w:val="15"/>
          <w:szCs w:val="15"/>
          <w:color w:val="auto"/>
        </w:rPr>
        <w:t>” within the meaning of Treasury Regulations</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1.6011-4(b)(1).</w:t>
      </w:r>
    </w:p>
    <w:p>
      <w:pPr>
        <w:spacing w:after="0" w:line="230" w:lineRule="exact"/>
        <w:rPr>
          <w:rFonts w:ascii="Arial" w:cs="Arial" w:eastAsia="Arial" w:hAnsi="Arial"/>
          <w:sz w:val="15"/>
          <w:szCs w:val="15"/>
          <w:color w:val="auto"/>
        </w:rPr>
      </w:pPr>
    </w:p>
    <w:p>
      <w:pPr>
        <w:ind w:right="600" w:firstLine="1720"/>
        <w:spacing w:after="0" w:line="293" w:lineRule="auto"/>
        <w:tabs>
          <w:tab w:leader="none" w:pos="211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jurisdiction in which the Company or any of its Subsidiaries does not file Tax Returns has asserted that the Company or any of its Subsidiaries is or may be liable for Tax in that jurisdiction.</w:t>
      </w:r>
    </w:p>
    <w:p>
      <w:pPr>
        <w:spacing w:after="0" w:line="172" w:lineRule="exact"/>
        <w:rPr>
          <w:rFonts w:ascii="Arial" w:cs="Arial" w:eastAsia="Arial" w:hAnsi="Arial"/>
          <w:sz w:val="16"/>
          <w:szCs w:val="16"/>
          <w:color w:val="auto"/>
        </w:rPr>
      </w:pPr>
    </w:p>
    <w:p>
      <w:pPr>
        <w:ind w:left="2160" w:hanging="440"/>
        <w:spacing w:after="0"/>
        <w:tabs>
          <w:tab w:leader="none" w:pos="2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None of the Subsidiaries of the Company owns any Company Stock.</w:t>
      </w:r>
    </w:p>
    <w:p>
      <w:pPr>
        <w:spacing w:after="0" w:line="235" w:lineRule="exact"/>
        <w:rPr>
          <w:sz w:val="20"/>
          <w:szCs w:val="20"/>
          <w:color w:val="auto"/>
        </w:rPr>
      </w:pPr>
    </w:p>
    <w:p>
      <w:pPr>
        <w:ind w:right="20" w:firstLine="799"/>
        <w:spacing w:after="0" w:line="302"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i w:val="1"/>
          <w:iCs w:val="1"/>
          <w:color w:val="auto"/>
        </w:rPr>
        <w:t>Employees and Employee Benefit Plans</w:t>
      </w:r>
      <w:r>
        <w:rPr>
          <w:rFonts w:ascii="Arial" w:cs="Arial" w:eastAsia="Arial" w:hAnsi="Arial"/>
          <w:sz w:val="14"/>
          <w:szCs w:val="14"/>
          <w:color w:val="auto"/>
        </w:rPr>
        <w:t>. (a) Section 4.17 of the Company Disclosure Schedule contains a correct and complete list identifying each material “</w:t>
      </w:r>
      <w:r>
        <w:rPr>
          <w:rFonts w:ascii="Arial" w:cs="Arial" w:eastAsia="Arial" w:hAnsi="Arial"/>
          <w:sz w:val="14"/>
          <w:szCs w:val="14"/>
          <w:b w:val="1"/>
          <w:bCs w:val="1"/>
          <w:color w:val="auto"/>
        </w:rPr>
        <w:t>employee benefit plan,</w:t>
      </w:r>
      <w:r>
        <w:rPr>
          <w:rFonts w:ascii="Arial" w:cs="Arial" w:eastAsia="Arial" w:hAnsi="Arial"/>
          <w:sz w:val="14"/>
          <w:szCs w:val="14"/>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 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w:t>
      </w:r>
    </w:p>
    <w:p>
      <w:pPr>
        <w:spacing w:after="0" w:line="4" w:lineRule="exact"/>
        <w:rPr>
          <w:sz w:val="20"/>
          <w:szCs w:val="20"/>
          <w:color w:val="auto"/>
        </w:rPr>
      </w:pPr>
    </w:p>
    <w:p>
      <w:pPr>
        <w:ind w:firstLine="8"/>
        <w:spacing w:after="0" w:line="276" w:lineRule="auto"/>
        <w:tabs>
          <w:tab w:leader="none" w:pos="3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6"/>
          <w:szCs w:val="16"/>
          <w:b w:val="1"/>
          <w:bCs w:val="1"/>
          <w:color w:val="auto"/>
        </w:rPr>
        <w:t>Company Plans.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260" w:firstLine="1720"/>
        <w:spacing w:after="0" w:line="298" w:lineRule="auto"/>
        <w:tabs>
          <w:tab w:leader="none" w:pos="2144" w:val="left"/>
        </w:tabs>
        <w:numPr>
          <w:ilvl w:val="1"/>
          <w:numId w:val="288"/>
        </w:numPr>
        <w:rPr>
          <w:rFonts w:ascii="Arial" w:cs="Arial" w:eastAsia="Arial" w:hAnsi="Arial"/>
          <w:sz w:val="16"/>
          <w:szCs w:val="16"/>
          <w:color w:val="auto"/>
        </w:rPr>
      </w:pPr>
      <w:r>
        <w:rPr>
          <w:rFonts w:ascii="Arial" w:cs="Arial" w:eastAsia="Arial" w:hAnsi="Arial"/>
          <w:sz w:val="16"/>
          <w:szCs w:val="16"/>
          <w:color w:val="auto"/>
        </w:rPr>
        <w:t>No Company Plan (for the avoidance of doubt, other than any Multiemployer Plan) that is subject to Title IV of ERISA (each, a “</w:t>
      </w:r>
      <w:r>
        <w:rPr>
          <w:rFonts w:ascii="Arial" w:cs="Arial" w:eastAsia="Arial" w:hAnsi="Arial"/>
          <w:sz w:val="16"/>
          <w:szCs w:val="16"/>
          <w:b w:val="1"/>
          <w:bCs w:val="1"/>
          <w:color w:val="auto"/>
        </w:rPr>
        <w:t>Title IV</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has any unfunded liabilities as of the date of this Agreement. The aggregate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60" w:right="2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underfunded or unfunded, as applicable, liability for all Company Plans that are “</w:t>
      </w:r>
      <w:r>
        <w:rPr>
          <w:rFonts w:ascii="Arial" w:cs="Arial" w:eastAsia="Arial" w:hAnsi="Arial"/>
          <w:sz w:val="16"/>
          <w:szCs w:val="16"/>
          <w:b w:val="1"/>
          <w:bCs w:val="1"/>
          <w:color w:val="auto"/>
        </w:rPr>
        <w:t>excess benefit plans</w:t>
      </w:r>
      <w:r>
        <w:rPr>
          <w:rFonts w:ascii="Arial" w:cs="Arial" w:eastAsia="Arial" w:hAnsi="Arial"/>
          <w:sz w:val="16"/>
          <w:szCs w:val="16"/>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87" w:lineRule="exact"/>
        <w:rPr>
          <w:sz w:val="20"/>
          <w:szCs w:val="20"/>
          <w:color w:val="auto"/>
        </w:rPr>
      </w:pPr>
    </w:p>
    <w:p>
      <w:pPr>
        <w:ind w:right="80" w:firstLine="1720"/>
        <w:spacing w:after="0" w:line="287" w:lineRule="auto"/>
        <w:tabs>
          <w:tab w:leader="none" w:pos="2135" w:val="left"/>
        </w:tabs>
        <w:numPr>
          <w:ilvl w:val="0"/>
          <w:numId w:val="289"/>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5"/>
          <w:szCs w:val="15"/>
          <w:b w:val="1"/>
          <w:bCs w:val="1"/>
          <w:color w:val="auto"/>
        </w:rPr>
        <w:t>complete withdrawal</w:t>
      </w:r>
      <w:r>
        <w:rPr>
          <w:rFonts w:ascii="Arial" w:cs="Arial" w:eastAsia="Arial" w:hAnsi="Arial"/>
          <w:sz w:val="15"/>
          <w:szCs w:val="15"/>
          <w:color w:val="auto"/>
        </w:rPr>
        <w:t>” or a “</w:t>
      </w:r>
      <w:r>
        <w:rPr>
          <w:rFonts w:ascii="Arial" w:cs="Arial" w:eastAsia="Arial" w:hAnsi="Arial"/>
          <w:sz w:val="15"/>
          <w:szCs w:val="15"/>
          <w:b w:val="1"/>
          <w:bCs w:val="1"/>
          <w:color w:val="auto"/>
        </w:rPr>
        <w:t>partial withdrawal</w:t>
      </w:r>
      <w:r>
        <w:rPr>
          <w:rFonts w:ascii="Arial" w:cs="Arial" w:eastAsia="Arial" w:hAnsi="Arial"/>
          <w:sz w:val="15"/>
          <w:szCs w:val="15"/>
          <w:color w:val="auto"/>
        </w:rPr>
        <w:t>” (within the meaning of Sections 4203 and 4205 of ERISA, respectively) from any “</w:t>
      </w:r>
      <w:r>
        <w:rPr>
          <w:rFonts w:ascii="Arial" w:cs="Arial" w:eastAsia="Arial" w:hAnsi="Arial"/>
          <w:sz w:val="15"/>
          <w:szCs w:val="15"/>
          <w:b w:val="1"/>
          <w:bCs w:val="1"/>
          <w:color w:val="auto"/>
        </w:rPr>
        <w:t>multiemployer plan</w:t>
      </w:r>
      <w:r>
        <w:rPr>
          <w:rFonts w:ascii="Arial" w:cs="Arial" w:eastAsia="Arial" w:hAnsi="Arial"/>
          <w:sz w:val="15"/>
          <w:szCs w:val="15"/>
          <w:color w:val="auto"/>
        </w:rPr>
        <w:t>” as defined in Section 3(37) of ERISA (a “</w:t>
      </w:r>
      <w:r>
        <w:rPr>
          <w:rFonts w:ascii="Arial" w:cs="Arial" w:eastAsia="Arial" w:hAnsi="Arial"/>
          <w:sz w:val="15"/>
          <w:szCs w:val="15"/>
          <w:b w:val="1"/>
          <w:bCs w:val="1"/>
          <w:color w:val="auto"/>
        </w:rPr>
        <w:t>Multiemployer Plan</w:t>
      </w:r>
      <w:r>
        <w:rPr>
          <w:rFonts w:ascii="Arial" w:cs="Arial" w:eastAsia="Arial" w:hAnsi="Arial"/>
          <w:sz w:val="15"/>
          <w:szCs w:val="15"/>
          <w:color w:val="auto"/>
        </w:rPr>
        <w:t>”) and, to the Company’s knowledge, no circumstances exist that would reasonably be expected to give rise to any such withdrawal (including as a result of the transactions contemplated by this Agreement). Neither the Company nor any of its ERISA Affiliates has received notice of any Multiemployer Plan’s (i) failure to satisfy the minimum funding requirements of Section 412 of the Code or application for or receipt of a waiver of such minimum funding requirements, (ii) “</w:t>
      </w:r>
      <w:r>
        <w:rPr>
          <w:rFonts w:ascii="Arial" w:cs="Arial" w:eastAsia="Arial" w:hAnsi="Arial"/>
          <w:sz w:val="15"/>
          <w:szCs w:val="15"/>
          <w:b w:val="1"/>
          <w:bCs w:val="1"/>
          <w:color w:val="auto"/>
        </w:rPr>
        <w:t>endangered status</w:t>
      </w:r>
      <w:r>
        <w:rPr>
          <w:rFonts w:ascii="Arial" w:cs="Arial" w:eastAsia="Arial" w:hAnsi="Arial"/>
          <w:sz w:val="15"/>
          <w:szCs w:val="15"/>
          <w:color w:val="auto"/>
        </w:rPr>
        <w:t>” or “</w:t>
      </w:r>
      <w:r>
        <w:rPr>
          <w:rFonts w:ascii="Arial" w:cs="Arial" w:eastAsia="Arial" w:hAnsi="Arial"/>
          <w:sz w:val="15"/>
          <w:szCs w:val="15"/>
          <w:b w:val="1"/>
          <w:bCs w:val="1"/>
          <w:color w:val="auto"/>
        </w:rPr>
        <w:t>critical status</w:t>
      </w:r>
      <w:r>
        <w:rPr>
          <w:rFonts w:ascii="Arial" w:cs="Arial" w:eastAsia="Arial" w:hAnsi="Arial"/>
          <w:sz w:val="15"/>
          <w:szCs w:val="15"/>
          <w:color w:val="auto"/>
        </w:rPr>
        <w:t>” (within the meaning of Section 432 of the Code) or (iii) insolvency, “</w:t>
      </w:r>
      <w:r>
        <w:rPr>
          <w:rFonts w:ascii="Arial" w:cs="Arial" w:eastAsia="Arial" w:hAnsi="Arial"/>
          <w:sz w:val="15"/>
          <w:szCs w:val="15"/>
          <w:b w:val="1"/>
          <w:bCs w:val="1"/>
          <w:color w:val="auto"/>
        </w:rPr>
        <w:t>reorganization</w:t>
      </w:r>
      <w:r>
        <w:rPr>
          <w:rFonts w:ascii="Arial" w:cs="Arial" w:eastAsia="Arial" w:hAnsi="Arial"/>
          <w:sz w:val="15"/>
          <w:szCs w:val="15"/>
          <w:color w:val="auto"/>
        </w:rPr>
        <w:t>” (within the meaning of 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82" w:lineRule="exact"/>
        <w:rPr>
          <w:rFonts w:ascii="Arial" w:cs="Arial" w:eastAsia="Arial" w:hAnsi="Arial"/>
          <w:sz w:val="15"/>
          <w:szCs w:val="15"/>
          <w:color w:val="auto"/>
        </w:rPr>
      </w:pPr>
    </w:p>
    <w:p>
      <w:pPr>
        <w:ind w:right="300" w:firstLine="1720"/>
        <w:spacing w:after="0" w:line="335" w:lineRule="auto"/>
        <w:tabs>
          <w:tab w:leader="none" w:pos="2144" w:val="left"/>
        </w:tabs>
        <w:numPr>
          <w:ilvl w:val="0"/>
          <w:numId w:val="289"/>
        </w:numPr>
        <w:rPr>
          <w:rFonts w:ascii="Arial" w:cs="Arial" w:eastAsia="Arial" w:hAnsi="Arial"/>
          <w:sz w:val="14"/>
          <w:szCs w:val="14"/>
          <w:color w:val="auto"/>
        </w:rPr>
      </w:pPr>
      <w:r>
        <w:rPr>
          <w:rFonts w:ascii="Arial" w:cs="Arial" w:eastAsia="Arial" w:hAnsi="Arial"/>
          <w:sz w:val="14"/>
          <w:szCs w:val="14"/>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49" w:lineRule="exact"/>
        <w:rPr>
          <w:rFonts w:ascii="Arial" w:cs="Arial" w:eastAsia="Arial" w:hAnsi="Arial"/>
          <w:sz w:val="14"/>
          <w:szCs w:val="14"/>
          <w:color w:val="auto"/>
        </w:rPr>
      </w:pPr>
    </w:p>
    <w:p>
      <w:pPr>
        <w:ind w:right="60" w:firstLine="1720"/>
        <w:spacing w:after="0" w:line="270" w:lineRule="auto"/>
        <w:tabs>
          <w:tab w:leader="none" w:pos="21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89" w:lineRule="exact"/>
        <w:rPr>
          <w:rFonts w:ascii="Arial" w:cs="Arial" w:eastAsia="Arial" w:hAnsi="Arial"/>
          <w:sz w:val="16"/>
          <w:szCs w:val="16"/>
          <w:color w:val="auto"/>
        </w:rPr>
      </w:pPr>
    </w:p>
    <w:p>
      <w:pPr>
        <w:ind w:right="100" w:firstLine="1720"/>
        <w:spacing w:after="0" w:line="278" w:lineRule="auto"/>
        <w:tabs>
          <w:tab w:leader="none" w:pos="211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84" w:lineRule="exact"/>
        <w:rPr>
          <w:rFonts w:ascii="Arial" w:cs="Arial" w:eastAsia="Arial" w:hAnsi="Arial"/>
          <w:sz w:val="16"/>
          <w:szCs w:val="16"/>
          <w:color w:val="auto"/>
        </w:rPr>
      </w:pPr>
    </w:p>
    <w:p>
      <w:pPr>
        <w:ind w:right="180" w:firstLine="1720"/>
        <w:spacing w:after="0" w:line="278" w:lineRule="auto"/>
        <w:tabs>
          <w:tab w:leader="none" w:pos="21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84" w:lineRule="exact"/>
        <w:rPr>
          <w:rFonts w:ascii="Arial" w:cs="Arial" w:eastAsia="Arial" w:hAnsi="Arial"/>
          <w:sz w:val="16"/>
          <w:szCs w:val="16"/>
          <w:color w:val="auto"/>
        </w:rPr>
      </w:pPr>
    </w:p>
    <w:p>
      <w:pPr>
        <w:ind w:right="60" w:firstLine="1720"/>
        <w:spacing w:after="0" w:line="278" w:lineRule="auto"/>
        <w:tabs>
          <w:tab w:leader="none" w:pos="21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84" w:lineRule="exact"/>
        <w:rPr>
          <w:rFonts w:ascii="Arial" w:cs="Arial" w:eastAsia="Arial" w:hAnsi="Arial"/>
          <w:sz w:val="16"/>
          <w:szCs w:val="16"/>
          <w:color w:val="auto"/>
        </w:rPr>
      </w:pPr>
    </w:p>
    <w:p>
      <w:pPr>
        <w:ind w:firstLine="1720"/>
        <w:spacing w:after="0" w:line="270" w:lineRule="auto"/>
        <w:tabs>
          <w:tab w:leader="none" w:pos="21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6"/>
          <w:szCs w:val="16"/>
          <w:b w:val="1"/>
          <w:bCs w:val="1"/>
          <w:color w:val="auto"/>
        </w:rPr>
        <w:t>Company International Plan</w:t>
      </w:r>
      <w:r>
        <w:rPr>
          <w:rFonts w:ascii="Arial" w:cs="Arial" w:eastAsia="Arial" w:hAnsi="Arial"/>
          <w:sz w:val="16"/>
          <w:szCs w:val="16"/>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89" w:lineRule="exact"/>
        <w:rPr>
          <w:rFonts w:ascii="Arial" w:cs="Arial" w:eastAsia="Arial" w:hAnsi="Arial"/>
          <w:sz w:val="16"/>
          <w:szCs w:val="16"/>
          <w:color w:val="auto"/>
        </w:rPr>
      </w:pPr>
    </w:p>
    <w:p>
      <w:pPr>
        <w:ind w:right="40" w:firstLine="1720"/>
        <w:spacing w:after="0" w:line="278" w:lineRule="auto"/>
        <w:tabs>
          <w:tab w:leader="none" w:pos="210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1720"/>
        <w:spacing w:after="0" w:line="269" w:lineRule="auto"/>
        <w:tabs>
          <w:tab w:leader="none" w:pos="21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90" w:lineRule="exact"/>
        <w:rPr>
          <w:rFonts w:ascii="Arial" w:cs="Arial" w:eastAsia="Arial" w:hAnsi="Arial"/>
          <w:sz w:val="16"/>
          <w:szCs w:val="16"/>
          <w:color w:val="auto"/>
        </w:rPr>
      </w:pPr>
    </w:p>
    <w:p>
      <w:pPr>
        <w:ind w:right="40" w:firstLine="1720"/>
        <w:spacing w:after="0" w:line="278" w:lineRule="auto"/>
        <w:tabs>
          <w:tab w:leader="none" w:pos="21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84" w:lineRule="exact"/>
        <w:rPr>
          <w:sz w:val="20"/>
          <w:szCs w:val="20"/>
          <w:color w:val="auto"/>
        </w:rPr>
      </w:pPr>
    </w:p>
    <w:p>
      <w:pPr>
        <w:ind w:right="180" w:firstLine="799"/>
        <w:spacing w:after="0" w:line="273"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Environmental Matters</w:t>
      </w:r>
      <w:r>
        <w:rPr>
          <w:rFonts w:ascii="Arial" w:cs="Arial" w:eastAsia="Arial" w:hAnsi="Arial"/>
          <w:sz w:val="16"/>
          <w:szCs w:val="16"/>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89" w:lineRule="exact"/>
        <w:rPr>
          <w:sz w:val="20"/>
          <w:szCs w:val="20"/>
          <w:color w:val="auto"/>
        </w:rPr>
      </w:pPr>
    </w:p>
    <w:p>
      <w:pPr>
        <w:ind w:right="120" w:firstLine="1720"/>
        <w:spacing w:after="0" w:line="293" w:lineRule="auto"/>
        <w:tabs>
          <w:tab w:leader="none" w:pos="214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72" w:lineRule="exact"/>
        <w:rPr>
          <w:rFonts w:ascii="Arial" w:cs="Arial" w:eastAsia="Arial" w:hAnsi="Arial"/>
          <w:sz w:val="16"/>
          <w:szCs w:val="16"/>
          <w:color w:val="auto"/>
        </w:rPr>
      </w:pPr>
    </w:p>
    <w:p>
      <w:pPr>
        <w:ind w:right="120" w:firstLine="1720"/>
        <w:spacing w:after="0" w:line="273" w:lineRule="auto"/>
        <w:tabs>
          <w:tab w:leader="none" w:pos="213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89" w:lineRule="exact"/>
        <w:rPr>
          <w:rFonts w:ascii="Arial" w:cs="Arial" w:eastAsia="Arial" w:hAnsi="Arial"/>
          <w:sz w:val="16"/>
          <w:szCs w:val="16"/>
          <w:color w:val="auto"/>
        </w:rPr>
      </w:pPr>
    </w:p>
    <w:p>
      <w:pPr>
        <w:ind w:right="200" w:firstLine="1720"/>
        <w:spacing w:after="0" w:line="329" w:lineRule="auto"/>
        <w:tabs>
          <w:tab w:leader="none" w:pos="214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consummation of the transactions contemplated hereby requires no filings to be made or actions to be taken pursuant to the New Jersey Industrial Site Recovery Act or the “</w:t>
      </w:r>
      <w:r>
        <w:rPr>
          <w:rFonts w:ascii="Arial" w:cs="Arial" w:eastAsia="Arial" w:hAnsi="Arial"/>
          <w:sz w:val="15"/>
          <w:szCs w:val="15"/>
          <w:b w:val="1"/>
          <w:bCs w:val="1"/>
          <w:color w:val="auto"/>
        </w:rPr>
        <w:t>Connecticut Property Transfer Law</w:t>
      </w:r>
      <w:r>
        <w:rPr>
          <w:rFonts w:ascii="Arial" w:cs="Arial" w:eastAsia="Arial" w:hAnsi="Arial"/>
          <w:sz w:val="15"/>
          <w:szCs w:val="15"/>
          <w:color w:val="auto"/>
        </w:rPr>
        <w:t>” (Sections 22a-134 through 22-134e of the Connecticut General Statutes).</w:t>
      </w:r>
    </w:p>
    <w:p>
      <w:pPr>
        <w:spacing w:after="0" w:line="148"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i w:val="1"/>
          <w:iCs w:val="1"/>
          <w:color w:val="auto"/>
        </w:rPr>
        <w:t>Material Contracts</w:t>
      </w:r>
      <w:r>
        <w:rPr>
          <w:rFonts w:ascii="Arial" w:cs="Arial" w:eastAsia="Arial" w:hAnsi="Arial"/>
          <w:sz w:val="16"/>
          <w:szCs w:val="16"/>
          <w:color w:val="auto"/>
        </w:rPr>
        <w:t>. (a) As of the date of this Agreement, neither the Company nor any of its Subsidiaries is party to or bound by, whether in writing or not, any contract, arrangement, commitment or understanding that:</w:t>
      </w:r>
    </w:p>
    <w:p>
      <w:pPr>
        <w:spacing w:after="0" w:line="172" w:lineRule="exact"/>
        <w:rPr>
          <w:sz w:val="20"/>
          <w:szCs w:val="20"/>
          <w:color w:val="auto"/>
        </w:rPr>
      </w:pPr>
    </w:p>
    <w:p>
      <w:pPr>
        <w:ind w:left="1720" w:firstLine="679"/>
        <w:spacing w:after="0" w:line="303" w:lineRule="auto"/>
        <w:tabs>
          <w:tab w:leader="none" w:pos="2795" w:val="left"/>
        </w:tabs>
        <w:numPr>
          <w:ilvl w:val="1"/>
          <w:numId w:val="292"/>
        </w:numPr>
        <w:rPr>
          <w:rFonts w:ascii="Arial" w:cs="Arial" w:eastAsia="Arial" w:hAnsi="Arial"/>
          <w:sz w:val="14"/>
          <w:szCs w:val="14"/>
          <w:color w:val="auto"/>
        </w:rPr>
      </w:pPr>
      <w:r>
        <w:rPr>
          <w:rFonts w:ascii="Arial" w:cs="Arial" w:eastAsia="Arial" w:hAnsi="Arial"/>
          <w:sz w:val="14"/>
          <w:szCs w:val="14"/>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w:t>
      </w:r>
    </w:p>
    <w:p>
      <w:pPr>
        <w:ind w:left="1940" w:hanging="220"/>
        <w:spacing w:after="0"/>
        <w:tabs>
          <w:tab w:leader="none" w:pos="194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obtaining products or services from any Person;</w:t>
      </w:r>
    </w:p>
    <w:p>
      <w:pPr>
        <w:spacing w:after="0" w:line="226" w:lineRule="exact"/>
        <w:rPr>
          <w:rFonts w:ascii="Arial" w:cs="Arial" w:eastAsia="Arial" w:hAnsi="Arial"/>
          <w:sz w:val="16"/>
          <w:szCs w:val="16"/>
          <w:color w:val="auto"/>
        </w:rPr>
      </w:pPr>
    </w:p>
    <w:p>
      <w:pPr>
        <w:ind w:left="1720" w:right="300" w:firstLine="679"/>
        <w:spacing w:after="0" w:line="307" w:lineRule="auto"/>
        <w:tabs>
          <w:tab w:leader="none" w:pos="2840" w:val="left"/>
        </w:tabs>
        <w:numPr>
          <w:ilvl w:val="1"/>
          <w:numId w:val="293"/>
        </w:numPr>
        <w:rPr>
          <w:rFonts w:ascii="Arial" w:cs="Arial" w:eastAsia="Arial" w:hAnsi="Arial"/>
          <w:sz w:val="14"/>
          <w:szCs w:val="14"/>
          <w:color w:val="auto"/>
        </w:rPr>
      </w:pPr>
      <w:r>
        <w:rPr>
          <w:rFonts w:ascii="Arial" w:cs="Arial" w:eastAsia="Arial" w:hAnsi="Arial"/>
          <w:sz w:val="14"/>
          <w:szCs w:val="14"/>
          <w:color w:val="auto"/>
        </w:rPr>
        <w:t>includes (A) any “</w:t>
      </w:r>
      <w:r>
        <w:rPr>
          <w:rFonts w:ascii="Arial" w:cs="Arial" w:eastAsia="Arial" w:hAnsi="Arial"/>
          <w:sz w:val="14"/>
          <w:szCs w:val="14"/>
          <w:b w:val="1"/>
          <w:bCs w:val="1"/>
          <w:color w:val="auto"/>
        </w:rPr>
        <w:t>most favored nations</w:t>
      </w:r>
      <w:r>
        <w:rPr>
          <w:rFonts w:ascii="Arial" w:cs="Arial" w:eastAsia="Arial" w:hAnsi="Arial"/>
          <w:sz w:val="14"/>
          <w:szCs w:val="14"/>
          <w:color w:val="auto"/>
        </w:rPr>
        <w:t>” terms and conditions (including with respect to pricing) granted by the Company to a Third Party, (B) any arrangement whereby the Company grants any right of first refusal or right of first offer or similar right to a Third Party or</w:t>
      </w:r>
    </w:p>
    <w:p>
      <w:pPr>
        <w:spacing w:after="0" w:line="1" w:lineRule="exact"/>
        <w:rPr>
          <w:rFonts w:ascii="Arial" w:cs="Arial" w:eastAsia="Arial" w:hAnsi="Arial"/>
          <w:sz w:val="14"/>
          <w:szCs w:val="14"/>
          <w:color w:val="auto"/>
        </w:rPr>
      </w:pPr>
    </w:p>
    <w:p>
      <w:pPr>
        <w:ind w:left="1720" w:right="260"/>
        <w:spacing w:after="0" w:line="272" w:lineRule="auto"/>
        <w:rPr>
          <w:rFonts w:ascii="Arial" w:cs="Arial" w:eastAsia="Arial" w:hAnsi="Arial"/>
          <w:sz w:val="14"/>
          <w:szCs w:val="14"/>
          <w:color w:val="auto"/>
        </w:rPr>
      </w:pPr>
      <w:r>
        <w:rPr>
          <w:rFonts w:ascii="Arial" w:cs="Arial" w:eastAsia="Arial" w:hAnsi="Arial"/>
          <w:sz w:val="16"/>
          <w:szCs w:val="16"/>
          <w:color w:val="auto"/>
        </w:rPr>
        <w:t>(C)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88" w:lineRule="exact"/>
        <w:rPr>
          <w:rFonts w:ascii="Arial" w:cs="Arial" w:eastAsia="Arial" w:hAnsi="Arial"/>
          <w:sz w:val="14"/>
          <w:szCs w:val="14"/>
          <w:color w:val="auto"/>
        </w:rPr>
      </w:pPr>
    </w:p>
    <w:p>
      <w:pPr>
        <w:ind w:left="1720" w:right="420" w:firstLine="679"/>
        <w:spacing w:after="0" w:line="293" w:lineRule="auto"/>
        <w:tabs>
          <w:tab w:leader="none" w:pos="288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is a joint venture, alliance or partnership agreement that either (A) is material to the Company and its Subsidiaries, taken as a whole, or (B) would reasonably be expected to require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720" w:right="480"/>
        <w:spacing w:after="0" w:line="329" w:lineRule="auto"/>
        <w:rPr>
          <w:sz w:val="20"/>
          <w:szCs w:val="20"/>
          <w:color w:val="auto"/>
        </w:rPr>
      </w:pPr>
      <w:r>
        <w:rPr>
          <w:rFonts w:ascii="Arial" w:cs="Arial" w:eastAsia="Arial" w:hAnsi="Arial"/>
          <w:sz w:val="15"/>
          <w:szCs w:val="15"/>
          <w:color w:val="auto"/>
        </w:rPr>
        <w:t>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48" w:lineRule="exact"/>
        <w:rPr>
          <w:sz w:val="20"/>
          <w:szCs w:val="20"/>
          <w:color w:val="auto"/>
        </w:rPr>
      </w:pPr>
    </w:p>
    <w:p>
      <w:pPr>
        <w:ind w:left="1720" w:right="100" w:firstLine="679"/>
        <w:spacing w:after="0" w:line="329" w:lineRule="auto"/>
        <w:tabs>
          <w:tab w:leader="none" w:pos="2876" w:val="left"/>
        </w:tabs>
        <w:numPr>
          <w:ilvl w:val="0"/>
          <w:numId w:val="294"/>
        </w:numPr>
        <w:rPr>
          <w:rFonts w:ascii="Arial" w:cs="Arial" w:eastAsia="Arial" w:hAnsi="Arial"/>
          <w:sz w:val="15"/>
          <w:szCs w:val="15"/>
          <w:color w:val="auto"/>
        </w:rPr>
      </w:pPr>
      <w:r>
        <w:rPr>
          <w:rFonts w:ascii="Arial" w:cs="Arial" w:eastAsia="Arial" w:hAnsi="Arial"/>
          <w:sz w:val="15"/>
          <w:szCs w:val="15"/>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48" w:lineRule="exact"/>
        <w:rPr>
          <w:rFonts w:ascii="Arial" w:cs="Arial" w:eastAsia="Arial" w:hAnsi="Arial"/>
          <w:sz w:val="15"/>
          <w:szCs w:val="15"/>
          <w:color w:val="auto"/>
        </w:rPr>
      </w:pPr>
    </w:p>
    <w:p>
      <w:pPr>
        <w:ind w:left="1720" w:right="200" w:firstLine="679"/>
        <w:spacing w:after="0" w:line="293" w:lineRule="auto"/>
        <w:tabs>
          <w:tab w:leader="none" w:pos="283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material interest, rate, currency or other swap or derivative transaction (other than those entered into in the ordinary course of business solely for hedging purposes);</w:t>
      </w:r>
    </w:p>
    <w:p>
      <w:pPr>
        <w:spacing w:after="0" w:line="172" w:lineRule="exact"/>
        <w:rPr>
          <w:rFonts w:ascii="Arial" w:cs="Arial" w:eastAsia="Arial" w:hAnsi="Arial"/>
          <w:sz w:val="16"/>
          <w:szCs w:val="16"/>
          <w:color w:val="auto"/>
        </w:rPr>
      </w:pPr>
    </w:p>
    <w:p>
      <w:pPr>
        <w:ind w:left="1720" w:firstLine="679"/>
        <w:spacing w:after="0" w:line="297" w:lineRule="auto"/>
        <w:tabs>
          <w:tab w:leader="none" w:pos="2876" w:val="left"/>
        </w:tabs>
        <w:numPr>
          <w:ilvl w:val="0"/>
          <w:numId w:val="294"/>
        </w:numPr>
        <w:rPr>
          <w:rFonts w:ascii="Arial" w:cs="Arial" w:eastAsia="Arial" w:hAnsi="Arial"/>
          <w:sz w:val="15"/>
          <w:szCs w:val="15"/>
          <w:color w:val="auto"/>
        </w:rPr>
      </w:pPr>
      <w:r>
        <w:rPr>
          <w:rFonts w:ascii="Arial" w:cs="Arial" w:eastAsia="Arial" w:hAnsi="Arial"/>
          <w:sz w:val="15"/>
          <w:szCs w:val="15"/>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72" w:lineRule="exact"/>
        <w:rPr>
          <w:rFonts w:ascii="Arial" w:cs="Arial" w:eastAsia="Arial" w:hAnsi="Arial"/>
          <w:sz w:val="15"/>
          <w:szCs w:val="15"/>
          <w:color w:val="auto"/>
        </w:rPr>
      </w:pPr>
    </w:p>
    <w:p>
      <w:pPr>
        <w:ind w:left="1720" w:right="140" w:firstLine="679"/>
        <w:spacing w:after="0" w:line="293" w:lineRule="auto"/>
        <w:tabs>
          <w:tab w:leader="none" w:pos="292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172" w:lineRule="exact"/>
        <w:rPr>
          <w:rFonts w:ascii="Arial" w:cs="Arial" w:eastAsia="Arial" w:hAnsi="Arial"/>
          <w:sz w:val="16"/>
          <w:szCs w:val="16"/>
          <w:color w:val="auto"/>
        </w:rPr>
      </w:pPr>
    </w:p>
    <w:p>
      <w:pPr>
        <w:ind w:left="1720" w:right="20" w:firstLine="679"/>
        <w:spacing w:after="0" w:line="273" w:lineRule="auto"/>
        <w:tabs>
          <w:tab w:leader="none" w:pos="296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89" w:lineRule="exact"/>
        <w:rPr>
          <w:rFonts w:ascii="Arial" w:cs="Arial" w:eastAsia="Arial" w:hAnsi="Arial"/>
          <w:sz w:val="16"/>
          <w:szCs w:val="16"/>
          <w:color w:val="auto"/>
        </w:rPr>
      </w:pPr>
    </w:p>
    <w:p>
      <w:pPr>
        <w:ind w:left="1720" w:right="200" w:firstLine="679"/>
        <w:spacing w:after="0" w:line="278" w:lineRule="auto"/>
        <w:tabs>
          <w:tab w:leader="none" w:pos="287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80" w:lineRule="exact"/>
        <w:rPr>
          <w:sz w:val="20"/>
          <w:szCs w:val="20"/>
          <w:color w:val="auto"/>
        </w:rPr>
      </w:pPr>
    </w:p>
    <w:p>
      <w:pPr>
        <w:ind w:right="420" w:firstLine="799"/>
        <w:spacing w:after="0" w:line="334" w:lineRule="auto"/>
        <w:rPr>
          <w:sz w:val="20"/>
          <w:szCs w:val="20"/>
          <w:color w:val="auto"/>
        </w:rPr>
      </w:pPr>
      <w:r>
        <w:rPr>
          <w:rFonts w:ascii="Arial" w:cs="Arial" w:eastAsia="Arial" w:hAnsi="Arial"/>
          <w:sz w:val="15"/>
          <w:szCs w:val="15"/>
          <w:color w:val="auto"/>
        </w:rPr>
        <w:t>(each such contract listed in Section 4.19 of the Company Disclosure Schedule and any contract of the Company or any of its Subsidiaries that is a “</w:t>
      </w:r>
      <w:r>
        <w:rPr>
          <w:rFonts w:ascii="Arial" w:cs="Arial" w:eastAsia="Arial" w:hAnsi="Arial"/>
          <w:sz w:val="15"/>
          <w:szCs w:val="15"/>
          <w:b w:val="1"/>
          <w:bCs w:val="1"/>
          <w:color w:val="auto"/>
        </w:rPr>
        <w:t>material</w:t>
      </w:r>
      <w:r>
        <w:rPr>
          <w:rFonts w:ascii="Arial" w:cs="Arial" w:eastAsia="Arial" w:hAnsi="Arial"/>
          <w:sz w:val="15"/>
          <w:szCs w:val="15"/>
          <w:color w:val="auto"/>
        </w:rPr>
        <w:t xml:space="preserve"> </w:t>
      </w:r>
      <w:r>
        <w:rPr>
          <w:rFonts w:ascii="Arial" w:cs="Arial" w:eastAsia="Arial" w:hAnsi="Arial"/>
          <w:sz w:val="15"/>
          <w:szCs w:val="15"/>
          <w:b w:val="1"/>
          <w:bCs w:val="1"/>
          <w:color w:val="auto"/>
        </w:rPr>
        <w:t>contract</w:t>
      </w:r>
      <w:r>
        <w:rPr>
          <w:rFonts w:ascii="Arial" w:cs="Arial" w:eastAsia="Arial" w:hAnsi="Arial"/>
          <w:sz w:val="15"/>
          <w:szCs w:val="15"/>
          <w:color w:val="auto"/>
        </w:rPr>
        <w:t>” (as such term is defined in Item 601(b)(10) of Regulation S-K of the SEC) (other than any Company Plan), a “</w:t>
      </w:r>
      <w:r>
        <w:rPr>
          <w:rFonts w:ascii="Arial" w:cs="Arial" w:eastAsia="Arial" w:hAnsi="Arial"/>
          <w:sz w:val="15"/>
          <w:szCs w:val="15"/>
          <w:b w:val="1"/>
          <w:bCs w:val="1"/>
          <w:color w:val="auto"/>
        </w:rPr>
        <w:t>Company Material Contract</w:t>
      </w:r>
      <w:r>
        <w:rPr>
          <w:rFonts w:ascii="Arial" w:cs="Arial" w:eastAsia="Arial" w:hAnsi="Arial"/>
          <w:sz w:val="15"/>
          <w:szCs w:val="15"/>
          <w:color w:val="auto"/>
        </w:rPr>
        <w:t>”).</w:t>
      </w:r>
    </w:p>
    <w:p>
      <w:pPr>
        <w:spacing w:after="0" w:line="145" w:lineRule="exact"/>
        <w:rPr>
          <w:sz w:val="20"/>
          <w:szCs w:val="20"/>
          <w:color w:val="auto"/>
        </w:rPr>
      </w:pPr>
    </w:p>
    <w:p>
      <w:pPr>
        <w:ind w:right="180" w:firstLine="1720"/>
        <w:spacing w:after="0" w:line="305" w:lineRule="auto"/>
        <w:tabs>
          <w:tab w:leader="none" w:pos="2144" w:val="left"/>
        </w:tabs>
        <w:numPr>
          <w:ilvl w:val="0"/>
          <w:numId w:val="295"/>
        </w:numPr>
        <w:rPr>
          <w:rFonts w:ascii="Arial" w:cs="Arial" w:eastAsia="Arial" w:hAnsi="Arial"/>
          <w:sz w:val="15"/>
          <w:szCs w:val="15"/>
          <w:color w:val="auto"/>
        </w:rPr>
      </w:pPr>
      <w:r>
        <w:rPr>
          <w:rFonts w:ascii="Arial" w:cs="Arial" w:eastAsia="Arial" w:hAnsi="Arial"/>
          <w:sz w:val="15"/>
          <w:szCs w:val="15"/>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15"/>
          <w:szCs w:val="15"/>
          <w:b w:val="1"/>
          <w:bCs w:val="1"/>
          <w:color w:val="auto"/>
        </w:rPr>
        <w:t>material contract</w:t>
      </w:r>
      <w:r>
        <w:rPr>
          <w:rFonts w:ascii="Arial" w:cs="Arial" w:eastAsia="Arial" w:hAnsi="Arial"/>
          <w:sz w:val="15"/>
          <w:szCs w:val="15"/>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66" w:lineRule="exact"/>
        <w:rPr>
          <w:rFonts w:ascii="Arial" w:cs="Arial" w:eastAsia="Arial" w:hAnsi="Arial"/>
          <w:sz w:val="15"/>
          <w:szCs w:val="15"/>
          <w:color w:val="auto"/>
        </w:rPr>
      </w:pPr>
    </w:p>
    <w:p>
      <w:pPr>
        <w:ind w:right="20" w:firstLine="1720"/>
        <w:spacing w:after="0" w:line="268" w:lineRule="auto"/>
        <w:tabs>
          <w:tab w:leader="none" w:pos="213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 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280" w:firstLine="799"/>
        <w:spacing w:after="0" w:line="278"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i w:val="1"/>
          <w:iCs w:val="1"/>
          <w:color w:val="auto"/>
        </w:rPr>
        <w:t>Cable System and Subscriber Information</w:t>
      </w:r>
      <w:r>
        <w:rPr>
          <w:rFonts w:ascii="Arial" w:cs="Arial" w:eastAsia="Arial" w:hAnsi="Arial"/>
          <w:sz w:val="16"/>
          <w:szCs w:val="16"/>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84" w:lineRule="exact"/>
        <w:rPr>
          <w:sz w:val="20"/>
          <w:szCs w:val="20"/>
          <w:color w:val="auto"/>
        </w:rPr>
      </w:pPr>
    </w:p>
    <w:p>
      <w:pPr>
        <w:ind w:right="80" w:firstLine="1720"/>
        <w:spacing w:after="0" w:line="329" w:lineRule="auto"/>
        <w:tabs>
          <w:tab w:leader="none" w:pos="2144" w:val="left"/>
        </w:tabs>
        <w:numPr>
          <w:ilvl w:val="0"/>
          <w:numId w:val="296"/>
        </w:numPr>
        <w:rPr>
          <w:rFonts w:ascii="Arial" w:cs="Arial" w:eastAsia="Arial" w:hAnsi="Arial"/>
          <w:sz w:val="15"/>
          <w:szCs w:val="15"/>
          <w:color w:val="auto"/>
        </w:rPr>
      </w:pPr>
      <w:r>
        <w:rPr>
          <w:rFonts w:ascii="Arial" w:cs="Arial" w:eastAsia="Arial" w:hAnsi="Arial"/>
          <w:sz w:val="15"/>
          <w:szCs w:val="15"/>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48" w:lineRule="exact"/>
        <w:rPr>
          <w:sz w:val="20"/>
          <w:szCs w:val="20"/>
          <w:color w:val="auto"/>
        </w:rPr>
      </w:pPr>
    </w:p>
    <w:p>
      <w:pPr>
        <w:ind w:right="80" w:firstLine="799"/>
        <w:spacing w:after="0" w:line="324" w:lineRule="auto"/>
        <w:rPr>
          <w:sz w:val="20"/>
          <w:szCs w:val="20"/>
          <w:color w:val="auto"/>
        </w:rPr>
      </w:pPr>
      <w:r>
        <w:rPr>
          <w:rFonts w:ascii="Arial" w:cs="Arial" w:eastAsia="Arial" w:hAnsi="Arial"/>
          <w:sz w:val="14"/>
          <w:szCs w:val="14"/>
          <w:color w:val="auto"/>
        </w:rPr>
        <w:t xml:space="preserve">Section 4.21. </w:t>
      </w:r>
      <w:r>
        <w:rPr>
          <w:rFonts w:ascii="Arial" w:cs="Arial" w:eastAsia="Arial" w:hAnsi="Arial"/>
          <w:sz w:val="14"/>
          <w:szCs w:val="14"/>
          <w:i w:val="1"/>
          <w:iCs w:val="1"/>
          <w:color w:val="auto"/>
        </w:rPr>
        <w:t>Franchises</w:t>
      </w:r>
      <w:r>
        <w:rPr>
          <w:rFonts w:ascii="Arial" w:cs="Arial" w:eastAsia="Arial" w:hAnsi="Arial"/>
          <w:sz w:val="14"/>
          <w:szCs w:val="14"/>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57" w:lineRule="exact"/>
        <w:rPr>
          <w:sz w:val="20"/>
          <w:szCs w:val="20"/>
          <w:color w:val="auto"/>
        </w:rPr>
      </w:pPr>
    </w:p>
    <w:p>
      <w:pPr>
        <w:ind w:firstLine="1720"/>
        <w:spacing w:after="0" w:line="286" w:lineRule="auto"/>
        <w:tabs>
          <w:tab w:leader="none" w:pos="2144" w:val="left"/>
        </w:tabs>
        <w:numPr>
          <w:ilvl w:val="0"/>
          <w:numId w:val="297"/>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 (v) none of the Company, any of its Subsidiaries or any Governmental Authority has commenced or requested the commencement of an administrative proceeding concerning the renewal of a material Franchise of the Company or its Subsidiaries as provided in Section 626(c)(1)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80" w:lineRule="exact"/>
        <w:rPr>
          <w:rFonts w:ascii="Arial" w:cs="Arial" w:eastAsia="Arial" w:hAnsi="Arial"/>
          <w:sz w:val="15"/>
          <w:szCs w:val="15"/>
          <w:color w:val="auto"/>
        </w:rPr>
      </w:pPr>
    </w:p>
    <w:p>
      <w:pPr>
        <w:ind w:right="240" w:firstLine="1720"/>
        <w:spacing w:after="0" w:line="335" w:lineRule="auto"/>
        <w:tabs>
          <w:tab w:leader="none" w:pos="2135" w:val="left"/>
        </w:tabs>
        <w:numPr>
          <w:ilvl w:val="0"/>
          <w:numId w:val="297"/>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150" w:lineRule="exact"/>
        <w:rPr>
          <w:sz w:val="20"/>
          <w:szCs w:val="20"/>
          <w:color w:val="auto"/>
        </w:rPr>
      </w:pPr>
    </w:p>
    <w:p>
      <w:pPr>
        <w:ind w:right="280" w:firstLine="799"/>
        <w:spacing w:after="0" w:line="293"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i w:val="1"/>
          <w:iCs w:val="1"/>
          <w:color w:val="auto"/>
        </w:rPr>
        <w:t>Tax Treatment</w:t>
      </w:r>
      <w:r>
        <w:rPr>
          <w:rFonts w:ascii="Arial" w:cs="Arial" w:eastAsia="Arial" w:hAnsi="Arial"/>
          <w:sz w:val="16"/>
          <w:szCs w:val="16"/>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16"/>
          <w:szCs w:val="16"/>
          <w:b w:val="1"/>
          <w:bCs w:val="1"/>
          <w:color w:val="auto"/>
        </w:rPr>
        <w:t>368 Reorganization</w:t>
      </w:r>
      <w:r>
        <w:rPr>
          <w:rFonts w:ascii="Arial" w:cs="Arial" w:eastAsia="Arial" w:hAnsi="Arial"/>
          <w:sz w:val="16"/>
          <w:szCs w:val="16"/>
          <w:color w:val="auto"/>
        </w:rPr>
        <w:t>”).</w:t>
      </w:r>
    </w:p>
    <w:p>
      <w:pPr>
        <w:spacing w:after="0" w:line="172"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i w:val="1"/>
          <w:iCs w:val="1"/>
          <w:color w:val="auto"/>
        </w:rPr>
        <w:t>Finders’ Fees.</w:t>
      </w:r>
      <w:r>
        <w:rPr>
          <w:rFonts w:ascii="Arial" w:cs="Arial" w:eastAsia="Arial" w:hAnsi="Arial"/>
          <w:sz w:val="16"/>
          <w:szCs w:val="16"/>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89" w:lineRule="exact"/>
        <w:rPr>
          <w:sz w:val="20"/>
          <w:szCs w:val="20"/>
          <w:color w:val="auto"/>
        </w:rPr>
      </w:pPr>
    </w:p>
    <w:p>
      <w:pPr>
        <w:ind w:right="160" w:firstLine="799"/>
        <w:spacing w:after="0" w:line="273"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The Board of Directors of the Company has received the separate opinions of Allen &amp; Company LLC, Centerview Partners LLC, Citigroup Global Markets Inc. and Morgan Stanley &amp; Co. LLC, each a financial advisor to the Company (or, in the case of Centerview Partners LLC, to the independent members of the Board of Directors of the Company), to the effect that, as of the date of such opinion, and based upon and subject to the factors and assumptions set forth therein, the Exchange Ratio is fair from a financial point of view to the holders of Company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799"/>
        <w:spacing w:after="0" w:line="273"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i w:val="1"/>
          <w:iCs w:val="1"/>
          <w:color w:val="auto"/>
        </w:rPr>
        <w:t>Antitakeover Statutes</w:t>
      </w:r>
      <w:r>
        <w:rPr>
          <w:rFonts w:ascii="Arial" w:cs="Arial" w:eastAsia="Arial" w:hAnsi="Arial"/>
          <w:sz w:val="16"/>
          <w:szCs w:val="16"/>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16"/>
          <w:szCs w:val="16"/>
          <w:b w:val="1"/>
          <w:bCs w:val="1"/>
          <w:color w:val="auto"/>
        </w:rPr>
        <w:t>control share acquisition,</w:t>
      </w:r>
      <w:r>
        <w:rPr>
          <w:rFonts w:ascii="Arial" w:cs="Arial" w:eastAsia="Arial" w:hAnsi="Arial"/>
          <w:sz w:val="16"/>
          <w:szCs w:val="16"/>
          <w:color w:val="auto"/>
        </w:rPr>
        <w:t>” “</w:t>
      </w:r>
      <w:r>
        <w:rPr>
          <w:rFonts w:ascii="Arial" w:cs="Arial" w:eastAsia="Arial" w:hAnsi="Arial"/>
          <w:sz w:val="16"/>
          <w:szCs w:val="16"/>
          <w:b w:val="1"/>
          <w:bCs w:val="1"/>
          <w:color w:val="auto"/>
        </w:rPr>
        <w:t>fair price,</w:t>
      </w:r>
      <w:r>
        <w:rPr>
          <w:rFonts w:ascii="Arial" w:cs="Arial" w:eastAsia="Arial" w:hAnsi="Arial"/>
          <w:sz w:val="16"/>
          <w:szCs w:val="16"/>
          <w:color w:val="auto"/>
        </w:rPr>
        <w:t>” “</w:t>
      </w:r>
      <w:r>
        <w:rPr>
          <w:rFonts w:ascii="Arial" w:cs="Arial" w:eastAsia="Arial" w:hAnsi="Arial"/>
          <w:sz w:val="16"/>
          <w:szCs w:val="16"/>
          <w:b w:val="1"/>
          <w:bCs w:val="1"/>
          <w:color w:val="auto"/>
        </w:rPr>
        <w:t>moratorium</w:t>
      </w:r>
      <w:r>
        <w:rPr>
          <w:rFonts w:ascii="Arial" w:cs="Arial" w:eastAsia="Arial" w:hAnsi="Arial"/>
          <w:sz w:val="16"/>
          <w:szCs w:val="16"/>
          <w:color w:val="auto"/>
        </w:rPr>
        <w:t>” or other antitakeover laws enacted under U.S. state or federal laws apply to this Agreement or any of the transactions contemplated hereby.</w:t>
      </w:r>
    </w:p>
    <w:p>
      <w:pPr>
        <w:spacing w:after="0" w:line="189"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i w:val="1"/>
          <w:iCs w:val="1"/>
          <w:color w:val="auto"/>
        </w:rPr>
        <w:t>No Additional Representations</w:t>
      </w:r>
      <w:r>
        <w:rPr>
          <w:rFonts w:ascii="Arial" w:cs="Arial" w:eastAsia="Arial" w:hAnsi="Arial"/>
          <w:sz w:val="15"/>
          <w:szCs w:val="15"/>
          <w:color w:val="auto"/>
        </w:rPr>
        <w:t>. Except for the representations and warranties made by the Company in this Article 4, neither the Company nor any other Person 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Parent</w:t>
      </w:r>
    </w:p>
    <w:p>
      <w:pPr>
        <w:spacing w:after="0" w:line="231" w:lineRule="exact"/>
        <w:rPr>
          <w:sz w:val="20"/>
          <w:szCs w:val="20"/>
          <w:color w:val="auto"/>
        </w:rPr>
      </w:pPr>
    </w:p>
    <w:p>
      <w:pPr>
        <w:ind w:right="280" w:firstLine="342"/>
        <w:spacing w:after="0" w:line="278" w:lineRule="auto"/>
        <w:rPr>
          <w:sz w:val="20"/>
          <w:szCs w:val="20"/>
          <w:color w:val="auto"/>
        </w:rPr>
      </w:pPr>
      <w:r>
        <w:rPr>
          <w:rFonts w:ascii="Arial" w:cs="Arial" w:eastAsia="Arial" w:hAnsi="Arial"/>
          <w:sz w:val="16"/>
          <w:szCs w:val="16"/>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16"/>
          <w:szCs w:val="16"/>
          <w:b w:val="1"/>
          <w:bCs w:val="1"/>
          <w:color w:val="auto"/>
        </w:rPr>
        <w:t>Specified Parent SEC Documents</w:t>
      </w:r>
      <w:r>
        <w:rPr>
          <w:rFonts w:ascii="Arial" w:cs="Arial" w:eastAsia="Arial" w:hAnsi="Arial"/>
          <w:sz w:val="16"/>
          <w:szCs w:val="16"/>
          <w:color w:val="auto"/>
        </w:rPr>
        <w:t>”) or (b) as set forth in the Parent Disclosure Schedule, Parent represents and warrants to the Company that:</w:t>
      </w:r>
    </w:p>
    <w:p>
      <w:pPr>
        <w:spacing w:after="0" w:line="184" w:lineRule="exact"/>
        <w:rPr>
          <w:sz w:val="20"/>
          <w:szCs w:val="20"/>
          <w:color w:val="auto"/>
        </w:rPr>
      </w:pPr>
    </w:p>
    <w:p>
      <w:pPr>
        <w:ind w:right="80" w:firstLine="799"/>
        <w:spacing w:after="0" w:line="268"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Corporate Existence and Power</w:t>
      </w:r>
      <w:r>
        <w:rPr>
          <w:rFonts w:ascii="Arial" w:cs="Arial" w:eastAsia="Arial" w:hAnsi="Arial"/>
          <w:sz w:val="16"/>
          <w:szCs w:val="16"/>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93" w:lineRule="exact"/>
        <w:rPr>
          <w:sz w:val="20"/>
          <w:szCs w:val="20"/>
          <w:color w:val="auto"/>
        </w:rPr>
      </w:pPr>
    </w:p>
    <w:p>
      <w:pPr>
        <w:ind w:right="80" w:firstLine="799"/>
        <w:spacing w:after="0" w:line="308"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i w:val="1"/>
          <w:iCs w:val="1"/>
          <w:color w:val="auto"/>
        </w:rPr>
        <w:t>Corporate Authorization</w:t>
      </w:r>
      <w:r>
        <w:rPr>
          <w:rFonts w:ascii="Arial" w:cs="Arial" w:eastAsia="Arial" w:hAnsi="Arial"/>
          <w:sz w:val="14"/>
          <w:szCs w:val="14"/>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 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4"/>
          <w:szCs w:val="14"/>
          <w:b w:val="1"/>
          <w:bCs w:val="1"/>
          <w:color w:val="auto"/>
        </w:rPr>
        <w:t>Parent Shareholder Approval</w:t>
      </w:r>
      <w:r>
        <w:rPr>
          <w:rFonts w:ascii="Arial" w:cs="Arial" w:eastAsia="Arial" w:hAnsi="Arial"/>
          <w:sz w:val="14"/>
          <w:szCs w:val="14"/>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0" w:firstLine="1720"/>
        <w:spacing w:after="0" w:line="273" w:lineRule="auto"/>
        <w:tabs>
          <w:tab w:leader="none" w:pos="213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At a meeting duly called and held, as of the date of this Agreement, Parent’s Board of Directors has (i) unanimously determined that this Agreement and the transactions contemplated hereby are fair to and in the best interests of Parent, (ii) 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16"/>
          <w:szCs w:val="16"/>
          <w:b w:val="1"/>
          <w:bCs w:val="1"/>
          <w:color w:val="auto"/>
        </w:rPr>
        <w:t>Parent Board Recommendation</w:t>
      </w:r>
      <w:r>
        <w:rPr>
          <w:rFonts w:ascii="Arial" w:cs="Arial" w:eastAsia="Arial" w:hAnsi="Arial"/>
          <w:sz w:val="16"/>
          <w:szCs w:val="16"/>
          <w:color w:val="auto"/>
        </w:rPr>
        <w:t>”).</w:t>
      </w:r>
    </w:p>
    <w:p>
      <w:pPr>
        <w:spacing w:after="0" w:line="189" w:lineRule="exact"/>
        <w:rPr>
          <w:sz w:val="20"/>
          <w:szCs w:val="20"/>
          <w:color w:val="auto"/>
        </w:rPr>
      </w:pPr>
    </w:p>
    <w:p>
      <w:pPr>
        <w:ind w:right="40" w:firstLine="799"/>
        <w:spacing w:after="0" w:line="310"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i w:val="1"/>
          <w:iCs w:val="1"/>
          <w:color w:val="auto"/>
        </w:rPr>
        <w:t>Governmental Authorization</w:t>
      </w:r>
      <w:r>
        <w:rPr>
          <w:rFonts w:ascii="Arial" w:cs="Arial" w:eastAsia="Arial" w:hAnsi="Arial"/>
          <w:sz w:val="14"/>
          <w:szCs w:val="14"/>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168"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Non-contravention</w:t>
      </w:r>
      <w:r>
        <w:rPr>
          <w:rFonts w:ascii="Arial" w:cs="Arial" w:eastAsia="Arial" w:hAnsi="Arial"/>
          <w:sz w:val="15"/>
          <w:szCs w:val="15"/>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 (iii)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79" w:lineRule="exact"/>
        <w:rPr>
          <w:sz w:val="20"/>
          <w:szCs w:val="20"/>
          <w:color w:val="auto"/>
        </w:rPr>
      </w:pPr>
    </w:p>
    <w:p>
      <w:pPr>
        <w:ind w:right="220" w:firstLine="799"/>
        <w:spacing w:after="0" w:line="303"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i w:val="1"/>
          <w:iCs w:val="1"/>
          <w:color w:val="auto"/>
        </w:rPr>
        <w:t>Capitalization</w:t>
      </w:r>
      <w:r>
        <w:rPr>
          <w:rFonts w:ascii="Arial" w:cs="Arial" w:eastAsia="Arial" w:hAnsi="Arial"/>
          <w:sz w:val="14"/>
          <w:szCs w:val="14"/>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w:t>
      </w:r>
    </w:p>
    <w:p>
      <w:pPr>
        <w:spacing w:after="0" w:line="2" w:lineRule="exact"/>
        <w:rPr>
          <w:sz w:val="20"/>
          <w:szCs w:val="20"/>
          <w:color w:val="auto"/>
        </w:rPr>
      </w:pPr>
    </w:p>
    <w:p>
      <w:pPr>
        <w:ind w:right="60" w:firstLine="8"/>
        <w:spacing w:after="0" w:line="301" w:lineRule="auto"/>
        <w:tabs>
          <w:tab w:leader="none" w:pos="257" w:val="left"/>
        </w:tabs>
        <w:numPr>
          <w:ilvl w:val="0"/>
          <w:numId w:val="299"/>
        </w:numPr>
        <w:rPr>
          <w:rFonts w:ascii="Arial" w:cs="Arial" w:eastAsia="Arial" w:hAnsi="Arial"/>
          <w:sz w:val="14"/>
          <w:szCs w:val="14"/>
          <w:color w:val="auto"/>
        </w:rPr>
      </w:pPr>
      <w:r>
        <w:rPr>
          <w:rFonts w:ascii="Arial" w:cs="Arial" w:eastAsia="Arial" w:hAnsi="Arial"/>
          <w:sz w:val="14"/>
          <w:szCs w:val="14"/>
          <w:color w:val="auto"/>
        </w:rPr>
        <w:t>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w:t>
      </w:r>
    </w:p>
    <w:p>
      <w:pPr>
        <w:spacing w:after="0" w:line="2" w:lineRule="exact"/>
        <w:rPr>
          <w:rFonts w:ascii="Arial" w:cs="Arial" w:eastAsia="Arial" w:hAnsi="Arial"/>
          <w:sz w:val="14"/>
          <w:szCs w:val="14"/>
          <w:color w:val="auto"/>
        </w:rPr>
      </w:pPr>
    </w:p>
    <w:p>
      <w:pPr>
        <w:ind w:right="80" w:firstLine="8"/>
        <w:spacing w:after="0" w:line="290" w:lineRule="auto"/>
        <w:tabs>
          <w:tab w:leader="none" w:pos="239" w:val="left"/>
        </w:tabs>
        <w:numPr>
          <w:ilvl w:val="0"/>
          <w:numId w:val="300"/>
        </w:numPr>
        <w:rPr>
          <w:rFonts w:ascii="Arial" w:cs="Arial" w:eastAsia="Arial" w:hAnsi="Arial"/>
          <w:sz w:val="15"/>
          <w:szCs w:val="15"/>
          <w:color w:val="auto"/>
        </w:rPr>
      </w:pPr>
      <w:r>
        <w:rPr>
          <w:rFonts w:ascii="Arial" w:cs="Arial" w:eastAsia="Arial" w:hAnsi="Arial"/>
          <w:sz w:val="15"/>
          <w:szCs w:val="15"/>
          <w:color w:val="auto"/>
        </w:rPr>
        <w:t>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177" w:lineRule="exact"/>
        <w:rPr>
          <w:rFonts w:ascii="Arial" w:cs="Arial" w:eastAsia="Arial" w:hAnsi="Arial"/>
          <w:sz w:val="15"/>
          <w:szCs w:val="15"/>
          <w:color w:val="auto"/>
        </w:rPr>
      </w:pPr>
    </w:p>
    <w:p>
      <w:pPr>
        <w:ind w:right="400" w:firstLine="1720"/>
        <w:spacing w:after="0" w:line="293" w:lineRule="auto"/>
        <w:tabs>
          <w:tab w:leader="none" w:pos="213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As of the date hereof, there are no outstanding bonds, debentures, notes or other indebtedness of Parent having the right to vote on an as-converted basis (or convertible into, or exchangeable for, securities having the right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 (iv) restricted shares, stock appreciation rights, performance units, contingent value rights, “</w:t>
      </w:r>
      <w:r>
        <w:rPr>
          <w:rFonts w:ascii="Arial" w:cs="Arial" w:eastAsia="Arial" w:hAnsi="Arial"/>
          <w:sz w:val="14"/>
          <w:szCs w:val="14"/>
          <w:b w:val="1"/>
          <w:bCs w:val="1"/>
          <w:color w:val="auto"/>
        </w:rPr>
        <w:t>phantom</w:t>
      </w:r>
      <w:r>
        <w:rPr>
          <w:rFonts w:ascii="Arial" w:cs="Arial" w:eastAsia="Arial" w:hAnsi="Arial"/>
          <w:sz w:val="14"/>
          <w:szCs w:val="14"/>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14"/>
          <w:szCs w:val="14"/>
          <w:b w:val="1"/>
          <w:bCs w:val="1"/>
          <w:color w:val="auto"/>
        </w:rPr>
        <w:t>Parent Securities</w:t>
      </w:r>
      <w:r>
        <w:rPr>
          <w:rFonts w:ascii="Arial" w:cs="Arial" w:eastAsia="Arial" w:hAnsi="Arial"/>
          <w:sz w:val="14"/>
          <w:szCs w:val="14"/>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68" w:lineRule="exact"/>
        <w:rPr>
          <w:sz w:val="20"/>
          <w:szCs w:val="20"/>
          <w:color w:val="auto"/>
        </w:rPr>
      </w:pPr>
    </w:p>
    <w:p>
      <w:pPr>
        <w:ind w:right="20" w:firstLine="1720"/>
        <w:spacing w:after="0" w:line="278" w:lineRule="auto"/>
        <w:tabs>
          <w:tab w:leader="none" w:pos="213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84" w:lineRule="exact"/>
        <w:rPr>
          <w:sz w:val="20"/>
          <w:szCs w:val="20"/>
          <w:color w:val="auto"/>
        </w:rPr>
      </w:pPr>
    </w:p>
    <w:p>
      <w:pPr>
        <w:ind w:right="20" w:firstLine="799"/>
        <w:spacing w:after="0" w:line="288"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i w:val="1"/>
          <w:iCs w:val="1"/>
          <w:color w:val="auto"/>
        </w:rPr>
        <w:t>Subsidiaries</w:t>
      </w:r>
      <w:r>
        <w:rPr>
          <w:rFonts w:ascii="Arial" w:cs="Arial" w:eastAsia="Arial" w:hAnsi="Arial"/>
          <w:sz w:val="15"/>
          <w:szCs w:val="15"/>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81" w:lineRule="exact"/>
        <w:rPr>
          <w:sz w:val="20"/>
          <w:szCs w:val="20"/>
          <w:color w:val="auto"/>
        </w:rPr>
      </w:pPr>
    </w:p>
    <w:p>
      <w:pPr>
        <w:ind w:firstLine="1720"/>
        <w:spacing w:after="0" w:line="286" w:lineRule="auto"/>
        <w:tabs>
          <w:tab w:leader="none" w:pos="2135" w:val="left"/>
        </w:tabs>
        <w:numPr>
          <w:ilvl w:val="0"/>
          <w:numId w:val="302"/>
        </w:numPr>
        <w:rPr>
          <w:rFonts w:ascii="Arial" w:cs="Arial" w:eastAsia="Arial" w:hAnsi="Arial"/>
          <w:sz w:val="15"/>
          <w:szCs w:val="15"/>
          <w:color w:val="auto"/>
        </w:rPr>
      </w:pPr>
      <w:r>
        <w:rPr>
          <w:rFonts w:ascii="Arial" w:cs="Arial" w:eastAsia="Arial" w:hAnsi="Arial"/>
          <w:sz w:val="15"/>
          <w:szCs w:val="15"/>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 (ii) 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15"/>
          <w:szCs w:val="15"/>
          <w:b w:val="1"/>
          <w:bCs w:val="1"/>
          <w:color w:val="auto"/>
        </w:rPr>
        <w:t>phantom</w:t>
      </w:r>
      <w:r>
        <w:rPr>
          <w:rFonts w:ascii="Arial" w:cs="Arial" w:eastAsia="Arial" w:hAnsi="Arial"/>
          <w:sz w:val="15"/>
          <w:szCs w:val="15"/>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15"/>
          <w:szCs w:val="15"/>
          <w:b w:val="1"/>
          <w:bCs w:val="1"/>
          <w:color w:val="auto"/>
        </w:rPr>
        <w:t>Parent Subsidiary Securities</w:t>
      </w:r>
      <w:r>
        <w:rPr>
          <w:rFonts w:ascii="Arial" w:cs="Arial" w:eastAsia="Arial" w:hAnsi="Arial"/>
          <w:sz w:val="15"/>
          <w:szCs w:val="15"/>
          <w:color w:val="auto"/>
        </w:rPr>
        <w:t>”). There are no outstanding obligations of Parent or any of its Significant Subsidiaries to repurchase, redeem or otherwise acquire any of the Parent Subsidiary Securities.</w:t>
      </w:r>
    </w:p>
    <w:p>
      <w:pPr>
        <w:spacing w:after="0" w:line="183" w:lineRule="exact"/>
        <w:rPr>
          <w:sz w:val="20"/>
          <w:szCs w:val="20"/>
          <w:color w:val="auto"/>
        </w:rPr>
      </w:pPr>
    </w:p>
    <w:p>
      <w:pPr>
        <w:ind w:right="120" w:firstLine="799"/>
        <w:spacing w:after="0" w:line="273"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SEC Filings and the Sarbanes-Oxley Act</w:t>
      </w:r>
      <w:r>
        <w:rPr>
          <w:rFonts w:ascii="Arial" w:cs="Arial" w:eastAsia="Arial" w:hAnsi="Arial"/>
          <w:sz w:val="16"/>
          <w:szCs w:val="16"/>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w:t>
      </w:r>
    </w:p>
    <w:p>
      <w:pPr>
        <w:spacing w:after="0" w:line="189" w:lineRule="exact"/>
        <w:rPr>
          <w:sz w:val="20"/>
          <w:szCs w:val="20"/>
          <w:color w:val="auto"/>
        </w:rPr>
      </w:pPr>
    </w:p>
    <w:p>
      <w:pPr>
        <w:ind w:right="80" w:firstLine="1720"/>
        <w:spacing w:after="0" w:line="278" w:lineRule="auto"/>
        <w:tabs>
          <w:tab w:leader="none" w:pos="213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59" w:right="2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73" w:lineRule="auto"/>
        <w:tabs>
          <w:tab w:leader="none" w:pos="212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89" w:lineRule="exact"/>
        <w:rPr>
          <w:rFonts w:ascii="Arial" w:cs="Arial" w:eastAsia="Arial" w:hAnsi="Arial"/>
          <w:sz w:val="16"/>
          <w:szCs w:val="16"/>
          <w:color w:val="auto"/>
        </w:rPr>
      </w:pPr>
    </w:p>
    <w:p>
      <w:pPr>
        <w:ind w:right="180" w:firstLine="1720"/>
        <w:spacing w:after="0" w:line="278"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84" w:lineRule="exact"/>
        <w:rPr>
          <w:rFonts w:ascii="Arial" w:cs="Arial" w:eastAsia="Arial" w:hAnsi="Arial"/>
          <w:sz w:val="16"/>
          <w:szCs w:val="16"/>
          <w:color w:val="auto"/>
        </w:rPr>
      </w:pPr>
    </w:p>
    <w:p>
      <w:pPr>
        <w:ind w:right="100" w:firstLine="1720"/>
        <w:spacing w:after="0" w:line="271" w:lineRule="auto"/>
        <w:tabs>
          <w:tab w:leader="none" w:pos="213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90" w:lineRule="exact"/>
        <w:rPr>
          <w:rFonts w:ascii="Arial" w:cs="Arial" w:eastAsia="Arial" w:hAnsi="Arial"/>
          <w:sz w:val="16"/>
          <w:szCs w:val="16"/>
          <w:color w:val="auto"/>
        </w:rPr>
      </w:pPr>
    </w:p>
    <w:p>
      <w:pPr>
        <w:ind w:firstLine="1720"/>
        <w:spacing w:after="0" w:line="269" w:lineRule="auto"/>
        <w:tabs>
          <w:tab w:leader="none" w:pos="211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90" w:lineRule="exact"/>
        <w:rPr>
          <w:rFonts w:ascii="Arial" w:cs="Arial" w:eastAsia="Arial" w:hAnsi="Arial"/>
          <w:sz w:val="16"/>
          <w:szCs w:val="16"/>
          <w:color w:val="auto"/>
        </w:rPr>
      </w:pPr>
    </w:p>
    <w:p>
      <w:pPr>
        <w:ind w:right="140" w:firstLine="1720"/>
        <w:spacing w:after="0" w:line="278"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84" w:lineRule="exact"/>
        <w:rPr>
          <w:rFonts w:ascii="Arial" w:cs="Arial" w:eastAsia="Arial" w:hAnsi="Arial"/>
          <w:sz w:val="16"/>
          <w:szCs w:val="16"/>
          <w:color w:val="auto"/>
        </w:rPr>
      </w:pPr>
    </w:p>
    <w:p>
      <w:pPr>
        <w:ind w:right="200" w:firstLine="1720"/>
        <w:spacing w:after="0" w:line="293" w:lineRule="auto"/>
        <w:tabs>
          <w:tab w:leader="none" w:pos="214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72" w:lineRule="exact"/>
        <w:rPr>
          <w:rFonts w:ascii="Arial" w:cs="Arial" w:eastAsia="Arial" w:hAnsi="Arial"/>
          <w:sz w:val="16"/>
          <w:szCs w:val="16"/>
          <w:color w:val="auto"/>
        </w:rPr>
      </w:pPr>
    </w:p>
    <w:p>
      <w:pPr>
        <w:ind w:right="40" w:firstLine="1720"/>
        <w:spacing w:after="0" w:line="335" w:lineRule="auto"/>
        <w:tabs>
          <w:tab w:leader="none" w:pos="2108" w:val="left"/>
        </w:tabs>
        <w:numPr>
          <w:ilvl w:val="0"/>
          <w:numId w:val="304"/>
        </w:numPr>
        <w:rPr>
          <w:rFonts w:ascii="Arial" w:cs="Arial" w:eastAsia="Arial" w:hAnsi="Arial"/>
          <w:sz w:val="14"/>
          <w:szCs w:val="14"/>
          <w:color w:val="auto"/>
        </w:rPr>
      </w:pPr>
      <w:r>
        <w:rPr>
          <w:rFonts w:ascii="Arial" w:cs="Arial" w:eastAsia="Arial" w:hAnsi="Arial"/>
          <w:sz w:val="14"/>
          <w:szCs w:val="14"/>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49" w:lineRule="exact"/>
        <w:rPr>
          <w:rFonts w:ascii="Arial" w:cs="Arial" w:eastAsia="Arial" w:hAnsi="Arial"/>
          <w:sz w:val="14"/>
          <w:szCs w:val="14"/>
          <w:color w:val="auto"/>
        </w:rPr>
      </w:pPr>
    </w:p>
    <w:p>
      <w:pPr>
        <w:ind w:right="180" w:firstLine="1720"/>
        <w:spacing w:after="0" w:line="293" w:lineRule="auto"/>
        <w:tabs>
          <w:tab w:leader="none" w:pos="210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Parent 10-K contains no material differences from Parent’s annual report on Form 10-K for the fiscal year ended December 31, 2013, in the form previously delivered to the Company.</w:t>
      </w:r>
    </w:p>
    <w:p>
      <w:pPr>
        <w:spacing w:after="0" w:line="172" w:lineRule="exact"/>
        <w:rPr>
          <w:sz w:val="20"/>
          <w:szCs w:val="20"/>
          <w:color w:val="auto"/>
        </w:rPr>
      </w:pPr>
    </w:p>
    <w:p>
      <w:pPr>
        <w:ind w:right="40" w:firstLine="799"/>
        <w:spacing w:after="0" w:line="293"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i w:val="1"/>
          <w:iCs w:val="1"/>
          <w:color w:val="auto"/>
        </w:rPr>
        <w:t>Financial Statements</w:t>
      </w:r>
      <w:r>
        <w:rPr>
          <w:rFonts w:ascii="Arial" w:cs="Arial" w:eastAsia="Arial" w:hAnsi="Arial"/>
          <w:sz w:val="15"/>
          <w:szCs w:val="15"/>
          <w:color w:val="auto"/>
        </w:rPr>
        <w:t>. The audited consolidated financial statements and unaudited consolidated interim financial statements of Parent included or incorporated by 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76" w:lineRule="exact"/>
        <w:rPr>
          <w:sz w:val="20"/>
          <w:szCs w:val="20"/>
          <w:color w:val="auto"/>
        </w:rPr>
      </w:pPr>
    </w:p>
    <w:p>
      <w:pPr>
        <w:ind w:right="20" w:firstLine="799"/>
        <w:spacing w:after="0" w:line="293"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Disclosure Documents.</w:t>
      </w:r>
      <w:r>
        <w:rPr>
          <w:rFonts w:ascii="Arial" w:cs="Arial" w:eastAsia="Arial" w:hAnsi="Arial"/>
          <w:sz w:val="16"/>
          <w:szCs w:val="16"/>
          <w:color w:val="auto"/>
        </w:rPr>
        <w:t xml:space="preserve"> The information supplied by Parent in writing for inclusion or incorporation by reference in the Registration Statement shall not at the time the Registration Statement is declared effective by the SEC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60" w:right="2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97" w:lineRule="exact"/>
        <w:rPr>
          <w:sz w:val="20"/>
          <w:szCs w:val="20"/>
          <w:color w:val="auto"/>
        </w:rPr>
      </w:pPr>
    </w:p>
    <w:p>
      <w:pPr>
        <w:ind w:firstLine="799"/>
        <w:spacing w:after="0" w:line="305"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Absence of Certain Changes</w:t>
      </w:r>
      <w:r>
        <w:rPr>
          <w:rFonts w:ascii="Arial" w:cs="Arial" w:eastAsia="Arial" w:hAnsi="Arial"/>
          <w:sz w:val="15"/>
          <w:szCs w:val="15"/>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66"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No Undisclosed Material Liabilities</w:t>
      </w:r>
      <w:r>
        <w:rPr>
          <w:rFonts w:ascii="Arial" w:cs="Arial" w:eastAsia="Arial" w:hAnsi="Arial"/>
          <w:sz w:val="16"/>
          <w:szCs w:val="16"/>
          <w:color w:val="auto"/>
        </w:rPr>
        <w:t>. There are no liabilities or obligations of Parent or any of its Subsidiaries of any kind whatsoever, whether accrued, contingent, absolute, determined, determinable or otherwise, other than:</w:t>
      </w:r>
    </w:p>
    <w:p>
      <w:pPr>
        <w:spacing w:after="0" w:line="172" w:lineRule="exact"/>
        <w:rPr>
          <w:sz w:val="20"/>
          <w:szCs w:val="20"/>
          <w:color w:val="auto"/>
        </w:rPr>
      </w:pPr>
    </w:p>
    <w:p>
      <w:pPr>
        <w:ind w:left="2140" w:hanging="420"/>
        <w:spacing w:after="0"/>
        <w:tabs>
          <w:tab w:leader="none" w:pos="21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disclosed, reflected, reserved against or otherwise provided for in the Parent Balance Sheet or in the notes thereto;</w:t>
      </w:r>
    </w:p>
    <w:p>
      <w:pPr>
        <w:spacing w:after="0" w:line="246" w:lineRule="exact"/>
        <w:rPr>
          <w:rFonts w:ascii="Arial" w:cs="Arial" w:eastAsia="Arial" w:hAnsi="Arial"/>
          <w:sz w:val="15"/>
          <w:szCs w:val="15"/>
          <w:color w:val="auto"/>
        </w:rPr>
      </w:pPr>
    </w:p>
    <w:p>
      <w:pPr>
        <w:ind w:left="2160" w:hanging="440"/>
        <w:spacing w:after="0"/>
        <w:tabs>
          <w:tab w:leader="none" w:pos="21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incurred in the ordinary course of business consistent with past practices since the Parent Balance Sheet Date;</w:t>
      </w:r>
    </w:p>
    <w:p>
      <w:pPr>
        <w:spacing w:after="0" w:line="246" w:lineRule="exact"/>
        <w:rPr>
          <w:rFonts w:ascii="Arial" w:cs="Arial" w:eastAsia="Arial" w:hAnsi="Arial"/>
          <w:sz w:val="15"/>
          <w:szCs w:val="15"/>
          <w:color w:val="auto"/>
        </w:rPr>
      </w:pPr>
    </w:p>
    <w:p>
      <w:pPr>
        <w:ind w:left="2140" w:hanging="420"/>
        <w:spacing w:after="0"/>
        <w:tabs>
          <w:tab w:leader="none" w:pos="21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liabilities or obligations arising out of this Agreement or the transactions contemplated hereby; and</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liabilities or obligations that would not reasonably be expected to have, individually or in the aggregate, a Parent Material Adverse Effect.</w:t>
      </w:r>
    </w:p>
    <w:p>
      <w:pPr>
        <w:spacing w:after="0" w:line="246" w:lineRule="exact"/>
        <w:rPr>
          <w:sz w:val="20"/>
          <w:szCs w:val="20"/>
          <w:color w:val="auto"/>
        </w:rPr>
      </w:pPr>
    </w:p>
    <w:p>
      <w:pPr>
        <w:ind w:firstLine="799"/>
        <w:spacing w:after="0" w:line="291"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Compliance with Laws and Court Orders; Governmental Authorizations.</w:t>
      </w:r>
      <w:r>
        <w:rPr>
          <w:rFonts w:ascii="Arial" w:cs="Arial" w:eastAsia="Arial" w:hAnsi="Arial"/>
          <w:sz w:val="15"/>
          <w:szCs w:val="15"/>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7" w:lineRule="exact"/>
        <w:rPr>
          <w:sz w:val="20"/>
          <w:szCs w:val="20"/>
          <w:color w:val="auto"/>
        </w:rPr>
      </w:pPr>
    </w:p>
    <w:p>
      <w:pPr>
        <w:ind w:right="80" w:firstLine="1720"/>
        <w:spacing w:after="0" w:line="271" w:lineRule="auto"/>
        <w:tabs>
          <w:tab w:leader="none" w:pos="214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90" w:lineRule="exact"/>
        <w:rPr>
          <w:sz w:val="20"/>
          <w:szCs w:val="20"/>
          <w:color w:val="auto"/>
        </w:rPr>
      </w:pPr>
    </w:p>
    <w:p>
      <w:pPr>
        <w:ind w:right="80" w:firstLine="799"/>
        <w:spacing w:after="0" w:line="271"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Litigation</w:t>
      </w:r>
      <w:r>
        <w:rPr>
          <w:rFonts w:ascii="Arial" w:cs="Arial" w:eastAsia="Arial" w:hAnsi="Arial"/>
          <w:sz w:val="16"/>
          <w:szCs w:val="16"/>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Parent Material Adverse Effect or (ii) as of the date hereof, seeks to materially interfere with or delay the consummation of the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Taxes.</w:t>
      </w:r>
      <w:r>
        <w:rPr>
          <w:rFonts w:ascii="Arial" w:cs="Arial" w:eastAsia="Arial" w:hAnsi="Arial"/>
          <w:sz w:val="16"/>
          <w:szCs w:val="16"/>
          <w:color w:val="auto"/>
        </w:rPr>
        <w:t xml:space="preserve"> Except as would not reasonably be expected to have, individually or in the aggregate, a Parent Material Adverse Effect:</w:t>
      </w:r>
    </w:p>
    <w:p>
      <w:pPr>
        <w:spacing w:after="0" w:line="235" w:lineRule="exact"/>
        <w:rPr>
          <w:sz w:val="20"/>
          <w:szCs w:val="20"/>
          <w:color w:val="auto"/>
        </w:rPr>
      </w:pPr>
    </w:p>
    <w:p>
      <w:pPr>
        <w:ind w:firstLine="1720"/>
        <w:spacing w:after="0" w:line="293" w:lineRule="auto"/>
        <w:tabs>
          <w:tab w:leader="none" w:pos="213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72" w:lineRule="exact"/>
        <w:rPr>
          <w:rFonts w:ascii="Arial" w:cs="Arial" w:eastAsia="Arial" w:hAnsi="Arial"/>
          <w:sz w:val="16"/>
          <w:szCs w:val="16"/>
          <w:color w:val="auto"/>
        </w:rPr>
      </w:pPr>
    </w:p>
    <w:p>
      <w:pPr>
        <w:ind w:left="1720" w:right="240" w:firstLine="679"/>
        <w:spacing w:after="0" w:line="293" w:lineRule="auto"/>
        <w:tabs>
          <w:tab w:leader="none" w:pos="284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Parent and each of its Subsidiaries has timely paid to the appropriate Taxing Authority all Taxes shown as due and payable on all Tax Returns that have been so filed;</w:t>
      </w:r>
    </w:p>
    <w:p>
      <w:pPr>
        <w:spacing w:after="0" w:line="172" w:lineRule="exact"/>
        <w:rPr>
          <w:rFonts w:ascii="Arial" w:cs="Arial" w:eastAsia="Arial" w:hAnsi="Arial"/>
          <w:sz w:val="16"/>
          <w:szCs w:val="16"/>
          <w:color w:val="auto"/>
        </w:rPr>
      </w:pPr>
    </w:p>
    <w:p>
      <w:pPr>
        <w:ind w:left="2880" w:hanging="481"/>
        <w:spacing w:after="0"/>
        <w:tabs>
          <w:tab w:leader="none" w:pos="2880" w:val="left"/>
        </w:tabs>
        <w:numPr>
          <w:ilvl w:val="1"/>
          <w:numId w:val="307"/>
        </w:numPr>
        <w:rPr>
          <w:rFonts w:ascii="Arial" w:cs="Arial" w:eastAsia="Arial" w:hAnsi="Arial"/>
          <w:sz w:val="14"/>
          <w:szCs w:val="14"/>
          <w:color w:val="auto"/>
        </w:rPr>
      </w:pPr>
      <w:r>
        <w:rPr>
          <w:rFonts w:ascii="Arial" w:cs="Arial" w:eastAsia="Arial" w:hAnsi="Arial"/>
          <w:sz w:val="14"/>
          <w:szCs w:val="14"/>
          <w:color w:val="auto"/>
        </w:rPr>
        <w:t>the accruals and reserves with respect to Taxes as set forth on the Parent Balance Sheet are adequate (as determined in accordance</w:t>
      </w:r>
    </w:p>
    <w:p>
      <w:pPr>
        <w:spacing w:after="0" w:line="45" w:lineRule="exact"/>
        <w:rPr>
          <w:rFonts w:ascii="Arial" w:cs="Arial" w:eastAsia="Arial" w:hAnsi="Arial"/>
          <w:sz w:val="14"/>
          <w:szCs w:val="14"/>
          <w:color w:val="auto"/>
        </w:rPr>
      </w:pPr>
    </w:p>
    <w:p>
      <w:pPr>
        <w:ind w:left="1720"/>
        <w:spacing w:after="0"/>
        <w:rPr>
          <w:rFonts w:ascii="Arial" w:cs="Arial" w:eastAsia="Arial" w:hAnsi="Arial"/>
          <w:sz w:val="14"/>
          <w:szCs w:val="14"/>
          <w:color w:val="auto"/>
        </w:rPr>
      </w:pPr>
      <w:r>
        <w:rPr>
          <w:rFonts w:ascii="Arial" w:cs="Arial" w:eastAsia="Arial" w:hAnsi="Arial"/>
          <w:sz w:val="16"/>
          <w:szCs w:val="16"/>
          <w:color w:val="auto"/>
        </w:rPr>
        <w:t>with GAAP);</w:t>
      </w:r>
    </w:p>
    <w:p>
      <w:pPr>
        <w:spacing w:after="0" w:line="230" w:lineRule="exact"/>
        <w:rPr>
          <w:rFonts w:ascii="Arial" w:cs="Arial" w:eastAsia="Arial" w:hAnsi="Arial"/>
          <w:sz w:val="14"/>
          <w:szCs w:val="14"/>
          <w:color w:val="auto"/>
        </w:rPr>
      </w:pPr>
    </w:p>
    <w:p>
      <w:pPr>
        <w:ind w:left="1720" w:right="200" w:firstLine="679"/>
        <w:spacing w:after="0" w:line="293" w:lineRule="auto"/>
        <w:tabs>
          <w:tab w:leader="none" w:pos="287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adequate accruals and reserves (as determined in accordance with GAAP) have been established for Taxes attributable to taxable periods (or portions thereof) from the Parent Balance Sheet Date;</w:t>
      </w:r>
    </w:p>
    <w:p>
      <w:pPr>
        <w:spacing w:after="0" w:line="172" w:lineRule="exact"/>
        <w:rPr>
          <w:rFonts w:ascii="Arial" w:cs="Arial" w:eastAsia="Arial" w:hAnsi="Arial"/>
          <w:sz w:val="16"/>
          <w:szCs w:val="16"/>
          <w:color w:val="auto"/>
        </w:rPr>
      </w:pPr>
    </w:p>
    <w:p>
      <w:pPr>
        <w:ind w:left="1720" w:right="220" w:firstLine="679"/>
        <w:spacing w:after="0" w:line="293" w:lineRule="auto"/>
        <w:tabs>
          <w:tab w:leader="none" w:pos="2831"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there is no action, suit, investigation, proceeding or audit pending or, to Parent’s knowledge, threatened against or with respect to Parent or any of its Subsidiaries in respect of any material Tax; and</w:t>
      </w:r>
    </w:p>
    <w:p>
      <w:pPr>
        <w:spacing w:after="0" w:line="172" w:lineRule="exact"/>
        <w:rPr>
          <w:rFonts w:ascii="Arial" w:cs="Arial" w:eastAsia="Arial" w:hAnsi="Arial"/>
          <w:sz w:val="16"/>
          <w:szCs w:val="16"/>
          <w:color w:val="auto"/>
        </w:rPr>
      </w:pPr>
    </w:p>
    <w:p>
      <w:pPr>
        <w:ind w:left="1720" w:right="60" w:firstLine="679"/>
        <w:spacing w:after="0" w:line="278" w:lineRule="auto"/>
        <w:tabs>
          <w:tab w:leader="none" w:pos="287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84" w:lineRule="exact"/>
        <w:rPr>
          <w:rFonts w:ascii="Arial" w:cs="Arial" w:eastAsia="Arial" w:hAnsi="Arial"/>
          <w:sz w:val="16"/>
          <w:szCs w:val="16"/>
          <w:color w:val="auto"/>
        </w:rPr>
      </w:pPr>
    </w:p>
    <w:p>
      <w:pPr>
        <w:jc w:val="both"/>
        <w:ind w:right="80" w:firstLine="1720"/>
        <w:spacing w:after="0" w:line="273" w:lineRule="auto"/>
        <w:tabs>
          <w:tab w:leader="none" w:pos="214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89" w:lineRule="exact"/>
        <w:rPr>
          <w:rFonts w:ascii="Arial" w:cs="Arial" w:eastAsia="Arial" w:hAnsi="Arial"/>
          <w:sz w:val="16"/>
          <w:szCs w:val="16"/>
          <w:color w:val="auto"/>
        </w:rPr>
      </w:pPr>
    </w:p>
    <w:p>
      <w:pPr>
        <w:ind w:right="80" w:firstLine="1720"/>
        <w:spacing w:after="0" w:line="293" w:lineRule="auto"/>
        <w:tabs>
          <w:tab w:leader="none" w:pos="213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jurisdiction in which Parent or any of its Subsidiaries does not file Tax Returns has asserted that Parent or any of its Subsidiaries is or may be liable for Tax in that jurisdiction.</w:t>
      </w:r>
    </w:p>
    <w:p>
      <w:pPr>
        <w:spacing w:after="0" w:line="172" w:lineRule="exact"/>
        <w:rPr>
          <w:sz w:val="20"/>
          <w:szCs w:val="20"/>
          <w:color w:val="auto"/>
        </w:rPr>
      </w:pPr>
    </w:p>
    <w:p>
      <w:pPr>
        <w:jc w:val="both"/>
        <w:ind w:right="140" w:firstLine="799"/>
        <w:spacing w:after="0" w:line="335" w:lineRule="auto"/>
        <w:rPr>
          <w:sz w:val="20"/>
          <w:szCs w:val="20"/>
          <w:color w:val="auto"/>
        </w:rPr>
      </w:pPr>
      <w:r>
        <w:rPr>
          <w:rFonts w:ascii="Arial" w:cs="Arial" w:eastAsia="Arial" w:hAnsi="Arial"/>
          <w:sz w:val="14"/>
          <w:szCs w:val="14"/>
          <w:color w:val="auto"/>
        </w:rPr>
        <w:t xml:space="preserve">Section 5.15. </w:t>
      </w:r>
      <w:r>
        <w:rPr>
          <w:rFonts w:ascii="Arial" w:cs="Arial" w:eastAsia="Arial" w:hAnsi="Arial"/>
          <w:sz w:val="14"/>
          <w:szCs w:val="14"/>
          <w:i w:val="1"/>
          <w:iCs w:val="1"/>
          <w:color w:val="auto"/>
        </w:rPr>
        <w:t>Franchises</w:t>
      </w:r>
      <w:r>
        <w:rPr>
          <w:rFonts w:ascii="Arial" w:cs="Arial" w:eastAsia="Arial" w:hAnsi="Arial"/>
          <w:sz w:val="14"/>
          <w:szCs w:val="14"/>
          <w:color w:val="auto"/>
        </w:rPr>
        <w:t>. Except as would not reasonably be expected to have, individually or in the aggregate, a Parent Material Adverse Effect, (a) 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50"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Tax Treatment</w:t>
      </w:r>
      <w:r>
        <w:rPr>
          <w:rFonts w:ascii="Arial" w:cs="Arial" w:eastAsia="Arial" w:hAnsi="Arial"/>
          <w:sz w:val="16"/>
          <w:szCs w:val="16"/>
          <w:color w:val="auto"/>
        </w:rPr>
        <w:t>. Neither Parent nor any of its Affiliates has taken or agreed to take any action or is aware of any fact or circumstance that would prevent the Merger from qualifying as a 368 Reorganization.</w:t>
      </w:r>
    </w:p>
    <w:p>
      <w:pPr>
        <w:spacing w:after="0" w:line="172"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5.17. </w:t>
      </w:r>
      <w:r>
        <w:rPr>
          <w:rFonts w:ascii="Arial" w:cs="Arial" w:eastAsia="Arial" w:hAnsi="Arial"/>
          <w:sz w:val="15"/>
          <w:szCs w:val="15"/>
          <w:i w:val="1"/>
          <w:iCs w:val="1"/>
          <w:color w:val="auto"/>
        </w:rPr>
        <w:t>Certain Agreements</w:t>
      </w:r>
      <w:r>
        <w:rPr>
          <w:rFonts w:ascii="Arial" w:cs="Arial" w:eastAsia="Arial" w:hAnsi="Arial"/>
          <w:sz w:val="15"/>
          <w:szCs w:val="15"/>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 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76" w:lineRule="exact"/>
        <w:rPr>
          <w:sz w:val="20"/>
          <w:szCs w:val="20"/>
          <w:color w:val="auto"/>
        </w:rPr>
      </w:pPr>
    </w:p>
    <w:p>
      <w:pPr>
        <w:ind w:right="140" w:firstLine="1720"/>
        <w:spacing w:after="0" w:line="369" w:lineRule="auto"/>
        <w:tabs>
          <w:tab w:leader="none" w:pos="1941" w:val="left"/>
        </w:tabs>
        <w:numPr>
          <w:ilvl w:val="0"/>
          <w:numId w:val="308"/>
        </w:numPr>
        <w:rPr>
          <w:rFonts w:ascii="Arial" w:cs="Arial" w:eastAsia="Arial" w:hAnsi="Arial"/>
          <w:sz w:val="14"/>
          <w:szCs w:val="14"/>
          <w:color w:val="auto"/>
        </w:rPr>
      </w:pPr>
      <w:r>
        <w:rPr>
          <w:rFonts w:ascii="Arial" w:cs="Arial" w:eastAsia="Arial" w:hAnsi="Arial"/>
          <w:sz w:val="14"/>
          <w:szCs w:val="14"/>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78"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i w:val="1"/>
          <w:iCs w:val="1"/>
          <w:color w:val="auto"/>
        </w:rPr>
        <w:t>Finders’ Fees</w:t>
      </w:r>
      <w:r>
        <w:rPr>
          <w:rFonts w:ascii="Arial" w:cs="Arial" w:eastAsia="Arial" w:hAnsi="Arial"/>
          <w:sz w:val="16"/>
          <w:szCs w:val="16"/>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184" w:lineRule="exact"/>
        <w:rPr>
          <w:sz w:val="20"/>
          <w:szCs w:val="20"/>
          <w:color w:val="auto"/>
        </w:rPr>
      </w:pPr>
    </w:p>
    <w:p>
      <w:pPr>
        <w:jc w:val="both"/>
        <w:ind w:firstLine="799"/>
        <w:spacing w:after="0" w:line="278"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i w:val="1"/>
          <w:iCs w:val="1"/>
          <w:color w:val="auto"/>
        </w:rPr>
        <w:t>Opinion of Financial Advisor</w:t>
      </w:r>
      <w:r>
        <w:rPr>
          <w:rFonts w:ascii="Arial" w:cs="Arial" w:eastAsia="Arial" w:hAnsi="Arial"/>
          <w:sz w:val="16"/>
          <w:szCs w:val="16"/>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84" w:lineRule="exact"/>
        <w:rPr>
          <w:sz w:val="20"/>
          <w:szCs w:val="20"/>
          <w:color w:val="auto"/>
        </w:rPr>
      </w:pPr>
    </w:p>
    <w:p>
      <w:pPr>
        <w:ind w:right="40" w:firstLine="799"/>
        <w:spacing w:after="0" w:line="267"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No Additional Representations</w:t>
      </w:r>
      <w:r>
        <w:rPr>
          <w:rFonts w:ascii="Arial" w:cs="Arial" w:eastAsia="Arial" w:hAnsi="Arial"/>
          <w:sz w:val="16"/>
          <w:szCs w:val="16"/>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 (b) 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6</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 of the Company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agrees that:</w:t>
      </w:r>
    </w:p>
    <w:p>
      <w:pPr>
        <w:spacing w:after="0" w:line="235" w:lineRule="exact"/>
        <w:rPr>
          <w:sz w:val="20"/>
          <w:szCs w:val="20"/>
          <w:color w:val="auto"/>
        </w:rPr>
      </w:pPr>
    </w:p>
    <w:p>
      <w:pPr>
        <w:ind w:right="80" w:firstLine="799"/>
        <w:spacing w:after="0" w:line="286"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i w:val="1"/>
          <w:iCs w:val="1"/>
          <w:color w:val="auto"/>
        </w:rPr>
        <w:t>Conduct of the Company.</w:t>
      </w:r>
      <w:r>
        <w:rPr>
          <w:rFonts w:ascii="Arial" w:cs="Arial" w:eastAsia="Arial" w:hAnsi="Arial"/>
          <w:sz w:val="15"/>
          <w:szCs w:val="15"/>
          <w:color w:val="auto"/>
        </w:rPr>
        <w:t xml:space="preserve"> From the date hereof until the Effective Time, except as expressly contemplated by this Agreement, as set forth in Section 6.01 of the 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81" w:lineRule="exact"/>
        <w:rPr>
          <w:sz w:val="20"/>
          <w:szCs w:val="20"/>
          <w:color w:val="auto"/>
        </w:rPr>
      </w:pPr>
    </w:p>
    <w:p>
      <w:pPr>
        <w:ind w:left="2140" w:hanging="420"/>
        <w:spacing w:after="0"/>
        <w:tabs>
          <w:tab w:leader="none" w:pos="21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amend its certificate of incorporation, bylaws or other similar organizational documents (whether by merger, consolidation or otherwise);</w:t>
      </w:r>
    </w:p>
    <w:p>
      <w:pPr>
        <w:spacing w:after="0" w:line="246" w:lineRule="exact"/>
        <w:rPr>
          <w:rFonts w:ascii="Arial" w:cs="Arial" w:eastAsia="Arial" w:hAnsi="Arial"/>
          <w:sz w:val="15"/>
          <w:szCs w:val="15"/>
          <w:color w:val="auto"/>
        </w:rPr>
      </w:pPr>
    </w:p>
    <w:p>
      <w:pPr>
        <w:ind w:right="40" w:firstLine="1720"/>
        <w:spacing w:after="0" w:line="289" w:lineRule="auto"/>
        <w:tabs>
          <w:tab w:leader="none" w:pos="2144"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connection with (A) the payment of the exercise price of Company Stock Options with Company Stock (including in connection with “</w:t>
      </w:r>
      <w:r>
        <w:rPr>
          <w:rFonts w:ascii="Arial" w:cs="Arial" w:eastAsia="Arial" w:hAnsi="Arial"/>
          <w:sz w:val="16"/>
          <w:szCs w:val="16"/>
          <w:b w:val="1"/>
          <w:bCs w:val="1"/>
          <w:color w:val="auto"/>
        </w:rPr>
        <w:t>net exercises</w:t>
      </w:r>
      <w:r>
        <w:rPr>
          <w:rFonts w:ascii="Arial" w:cs="Arial" w:eastAsia="Arial" w:hAnsi="Arial"/>
          <w:sz w:val="16"/>
          <w:szCs w:val="16"/>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87" w:lineRule="exact"/>
        <w:rPr>
          <w:sz w:val="20"/>
          <w:szCs w:val="20"/>
          <w:color w:val="auto"/>
        </w:rPr>
      </w:pPr>
    </w:p>
    <w:p>
      <w:pPr>
        <w:ind w:right="20" w:firstLine="1720"/>
        <w:spacing w:after="0" w:line="289" w:lineRule="auto"/>
        <w:tabs>
          <w:tab w:leader="none" w:pos="2135" w:val="left"/>
        </w:tabs>
        <w:numPr>
          <w:ilvl w:val="1"/>
          <w:numId w:val="310"/>
        </w:numPr>
        <w:rPr>
          <w:rFonts w:ascii="Arial" w:cs="Arial" w:eastAsia="Arial" w:hAnsi="Arial"/>
          <w:sz w:val="15"/>
          <w:szCs w:val="15"/>
          <w:color w:val="auto"/>
        </w:rPr>
      </w:pPr>
      <w:r>
        <w:rPr>
          <w:rFonts w:ascii="Arial" w:cs="Arial" w:eastAsia="Arial" w:hAnsi="Arial"/>
          <w:sz w:val="15"/>
          <w:szCs w:val="15"/>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80" w:lineRule="exact"/>
        <w:rPr>
          <w:rFonts w:ascii="Arial" w:cs="Arial" w:eastAsia="Arial" w:hAnsi="Arial"/>
          <w:sz w:val="15"/>
          <w:szCs w:val="15"/>
          <w:color w:val="auto"/>
        </w:rPr>
      </w:pPr>
    </w:p>
    <w:p>
      <w:pPr>
        <w:ind w:right="340" w:firstLine="1720"/>
        <w:spacing w:after="0" w:line="278" w:lineRule="auto"/>
        <w:tabs>
          <w:tab w:leader="none" w:pos="214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84" w:lineRule="exact"/>
        <w:rPr>
          <w:rFonts w:ascii="Arial" w:cs="Arial" w:eastAsia="Arial" w:hAnsi="Arial"/>
          <w:sz w:val="16"/>
          <w:szCs w:val="16"/>
          <w:color w:val="auto"/>
        </w:rPr>
      </w:pPr>
    </w:p>
    <w:p>
      <w:pPr>
        <w:ind w:right="80" w:firstLine="1720"/>
        <w:spacing w:after="0" w:line="304" w:lineRule="auto"/>
        <w:tabs>
          <w:tab w:leader="none" w:pos="2135" w:val="left"/>
        </w:tabs>
        <w:numPr>
          <w:ilvl w:val="1"/>
          <w:numId w:val="310"/>
        </w:numPr>
        <w:rPr>
          <w:rFonts w:ascii="Arial" w:cs="Arial" w:eastAsia="Arial" w:hAnsi="Arial"/>
          <w:sz w:val="14"/>
          <w:szCs w:val="14"/>
          <w:color w:val="auto"/>
        </w:rPr>
      </w:pPr>
      <w:r>
        <w:rPr>
          <w:rFonts w:ascii="Arial" w:cs="Arial" w:eastAsia="Arial" w:hAnsi="Arial"/>
          <w:sz w:val="14"/>
          <w:szCs w:val="14"/>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w:t>
      </w:r>
    </w:p>
    <w:p>
      <w:pPr>
        <w:spacing w:after="0" w:line="1" w:lineRule="exact"/>
        <w:rPr>
          <w:rFonts w:ascii="Arial" w:cs="Arial" w:eastAsia="Arial" w:hAnsi="Arial"/>
          <w:sz w:val="14"/>
          <w:szCs w:val="14"/>
          <w:color w:val="auto"/>
        </w:rPr>
      </w:pPr>
    </w:p>
    <w:p>
      <w:pPr>
        <w:ind w:right="160" w:firstLine="8"/>
        <w:spacing w:after="0" w:line="323" w:lineRule="auto"/>
        <w:tabs>
          <w:tab w:leader="none" w:pos="239" w:val="left"/>
        </w:tabs>
        <w:numPr>
          <w:ilvl w:val="0"/>
          <w:numId w:val="311"/>
        </w:numPr>
        <w:rPr>
          <w:rFonts w:ascii="Arial" w:cs="Arial" w:eastAsia="Arial" w:hAnsi="Arial"/>
          <w:sz w:val="15"/>
          <w:szCs w:val="15"/>
          <w:color w:val="auto"/>
        </w:rPr>
      </w:pPr>
      <w:r>
        <w:rPr>
          <w:rFonts w:ascii="Arial" w:cs="Arial" w:eastAsia="Arial" w:hAnsi="Arial"/>
          <w:sz w:val="15"/>
          <w:szCs w:val="15"/>
          <w:color w:val="auto"/>
        </w:rPr>
        <w:t>pursuant to contracts or arrangements in effect on the date hereof, (iii) leases or subleases under which the Company or one of its Subsidiaries is the tenant entered into in the ordinary course of business and (iv) acquisitions with a purchase price (including assumed indebtedness) that does not exceed $100,000,000 in the aggregate;</w:t>
      </w:r>
    </w:p>
    <w:p>
      <w:pPr>
        <w:spacing w:after="0" w:line="153" w:lineRule="exact"/>
        <w:rPr>
          <w:rFonts w:ascii="Arial" w:cs="Arial" w:eastAsia="Arial" w:hAnsi="Arial"/>
          <w:sz w:val="15"/>
          <w:szCs w:val="15"/>
          <w:color w:val="auto"/>
        </w:rPr>
      </w:pPr>
    </w:p>
    <w:p>
      <w:pPr>
        <w:ind w:right="20" w:firstLine="1720"/>
        <w:spacing w:after="0" w:line="271" w:lineRule="auto"/>
        <w:tabs>
          <w:tab w:leader="none" w:pos="211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 (iv) leases or subleases under which the Company or one of its Subsidiaries is the lessor entered into in the ordinary course of business, or (v) Permitted Liens;</w:t>
      </w:r>
    </w:p>
    <w:p>
      <w:pPr>
        <w:spacing w:after="0" w:line="190" w:lineRule="exact"/>
        <w:rPr>
          <w:rFonts w:ascii="Arial" w:cs="Arial" w:eastAsia="Arial" w:hAnsi="Arial"/>
          <w:sz w:val="16"/>
          <w:szCs w:val="16"/>
          <w:color w:val="auto"/>
        </w:rPr>
      </w:pPr>
    </w:p>
    <w:p>
      <w:pPr>
        <w:ind w:firstLine="1720"/>
        <w:spacing w:after="0" w:line="273" w:lineRule="auto"/>
        <w:tabs>
          <w:tab w:leader="none" w:pos="21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89" w:lineRule="exact"/>
        <w:rPr>
          <w:rFonts w:ascii="Arial" w:cs="Arial" w:eastAsia="Arial" w:hAnsi="Arial"/>
          <w:sz w:val="16"/>
          <w:szCs w:val="16"/>
          <w:color w:val="auto"/>
        </w:rPr>
      </w:pPr>
    </w:p>
    <w:p>
      <w:pPr>
        <w:ind w:right="20" w:firstLine="1720"/>
        <w:spacing w:after="0" w:line="271" w:lineRule="auto"/>
        <w:tabs>
          <w:tab w:leader="none" w:pos="21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90" w:lineRule="exact"/>
        <w:rPr>
          <w:rFonts w:ascii="Arial" w:cs="Arial" w:eastAsia="Arial" w:hAnsi="Arial"/>
          <w:sz w:val="16"/>
          <w:szCs w:val="16"/>
          <w:color w:val="auto"/>
        </w:rPr>
      </w:pPr>
    </w:p>
    <w:p>
      <w:pPr>
        <w:ind w:right="420" w:firstLine="1720"/>
        <w:spacing w:after="0" w:line="273" w:lineRule="auto"/>
        <w:tabs>
          <w:tab w:leader="none" w:pos="210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89" w:lineRule="exact"/>
        <w:rPr>
          <w:rFonts w:ascii="Arial" w:cs="Arial" w:eastAsia="Arial" w:hAnsi="Arial"/>
          <w:sz w:val="16"/>
          <w:szCs w:val="16"/>
          <w:color w:val="auto"/>
        </w:rPr>
      </w:pPr>
    </w:p>
    <w:p>
      <w:pPr>
        <w:ind w:right="40" w:firstLine="1720"/>
        <w:spacing w:after="0" w:line="293" w:lineRule="auto"/>
        <w:tabs>
          <w:tab w:leader="none" w:pos="2108" w:val="left"/>
        </w:tabs>
        <w:numPr>
          <w:ilvl w:val="1"/>
          <w:numId w:val="311"/>
        </w:numPr>
        <w:rPr>
          <w:rFonts w:ascii="Arial" w:cs="Arial" w:eastAsia="Arial" w:hAnsi="Arial"/>
          <w:sz w:val="16"/>
          <w:szCs w:val="16"/>
          <w:color w:val="auto"/>
        </w:rPr>
      </w:pPr>
      <w:r>
        <w:rPr>
          <w:rFonts w:ascii="Arial" w:cs="Arial" w:eastAsia="Arial" w:hAnsi="Arial"/>
          <w:sz w:val="16"/>
          <w:szCs w:val="16"/>
          <w:color w:val="auto"/>
        </w:rPr>
        <w:t>other than in the ordinary course of business, (i) amend or modify in any material respect or terminate (excluding terminations upon expiration of the term thereof in accordance with the terms thereof) any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26" w:lineRule="exact"/>
        <w:rPr>
          <w:sz w:val="20"/>
          <w:szCs w:val="20"/>
          <w:color w:val="auto"/>
        </w:rPr>
      </w:pPr>
    </w:p>
    <w:p>
      <w:pPr>
        <w:ind w:right="180" w:firstLine="1720"/>
        <w:spacing w:after="0" w:line="305" w:lineRule="auto"/>
        <w:tabs>
          <w:tab w:leader="none" w:pos="2144" w:val="left"/>
        </w:tabs>
        <w:numPr>
          <w:ilvl w:val="1"/>
          <w:numId w:val="312"/>
        </w:numPr>
        <w:rPr>
          <w:rFonts w:ascii="Arial" w:cs="Arial" w:eastAsia="Arial" w:hAnsi="Arial"/>
          <w:sz w:val="15"/>
          <w:szCs w:val="15"/>
          <w:color w:val="auto"/>
        </w:rPr>
      </w:pPr>
      <w:r>
        <w:rPr>
          <w:rFonts w:ascii="Arial" w:cs="Arial" w:eastAsia="Arial" w:hAnsi="Arial"/>
          <w:sz w:val="15"/>
          <w:szCs w:val="15"/>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66" w:lineRule="exact"/>
        <w:rPr>
          <w:rFonts w:ascii="Arial" w:cs="Arial" w:eastAsia="Arial" w:hAnsi="Arial"/>
          <w:sz w:val="15"/>
          <w:szCs w:val="15"/>
          <w:color w:val="auto"/>
        </w:rPr>
      </w:pPr>
    </w:p>
    <w:p>
      <w:pPr>
        <w:ind w:right="20" w:firstLine="1720"/>
        <w:spacing w:after="0" w:line="271" w:lineRule="auto"/>
        <w:tabs>
          <w:tab w:leader="none" w:pos="2108" w:val="left"/>
        </w:tabs>
        <w:numPr>
          <w:ilvl w:val="1"/>
          <w:numId w:val="312"/>
        </w:numPr>
        <w:rPr>
          <w:rFonts w:ascii="Arial" w:cs="Arial" w:eastAsia="Arial" w:hAnsi="Arial"/>
          <w:sz w:val="16"/>
          <w:szCs w:val="16"/>
          <w:color w:val="auto"/>
        </w:rPr>
      </w:pPr>
      <w:r>
        <w:rPr>
          <w:rFonts w:ascii="Arial" w:cs="Arial" w:eastAsia="Arial" w:hAnsi="Arial"/>
          <w:sz w:val="16"/>
          <w:szCs w:val="16"/>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90" w:lineRule="exact"/>
        <w:rPr>
          <w:rFonts w:ascii="Arial" w:cs="Arial" w:eastAsia="Arial" w:hAnsi="Arial"/>
          <w:sz w:val="16"/>
          <w:szCs w:val="16"/>
          <w:color w:val="auto"/>
        </w:rPr>
      </w:pPr>
    </w:p>
    <w:p>
      <w:pPr>
        <w:jc w:val="both"/>
        <w:ind w:right="120" w:firstLine="1720"/>
        <w:spacing w:after="0" w:line="273" w:lineRule="auto"/>
        <w:tabs>
          <w:tab w:leader="none" w:pos="2189" w:val="left"/>
        </w:tabs>
        <w:numPr>
          <w:ilvl w:val="1"/>
          <w:numId w:val="312"/>
        </w:numPr>
        <w:rPr>
          <w:rFonts w:ascii="Arial" w:cs="Arial" w:eastAsia="Arial" w:hAnsi="Arial"/>
          <w:sz w:val="16"/>
          <w:szCs w:val="16"/>
          <w:color w:val="auto"/>
        </w:rPr>
      </w:pPr>
      <w:r>
        <w:rPr>
          <w:rFonts w:ascii="Arial" w:cs="Arial" w:eastAsia="Arial" w:hAnsi="Arial"/>
          <w:sz w:val="16"/>
          <w:szCs w:val="16"/>
          <w:color w:val="auto"/>
        </w:rPr>
        <w:t>Except as set forth on Section 6.01(m) of the Company Disclosure Schedule, (i) increase the annual salary of any employee of the Company or any of its Subsidiaries who holds the title of Executive Vice President or greater by more than 5% in the 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89" w:lineRule="exact"/>
        <w:rPr>
          <w:rFonts w:ascii="Arial" w:cs="Arial" w:eastAsia="Arial" w:hAnsi="Arial"/>
          <w:sz w:val="16"/>
          <w:szCs w:val="16"/>
          <w:color w:val="auto"/>
        </w:rPr>
      </w:pPr>
    </w:p>
    <w:p>
      <w:pPr>
        <w:ind w:right="460" w:firstLine="1720"/>
        <w:spacing w:after="0" w:line="304" w:lineRule="auto"/>
        <w:tabs>
          <w:tab w:leader="none" w:pos="2144" w:val="left"/>
        </w:tabs>
        <w:numPr>
          <w:ilvl w:val="1"/>
          <w:numId w:val="312"/>
        </w:numPr>
        <w:rPr>
          <w:rFonts w:ascii="Arial" w:cs="Arial" w:eastAsia="Arial" w:hAnsi="Arial"/>
          <w:sz w:val="14"/>
          <w:szCs w:val="14"/>
          <w:color w:val="auto"/>
        </w:rPr>
      </w:pPr>
      <w:r>
        <w:rPr>
          <w:rFonts w:ascii="Arial" w:cs="Arial" w:eastAsia="Arial" w:hAnsi="Arial"/>
          <w:sz w:val="14"/>
          <w:szCs w:val="14"/>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w:t>
      </w:r>
    </w:p>
    <w:p>
      <w:pPr>
        <w:spacing w:after="0" w:line="1" w:lineRule="exact"/>
        <w:rPr>
          <w:rFonts w:ascii="Arial" w:cs="Arial" w:eastAsia="Arial" w:hAnsi="Arial"/>
          <w:sz w:val="14"/>
          <w:szCs w:val="14"/>
          <w:color w:val="auto"/>
        </w:rPr>
      </w:pPr>
    </w:p>
    <w:p>
      <w:pPr>
        <w:ind w:firstLine="8"/>
        <w:spacing w:after="0" w:line="268" w:lineRule="auto"/>
        <w:tabs>
          <w:tab w:leader="none" w:pos="23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establish or adopt any Title IV Plan, “</w:t>
      </w:r>
      <w:r>
        <w:rPr>
          <w:rFonts w:ascii="Arial" w:cs="Arial" w:eastAsia="Arial" w:hAnsi="Arial"/>
          <w:sz w:val="16"/>
          <w:szCs w:val="16"/>
          <w:b w:val="1"/>
          <w:bCs w:val="1"/>
          <w:color w:val="auto"/>
        </w:rPr>
        <w:t>excess benefit plan</w:t>
      </w:r>
      <w:r>
        <w:rPr>
          <w:rFonts w:ascii="Arial" w:cs="Arial" w:eastAsia="Arial" w:hAnsi="Arial"/>
          <w:sz w:val="16"/>
          <w:szCs w:val="16"/>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192" w:lineRule="exact"/>
        <w:rPr>
          <w:rFonts w:ascii="Arial" w:cs="Arial" w:eastAsia="Arial" w:hAnsi="Arial"/>
          <w:sz w:val="16"/>
          <w:szCs w:val="16"/>
          <w:color w:val="auto"/>
        </w:rPr>
      </w:pPr>
    </w:p>
    <w:p>
      <w:pPr>
        <w:ind w:right="80" w:firstLine="1720"/>
        <w:spacing w:after="0" w:line="293" w:lineRule="auto"/>
        <w:tabs>
          <w:tab w:leader="none" w:pos="214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change the Company’s methods of financial accounting, except as required by concurrent changes in GAAP or in Regulation S-X of the 1934 Act, as agreed to by its independent public accountants;</w:t>
      </w:r>
    </w:p>
    <w:p>
      <w:pPr>
        <w:spacing w:after="0" w:line="172" w:lineRule="exact"/>
        <w:rPr>
          <w:rFonts w:ascii="Arial" w:cs="Arial" w:eastAsia="Arial" w:hAnsi="Arial"/>
          <w:sz w:val="16"/>
          <w:szCs w:val="16"/>
          <w:color w:val="auto"/>
        </w:rPr>
      </w:pPr>
    </w:p>
    <w:p>
      <w:pPr>
        <w:ind w:right="100" w:firstLine="1720"/>
        <w:spacing w:after="0" w:line="297" w:lineRule="auto"/>
        <w:tabs>
          <w:tab w:leader="none" w:pos="2144" w:val="left"/>
        </w:tabs>
        <w:numPr>
          <w:ilvl w:val="1"/>
          <w:numId w:val="313"/>
        </w:numPr>
        <w:rPr>
          <w:rFonts w:ascii="Arial" w:cs="Arial" w:eastAsia="Arial" w:hAnsi="Arial"/>
          <w:sz w:val="15"/>
          <w:szCs w:val="15"/>
          <w:color w:val="auto"/>
        </w:rPr>
      </w:pPr>
      <w:r>
        <w:rPr>
          <w:rFonts w:ascii="Arial" w:cs="Arial" w:eastAsia="Arial" w:hAnsi="Arial"/>
          <w:sz w:val="15"/>
          <w:szCs w:val="15"/>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 (y) the financial impact to the Company and its Subsidiaries of any other terms of the settlement or compromise does not exceed $100,000,000 (after giving effect to any reasonably expected indemnification proceeds);</w:t>
      </w:r>
    </w:p>
    <w:p>
      <w:pPr>
        <w:spacing w:after="0" w:line="172" w:lineRule="exact"/>
        <w:rPr>
          <w:rFonts w:ascii="Arial" w:cs="Arial" w:eastAsia="Arial" w:hAnsi="Arial"/>
          <w:sz w:val="15"/>
          <w:szCs w:val="15"/>
          <w:color w:val="auto"/>
        </w:rPr>
      </w:pPr>
    </w:p>
    <w:p>
      <w:pPr>
        <w:ind w:right="720" w:firstLine="1720"/>
        <w:spacing w:after="0" w:line="293" w:lineRule="auto"/>
        <w:tabs>
          <w:tab w:leader="none" w:pos="214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72" w:lineRule="exact"/>
        <w:rPr>
          <w:rFonts w:ascii="Arial" w:cs="Arial" w:eastAsia="Arial" w:hAnsi="Arial"/>
          <w:sz w:val="16"/>
          <w:szCs w:val="16"/>
          <w:color w:val="auto"/>
        </w:rPr>
      </w:pPr>
    </w:p>
    <w:p>
      <w:pPr>
        <w:ind w:right="500" w:firstLine="1720"/>
        <w:spacing w:after="0" w:line="293" w:lineRule="auto"/>
        <w:tabs>
          <w:tab w:leader="none" w:pos="211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72" w:lineRule="exact"/>
        <w:rPr>
          <w:rFonts w:ascii="Arial" w:cs="Arial" w:eastAsia="Arial" w:hAnsi="Arial"/>
          <w:sz w:val="16"/>
          <w:szCs w:val="16"/>
          <w:color w:val="auto"/>
        </w:rPr>
      </w:pPr>
    </w:p>
    <w:p>
      <w:pPr>
        <w:ind w:right="80" w:firstLine="1720"/>
        <w:spacing w:after="0" w:line="293" w:lineRule="auto"/>
        <w:tabs>
          <w:tab w:leader="none" w:pos="2126"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72" w:lineRule="exact"/>
        <w:rPr>
          <w:rFonts w:ascii="Arial" w:cs="Arial" w:eastAsia="Arial" w:hAnsi="Arial"/>
          <w:sz w:val="16"/>
          <w:szCs w:val="16"/>
          <w:color w:val="auto"/>
        </w:rPr>
      </w:pPr>
    </w:p>
    <w:p>
      <w:pPr>
        <w:ind w:left="2120" w:hanging="400"/>
        <w:spacing w:after="0"/>
        <w:tabs>
          <w:tab w:leader="none" w:pos="212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305"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Company Stockholder Meeting</w:t>
      </w:r>
      <w:r>
        <w:rPr>
          <w:rFonts w:ascii="Arial" w:cs="Arial" w:eastAsia="Arial" w:hAnsi="Arial"/>
          <w:sz w:val="14"/>
          <w:szCs w:val="14"/>
          <w:color w:val="auto"/>
        </w:rPr>
        <w:t>. The Company shall cause a meeting of its stockholders (the “</w:t>
      </w:r>
      <w:r>
        <w:rPr>
          <w:rFonts w:ascii="Arial" w:cs="Arial" w:eastAsia="Arial" w:hAnsi="Arial"/>
          <w:sz w:val="14"/>
          <w:szCs w:val="14"/>
          <w:b w:val="1"/>
          <w:bCs w:val="1"/>
          <w:color w:val="auto"/>
        </w:rPr>
        <w:t>Company Stockholder Meeting</w:t>
      </w:r>
      <w:r>
        <w:rPr>
          <w:rFonts w:ascii="Arial" w:cs="Arial" w:eastAsia="Arial" w:hAnsi="Arial"/>
          <w:sz w:val="14"/>
          <w:szCs w:val="14"/>
          <w:color w:val="auto"/>
        </w:rPr>
        <w:t>”) to be duly called and held as soon as reasonably practicable after the date of this Agreement (but in no event later than 40 days after the Registration Statement is declared effective under the 1933 Act) for the purpose of voting on the approval and adoption of this Agreement and the Merger. In connection with the Company Stockholder Meeting, the Company shall</w:t>
      </w:r>
    </w:p>
    <w:p>
      <w:pPr>
        <w:spacing w:after="0" w:line="2" w:lineRule="exact"/>
        <w:rPr>
          <w:sz w:val="20"/>
          <w:szCs w:val="20"/>
          <w:color w:val="auto"/>
        </w:rPr>
      </w:pPr>
    </w:p>
    <w:p>
      <w:pPr>
        <w:ind w:firstLine="8"/>
        <w:spacing w:after="0" w:line="305" w:lineRule="auto"/>
        <w:tabs>
          <w:tab w:leader="none" w:pos="194" w:val="left"/>
        </w:tabs>
        <w:numPr>
          <w:ilvl w:val="0"/>
          <w:numId w:val="314"/>
        </w:numPr>
        <w:rPr>
          <w:rFonts w:ascii="Arial" w:cs="Arial" w:eastAsia="Arial" w:hAnsi="Arial"/>
          <w:sz w:val="14"/>
          <w:szCs w:val="14"/>
          <w:color w:val="auto"/>
        </w:rPr>
      </w:pPr>
      <w:r>
        <w:rPr>
          <w:rFonts w:ascii="Arial" w:cs="Arial" w:eastAsia="Arial" w:hAnsi="Arial"/>
          <w:sz w:val="14"/>
          <w:szCs w:val="14"/>
          <w:color w:val="auto"/>
        </w:rPr>
        <w:t>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379" w:lineRule="exact"/>
        <w:rPr>
          <w:sz w:val="20"/>
          <w:szCs w:val="20"/>
          <w:color w:val="auto"/>
        </w:rPr>
      </w:pPr>
    </w:p>
    <w:p>
      <w:pPr>
        <w:ind w:left="800"/>
        <w:spacing w:after="0"/>
        <w:tabs>
          <w:tab w:leader="none" w:pos="1800" w:val="left"/>
        </w:tabs>
        <w:rPr>
          <w:sz w:val="20"/>
          <w:szCs w:val="20"/>
          <w:color w:val="auto"/>
        </w:rPr>
      </w:pPr>
      <w:r>
        <w:rPr>
          <w:rFonts w:ascii="Arial" w:cs="Arial" w:eastAsia="Arial" w:hAnsi="Arial"/>
          <w:sz w:val="16"/>
          <w:szCs w:val="16"/>
          <w:color w:val="auto"/>
        </w:rPr>
        <w:t>Section 6.03.</w:t>
      </w:r>
      <w:r>
        <w:rPr>
          <w:sz w:val="20"/>
          <w:szCs w:val="20"/>
          <w:color w:val="auto"/>
        </w:rPr>
        <w:tab/>
      </w:r>
      <w:r>
        <w:rPr>
          <w:rFonts w:ascii="Arial" w:cs="Arial" w:eastAsia="Arial" w:hAnsi="Arial"/>
          <w:sz w:val="14"/>
          <w:szCs w:val="14"/>
          <w:i w:val="1"/>
          <w:iCs w:val="1"/>
          <w:color w:val="auto"/>
        </w:rPr>
        <w:t>No Solicitation; Other Offers</w:t>
      </w:r>
      <w:r>
        <w:rPr>
          <w:rFonts w:ascii="Arial" w:cs="Arial" w:eastAsia="Arial" w:hAnsi="Arial"/>
          <w:sz w:val="14"/>
          <w:szCs w:val="14"/>
          <w:color w:val="auto"/>
        </w:rPr>
        <w:t>. (a)</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General Prohibitions</w:t>
      </w:r>
      <w:r>
        <w:rPr>
          <w:rFonts w:ascii="Arial" w:cs="Arial" w:eastAsia="Arial" w:hAnsi="Arial"/>
          <w:sz w:val="14"/>
          <w:szCs w:val="14"/>
          <w:color w:val="auto"/>
        </w:rPr>
        <w:t>. Neither the Company nor any of its Subsidiaries shall, nor shall the Company or any of its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Subsidiaries authorize or permit any of its or their officers, directors, employees, investment bankers, attorneys, accountants, consultants or other agents or advisors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Representatives</w:t>
      </w:r>
      <w:r>
        <w:rPr>
          <w:rFonts w:ascii="Arial" w:cs="Arial" w:eastAsia="Arial" w:hAnsi="Arial"/>
          <w:sz w:val="15"/>
          <w:szCs w:val="15"/>
          <w:color w:val="auto"/>
        </w:rPr>
        <w:t>”) to, directly or indirectly, (i) solicit, initiate or take any action to knowingly facilitate or encourage the submission of any Company Acquisition Proposal,</w:t>
      </w:r>
    </w:p>
    <w:p>
      <w:pPr>
        <w:spacing w:after="0" w:line="30" w:lineRule="exact"/>
        <w:rPr>
          <w:sz w:val="20"/>
          <w:szCs w:val="20"/>
          <w:color w:val="auto"/>
        </w:rPr>
      </w:pPr>
    </w:p>
    <w:p>
      <w:pPr>
        <w:ind w:right="60" w:firstLine="8"/>
        <w:spacing w:after="0" w:line="301" w:lineRule="auto"/>
        <w:tabs>
          <w:tab w:leader="none" w:pos="239"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enter into or participate in any discussions (other than to state that the Company is not permitted to have discussions) or negotiations with any Third Party that is seeking to make, or has made, a Company Acquisition Proposal, (iii) 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 (iv) 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4"/>
          <w:szCs w:val="14"/>
          <w:b w:val="1"/>
          <w:bCs w:val="1"/>
          <w:color w:val="auto"/>
        </w:rPr>
        <w:t>interested stockholder</w:t>
      </w:r>
      <w:r>
        <w:rPr>
          <w:rFonts w:ascii="Arial" w:cs="Arial" w:eastAsia="Arial" w:hAnsi="Arial"/>
          <w:sz w:val="14"/>
          <w:szCs w:val="14"/>
          <w:color w:val="auto"/>
        </w:rPr>
        <w:t>” under, Section 203 of Delaware Law or (vii) 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w:t>
      </w:r>
    </w:p>
    <w:p>
      <w:pPr>
        <w:spacing w:after="0" w:line="9" w:lineRule="exact"/>
        <w:rPr>
          <w:rFonts w:ascii="Arial" w:cs="Arial" w:eastAsia="Arial" w:hAnsi="Arial"/>
          <w:sz w:val="14"/>
          <w:szCs w:val="14"/>
          <w:color w:val="auto"/>
        </w:rPr>
      </w:pPr>
    </w:p>
    <w:p>
      <w:pPr>
        <w:ind w:right="60"/>
        <w:spacing w:after="0" w:line="288" w:lineRule="auto"/>
        <w:rPr>
          <w:rFonts w:ascii="Arial" w:cs="Arial" w:eastAsia="Arial" w:hAnsi="Arial"/>
          <w:sz w:val="14"/>
          <w:szCs w:val="14"/>
          <w:color w:val="auto"/>
        </w:rPr>
      </w:pPr>
      <w:r>
        <w:rPr>
          <w:rFonts w:ascii="Arial" w:cs="Arial" w:eastAsia="Arial" w:hAnsi="Arial"/>
          <w:sz w:val="16"/>
          <w:szCs w:val="16"/>
          <w:color w:val="auto"/>
        </w:rPr>
        <w:t>Section 6.03(a). It is agreed that any violation of the restrictions on the Company set forth in this Section by any Representative of the Company or any of its Subsidiaries shall be a breach of this Section by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firstLine="1720"/>
        <w:spacing w:after="0" w:line="293" w:lineRule="auto"/>
        <w:tabs>
          <w:tab w:leader="none" w:pos="2144"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Recommendation Exceptions</w:t>
      </w:r>
      <w:r>
        <w:rPr>
          <w:rFonts w:ascii="Arial" w:cs="Arial" w:eastAsia="Arial" w:hAnsi="Arial"/>
          <w:sz w:val="16"/>
          <w:szCs w:val="16"/>
          <w:color w:val="auto"/>
        </w:rPr>
        <w:t>. Notwithstanding Section 6.03(a), but subject to Section 6.03(c) and Section 6.03(d), at any time prior to the Company Stockholder Approval:</w:t>
      </w:r>
    </w:p>
    <w:p>
      <w:pPr>
        <w:spacing w:after="0" w:line="172" w:lineRule="exact"/>
        <w:rPr>
          <w:rFonts w:ascii="Arial" w:cs="Arial" w:eastAsia="Arial" w:hAnsi="Arial"/>
          <w:sz w:val="16"/>
          <w:szCs w:val="16"/>
          <w:color w:val="auto"/>
        </w:rPr>
      </w:pPr>
    </w:p>
    <w:p>
      <w:pPr>
        <w:ind w:left="1720" w:firstLine="679"/>
        <w:spacing w:after="0" w:line="285" w:lineRule="auto"/>
        <w:tabs>
          <w:tab w:leader="none" w:pos="2795" w:val="left"/>
        </w:tabs>
        <w:numPr>
          <w:ilvl w:val="1"/>
          <w:numId w:val="316"/>
        </w:numPr>
        <w:rPr>
          <w:rFonts w:ascii="Arial" w:cs="Arial" w:eastAsia="Arial" w:hAnsi="Arial"/>
          <w:sz w:val="15"/>
          <w:szCs w:val="15"/>
          <w:color w:val="auto"/>
        </w:rPr>
      </w:pPr>
      <w:r>
        <w:rPr>
          <w:rFonts w:ascii="Arial" w:cs="Arial" w:eastAsia="Arial" w:hAnsi="Arial"/>
          <w:sz w:val="15"/>
          <w:szCs w:val="15"/>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 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5"/>
          <w:szCs w:val="15"/>
          <w:b w:val="1"/>
          <w:bCs w:val="1"/>
          <w:color w:val="auto"/>
        </w:rPr>
        <w:t>Confidentiality Agreement</w:t>
      </w:r>
      <w:r>
        <w:rPr>
          <w:rFonts w:ascii="Arial" w:cs="Arial" w:eastAsia="Arial" w:hAnsi="Arial"/>
          <w:sz w:val="15"/>
          <w:szCs w:val="15"/>
          <w:color w:val="auto"/>
        </w:rPr>
        <w:t>”) (it being understood and hereby agreed that such confidentiality agreement need not contain a “</w:t>
      </w:r>
      <w:r>
        <w:rPr>
          <w:rFonts w:ascii="Arial" w:cs="Arial" w:eastAsia="Arial" w:hAnsi="Arial"/>
          <w:sz w:val="15"/>
          <w:szCs w:val="15"/>
          <w:b w:val="1"/>
          <w:bCs w:val="1"/>
          <w:color w:val="auto"/>
        </w:rPr>
        <w:t>standstill</w:t>
      </w:r>
      <w:r>
        <w:rPr>
          <w:rFonts w:ascii="Arial" w:cs="Arial" w:eastAsia="Arial" w:hAnsi="Arial"/>
          <w:sz w:val="15"/>
          <w:szCs w:val="15"/>
          <w:color w:val="auto"/>
        </w:rPr>
        <w:t xml:space="preserve">” or similar provision that prohibits such Third Party from making any Company Acquisition Proposal, acquiring the Company or taking any other 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86" w:lineRule="exact"/>
        <w:rPr>
          <w:rFonts w:ascii="Arial" w:cs="Arial" w:eastAsia="Arial" w:hAnsi="Arial"/>
          <w:sz w:val="15"/>
          <w:szCs w:val="15"/>
          <w:color w:val="auto"/>
        </w:rPr>
      </w:pPr>
    </w:p>
    <w:p>
      <w:pPr>
        <w:ind w:left="1720" w:right="520" w:firstLine="679"/>
        <w:spacing w:after="0" w:line="293" w:lineRule="auto"/>
        <w:tabs>
          <w:tab w:leader="none" w:pos="28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following receipt of a Company Superior Proposal, the Board of Directors of the Company may, subject to compliance with Section 6.03(c), make a Company Adverse Recommendation Change; and</w:t>
      </w:r>
    </w:p>
    <w:p>
      <w:pPr>
        <w:spacing w:after="0" w:line="172" w:lineRule="exact"/>
        <w:rPr>
          <w:rFonts w:ascii="Arial" w:cs="Arial" w:eastAsia="Arial" w:hAnsi="Arial"/>
          <w:sz w:val="16"/>
          <w:szCs w:val="16"/>
          <w:color w:val="auto"/>
        </w:rPr>
      </w:pPr>
    </w:p>
    <w:p>
      <w:pPr>
        <w:ind w:left="1720" w:right="40" w:firstLine="679"/>
        <w:spacing w:after="0" w:line="293" w:lineRule="auto"/>
        <w:tabs>
          <w:tab w:leader="none" w:pos="2885" w:val="left"/>
        </w:tabs>
        <w:numPr>
          <w:ilvl w:val="1"/>
          <w:numId w:val="316"/>
        </w:numPr>
        <w:rPr>
          <w:rFonts w:ascii="Arial" w:cs="Arial" w:eastAsia="Arial" w:hAnsi="Arial"/>
          <w:sz w:val="16"/>
          <w:szCs w:val="16"/>
          <w:color w:val="auto"/>
        </w:rPr>
      </w:pPr>
      <w:r>
        <w:rPr>
          <w:rFonts w:ascii="Arial" w:cs="Arial" w:eastAsia="Arial" w:hAnsi="Arial"/>
          <w:sz w:val="16"/>
          <w:szCs w:val="16"/>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 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15"/>
          <w:szCs w:val="15"/>
          <w:b w:val="1"/>
          <w:bCs w:val="1"/>
          <w:color w:val="auto"/>
        </w:rPr>
        <w:t>stop, look and listen</w:t>
      </w:r>
      <w:r>
        <w:rPr>
          <w:rFonts w:ascii="Arial" w:cs="Arial" w:eastAsia="Arial" w:hAnsi="Arial"/>
          <w:sz w:val="15"/>
          <w:szCs w:val="15"/>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83" w:lineRule="exact"/>
        <w:rPr>
          <w:sz w:val="20"/>
          <w:szCs w:val="20"/>
          <w:color w:val="auto"/>
        </w:rPr>
      </w:pPr>
    </w:p>
    <w:p>
      <w:pPr>
        <w:ind w:right="20" w:firstLine="1720"/>
        <w:spacing w:after="0" w:line="273" w:lineRule="auto"/>
        <w:tabs>
          <w:tab w:leader="none" w:pos="2135"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Required Notices</w:t>
      </w:r>
      <w:r>
        <w:rPr>
          <w:rFonts w:ascii="Arial" w:cs="Arial" w:eastAsia="Arial" w:hAnsi="Arial"/>
          <w:sz w:val="16"/>
          <w:szCs w:val="16"/>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380"/>
          </w:cols>
          <w:pgMar w:left="240" w:top="460" w:right="2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97" w:lineRule="exact"/>
        <w:rPr>
          <w:sz w:val="20"/>
          <w:szCs w:val="20"/>
          <w:color w:val="auto"/>
        </w:rPr>
      </w:pPr>
    </w:p>
    <w:p>
      <w:pPr>
        <w:ind w:firstLine="1720"/>
        <w:spacing w:after="0" w:line="306" w:lineRule="auto"/>
        <w:tabs>
          <w:tab w:leader="none" w:pos="2144"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Last Look</w:t>
      </w:r>
      <w:r>
        <w:rPr>
          <w:rFonts w:ascii="Arial" w:cs="Arial" w:eastAsia="Arial" w:hAnsi="Arial"/>
          <w:sz w:val="14"/>
          <w:szCs w:val="14"/>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 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69" w:lineRule="exact"/>
        <w:rPr>
          <w:rFonts w:ascii="Arial" w:cs="Arial" w:eastAsia="Arial" w:hAnsi="Arial"/>
          <w:sz w:val="14"/>
          <w:szCs w:val="14"/>
          <w:color w:val="auto"/>
        </w:rPr>
      </w:pPr>
    </w:p>
    <w:p>
      <w:pPr>
        <w:ind w:right="120" w:firstLine="1720"/>
        <w:spacing w:after="0" w:line="314" w:lineRule="auto"/>
        <w:tabs>
          <w:tab w:leader="none" w:pos="2135" w:val="left"/>
        </w:tabs>
        <w:numPr>
          <w:ilvl w:val="0"/>
          <w:numId w:val="318"/>
        </w:numPr>
        <w:rPr>
          <w:rFonts w:ascii="Arial" w:cs="Arial" w:eastAsia="Arial" w:hAnsi="Arial"/>
          <w:sz w:val="14"/>
          <w:szCs w:val="14"/>
          <w:color w:val="auto"/>
        </w:rPr>
      </w:pPr>
      <w:r>
        <w:rPr>
          <w:rFonts w:ascii="Arial" w:cs="Arial" w:eastAsia="Arial" w:hAnsi="Arial"/>
          <w:sz w:val="14"/>
          <w:szCs w:val="14"/>
          <w:color w:val="auto"/>
        </w:rPr>
        <w:t>Definition of Company Superior Proposal. For purposes of this Agreement, “</w:t>
      </w:r>
      <w:r>
        <w:rPr>
          <w:rFonts w:ascii="Arial" w:cs="Arial" w:eastAsia="Arial" w:hAnsi="Arial"/>
          <w:sz w:val="14"/>
          <w:szCs w:val="14"/>
          <w:b w:val="1"/>
          <w:bCs w:val="1"/>
          <w:color w:val="auto"/>
        </w:rPr>
        <w:t>Company Superior Proposal</w:t>
      </w:r>
      <w:r>
        <w:rPr>
          <w:rFonts w:ascii="Arial" w:cs="Arial" w:eastAsia="Arial" w:hAnsi="Arial"/>
          <w:sz w:val="14"/>
          <w:szCs w:val="14"/>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63" w:lineRule="exact"/>
        <w:rPr>
          <w:rFonts w:ascii="Arial" w:cs="Arial" w:eastAsia="Arial" w:hAnsi="Arial"/>
          <w:sz w:val="14"/>
          <w:szCs w:val="14"/>
          <w:color w:val="auto"/>
        </w:rPr>
      </w:pPr>
    </w:p>
    <w:p>
      <w:pPr>
        <w:ind w:firstLine="1720"/>
        <w:spacing w:after="0" w:line="291" w:lineRule="auto"/>
        <w:tabs>
          <w:tab w:leader="none" w:pos="211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certifications of such return or destruction from such other Persons as promptly as practicable after receipt thereof. The Company shall use its commercially reasonable efforts to secure all such certifications as 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73" w:lineRule="exact"/>
        <w:rPr>
          <w:sz w:val="20"/>
          <w:szCs w:val="20"/>
          <w:color w:val="auto"/>
        </w:rPr>
      </w:pPr>
    </w:p>
    <w:p>
      <w:pPr>
        <w:ind w:right="100" w:firstLine="799"/>
        <w:spacing w:after="0" w:line="289"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Tax Matters</w:t>
      </w:r>
      <w:r>
        <w:rPr>
          <w:rFonts w:ascii="Arial" w:cs="Arial" w:eastAsia="Arial" w:hAnsi="Arial"/>
          <w:sz w:val="15"/>
          <w:szCs w:val="15"/>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80" w:lineRule="exact"/>
        <w:rPr>
          <w:sz w:val="20"/>
          <w:szCs w:val="20"/>
          <w:color w:val="auto"/>
        </w:rPr>
      </w:pPr>
    </w:p>
    <w:p>
      <w:pPr>
        <w:ind w:right="60" w:firstLine="1720"/>
        <w:spacing w:after="0" w:line="293" w:lineRule="auto"/>
        <w:tabs>
          <w:tab w:leader="none" w:pos="214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72" w:lineRule="exact"/>
        <w:rPr>
          <w:rFonts w:ascii="Arial" w:cs="Arial" w:eastAsia="Arial" w:hAnsi="Arial"/>
          <w:sz w:val="16"/>
          <w:szCs w:val="16"/>
          <w:color w:val="auto"/>
        </w:rPr>
      </w:pPr>
    </w:p>
    <w:p>
      <w:pPr>
        <w:ind w:right="100" w:firstLine="1720"/>
        <w:spacing w:after="0" w:line="271" w:lineRule="auto"/>
        <w:tabs>
          <w:tab w:leader="none" w:pos="212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90"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Voting of Shares</w:t>
      </w:r>
      <w:r>
        <w:rPr>
          <w:rFonts w:ascii="Arial" w:cs="Arial" w:eastAsia="Arial" w:hAnsi="Arial"/>
          <w:sz w:val="16"/>
          <w:szCs w:val="16"/>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Parent</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Parent agrees that:</w:t>
      </w:r>
    </w:p>
    <w:p>
      <w:pPr>
        <w:spacing w:after="0" w:line="235" w:lineRule="exact"/>
        <w:rPr>
          <w:sz w:val="20"/>
          <w:szCs w:val="20"/>
          <w:color w:val="auto"/>
        </w:rPr>
      </w:pPr>
    </w:p>
    <w:p>
      <w:pPr>
        <w:ind w:right="80" w:firstLine="799"/>
        <w:spacing w:after="0" w:line="315"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i w:val="1"/>
          <w:iCs w:val="1"/>
          <w:color w:val="auto"/>
        </w:rPr>
        <w:t>Conduct of Parent</w:t>
      </w:r>
      <w:r>
        <w:rPr>
          <w:rFonts w:ascii="Arial" w:cs="Arial" w:eastAsia="Arial" w:hAnsi="Arial"/>
          <w:sz w:val="14"/>
          <w:szCs w:val="14"/>
          <w:color w:val="auto"/>
        </w:rPr>
        <w:t xml:space="preserve"> . From the date hereof until the Effective Time except as expressly contemplated by this Agreement, as set forth in Section 7.01 of the Parent 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64" w:lineRule="exact"/>
        <w:rPr>
          <w:sz w:val="20"/>
          <w:szCs w:val="20"/>
          <w:color w:val="auto"/>
        </w:rPr>
      </w:pPr>
    </w:p>
    <w:p>
      <w:pPr>
        <w:ind w:left="2140" w:hanging="420"/>
        <w:spacing w:after="0"/>
        <w:tabs>
          <w:tab w:leader="none" w:pos="214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amend the articles of incorporation or bylaws of Parent in a manner that would have a material and adverse impact on the value of Parent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w:t>
      </w:r>
    </w:p>
    <w:p>
      <w:pPr>
        <w:spacing w:after="0" w:line="231" w:lineRule="exact"/>
        <w:rPr>
          <w:sz w:val="20"/>
          <w:szCs w:val="20"/>
          <w:color w:val="auto"/>
        </w:rPr>
      </w:pPr>
    </w:p>
    <w:p>
      <w:pPr>
        <w:ind w:firstLine="1720"/>
        <w:spacing w:after="0" w:line="305" w:lineRule="auto"/>
        <w:tabs>
          <w:tab w:leader="none" w:pos="2144" w:val="left"/>
        </w:tabs>
        <w:numPr>
          <w:ilvl w:val="0"/>
          <w:numId w:val="321"/>
        </w:numPr>
        <w:rPr>
          <w:rFonts w:ascii="Arial" w:cs="Arial" w:eastAsia="Arial" w:hAnsi="Arial"/>
          <w:sz w:val="15"/>
          <w:szCs w:val="15"/>
          <w:color w:val="auto"/>
        </w:rPr>
      </w:pPr>
      <w:r>
        <w:rPr>
          <w:rFonts w:ascii="Arial" w:cs="Arial" w:eastAsia="Arial" w:hAnsi="Arial"/>
          <w:sz w:val="15"/>
          <w:szCs w:val="15"/>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89" w:lineRule="exact"/>
        <w:rPr>
          <w:sz w:val="20"/>
          <w:szCs w:val="20"/>
          <w:color w:val="auto"/>
        </w:rPr>
      </w:pPr>
    </w:p>
    <w:p>
      <w:pPr>
        <w:ind w:right="740" w:firstLine="1720"/>
        <w:spacing w:after="0" w:line="293" w:lineRule="auto"/>
        <w:tabs>
          <w:tab w:leader="none" w:pos="213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adopt or publicly propose a plan of complete or partial liquidation or resolutions providing for or authorizing such a liquidation or a dissolution, restructuring, recapitalization or reorganization;</w:t>
      </w:r>
    </w:p>
    <w:p>
      <w:pPr>
        <w:spacing w:after="0" w:line="172" w:lineRule="exact"/>
        <w:rPr>
          <w:rFonts w:ascii="Arial" w:cs="Arial" w:eastAsia="Arial" w:hAnsi="Arial"/>
          <w:sz w:val="16"/>
          <w:szCs w:val="16"/>
          <w:color w:val="auto"/>
        </w:rPr>
      </w:pPr>
    </w:p>
    <w:p>
      <w:pPr>
        <w:ind w:right="240" w:firstLine="1720"/>
        <w:spacing w:after="0" w:line="293" w:lineRule="auto"/>
        <w:tabs>
          <w:tab w:leader="none" w:pos="214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72" w:lineRule="exact"/>
        <w:rPr>
          <w:rFonts w:ascii="Arial" w:cs="Arial" w:eastAsia="Arial" w:hAnsi="Arial"/>
          <w:sz w:val="16"/>
          <w:szCs w:val="16"/>
          <w:color w:val="auto"/>
        </w:rPr>
      </w:pPr>
    </w:p>
    <w:p>
      <w:pPr>
        <w:ind w:left="2140" w:hanging="420"/>
        <w:spacing w:after="0"/>
        <w:tabs>
          <w:tab w:leader="none" w:pos="21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35"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Obligations of Merger Subsidiary</w:t>
      </w:r>
      <w:r>
        <w:rPr>
          <w:rFonts w:ascii="Arial" w:cs="Arial" w:eastAsia="Arial" w:hAnsi="Arial"/>
          <w:sz w:val="16"/>
          <w:szCs w:val="16"/>
          <w:color w:val="auto"/>
        </w:rPr>
        <w:t>. Parent shall take all action necessary to cause Merger Subsidiary to perform its obligations under this Agreement and to consummate the Merger on the terms and conditions set forth in this Agreement.</w:t>
      </w:r>
    </w:p>
    <w:p>
      <w:pPr>
        <w:spacing w:after="0" w:line="168" w:lineRule="exact"/>
        <w:rPr>
          <w:sz w:val="20"/>
          <w:szCs w:val="20"/>
          <w:color w:val="auto"/>
        </w:rPr>
      </w:pPr>
    </w:p>
    <w:p>
      <w:pPr>
        <w:ind w:right="80" w:firstLine="799"/>
        <w:spacing w:after="0" w:line="304" w:lineRule="auto"/>
        <w:rPr>
          <w:sz w:val="20"/>
          <w:szCs w:val="20"/>
          <w:color w:val="auto"/>
        </w:rPr>
      </w:pPr>
      <w:r>
        <w:rPr>
          <w:rFonts w:ascii="Arial" w:cs="Arial" w:eastAsia="Arial" w:hAnsi="Arial"/>
          <w:sz w:val="14"/>
          <w:szCs w:val="14"/>
          <w:color w:val="auto"/>
        </w:rPr>
        <w:t xml:space="preserve">Section 7.03. </w:t>
      </w:r>
      <w:r>
        <w:rPr>
          <w:rFonts w:ascii="Arial" w:cs="Arial" w:eastAsia="Arial" w:hAnsi="Arial"/>
          <w:sz w:val="14"/>
          <w:szCs w:val="14"/>
          <w:i w:val="1"/>
          <w:iCs w:val="1"/>
          <w:color w:val="auto"/>
        </w:rPr>
        <w:t>Parent Shareholder Meeting</w:t>
      </w:r>
      <w:r>
        <w:rPr>
          <w:rFonts w:ascii="Arial" w:cs="Arial" w:eastAsia="Arial" w:hAnsi="Arial"/>
          <w:sz w:val="14"/>
          <w:szCs w:val="14"/>
          <w:color w:val="auto"/>
        </w:rPr>
        <w:t>. Parent shall cause a meeting of its shareholders (the “</w:t>
      </w:r>
      <w:r>
        <w:rPr>
          <w:rFonts w:ascii="Arial" w:cs="Arial" w:eastAsia="Arial" w:hAnsi="Arial"/>
          <w:sz w:val="14"/>
          <w:szCs w:val="14"/>
          <w:b w:val="1"/>
          <w:bCs w:val="1"/>
          <w:color w:val="auto"/>
        </w:rPr>
        <w:t>Parent Shareholder Meeting</w:t>
      </w:r>
      <w:r>
        <w:rPr>
          <w:rFonts w:ascii="Arial" w:cs="Arial" w:eastAsia="Arial" w:hAnsi="Arial"/>
          <w:sz w:val="14"/>
          <w:szCs w:val="14"/>
          <w:color w:val="auto"/>
        </w:rPr>
        <w:t>”) to be duly called and held as soon as reasonably practicable after the date of this Agreement (but in no event later than 40 days after the Registration Statement is declared effective under the 1993 Act) for the purpose of voting on the approval of the issuance of shares of Parent Class A Common Stock as part of the Merger Consideration (the “</w:t>
      </w:r>
      <w:r>
        <w:rPr>
          <w:rFonts w:ascii="Arial" w:cs="Arial" w:eastAsia="Arial" w:hAnsi="Arial"/>
          <w:sz w:val="14"/>
          <w:szCs w:val="14"/>
          <w:b w:val="1"/>
          <w:bCs w:val="1"/>
          <w:color w:val="auto"/>
        </w:rPr>
        <w:t>Parent Stock Issuance</w:t>
      </w:r>
      <w:r>
        <w:rPr>
          <w:rFonts w:ascii="Arial" w:cs="Arial" w:eastAsia="Arial" w:hAnsi="Arial"/>
          <w:sz w:val="14"/>
          <w:szCs w:val="14"/>
          <w:color w:val="auto"/>
        </w:rPr>
        <w:t>”). In connection with the Parent Shareholder Meeting, the Board of Directors of Parent shall (i) (1) recommend approval of the Parent Stock Issuance to Parent’s shareholders and</w:t>
      </w:r>
    </w:p>
    <w:p>
      <w:pPr>
        <w:spacing w:after="0" w:line="2" w:lineRule="exact"/>
        <w:rPr>
          <w:sz w:val="20"/>
          <w:szCs w:val="20"/>
          <w:color w:val="auto"/>
        </w:rPr>
      </w:pPr>
    </w:p>
    <w:p>
      <w:pPr>
        <w:ind w:right="20" w:firstLine="8"/>
        <w:spacing w:after="0" w:line="284" w:lineRule="auto"/>
        <w:tabs>
          <w:tab w:leader="none" w:pos="23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use its reasonable best efforts to obtain the Parent Shareholder Approval and (ii) 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 (A)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89"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Certain Prohibitions</w:t>
      </w:r>
      <w:r>
        <w:rPr>
          <w:rFonts w:ascii="Arial" w:cs="Arial" w:eastAsia="Arial" w:hAnsi="Arial"/>
          <w:sz w:val="16"/>
          <w:szCs w:val="16"/>
          <w:color w:val="auto"/>
        </w:rPr>
        <w:t>. From the date hereof until May 23, 2014, neither Parent nor any of its Subsidiaries shall enter into any agreements (written or oral) providing for the divestiture of in excess of 25,000 subscribers in the aggregate.</w:t>
      </w:r>
    </w:p>
    <w:p>
      <w:pPr>
        <w:spacing w:after="0" w:line="172" w:lineRule="exact"/>
        <w:rPr>
          <w:sz w:val="20"/>
          <w:szCs w:val="20"/>
          <w:color w:val="auto"/>
        </w:rPr>
      </w:pPr>
    </w:p>
    <w:p>
      <w:pPr>
        <w:ind w:right="360" w:firstLine="799"/>
        <w:spacing w:after="0" w:line="329"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Approval by Sole Stockholder of Merger Subsidiary</w:t>
      </w:r>
      <w:r>
        <w:rPr>
          <w:rFonts w:ascii="Arial" w:cs="Arial" w:eastAsia="Arial" w:hAnsi="Arial"/>
          <w:sz w:val="15"/>
          <w:szCs w:val="15"/>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48"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Voting of Shares</w:t>
      </w:r>
      <w:r>
        <w:rPr>
          <w:rFonts w:ascii="Arial" w:cs="Arial" w:eastAsia="Arial" w:hAnsi="Arial"/>
          <w:sz w:val="16"/>
          <w:szCs w:val="16"/>
          <w:color w:val="auto"/>
        </w:rPr>
        <w:t>. Parent shall vote all shares of Company Stock beneficially owned by it or any of its Subsidiaries (other than, for the avoidance of doubt, any such shares held by any employee benefit plan of Parent or any of its Subsidiaries or any trustee or other fiduciary in such capacity under any employee benefit plan) in favor of adoption of this Agreement at the Company Stockholder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86"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i w:val="1"/>
          <w:iCs w:val="1"/>
          <w:color w:val="auto"/>
        </w:rPr>
        <w:t>Director and Officer Indemnification</w:t>
      </w:r>
      <w:r>
        <w:rPr>
          <w:rFonts w:ascii="Arial" w:cs="Arial" w:eastAsia="Arial" w:hAnsi="Arial"/>
          <w:sz w:val="15"/>
          <w:szCs w:val="15"/>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5"/>
          <w:szCs w:val="15"/>
          <w:b w:val="1"/>
          <w:bCs w:val="1"/>
          <w:color w:val="auto"/>
        </w:rPr>
        <w:t>Indemnified Person</w:t>
      </w:r>
      <w:r>
        <w:rPr>
          <w:rFonts w:ascii="Arial" w:cs="Arial" w:eastAsia="Arial" w:hAnsi="Arial"/>
          <w:sz w:val="15"/>
          <w:szCs w:val="15"/>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83" w:lineRule="exact"/>
        <w:rPr>
          <w:sz w:val="20"/>
          <w:szCs w:val="20"/>
          <w:color w:val="auto"/>
        </w:rPr>
      </w:pPr>
    </w:p>
    <w:p>
      <w:pPr>
        <w:ind w:right="20" w:firstLine="1720"/>
        <w:spacing w:after="0" w:line="318" w:lineRule="auto"/>
        <w:tabs>
          <w:tab w:leader="none" w:pos="2144" w:val="left"/>
        </w:tabs>
        <w:numPr>
          <w:ilvl w:val="0"/>
          <w:numId w:val="324"/>
        </w:numPr>
        <w:rPr>
          <w:rFonts w:ascii="Arial" w:cs="Arial" w:eastAsia="Arial" w:hAnsi="Arial"/>
          <w:sz w:val="14"/>
          <w:szCs w:val="14"/>
          <w:color w:val="auto"/>
        </w:rPr>
      </w:pPr>
      <w:r>
        <w:rPr>
          <w:rFonts w:ascii="Arial" w:cs="Arial" w:eastAsia="Arial" w:hAnsi="Arial"/>
          <w:sz w:val="14"/>
          <w:szCs w:val="14"/>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62" w:lineRule="exact"/>
        <w:rPr>
          <w:rFonts w:ascii="Arial" w:cs="Arial" w:eastAsia="Arial" w:hAnsi="Arial"/>
          <w:sz w:val="14"/>
          <w:szCs w:val="14"/>
          <w:color w:val="auto"/>
        </w:rPr>
      </w:pPr>
    </w:p>
    <w:p>
      <w:pPr>
        <w:ind w:firstLine="1720"/>
        <w:spacing w:after="0" w:line="307" w:lineRule="auto"/>
        <w:tabs>
          <w:tab w:leader="none" w:pos="2135" w:val="left"/>
        </w:tabs>
        <w:numPr>
          <w:ilvl w:val="0"/>
          <w:numId w:val="324"/>
        </w:numPr>
        <w:rPr>
          <w:rFonts w:ascii="Arial" w:cs="Arial" w:eastAsia="Arial" w:hAnsi="Arial"/>
          <w:sz w:val="14"/>
          <w:szCs w:val="14"/>
          <w:color w:val="auto"/>
        </w:rPr>
      </w:pPr>
      <w:r>
        <w:rPr>
          <w:rFonts w:ascii="Arial" w:cs="Arial" w:eastAsia="Arial" w:hAnsi="Arial"/>
          <w:sz w:val="14"/>
          <w:szCs w:val="14"/>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4"/>
          <w:szCs w:val="14"/>
          <w:b w:val="1"/>
          <w:bCs w:val="1"/>
          <w:color w:val="auto"/>
        </w:rPr>
        <w:t>D&amp;O Insurance</w:t>
      </w:r>
      <w:r>
        <w:rPr>
          <w:rFonts w:ascii="Arial" w:cs="Arial" w:eastAsia="Arial" w:hAnsi="Arial"/>
          <w:sz w:val="14"/>
          <w:szCs w:val="14"/>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Parent or the Surviving Corporation be required to expend for such policies pursuant to this sentence an aggregate premium amount in excess of 300% of the 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72" w:lineRule="exact"/>
        <w:rPr>
          <w:rFonts w:ascii="Arial" w:cs="Arial" w:eastAsia="Arial" w:hAnsi="Arial"/>
          <w:sz w:val="14"/>
          <w:szCs w:val="14"/>
          <w:color w:val="auto"/>
        </w:rPr>
      </w:pPr>
    </w:p>
    <w:p>
      <w:pPr>
        <w:ind w:right="140" w:firstLine="1720"/>
        <w:spacing w:after="0" w:line="273" w:lineRule="auto"/>
        <w:tabs>
          <w:tab w:leader="none" w:pos="214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89" w:lineRule="exact"/>
        <w:rPr>
          <w:rFonts w:ascii="Arial" w:cs="Arial" w:eastAsia="Arial" w:hAnsi="Arial"/>
          <w:sz w:val="16"/>
          <w:szCs w:val="16"/>
          <w:color w:val="auto"/>
        </w:rPr>
      </w:pPr>
    </w:p>
    <w:p>
      <w:pPr>
        <w:ind w:right="60" w:firstLine="1720"/>
        <w:spacing w:after="0" w:line="273" w:lineRule="auto"/>
        <w:tabs>
          <w:tab w:leader="none" w:pos="213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i w:val="1"/>
          <w:iCs w:val="1"/>
          <w:color w:val="auto"/>
        </w:rPr>
        <w:t>Stock Exchange Listing</w:t>
      </w:r>
      <w:r>
        <w:rPr>
          <w:rFonts w:ascii="Arial" w:cs="Arial" w:eastAsia="Arial" w:hAnsi="Arial"/>
          <w:sz w:val="16"/>
          <w:szCs w:val="16"/>
          <w:color w:val="auto"/>
        </w:rPr>
        <w:t>. Parent shall use its reasonable best efforts to cause the shares of Parent Class A Common Stock to be issued as part of the Merger Consideration to be listed on NASDAQ, subject to official notice of issuance.</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Employee Matters</w:t>
      </w:r>
      <w:r>
        <w:rPr>
          <w:rFonts w:ascii="Arial" w:cs="Arial" w:eastAsia="Arial" w:hAnsi="Arial"/>
          <w:sz w:val="16"/>
          <w:szCs w:val="16"/>
          <w:color w:val="auto"/>
        </w:rPr>
        <w:t>. (a) During the period beginning at the Effective Time and ending on the first anniversary of the Effective Time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Continuation Period</w:t>
      </w:r>
      <w:r>
        <w:rPr>
          <w:rFonts w:ascii="Arial" w:cs="Arial" w:eastAsia="Arial" w:hAnsi="Arial"/>
          <w:sz w:val="14"/>
          <w:szCs w:val="14"/>
          <w:color w:val="auto"/>
        </w:rPr>
        <w:t>”), Parent shall provide, or shall cause to be provided, to each employee of the Company and its Subsidiaries who continues to be employed by Parent or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its Subsidiaries (including, for the avoidance of doubt the Surviving Corporation and its Subsidiaries) immediately following the Effective Time (each, a “</w:t>
      </w:r>
      <w:r>
        <w:rPr>
          <w:rFonts w:ascii="Arial" w:cs="Arial" w:eastAsia="Arial" w:hAnsi="Arial"/>
          <w:sz w:val="15"/>
          <w:szCs w:val="15"/>
          <w:b w:val="1"/>
          <w:bCs w:val="1"/>
          <w:color w:val="auto"/>
        </w:rPr>
        <w:t>Continuing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w:t>
      </w:r>
      <w:r>
        <w:rPr>
          <w:rFonts w:ascii="Arial" w:cs="Arial" w:eastAsia="Arial" w:hAnsi="Arial"/>
          <w:sz w:val="15"/>
          <w:szCs w:val="15"/>
          <w:color w:val="auto"/>
        </w:rPr>
        <w:t>”), other than any Continuing Employee included in a collective bargaining unit covered by the Collective Bargaining Agreements as in effect on the Closing Date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(each, a “</w:t>
      </w:r>
      <w:r>
        <w:rPr>
          <w:rFonts w:ascii="Arial" w:cs="Arial" w:eastAsia="Arial" w:hAnsi="Arial"/>
          <w:sz w:val="14"/>
          <w:szCs w:val="14"/>
          <w:b w:val="1"/>
          <w:bCs w:val="1"/>
          <w:color w:val="auto"/>
        </w:rPr>
        <w:t>Union Employee</w:t>
      </w:r>
      <w:r>
        <w:rPr>
          <w:rFonts w:ascii="Arial" w:cs="Arial" w:eastAsia="Arial" w:hAnsi="Arial"/>
          <w:sz w:val="14"/>
          <w:szCs w:val="14"/>
          <w:color w:val="auto"/>
        </w:rPr>
        <w:t>”), with, to the extent employed by Parent or its Subsidiaries, (i) base pay, commission opportunities and cash bonus opportunities, as applicable,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that are no less favorable in the aggregate than provided to each such Continuing Employee immediately prior to the Closing Date and (ii) employee benefits that are no less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favorable in the aggregate than provided to each such Continuing Employee immediately prior to the Closing Date; </w:t>
      </w:r>
      <w:r>
        <w:rPr>
          <w:rFonts w:ascii="Arial" w:cs="Arial" w:eastAsia="Arial" w:hAnsi="Arial"/>
          <w:sz w:val="15"/>
          <w:szCs w:val="15"/>
          <w:i w:val="1"/>
          <w:iCs w:val="1"/>
          <w:color w:val="auto"/>
        </w:rPr>
        <w:t>provided</w:t>
      </w:r>
      <w:r>
        <w:rPr>
          <w:rFonts w:ascii="Arial" w:cs="Arial" w:eastAsia="Arial" w:hAnsi="Arial"/>
          <w:sz w:val="15"/>
          <w:szCs w:val="15"/>
          <w:color w:val="auto"/>
        </w:rPr>
        <w:t>, that, for purposes of determining whether such</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pay, opportunities and benefits are no less favorable in the aggregate, equity compensation, defined benefit pension plan benefits, severance, retention (including, for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avoidance of doubt, any supplemental cash bonus opportunity set forth on Section 6.01(m) of the Company Disclosure Schedule), sale, stay, or change in control payments or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awards or any similar compensation or benefit, shall not be taken into account. With respect to Union Employee, Parent shall retain, or shall cause to be retained, any and all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rights and obligations it may have pursuant to Applicable Law.</w:t>
      </w:r>
    </w:p>
    <w:p>
      <w:pPr>
        <w:spacing w:after="0" w:line="231" w:lineRule="exact"/>
        <w:rPr>
          <w:sz w:val="20"/>
          <w:szCs w:val="20"/>
          <w:color w:val="auto"/>
        </w:rPr>
      </w:pPr>
    </w:p>
    <w:p>
      <w:pPr>
        <w:ind w:right="120" w:firstLine="1720"/>
        <w:spacing w:after="0" w:line="271" w:lineRule="auto"/>
        <w:tabs>
          <w:tab w:leader="none" w:pos="2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86" w:lineRule="exact"/>
        <w:rPr>
          <w:rFonts w:ascii="Arial" w:cs="Arial" w:eastAsia="Arial" w:hAnsi="Arial"/>
          <w:sz w:val="16"/>
          <w:szCs w:val="16"/>
          <w:color w:val="auto"/>
        </w:rPr>
      </w:pPr>
    </w:p>
    <w:p>
      <w:pPr>
        <w:ind w:right="40" w:firstLine="1720"/>
        <w:spacing w:after="0" w:line="267" w:lineRule="auto"/>
        <w:tabs>
          <w:tab w:leader="none" w:pos="213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To the extent that Continuing Employees, other than Union Employees, become eligible to participate in any “</w:t>
      </w:r>
      <w:r>
        <w:rPr>
          <w:rFonts w:ascii="Arial" w:cs="Arial" w:eastAsia="Arial" w:hAnsi="Arial"/>
          <w:sz w:val="16"/>
          <w:szCs w:val="16"/>
          <w:b w:val="1"/>
          <w:bCs w:val="1"/>
          <w:color w:val="auto"/>
        </w:rPr>
        <w:t>employee benefit plan,</w:t>
      </w:r>
      <w:r>
        <w:rPr>
          <w:rFonts w:ascii="Arial" w:cs="Arial" w:eastAsia="Arial" w:hAnsi="Arial"/>
          <w:sz w:val="16"/>
          <w:szCs w:val="16"/>
          <w:color w:val="auto"/>
        </w:rPr>
        <w:t>” as defined in Section 3(3) of ERISA, maintained by Parent or any of its Subsidiaries (collectively, the “</w:t>
      </w:r>
      <w:r>
        <w:rPr>
          <w:rFonts w:ascii="Arial" w:cs="Arial" w:eastAsia="Arial" w:hAnsi="Arial"/>
          <w:sz w:val="16"/>
          <w:szCs w:val="16"/>
          <w:b w:val="1"/>
          <w:bCs w:val="1"/>
          <w:color w:val="auto"/>
        </w:rPr>
        <w:t>Parent Plans</w:t>
      </w:r>
      <w:r>
        <w:rPr>
          <w:rFonts w:ascii="Arial" w:cs="Arial" w:eastAsia="Arial" w:hAnsi="Arial"/>
          <w:sz w:val="16"/>
          <w:szCs w:val="16"/>
          <w:color w:val="auto"/>
        </w:rPr>
        <w:t xml:space="preserve">”), then, for purposes of determining (i) eligibility to participate and vesting and, (ii) solely with respect to any Parent Plan that 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 (x) 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94" w:lineRule="exact"/>
        <w:rPr>
          <w:rFonts w:ascii="Arial" w:cs="Arial" w:eastAsia="Arial" w:hAnsi="Arial"/>
          <w:sz w:val="16"/>
          <w:szCs w:val="16"/>
          <w:color w:val="auto"/>
        </w:rPr>
      </w:pPr>
    </w:p>
    <w:p>
      <w:pPr>
        <w:ind w:right="640" w:firstLine="1720"/>
        <w:spacing w:after="0" w:line="293" w:lineRule="auto"/>
        <w:tabs>
          <w:tab w:leader="none" w:pos="214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For the avoidance of doubt and to the extent required by any Company Plan or Applicable Law, Parent shall, or shall cause one of its Subsidiaries to, expressly assume such Company Plan and all obligations thereunder.</w:t>
      </w:r>
    </w:p>
    <w:p>
      <w:pPr>
        <w:spacing w:after="0" w:line="172" w:lineRule="exact"/>
        <w:rPr>
          <w:rFonts w:ascii="Arial" w:cs="Arial" w:eastAsia="Arial" w:hAnsi="Arial"/>
          <w:sz w:val="16"/>
          <w:szCs w:val="16"/>
          <w:color w:val="auto"/>
        </w:rPr>
      </w:pPr>
    </w:p>
    <w:p>
      <w:pPr>
        <w:ind w:right="40" w:firstLine="1720"/>
        <w:spacing w:after="0" w:line="271" w:lineRule="auto"/>
        <w:tabs>
          <w:tab w:leader="none" w:pos="213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firstLine="1720"/>
        <w:spacing w:after="0" w:line="270" w:lineRule="auto"/>
        <w:tabs>
          <w:tab w:leader="none" w:pos="211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 7.09(b), constitute a limitation on rights to amend, modify, merge or terminate after the Effective Time any Company Plan or Parent Plan, (ii) 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 of Parent and the Company</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parties hereto agree that:</w:t>
      </w:r>
    </w:p>
    <w:p>
      <w:pPr>
        <w:spacing w:after="0" w:line="235"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Reasonable Best Efforts</w:t>
      </w:r>
      <w:r>
        <w:rPr>
          <w:rFonts w:ascii="Arial" w:cs="Arial" w:eastAsia="Arial" w:hAnsi="Arial"/>
          <w:sz w:val="15"/>
          <w:szCs w:val="15"/>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81" w:lineRule="exact"/>
        <w:rPr>
          <w:sz w:val="20"/>
          <w:szCs w:val="20"/>
          <w:color w:val="auto"/>
        </w:rPr>
      </w:pPr>
    </w:p>
    <w:p>
      <w:pPr>
        <w:ind w:firstLine="1720"/>
        <w:spacing w:after="0" w:line="268" w:lineRule="auto"/>
        <w:tabs>
          <w:tab w:leader="none" w:pos="21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 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93" w:lineRule="exact"/>
        <w:rPr>
          <w:rFonts w:ascii="Arial" w:cs="Arial" w:eastAsia="Arial" w:hAnsi="Arial"/>
          <w:sz w:val="16"/>
          <w:szCs w:val="16"/>
          <w:color w:val="auto"/>
        </w:rPr>
      </w:pPr>
    </w:p>
    <w:p>
      <w:pPr>
        <w:ind w:firstLine="1720"/>
        <w:spacing w:after="0" w:line="287" w:lineRule="auto"/>
        <w:tabs>
          <w:tab w:leader="none" w:pos="2135" w:val="left"/>
        </w:tabs>
        <w:numPr>
          <w:ilvl w:val="0"/>
          <w:numId w:val="327"/>
        </w:numPr>
        <w:rPr>
          <w:rFonts w:ascii="Arial" w:cs="Arial" w:eastAsia="Arial" w:hAnsi="Arial"/>
          <w:sz w:val="15"/>
          <w:szCs w:val="15"/>
          <w:color w:val="auto"/>
        </w:rPr>
      </w:pPr>
      <w:r>
        <w:rPr>
          <w:rFonts w:ascii="Arial" w:cs="Arial" w:eastAsia="Arial" w:hAnsi="Arial"/>
          <w:sz w:val="15"/>
          <w:szCs w:val="15"/>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79" w:lineRule="exact"/>
        <w:rPr>
          <w:rFonts w:ascii="Arial" w:cs="Arial" w:eastAsia="Arial" w:hAnsi="Arial"/>
          <w:sz w:val="15"/>
          <w:szCs w:val="15"/>
          <w:color w:val="auto"/>
        </w:rPr>
      </w:pPr>
    </w:p>
    <w:p>
      <w:pPr>
        <w:ind w:right="320" w:firstLine="1720"/>
        <w:spacing w:after="0" w:line="278" w:lineRule="auto"/>
        <w:tabs>
          <w:tab w:leader="none" w:pos="2144" w:val="left"/>
        </w:tabs>
        <w:numPr>
          <w:ilvl w:val="0"/>
          <w:numId w:val="327"/>
        </w:numPr>
        <w:rPr>
          <w:rFonts w:ascii="Arial" w:cs="Arial" w:eastAsia="Arial" w:hAnsi="Arial"/>
          <w:sz w:val="16"/>
          <w:szCs w:val="16"/>
          <w:color w:val="auto"/>
        </w:rPr>
      </w:pPr>
      <w:r>
        <w:rPr>
          <w:rFonts w:ascii="Arial" w:cs="Arial" w:eastAsia="Arial" w:hAnsi="Arial"/>
          <w:sz w:val="16"/>
          <w:szCs w:val="16"/>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actions referred to in Section 8.01(a)) without the other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subject to Section 8.01(c), either party may participate in or attend any such non-substantive meeting),</w:t>
      </w:r>
    </w:p>
    <w:p>
      <w:pPr>
        <w:spacing w:after="0" w:line="45" w:lineRule="exact"/>
        <w:rPr>
          <w:sz w:val="20"/>
          <w:szCs w:val="20"/>
          <w:color w:val="auto"/>
        </w:rPr>
      </w:pPr>
    </w:p>
    <w:p>
      <w:pPr>
        <w:ind w:right="40" w:firstLine="8"/>
        <w:spacing w:after="0" w:line="272" w:lineRule="auto"/>
        <w:tabs>
          <w:tab w:leader="none" w:pos="239"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84" w:lineRule="exact"/>
        <w:rPr>
          <w:rFonts w:ascii="Arial" w:cs="Arial" w:eastAsia="Arial" w:hAnsi="Arial"/>
          <w:sz w:val="16"/>
          <w:szCs w:val="16"/>
          <w:color w:val="auto"/>
        </w:rPr>
      </w:pPr>
    </w:p>
    <w:p>
      <w:pPr>
        <w:ind w:firstLine="1720"/>
        <w:spacing w:after="0" w:line="305" w:lineRule="auto"/>
        <w:tabs>
          <w:tab w:leader="none" w:pos="2135" w:val="left"/>
        </w:tabs>
        <w:numPr>
          <w:ilvl w:val="1"/>
          <w:numId w:val="328"/>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the parties hereto understand and agree that “</w:t>
      </w:r>
      <w:r>
        <w:rPr>
          <w:rFonts w:ascii="Arial" w:cs="Arial" w:eastAsia="Arial" w:hAnsi="Arial"/>
          <w:sz w:val="14"/>
          <w:szCs w:val="14"/>
          <w:b w:val="1"/>
          <w:bCs w:val="1"/>
          <w:color w:val="auto"/>
        </w:rPr>
        <w:t>reasonable best efforts</w:t>
      </w:r>
      <w:r>
        <w:rPr>
          <w:rFonts w:ascii="Arial" w:cs="Arial" w:eastAsia="Arial" w:hAnsi="Arial"/>
          <w:sz w:val="14"/>
          <w:szCs w:val="14"/>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4"/>
          <w:szCs w:val="14"/>
          <w:b w:val="1"/>
          <w:bCs w:val="1"/>
          <w:color w:val="auto"/>
        </w:rPr>
        <w:t>Undertakings</w:t>
      </w:r>
      <w:r>
        <w:rPr>
          <w:rFonts w:ascii="Arial" w:cs="Arial" w:eastAsia="Arial" w:hAnsi="Arial"/>
          <w:sz w:val="14"/>
          <w:szCs w:val="14"/>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4"/>
          <w:szCs w:val="14"/>
          <w:b w:val="1"/>
          <w:bCs w:val="1"/>
          <w:color w:val="auto"/>
        </w:rPr>
        <w:t>Burdensome Condition</w:t>
      </w:r>
      <w:r>
        <w:rPr>
          <w:rFonts w:ascii="Arial" w:cs="Arial" w:eastAsia="Arial" w:hAnsi="Arial"/>
          <w:sz w:val="14"/>
          <w:szCs w:val="14"/>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w:t>
      </w:r>
    </w:p>
    <w:p>
      <w:pPr>
        <w:spacing w:after="0" w:line="1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Section 8.01(e) that is not conditioned upon the consummation of the Merger.</w:t>
      </w:r>
    </w:p>
    <w:p>
      <w:pPr>
        <w:spacing w:after="0" w:line="230" w:lineRule="exact"/>
        <w:rPr>
          <w:rFonts w:ascii="Arial" w:cs="Arial" w:eastAsia="Arial" w:hAnsi="Arial"/>
          <w:sz w:val="14"/>
          <w:szCs w:val="14"/>
          <w:color w:val="auto"/>
        </w:rPr>
      </w:pPr>
    </w:p>
    <w:p>
      <w:pPr>
        <w:ind w:firstLine="1720"/>
        <w:spacing w:after="0" w:line="286" w:lineRule="auto"/>
        <w:tabs>
          <w:tab w:leader="none" w:pos="2117" w:val="left"/>
        </w:tabs>
        <w:numPr>
          <w:ilvl w:val="1"/>
          <w:numId w:val="328"/>
        </w:numPr>
        <w:rPr>
          <w:rFonts w:ascii="Arial" w:cs="Arial" w:eastAsia="Arial" w:hAnsi="Arial"/>
          <w:sz w:val="15"/>
          <w:szCs w:val="15"/>
          <w:color w:val="auto"/>
        </w:rPr>
      </w:pPr>
      <w:r>
        <w:rPr>
          <w:rFonts w:ascii="Arial" w:cs="Arial" w:eastAsia="Arial" w:hAnsi="Arial"/>
          <w:sz w:val="15"/>
          <w:szCs w:val="15"/>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89" w:lineRule="auto"/>
        <w:tabs>
          <w:tab w:leader="none" w:pos="2144" w:val="left"/>
        </w:tabs>
        <w:numPr>
          <w:ilvl w:val="1"/>
          <w:numId w:val="329"/>
        </w:numPr>
        <w:rPr>
          <w:rFonts w:ascii="Arial" w:cs="Arial" w:eastAsia="Arial" w:hAnsi="Arial"/>
          <w:sz w:val="15"/>
          <w:szCs w:val="15"/>
          <w:color w:val="auto"/>
        </w:rPr>
      </w:pPr>
      <w:r>
        <w:rPr>
          <w:rFonts w:ascii="Arial" w:cs="Arial" w:eastAsia="Arial" w:hAnsi="Arial"/>
          <w:sz w:val="15"/>
          <w:szCs w:val="15"/>
          <w:color w:val="auto"/>
        </w:rPr>
        <w:t>Each of Parent and the Company shall not, and shall cause their respective Subsidiaries and Affiliates not to, (i) 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80" w:lineRule="exact"/>
        <w:rPr>
          <w:rFonts w:ascii="Arial" w:cs="Arial" w:eastAsia="Arial" w:hAnsi="Arial"/>
          <w:sz w:val="15"/>
          <w:szCs w:val="15"/>
          <w:color w:val="auto"/>
        </w:rPr>
      </w:pPr>
    </w:p>
    <w:p>
      <w:pPr>
        <w:ind w:firstLine="1720"/>
        <w:spacing w:after="0" w:line="303" w:lineRule="auto"/>
        <w:tabs>
          <w:tab w:leader="none" w:pos="2144" w:val="left"/>
        </w:tabs>
        <w:numPr>
          <w:ilvl w:val="1"/>
          <w:numId w:val="329"/>
        </w:numPr>
        <w:rPr>
          <w:rFonts w:ascii="Arial" w:cs="Arial" w:eastAsia="Arial" w:hAnsi="Arial"/>
          <w:sz w:val="14"/>
          <w:szCs w:val="14"/>
          <w:color w:val="auto"/>
        </w:rPr>
      </w:pPr>
      <w:r>
        <w:rPr>
          <w:rFonts w:ascii="Arial" w:cs="Arial" w:eastAsia="Arial" w:hAnsi="Arial"/>
          <w:sz w:val="14"/>
          <w:szCs w:val="14"/>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14"/>
          <w:szCs w:val="14"/>
          <w:b w:val="1"/>
          <w:bCs w:val="1"/>
          <w:color w:val="auto"/>
        </w:rPr>
        <w:t>Outside Counsel Only Material.</w:t>
      </w:r>
      <w:r>
        <w:rPr>
          <w:rFonts w:ascii="Arial" w:cs="Arial" w:eastAsia="Arial" w:hAnsi="Arial"/>
          <w:sz w:val="14"/>
          <w:szCs w:val="14"/>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 redacted</w:t>
      </w:r>
    </w:p>
    <w:p>
      <w:pPr>
        <w:ind w:right="260" w:firstLine="8"/>
        <w:spacing w:after="0" w:line="288" w:lineRule="auto"/>
        <w:tabs>
          <w:tab w:leader="none" w:pos="19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remove references concerning valuation, (ii) as necessary to comply with contractual arrangements and (iii) as necessary to address reasonable attorney-client or other privilege or confidentiality concerns.</w:t>
      </w:r>
    </w:p>
    <w:p>
      <w:pPr>
        <w:spacing w:after="0" w:line="176" w:lineRule="exact"/>
        <w:rPr>
          <w:sz w:val="20"/>
          <w:szCs w:val="20"/>
          <w:color w:val="auto"/>
        </w:rPr>
      </w:pPr>
    </w:p>
    <w:p>
      <w:pPr>
        <w:ind w:right="60" w:firstLine="799"/>
        <w:spacing w:after="0" w:line="286"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i w:val="1"/>
          <w:iCs w:val="1"/>
          <w:color w:val="auto"/>
        </w:rPr>
        <w:t>Joint Proxy Statement/Prospectus; Registration Statement</w:t>
      </w:r>
      <w:r>
        <w:rPr>
          <w:rFonts w:ascii="Arial" w:cs="Arial" w:eastAsia="Arial" w:hAnsi="Arial"/>
          <w:sz w:val="15"/>
          <w:szCs w:val="15"/>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 (x) setting a mutually acceptable date for the Company Stockholder Meeting and the Parent Shareholder Meeting, so as to enable them to 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83" w:lineRule="exact"/>
        <w:rPr>
          <w:sz w:val="20"/>
          <w:szCs w:val="20"/>
          <w:color w:val="auto"/>
        </w:rPr>
      </w:pPr>
    </w:p>
    <w:p>
      <w:pPr>
        <w:ind w:right="80" w:firstLine="1720"/>
        <w:spacing w:after="0" w:line="293" w:lineRule="auto"/>
        <w:tabs>
          <w:tab w:leader="none" w:pos="2141"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6"/>
          <w:szCs w:val="16"/>
          <w:b w:val="1"/>
          <w:bCs w:val="1"/>
          <w:color w:val="auto"/>
        </w:rPr>
        <w:t>blue sky</w:t>
      </w:r>
      <w:r>
        <w:rPr>
          <w:rFonts w:ascii="Arial" w:cs="Arial" w:eastAsia="Arial" w:hAnsi="Arial"/>
          <w:sz w:val="16"/>
          <w:szCs w:val="16"/>
          <w:color w:val="auto"/>
        </w:rPr>
        <w:t>” laws and the rules and regulations thereunder.</w:t>
      </w:r>
    </w:p>
    <w:p>
      <w:pPr>
        <w:spacing w:after="0" w:line="172" w:lineRule="exact"/>
        <w:rPr>
          <w:rFonts w:ascii="Arial" w:cs="Arial" w:eastAsia="Arial" w:hAnsi="Arial"/>
          <w:sz w:val="16"/>
          <w:szCs w:val="16"/>
          <w:color w:val="auto"/>
        </w:rPr>
      </w:pPr>
    </w:p>
    <w:p>
      <w:pPr>
        <w:ind w:right="420" w:firstLine="1720"/>
        <w:spacing w:after="0" w:line="273" w:lineRule="auto"/>
        <w:tabs>
          <w:tab w:leader="none" w:pos="213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of the Company and Parent shall promptly provide the other parties and their respective counsel with (i) 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89" w:lineRule="exact"/>
        <w:rPr>
          <w:rFonts w:ascii="Arial" w:cs="Arial" w:eastAsia="Arial" w:hAnsi="Arial"/>
          <w:sz w:val="16"/>
          <w:szCs w:val="16"/>
          <w:color w:val="auto"/>
        </w:rPr>
      </w:pPr>
    </w:p>
    <w:p>
      <w:pPr>
        <w:ind w:right="80" w:firstLine="1720"/>
        <w:spacing w:after="0" w:line="289" w:lineRule="auto"/>
        <w:tabs>
          <w:tab w:leader="none" w:pos="214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 (iii) additional information reasonably related to the foregoing. Each party will advise the other parties, promptly after it receives notice thereof, of the time when the Registration Statement has become effective or any supplement or amendment has been filed, the issuance of any stop order,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80" w:lineRule="exact"/>
        <w:rPr>
          <w:sz w:val="20"/>
          <w:szCs w:val="20"/>
          <w:color w:val="auto"/>
        </w:rPr>
      </w:pPr>
    </w:p>
    <w:p>
      <w:pPr>
        <w:ind w:right="20" w:firstLine="799"/>
        <w:spacing w:after="0" w:line="287"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i w:val="1"/>
          <w:iCs w:val="1"/>
          <w:color w:val="auto"/>
        </w:rPr>
        <w:t>Public Announcements</w:t>
      </w:r>
      <w:r>
        <w:rPr>
          <w:rFonts w:ascii="Arial" w:cs="Arial" w:eastAsia="Arial" w:hAnsi="Arial"/>
          <w:sz w:val="15"/>
          <w:szCs w:val="15"/>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83" w:lineRule="exact"/>
        <w:rPr>
          <w:sz w:val="20"/>
          <w:szCs w:val="20"/>
          <w:color w:val="auto"/>
        </w:rPr>
      </w:pPr>
    </w:p>
    <w:p>
      <w:pPr>
        <w:ind w:firstLine="1720"/>
        <w:spacing w:after="0" w:line="285" w:lineRule="auto"/>
        <w:tabs>
          <w:tab w:leader="none" w:pos="2144" w:val="left"/>
        </w:tabs>
        <w:numPr>
          <w:ilvl w:val="0"/>
          <w:numId w:val="332"/>
        </w:numPr>
        <w:rPr>
          <w:rFonts w:ascii="Arial" w:cs="Arial" w:eastAsia="Arial" w:hAnsi="Arial"/>
          <w:sz w:val="15"/>
          <w:szCs w:val="15"/>
          <w:color w:val="auto"/>
        </w:rPr>
      </w:pPr>
      <w:r>
        <w:rPr>
          <w:rFonts w:ascii="Arial" w:cs="Arial" w:eastAsia="Arial" w:hAnsi="Arial"/>
          <w:sz w:val="15"/>
          <w:szCs w:val="15"/>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5"/>
          <w:szCs w:val="15"/>
          <w:b w:val="1"/>
          <w:bCs w:val="1"/>
          <w:color w:val="auto"/>
        </w:rPr>
        <w:t>participants</w:t>
      </w:r>
      <w:r>
        <w:rPr>
          <w:rFonts w:ascii="Arial" w:cs="Arial" w:eastAsia="Arial" w:hAnsi="Arial"/>
          <w:sz w:val="15"/>
          <w:szCs w:val="15"/>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 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5"/>
          <w:szCs w:val="15"/>
          <w:b w:val="1"/>
          <w:bCs w:val="1"/>
          <w:color w:val="auto"/>
        </w:rPr>
        <w:t>soliciting material</w:t>
      </w:r>
      <w:r>
        <w:rPr>
          <w:rFonts w:ascii="Arial" w:cs="Arial" w:eastAsia="Arial" w:hAnsi="Arial"/>
          <w:sz w:val="15"/>
          <w:szCs w:val="15"/>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5"/>
          <w:szCs w:val="15"/>
          <w:b w:val="1"/>
          <w:bCs w:val="1"/>
          <w:color w:val="auto"/>
        </w:rPr>
        <w:t>Merger</w:t>
      </w:r>
      <w:r>
        <w:rPr>
          <w:rFonts w:ascii="Arial" w:cs="Arial" w:eastAsia="Arial" w:hAnsi="Arial"/>
          <w:sz w:val="15"/>
          <w:szCs w:val="15"/>
          <w:color w:val="auto"/>
        </w:rPr>
        <w:t xml:space="preserve"> </w:t>
      </w:r>
      <w:r>
        <w:rPr>
          <w:rFonts w:ascii="Arial" w:cs="Arial" w:eastAsia="Arial" w:hAnsi="Arial"/>
          <w:sz w:val="15"/>
          <w:szCs w:val="15"/>
          <w:b w:val="1"/>
          <w:bCs w:val="1"/>
          <w:color w:val="auto"/>
        </w:rPr>
        <w:t>Communication</w:t>
      </w:r>
      <w:r>
        <w:rPr>
          <w:rFonts w:ascii="Arial" w:cs="Arial" w:eastAsia="Arial" w:hAnsi="Arial"/>
          <w:sz w:val="15"/>
          <w:szCs w:val="15"/>
          <w:color w:val="auto"/>
        </w:rPr>
        <w:t>” shall mean, with respect to any Person, any document or other written communication prepared by or on behalf of that Person, or any document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5"/>
          <w:szCs w:val="15"/>
          <w:b w:val="1"/>
          <w:bCs w:val="1"/>
          <w:color w:val="auto"/>
        </w:rPr>
        <w:t>solicitation</w:t>
      </w:r>
      <w:r>
        <w:rPr>
          <w:rFonts w:ascii="Arial" w:cs="Arial" w:eastAsia="Arial" w:hAnsi="Arial"/>
          <w:sz w:val="15"/>
          <w:szCs w:val="15"/>
          <w:color w:val="auto"/>
        </w:rPr>
        <w:t>” of “</w:t>
      </w:r>
      <w:r>
        <w:rPr>
          <w:rFonts w:ascii="Arial" w:cs="Arial" w:eastAsia="Arial" w:hAnsi="Arial"/>
          <w:sz w:val="15"/>
          <w:szCs w:val="15"/>
          <w:b w:val="1"/>
          <w:bCs w:val="1"/>
          <w:color w:val="auto"/>
        </w:rPr>
        <w:t>proxies</w:t>
      </w:r>
      <w:r>
        <w:rPr>
          <w:rFonts w:ascii="Arial" w:cs="Arial" w:eastAsia="Arial" w:hAnsi="Arial"/>
          <w:sz w:val="15"/>
          <w:szCs w:val="15"/>
          <w:color w:val="auto"/>
        </w:rPr>
        <w:t>” (in each case, as defined in Rule 14a-1 of the 1934 Act) in favor of the Merger or the Parent Stock Issuance.</w:t>
      </w:r>
    </w:p>
    <w:p>
      <w:pPr>
        <w:spacing w:after="0" w:line="180" w:lineRule="exact"/>
        <w:rPr>
          <w:sz w:val="20"/>
          <w:szCs w:val="20"/>
          <w:color w:val="auto"/>
        </w:rPr>
      </w:pPr>
    </w:p>
    <w:p>
      <w:pPr>
        <w:ind w:right="60" w:firstLine="799"/>
        <w:spacing w:after="0" w:line="27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Further Assurances</w:t>
      </w:r>
      <w:r>
        <w:rPr>
          <w:rFonts w:ascii="Arial" w:cs="Arial" w:eastAsia="Arial" w:hAnsi="Arial"/>
          <w:sz w:val="16"/>
          <w:szCs w:val="16"/>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Notices of Certain Events</w:t>
      </w:r>
      <w:r>
        <w:rPr>
          <w:rFonts w:ascii="Arial" w:cs="Arial" w:eastAsia="Arial" w:hAnsi="Arial"/>
          <w:sz w:val="16"/>
          <w:szCs w:val="16"/>
          <w:color w:val="auto"/>
        </w:rPr>
        <w:t>. Each of the Company and Parent shall promptly notify and provide copies to the other of:</w:t>
      </w:r>
    </w:p>
    <w:p>
      <w:pPr>
        <w:spacing w:after="0" w:line="235" w:lineRule="exact"/>
        <w:rPr>
          <w:sz w:val="20"/>
          <w:szCs w:val="20"/>
          <w:color w:val="auto"/>
        </w:rPr>
      </w:pPr>
    </w:p>
    <w:p>
      <w:pPr>
        <w:ind w:right="700" w:firstLine="1720"/>
        <w:spacing w:after="0" w:line="293" w:lineRule="auto"/>
        <w:tabs>
          <w:tab w:leader="none" w:pos="21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written notice from any Person alleging that the approval or consent of such Person is or may be required in connection with the transactions contemplated by this Agreement;</w:t>
      </w:r>
    </w:p>
    <w:p>
      <w:pPr>
        <w:spacing w:after="0" w:line="172" w:lineRule="exact"/>
        <w:rPr>
          <w:rFonts w:ascii="Arial" w:cs="Arial" w:eastAsia="Arial" w:hAnsi="Arial"/>
          <w:sz w:val="16"/>
          <w:szCs w:val="16"/>
          <w:color w:val="auto"/>
        </w:rPr>
      </w:pPr>
    </w:p>
    <w:p>
      <w:pPr>
        <w:ind w:left="2160" w:hanging="440"/>
        <w:spacing w:after="0"/>
        <w:tabs>
          <w:tab w:leader="none" w:pos="216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any written notice or other communication from any Governmental Authority in connection with the transactions contemplated by this</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 and</w:t>
      </w:r>
    </w:p>
    <w:p>
      <w:pPr>
        <w:spacing w:after="0" w:line="230" w:lineRule="exact"/>
        <w:rPr>
          <w:rFonts w:ascii="Arial" w:cs="Arial" w:eastAsia="Arial" w:hAnsi="Arial"/>
          <w:sz w:val="15"/>
          <w:szCs w:val="15"/>
          <w:color w:val="auto"/>
        </w:rPr>
      </w:pPr>
    </w:p>
    <w:p>
      <w:pPr>
        <w:ind w:right="80" w:firstLine="1720"/>
        <w:spacing w:after="0" w:line="273" w:lineRule="auto"/>
        <w:tabs>
          <w:tab w:leader="none" w:pos="213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8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delivery of any notice pursuant to this Section 8.05 shall not affect or be deemed to modify any representation or warranty made by any party hereunder or</w:t>
      </w:r>
      <w:r>
        <w:rPr>
          <w:rFonts w:ascii="Arial" w:cs="Arial" w:eastAsia="Arial" w:hAnsi="Arial"/>
          <w:sz w:val="16"/>
          <w:szCs w:val="16"/>
          <w:i w:val="1"/>
          <w:iCs w:val="1"/>
          <w:color w:val="auto"/>
        </w:rPr>
        <w:t xml:space="preserve"> </w:t>
      </w:r>
      <w:r>
        <w:rPr>
          <w:rFonts w:ascii="Arial" w:cs="Arial" w:eastAsia="Arial" w:hAnsi="Arial"/>
          <w:sz w:val="16"/>
          <w:szCs w:val="16"/>
          <w:color w:val="auto"/>
        </w:rPr>
        <w:t>limit or otherwise affect the remedies available hereunder to the party receiving such notice.</w:t>
      </w:r>
    </w:p>
    <w:p>
      <w:pPr>
        <w:spacing w:after="0" w:line="172" w:lineRule="exact"/>
        <w:rPr>
          <w:sz w:val="20"/>
          <w:szCs w:val="20"/>
          <w:color w:val="auto"/>
        </w:rPr>
      </w:pPr>
    </w:p>
    <w:p>
      <w:pPr>
        <w:ind w:firstLine="799"/>
        <w:spacing w:after="0" w:line="285"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i w:val="1"/>
          <w:iCs w:val="1"/>
          <w:color w:val="auto"/>
        </w:rPr>
        <w:t>Access to Information</w:t>
      </w:r>
      <w:r>
        <w:rPr>
          <w:rFonts w:ascii="Arial" w:cs="Arial" w:eastAsia="Arial" w:hAnsi="Arial"/>
          <w:sz w:val="15"/>
          <w:szCs w:val="15"/>
          <w:color w:val="auto"/>
        </w:rPr>
        <w:t xml:space="preserve">.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80"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Tax-free Reorganization</w:t>
      </w:r>
      <w:r>
        <w:rPr>
          <w:rFonts w:ascii="Arial" w:cs="Arial" w:eastAsia="Arial" w:hAnsi="Arial"/>
          <w:sz w:val="16"/>
          <w:szCs w:val="16"/>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89" w:lineRule="exact"/>
        <w:rPr>
          <w:sz w:val="20"/>
          <w:szCs w:val="20"/>
          <w:color w:val="auto"/>
        </w:rPr>
      </w:pPr>
    </w:p>
    <w:p>
      <w:pPr>
        <w:ind w:right="100" w:firstLine="1720"/>
        <w:spacing w:after="0" w:line="273" w:lineRule="auto"/>
        <w:tabs>
          <w:tab w:leader="none" w:pos="214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Officers of Parent, Merger Subsidiary and the Company shall execute and deliver to Davis Polk &amp; Wardwell LLP, tax counsel for Parent, and Paul, Weiss, Rifkind, 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89" w:lineRule="exact"/>
        <w:rPr>
          <w:sz w:val="20"/>
          <w:szCs w:val="20"/>
          <w:color w:val="auto"/>
        </w:rPr>
      </w:pPr>
    </w:p>
    <w:p>
      <w:pPr>
        <w:ind w:right="100" w:firstLine="799"/>
        <w:spacing w:after="0" w:line="293"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Section 16 Matters</w:t>
      </w:r>
      <w:r>
        <w:rPr>
          <w:rFonts w:ascii="Arial" w:cs="Arial" w:eastAsia="Arial" w:hAnsi="Arial"/>
          <w:sz w:val="16"/>
          <w:szCs w:val="16"/>
          <w:color w:val="auto"/>
        </w:rPr>
        <w:t>. Prior to the Effective Time, each party shall take all such steps as may be required to cause any dispositions of Company Stock (including derivative securities with respect to Company Stock)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84" w:lineRule="exact"/>
        <w:rPr>
          <w:sz w:val="20"/>
          <w:szCs w:val="20"/>
          <w:color w:val="auto"/>
        </w:rPr>
      </w:pPr>
    </w:p>
    <w:p>
      <w:pPr>
        <w:ind w:firstLine="799"/>
        <w:spacing w:after="0" w:line="297" w:lineRule="auto"/>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i w:val="1"/>
          <w:iCs w:val="1"/>
          <w:color w:val="auto"/>
        </w:rPr>
        <w:t>Stock Exchange De-listing; 1934 Act Deregistration</w:t>
      </w:r>
      <w:r>
        <w:rPr>
          <w:rFonts w:ascii="Arial" w:cs="Arial" w:eastAsia="Arial" w:hAnsi="Arial"/>
          <w:sz w:val="15"/>
          <w:szCs w:val="15"/>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173"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Dividends</w:t>
      </w:r>
      <w:r>
        <w:rPr>
          <w:rFonts w:ascii="Arial" w:cs="Arial" w:eastAsia="Arial" w:hAnsi="Arial"/>
          <w:sz w:val="16"/>
          <w:szCs w:val="16"/>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89"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8.11. </w:t>
      </w:r>
      <w:r>
        <w:rPr>
          <w:rFonts w:ascii="Arial" w:cs="Arial" w:eastAsia="Arial" w:hAnsi="Arial"/>
          <w:sz w:val="15"/>
          <w:szCs w:val="15"/>
          <w:i w:val="1"/>
          <w:iCs w:val="1"/>
          <w:color w:val="auto"/>
        </w:rPr>
        <w:t>Stockholder Litigation</w:t>
      </w:r>
      <w:r>
        <w:rPr>
          <w:rFonts w:ascii="Arial" w:cs="Arial" w:eastAsia="Arial" w:hAnsi="Arial"/>
          <w:sz w:val="15"/>
          <w:szCs w:val="15"/>
          <w:color w:val="auto"/>
        </w:rPr>
        <w:t>. Each party hereto shall promptly notify the other parties hereto in writing of any litigation related to this Agreement, the Merger or the other transactions contemplated by this Agreement that is brought, or, to the knowledge of the Company or Parent (as applicable), threatened in writing, against the Company or Parent and/or the members of the Board of Directors of the Company or the Board of Directors of Parent, as applicable (any such litigation relating to the Company and/or the executive officers or members of the Board of Directors of the Company, a “</w:t>
      </w:r>
      <w:r>
        <w:rPr>
          <w:rFonts w:ascii="Arial" w:cs="Arial" w:eastAsia="Arial" w:hAnsi="Arial"/>
          <w:sz w:val="15"/>
          <w:szCs w:val="15"/>
          <w:b w:val="1"/>
          <w:bCs w:val="1"/>
          <w:color w:val="auto"/>
        </w:rPr>
        <w:t>Company Transaction Litigation</w:t>
      </w:r>
      <w:r>
        <w:rPr>
          <w:rFonts w:ascii="Arial" w:cs="Arial" w:eastAsia="Arial" w:hAnsi="Arial"/>
          <w:sz w:val="15"/>
          <w:szCs w:val="15"/>
          <w:color w:val="auto"/>
        </w:rPr>
        <w:t>”, and any such litigation relating to Parent and/or the executive officers or members of the Board of Directors of Parent, a “</w:t>
      </w:r>
      <w:r>
        <w:rPr>
          <w:rFonts w:ascii="Arial" w:cs="Arial" w:eastAsia="Arial" w:hAnsi="Arial"/>
          <w:sz w:val="15"/>
          <w:szCs w:val="15"/>
          <w:b w:val="1"/>
          <w:bCs w:val="1"/>
          <w:color w:val="auto"/>
        </w:rPr>
        <w:t>Parent Transaction Litigation</w:t>
      </w:r>
      <w:r>
        <w:rPr>
          <w:rFonts w:ascii="Arial" w:cs="Arial" w:eastAsia="Arial" w:hAnsi="Arial"/>
          <w:sz w:val="15"/>
          <w:szCs w:val="15"/>
          <w:color w:val="auto"/>
        </w:rPr>
        <w:t>”) prior to the Effective Time and shall keep such other party reasonably informed with respect to the status thereof. The Company shall give Parent the opportunity to participate in the defense or settlement of any Company Transaction Litigation, and, except to the extent required by applicable Law, the Company shall not settle, agree to any undertakings or approve or otherwise agree to any waiver that may be sought in connection with such Company Transaction Litigation, without the prior written consent of Parent (which shall not be unreasonably withheld, conditioned or delayed). Without limiting in any way the parties’ obligations under Section 8.01, each of the Company and Parent shall cooperate, shall cause their respective Subsidiaries, as applicable, to cooperate, and shall use its reasonable best efforts to cause its Representatives to cooperate, in the defense against any litigation contemplated by this Section 8.11.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9</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Conditions to the Merger</w:t>
      </w:r>
    </w:p>
    <w:p>
      <w:pPr>
        <w:spacing w:after="0" w:line="231"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Conditions to the Obligations of Each Party</w:t>
      </w:r>
      <w:r>
        <w:rPr>
          <w:rFonts w:ascii="Arial" w:cs="Arial" w:eastAsia="Arial" w:hAnsi="Arial"/>
          <w:sz w:val="16"/>
          <w:szCs w:val="16"/>
          <w:color w:val="auto"/>
        </w:rPr>
        <w:t>. The obligations of the Company, Parent and Merger Subsidiary to consummate the Merger are subject to the satisfaction or waiver of the following conditions:</w:t>
      </w:r>
    </w:p>
    <w:p>
      <w:pPr>
        <w:spacing w:after="0" w:line="172" w:lineRule="exact"/>
        <w:rPr>
          <w:sz w:val="20"/>
          <w:szCs w:val="20"/>
          <w:color w:val="auto"/>
        </w:rPr>
      </w:pPr>
    </w:p>
    <w:p>
      <w:pPr>
        <w:ind w:right="140" w:firstLine="1720"/>
        <w:spacing w:after="0" w:line="293" w:lineRule="auto"/>
        <w:tabs>
          <w:tab w:leader="none" w:pos="21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 the Company Stockholder Approval shall have been obtained in accordance with Delaware Law and (ii) the Parent Shareholder Approval shall have been obtained in accordance with Pennsylvania Law;</w:t>
      </w:r>
    </w:p>
    <w:p>
      <w:pPr>
        <w:spacing w:after="0" w:line="172" w:lineRule="exact"/>
        <w:rPr>
          <w:rFonts w:ascii="Arial" w:cs="Arial" w:eastAsia="Arial" w:hAnsi="Arial"/>
          <w:sz w:val="16"/>
          <w:szCs w:val="16"/>
          <w:color w:val="auto"/>
        </w:rPr>
      </w:pPr>
    </w:p>
    <w:p>
      <w:pPr>
        <w:ind w:right="100" w:firstLine="1720"/>
        <w:spacing w:after="0" w:line="297" w:lineRule="auto"/>
        <w:tabs>
          <w:tab w:leader="none" w:pos="2144" w:val="left"/>
        </w:tabs>
        <w:numPr>
          <w:ilvl w:val="0"/>
          <w:numId w:val="335"/>
        </w:numPr>
        <w:rPr>
          <w:rFonts w:ascii="Arial" w:cs="Arial" w:eastAsia="Arial" w:hAnsi="Arial"/>
          <w:sz w:val="15"/>
          <w:szCs w:val="15"/>
          <w:color w:val="auto"/>
        </w:rPr>
      </w:pPr>
      <w:r>
        <w:rPr>
          <w:rFonts w:ascii="Arial" w:cs="Arial" w:eastAsia="Arial" w:hAnsi="Arial"/>
          <w:sz w:val="15"/>
          <w:szCs w:val="15"/>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72" w:lineRule="exact"/>
        <w:rPr>
          <w:rFonts w:ascii="Arial" w:cs="Arial" w:eastAsia="Arial" w:hAnsi="Arial"/>
          <w:sz w:val="15"/>
          <w:szCs w:val="15"/>
          <w:color w:val="auto"/>
        </w:rPr>
      </w:pPr>
    </w:p>
    <w:p>
      <w:pPr>
        <w:ind w:right="100" w:firstLine="1720"/>
        <w:spacing w:after="0" w:line="273" w:lineRule="auto"/>
        <w:tabs>
          <w:tab w:leader="none" w:pos="213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303" w:lineRule="auto"/>
        <w:tabs>
          <w:tab w:leader="none" w:pos="2144" w:val="left"/>
        </w:tabs>
        <w:numPr>
          <w:ilvl w:val="1"/>
          <w:numId w:val="336"/>
        </w:numPr>
        <w:rPr>
          <w:rFonts w:ascii="Arial" w:cs="Arial" w:eastAsia="Arial" w:hAnsi="Arial"/>
          <w:sz w:val="14"/>
          <w:szCs w:val="14"/>
          <w:color w:val="auto"/>
        </w:rPr>
      </w:pPr>
      <w:r>
        <w:rPr>
          <w:rFonts w:ascii="Arial" w:cs="Arial" w:eastAsia="Arial" w:hAnsi="Arial"/>
          <w:sz w:val="14"/>
          <w:szCs w:val="14"/>
          <w:color w:val="auto"/>
        </w:rPr>
        <w:t>except for the matters that are the subject of Section 9.01(b) or Section 9.01(c), there shall not be any (i) 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solely with respect to the obligations of Parent and Merger Subsidiary, imposes any Burdensome Condition.</w:t>
      </w:r>
    </w:p>
    <w:p>
      <w:pPr>
        <w:spacing w:after="0" w:line="230" w:lineRule="exact"/>
        <w:rPr>
          <w:rFonts w:ascii="Arial" w:cs="Arial" w:eastAsia="Arial" w:hAnsi="Arial"/>
          <w:sz w:val="16"/>
          <w:szCs w:val="16"/>
          <w:color w:val="auto"/>
        </w:rPr>
      </w:pPr>
    </w:p>
    <w:p>
      <w:pPr>
        <w:ind w:right="300" w:firstLine="1720"/>
        <w:spacing w:after="0" w:line="293" w:lineRule="auto"/>
        <w:tabs>
          <w:tab w:leader="none" w:pos="2135"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172" w:lineRule="exact"/>
        <w:rPr>
          <w:rFonts w:ascii="Arial" w:cs="Arial" w:eastAsia="Arial" w:hAnsi="Arial"/>
          <w:sz w:val="16"/>
          <w:szCs w:val="16"/>
          <w:color w:val="auto"/>
        </w:rPr>
      </w:pPr>
    </w:p>
    <w:p>
      <w:pPr>
        <w:ind w:left="2120" w:hanging="400"/>
        <w:spacing w:after="0"/>
        <w:tabs>
          <w:tab w:leader="none" w:pos="2120" w:val="left"/>
        </w:tabs>
        <w:numPr>
          <w:ilvl w:val="1"/>
          <w:numId w:val="337"/>
        </w:numPr>
        <w:rPr>
          <w:rFonts w:ascii="Arial" w:cs="Arial" w:eastAsia="Arial" w:hAnsi="Arial"/>
          <w:sz w:val="15"/>
          <w:szCs w:val="15"/>
          <w:color w:val="auto"/>
        </w:rPr>
      </w:pPr>
      <w:r>
        <w:rPr>
          <w:rFonts w:ascii="Arial" w:cs="Arial" w:eastAsia="Arial" w:hAnsi="Arial"/>
          <w:sz w:val="15"/>
          <w:szCs w:val="15"/>
          <w:color w:val="auto"/>
        </w:rPr>
        <w:t>the shares of Parent Class A Common Stock to be issued in the Merger shall have been approved for listing on the NASDAQ, subject to</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official notice of issuance.</w:t>
      </w:r>
    </w:p>
    <w:p>
      <w:pPr>
        <w:spacing w:after="0" w:line="231"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Conditions to the Obligations of Parent and Merger Subsidiary</w:t>
      </w:r>
      <w:r>
        <w:rPr>
          <w:rFonts w:ascii="Arial" w:cs="Arial" w:eastAsia="Arial" w:hAnsi="Arial"/>
          <w:sz w:val="16"/>
          <w:szCs w:val="16"/>
          <w:color w:val="auto"/>
        </w:rPr>
        <w:t>. The obligations of Parent and Merger Subsidiary to consummate the Merger are subject to the satisfaction or waiver of the following further conditions:</w:t>
      </w:r>
    </w:p>
    <w:p>
      <w:pPr>
        <w:spacing w:after="0" w:line="172" w:lineRule="exact"/>
        <w:rPr>
          <w:sz w:val="20"/>
          <w:szCs w:val="20"/>
          <w:color w:val="auto"/>
        </w:rPr>
      </w:pPr>
    </w:p>
    <w:p>
      <w:pPr>
        <w:ind w:right="20" w:firstLine="1720"/>
        <w:spacing w:after="0" w:line="306" w:lineRule="auto"/>
        <w:tabs>
          <w:tab w:leader="none" w:pos="2135" w:val="left"/>
        </w:tabs>
        <w:numPr>
          <w:ilvl w:val="0"/>
          <w:numId w:val="338"/>
        </w:numPr>
        <w:rPr>
          <w:rFonts w:ascii="Arial" w:cs="Arial" w:eastAsia="Arial" w:hAnsi="Arial"/>
          <w:sz w:val="14"/>
          <w:szCs w:val="14"/>
          <w:color w:val="auto"/>
        </w:rPr>
      </w:pPr>
      <w:r>
        <w:rPr>
          <w:rFonts w:ascii="Arial" w:cs="Arial" w:eastAsia="Arial" w:hAnsi="Arial"/>
          <w:sz w:val="14"/>
          <w:szCs w:val="14"/>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73" w:lineRule="exact"/>
        <w:rPr>
          <w:rFonts w:ascii="Arial" w:cs="Arial" w:eastAsia="Arial" w:hAnsi="Arial"/>
          <w:sz w:val="14"/>
          <w:szCs w:val="14"/>
          <w:color w:val="auto"/>
        </w:rPr>
      </w:pPr>
    </w:p>
    <w:p>
      <w:pPr>
        <w:ind w:right="40" w:firstLine="1720"/>
        <w:spacing w:after="0" w:line="291" w:lineRule="auto"/>
        <w:tabs>
          <w:tab w:leader="none" w:pos="2144" w:val="left"/>
        </w:tabs>
        <w:numPr>
          <w:ilvl w:val="0"/>
          <w:numId w:val="338"/>
        </w:numPr>
        <w:rPr>
          <w:rFonts w:ascii="Arial" w:cs="Arial" w:eastAsia="Arial" w:hAnsi="Arial"/>
          <w:sz w:val="15"/>
          <w:szCs w:val="15"/>
          <w:color w:val="auto"/>
        </w:rPr>
      </w:pPr>
      <w:r>
        <w:rPr>
          <w:rFonts w:ascii="Arial" w:cs="Arial" w:eastAsia="Arial" w:hAnsi="Arial"/>
          <w:sz w:val="15"/>
          <w:szCs w:val="15"/>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5"/>
          <w:szCs w:val="15"/>
          <w:b w:val="1"/>
          <w:bCs w:val="1"/>
          <w:color w:val="auto"/>
        </w:rPr>
        <w:t>party to the reorganization</w:t>
      </w:r>
      <w:r>
        <w:rPr>
          <w:rFonts w:ascii="Arial" w:cs="Arial" w:eastAsia="Arial" w:hAnsi="Arial"/>
          <w:sz w:val="15"/>
          <w:szCs w:val="15"/>
          <w:color w:val="auto"/>
        </w:rPr>
        <w:t>” within 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76" w:lineRule="exact"/>
        <w:rPr>
          <w:rFonts w:ascii="Arial" w:cs="Arial" w:eastAsia="Arial" w:hAnsi="Arial"/>
          <w:sz w:val="15"/>
          <w:szCs w:val="15"/>
          <w:color w:val="auto"/>
        </w:rPr>
      </w:pPr>
    </w:p>
    <w:p>
      <w:pPr>
        <w:ind w:right="220" w:firstLine="1720"/>
        <w:spacing w:after="0" w:line="293" w:lineRule="auto"/>
        <w:tabs>
          <w:tab w:leader="none" w:pos="213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Conditions to the Obligations of the Company</w:t>
      </w:r>
      <w:r>
        <w:rPr>
          <w:rFonts w:ascii="Arial" w:cs="Arial" w:eastAsia="Arial" w:hAnsi="Arial"/>
          <w:sz w:val="16"/>
          <w:szCs w:val="16"/>
          <w:color w:val="auto"/>
        </w:rPr>
        <w:t>. The obligations of the Company to consummate the Merger are subject to the satisfaction or waiver of the following further conditions:</w:t>
      </w:r>
    </w:p>
    <w:p>
      <w:pPr>
        <w:spacing w:after="0" w:line="172" w:lineRule="exact"/>
        <w:rPr>
          <w:sz w:val="20"/>
          <w:szCs w:val="20"/>
          <w:color w:val="auto"/>
        </w:rPr>
      </w:pPr>
    </w:p>
    <w:p>
      <w:pPr>
        <w:ind w:right="20" w:firstLine="1720"/>
        <w:spacing w:after="0" w:line="285" w:lineRule="auto"/>
        <w:tabs>
          <w:tab w:leader="none" w:pos="2135" w:val="left"/>
        </w:tabs>
        <w:numPr>
          <w:ilvl w:val="0"/>
          <w:numId w:val="339"/>
        </w:numPr>
        <w:rPr>
          <w:rFonts w:ascii="Arial" w:cs="Arial" w:eastAsia="Arial" w:hAnsi="Arial"/>
          <w:sz w:val="15"/>
          <w:szCs w:val="15"/>
          <w:color w:val="auto"/>
        </w:rPr>
      </w:pPr>
      <w:r>
        <w:rPr>
          <w:rFonts w:ascii="Arial" w:cs="Arial" w:eastAsia="Arial" w:hAnsi="Arial"/>
          <w:sz w:val="15"/>
          <w:szCs w:val="15"/>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86" w:lineRule="exact"/>
        <w:rPr>
          <w:rFonts w:ascii="Arial" w:cs="Arial" w:eastAsia="Arial" w:hAnsi="Arial"/>
          <w:sz w:val="15"/>
          <w:szCs w:val="15"/>
          <w:color w:val="auto"/>
        </w:rPr>
      </w:pPr>
    </w:p>
    <w:p>
      <w:pPr>
        <w:ind w:firstLine="1720"/>
        <w:spacing w:after="0" w:line="269" w:lineRule="auto"/>
        <w:tabs>
          <w:tab w:leader="none" w:pos="214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 Parent will each be a “</w:t>
      </w:r>
      <w:r>
        <w:rPr>
          <w:rFonts w:ascii="Arial" w:cs="Arial" w:eastAsia="Arial" w:hAnsi="Arial"/>
          <w:sz w:val="16"/>
          <w:szCs w:val="16"/>
          <w:b w:val="1"/>
          <w:bCs w:val="1"/>
          <w:color w:val="auto"/>
        </w:rPr>
        <w:t>party to the</w:t>
      </w:r>
      <w:r>
        <w:rPr>
          <w:rFonts w:ascii="Arial" w:cs="Arial" w:eastAsia="Arial" w:hAnsi="Arial"/>
          <w:sz w:val="16"/>
          <w:szCs w:val="16"/>
          <w:color w:val="auto"/>
        </w:rPr>
        <w:t xml:space="preserve"> </w:t>
      </w:r>
      <w:r>
        <w:rPr>
          <w:rFonts w:ascii="Arial" w:cs="Arial" w:eastAsia="Arial" w:hAnsi="Arial"/>
          <w:sz w:val="16"/>
          <w:szCs w:val="16"/>
          <w:b w:val="1"/>
          <w:bCs w:val="1"/>
          <w:color w:val="auto"/>
        </w:rPr>
        <w:t>reorganization</w:t>
      </w:r>
      <w:r>
        <w:rPr>
          <w:rFonts w:ascii="Arial" w:cs="Arial" w:eastAsia="Arial" w:hAnsi="Arial"/>
          <w:sz w:val="16"/>
          <w:szCs w:val="16"/>
          <w:color w:val="auto"/>
        </w:rPr>
        <w:t>” within the meaning of Section 368(b) of the Code, which opinion shall not have been withdrawn or modified in any material respect. In rendering the opinion</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this Section 9.03(b), Paul, Weiss, Rifkind, Wharton &amp; Garrison LLP shall have received and may rely upon the Tax Representation Letters referred to in Section 8.07(b) hereof; and</w:t>
      </w:r>
    </w:p>
    <w:p>
      <w:pPr>
        <w:spacing w:after="0" w:line="190" w:lineRule="exact"/>
        <w:rPr>
          <w:rFonts w:ascii="Arial" w:cs="Arial" w:eastAsia="Arial" w:hAnsi="Arial"/>
          <w:sz w:val="16"/>
          <w:szCs w:val="16"/>
          <w:color w:val="auto"/>
        </w:rPr>
      </w:pPr>
    </w:p>
    <w:p>
      <w:pPr>
        <w:ind w:right="180" w:firstLine="1720"/>
        <w:spacing w:after="0" w:line="293" w:lineRule="auto"/>
        <w:tabs>
          <w:tab w:leader="none" w:pos="21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ARTICLE 10</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Termination</w:t>
      </w:r>
    </w:p>
    <w:p>
      <w:pPr>
        <w:spacing w:after="0" w:line="231" w:lineRule="exact"/>
        <w:rPr>
          <w:sz w:val="20"/>
          <w:szCs w:val="20"/>
          <w:color w:val="auto"/>
        </w:rPr>
      </w:pPr>
    </w:p>
    <w:p>
      <w:pPr>
        <w:ind w:right="120" w:firstLine="799"/>
        <w:spacing w:after="0" w:line="293"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and the Merger may be abandoned at any time prior to the Effective Time (notwithstanding any approval of this Agreement by the stockholders of the Company):</w:t>
      </w:r>
    </w:p>
    <w:p>
      <w:pPr>
        <w:spacing w:after="0" w:line="172" w:lineRule="exact"/>
        <w:rPr>
          <w:sz w:val="20"/>
          <w:szCs w:val="20"/>
          <w:color w:val="auto"/>
        </w:rPr>
      </w:pPr>
    </w:p>
    <w:p>
      <w:pPr>
        <w:ind w:left="2140" w:hanging="420"/>
        <w:spacing w:after="0"/>
        <w:tabs>
          <w:tab w:leader="none" w:pos="2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by mutual written agreement of the Company and Parent;</w:t>
      </w:r>
    </w:p>
    <w:p>
      <w:pPr>
        <w:spacing w:after="0" w:line="234" w:lineRule="exact"/>
        <w:rPr>
          <w:rFonts w:ascii="Arial" w:cs="Arial" w:eastAsia="Arial" w:hAnsi="Arial"/>
          <w:sz w:val="16"/>
          <w:szCs w:val="16"/>
          <w:color w:val="auto"/>
        </w:rPr>
      </w:pPr>
    </w:p>
    <w:p>
      <w:pPr>
        <w:ind w:left="2160" w:hanging="440"/>
        <w:spacing w:after="0"/>
        <w:tabs>
          <w:tab w:leader="none" w:pos="216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by either the Company or Parent, if:</w:t>
      </w:r>
    </w:p>
    <w:p>
      <w:pPr>
        <w:spacing w:after="0" w:line="230" w:lineRule="exact"/>
        <w:rPr>
          <w:rFonts w:ascii="Arial" w:cs="Arial" w:eastAsia="Arial" w:hAnsi="Arial"/>
          <w:sz w:val="16"/>
          <w:szCs w:val="16"/>
          <w:color w:val="auto"/>
        </w:rPr>
      </w:pPr>
    </w:p>
    <w:p>
      <w:pPr>
        <w:ind w:left="1720" w:right="20" w:firstLine="679"/>
        <w:spacing w:after="0" w:line="289" w:lineRule="auto"/>
        <w:tabs>
          <w:tab w:leader="none" w:pos="2795" w:val="left"/>
        </w:tabs>
        <w:numPr>
          <w:ilvl w:val="1"/>
          <w:numId w:val="340"/>
        </w:numPr>
        <w:rPr>
          <w:rFonts w:ascii="Arial" w:cs="Arial" w:eastAsia="Arial" w:hAnsi="Arial"/>
          <w:sz w:val="15"/>
          <w:szCs w:val="15"/>
          <w:color w:val="auto"/>
        </w:rPr>
      </w:pPr>
      <w:r>
        <w:rPr>
          <w:rFonts w:ascii="Arial" w:cs="Arial" w:eastAsia="Arial" w:hAnsi="Arial"/>
          <w:sz w:val="15"/>
          <w:szCs w:val="15"/>
          <w:color w:val="auto"/>
        </w:rPr>
        <w:t>if the Merger is not consummated on or before February 12, 2015 (the “</w:t>
      </w:r>
      <w:r>
        <w:rPr>
          <w:rFonts w:ascii="Arial" w:cs="Arial" w:eastAsia="Arial" w:hAnsi="Arial"/>
          <w:sz w:val="15"/>
          <w:szCs w:val="15"/>
          <w:b w:val="1"/>
          <w:bCs w:val="1"/>
          <w:color w:val="auto"/>
        </w:rPr>
        <w:t>End Date</w:t>
      </w:r>
      <w:r>
        <w:rPr>
          <w:rFonts w:ascii="Arial" w:cs="Arial" w:eastAsia="Arial" w:hAnsi="Arial"/>
          <w:sz w:val="15"/>
          <w:szCs w:val="15"/>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360"/>
          </w:cols>
          <w:pgMar w:left="240" w:top="460" w:right="2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840" w:hanging="441"/>
        <w:spacing w:after="0"/>
        <w:tabs>
          <w:tab w:leader="none" w:pos="284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there shall be any Applicable Law in effect that (A) makes consummation of the Merger illegal or otherwise prohibited or</w:t>
      </w:r>
    </w:p>
    <w:p>
      <w:pPr>
        <w:spacing w:after="0" w:line="22" w:lineRule="exact"/>
        <w:rPr>
          <w:rFonts w:ascii="Arial" w:cs="Arial" w:eastAsia="Arial" w:hAnsi="Arial"/>
          <w:sz w:val="16"/>
          <w:szCs w:val="16"/>
          <w:color w:val="auto"/>
        </w:rPr>
      </w:pPr>
    </w:p>
    <w:p>
      <w:pPr>
        <w:ind w:left="1720" w:right="220"/>
        <w:spacing w:after="0" w:line="272" w:lineRule="auto"/>
        <w:tabs>
          <w:tab w:leader="none" w:pos="197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permanently enjoins the Company or Parent from consummating the Merger and, in the case of clauses (A) and (B) any such Applicable Law, including an injunction, shall have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88" w:lineRule="exact"/>
        <w:rPr>
          <w:rFonts w:ascii="Arial" w:cs="Arial" w:eastAsia="Arial" w:hAnsi="Arial"/>
          <w:sz w:val="16"/>
          <w:szCs w:val="16"/>
          <w:color w:val="auto"/>
        </w:rPr>
      </w:pPr>
    </w:p>
    <w:p>
      <w:pPr>
        <w:ind w:left="1720" w:right="300" w:firstLine="679"/>
        <w:spacing w:after="0" w:line="278" w:lineRule="auto"/>
        <w:tabs>
          <w:tab w:leader="none" w:pos="2885"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93" w:lineRule="exact"/>
        <w:rPr>
          <w:sz w:val="20"/>
          <w:szCs w:val="20"/>
          <w:color w:val="auto"/>
        </w:rPr>
      </w:pPr>
    </w:p>
    <w:p>
      <w:pPr>
        <w:ind w:left="2140" w:hanging="420"/>
        <w:spacing w:after="0"/>
        <w:tabs>
          <w:tab w:leader="none" w:pos="21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by Parent, if:</w:t>
      </w:r>
    </w:p>
    <w:p>
      <w:pPr>
        <w:spacing w:after="0" w:line="234" w:lineRule="exact"/>
        <w:rPr>
          <w:rFonts w:ascii="Arial" w:cs="Arial" w:eastAsia="Arial" w:hAnsi="Arial"/>
          <w:sz w:val="16"/>
          <w:szCs w:val="16"/>
          <w:color w:val="auto"/>
        </w:rPr>
      </w:pPr>
    </w:p>
    <w:p>
      <w:pPr>
        <w:ind w:left="1720" w:right="60" w:firstLine="679"/>
        <w:spacing w:after="0" w:line="270" w:lineRule="auto"/>
        <w:tabs>
          <w:tab w:leader="none" w:pos="279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the Company’s Board of Directors shall have made a Company Adverse Recommendation Change or (B)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89" w:lineRule="exact"/>
        <w:rPr>
          <w:rFonts w:ascii="Arial" w:cs="Arial" w:eastAsia="Arial" w:hAnsi="Arial"/>
          <w:sz w:val="16"/>
          <w:szCs w:val="16"/>
          <w:color w:val="auto"/>
        </w:rPr>
      </w:pPr>
    </w:p>
    <w:p>
      <w:pPr>
        <w:ind w:left="1720" w:right="380" w:firstLine="679"/>
        <w:spacing w:after="0" w:line="278" w:lineRule="auto"/>
        <w:tabs>
          <w:tab w:leader="none" w:pos="284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84" w:lineRule="exact"/>
        <w:rPr>
          <w:rFonts w:ascii="Arial" w:cs="Arial" w:eastAsia="Arial" w:hAnsi="Arial"/>
          <w:sz w:val="16"/>
          <w:szCs w:val="16"/>
          <w:color w:val="auto"/>
        </w:rPr>
      </w:pPr>
    </w:p>
    <w:p>
      <w:pPr>
        <w:ind w:left="1720" w:right="20" w:firstLine="679"/>
        <w:spacing w:after="0" w:line="271" w:lineRule="auto"/>
        <w:tabs>
          <w:tab w:leader="none" w:pos="288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Company set forth in this Agreement shall have occurred that would cause the condition set forth in 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190" w:lineRule="exact"/>
        <w:rPr>
          <w:rFonts w:ascii="Arial" w:cs="Arial" w:eastAsia="Arial" w:hAnsi="Arial"/>
          <w:sz w:val="16"/>
          <w:szCs w:val="16"/>
          <w:color w:val="auto"/>
        </w:rPr>
      </w:pPr>
    </w:p>
    <w:p>
      <w:pPr>
        <w:ind w:left="1720" w:right="80" w:firstLine="679"/>
        <w:spacing w:after="0" w:line="273" w:lineRule="auto"/>
        <w:tabs>
          <w:tab w:leader="none" w:pos="287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prior to the Company Stockholder Approval having been obtained, an intentional and material breach of (A) Section 6.03 that is authorized or permitted by the Company that results in a Third Party making a Company Acquisition Proposal that is reasonably likely to materially interfere with or delay consummation of the Merger or (B) the first sentence of Section 6.02 (taking into account the right of the Company to postpone the Company Stockholder Meeting in accordance with Section 6.02) shall have occurred.</w:t>
      </w:r>
    </w:p>
    <w:p>
      <w:pPr>
        <w:spacing w:after="0" w:line="189" w:lineRule="exact"/>
        <w:rPr>
          <w:rFonts w:ascii="Arial" w:cs="Arial" w:eastAsia="Arial" w:hAnsi="Arial"/>
          <w:sz w:val="16"/>
          <w:szCs w:val="16"/>
          <w:color w:val="auto"/>
        </w:rPr>
      </w:pPr>
    </w:p>
    <w:p>
      <w:pPr>
        <w:ind w:left="2160" w:hanging="440"/>
        <w:spacing w:after="0"/>
        <w:tabs>
          <w:tab w:leader="none" w:pos="21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by the Company, if:</w:t>
      </w:r>
    </w:p>
    <w:p>
      <w:pPr>
        <w:spacing w:after="0" w:line="234" w:lineRule="exact"/>
        <w:rPr>
          <w:rFonts w:ascii="Arial" w:cs="Arial" w:eastAsia="Arial" w:hAnsi="Arial"/>
          <w:sz w:val="16"/>
          <w:szCs w:val="16"/>
          <w:color w:val="auto"/>
        </w:rPr>
      </w:pPr>
    </w:p>
    <w:p>
      <w:pPr>
        <w:ind w:left="1720" w:right="40" w:firstLine="679"/>
        <w:spacing w:after="0" w:line="293" w:lineRule="auto"/>
        <w:tabs>
          <w:tab w:leader="none" w:pos="279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an intentional and material breach of the first sentence of Section 7.03 shall have occurred (taking into account the right of Parent to postpone the Parent Shareholder Meeting in accordance with Section 7.03);</w:t>
      </w:r>
    </w:p>
    <w:p>
      <w:pPr>
        <w:spacing w:after="0" w:line="172" w:lineRule="exact"/>
        <w:rPr>
          <w:rFonts w:ascii="Arial" w:cs="Arial" w:eastAsia="Arial" w:hAnsi="Arial"/>
          <w:sz w:val="16"/>
          <w:szCs w:val="16"/>
          <w:color w:val="auto"/>
        </w:rPr>
      </w:pPr>
    </w:p>
    <w:p>
      <w:pPr>
        <w:ind w:left="2840" w:hanging="441"/>
        <w:spacing w:after="0"/>
        <w:tabs>
          <w:tab w:leader="none" w:pos="2840" w:val="left"/>
        </w:tabs>
        <w:numPr>
          <w:ilvl w:val="1"/>
          <w:numId w:val="343"/>
        </w:numPr>
        <w:rPr>
          <w:rFonts w:ascii="Arial" w:cs="Arial" w:eastAsia="Arial" w:hAnsi="Arial"/>
          <w:sz w:val="14"/>
          <w:szCs w:val="14"/>
          <w:color w:val="auto"/>
        </w:rPr>
      </w:pPr>
      <w:r>
        <w:rPr>
          <w:rFonts w:ascii="Arial" w:cs="Arial" w:eastAsia="Arial" w:hAnsi="Arial"/>
          <w:sz w:val="14"/>
          <w:szCs w:val="14"/>
          <w:color w:val="auto"/>
        </w:rPr>
        <w:t>a material breach of the Voting Agreement shall have occurred that is noncurable or, if curable, is not cured within 30 days’ notice</w:t>
      </w:r>
    </w:p>
    <w:p>
      <w:pPr>
        <w:spacing w:after="0" w:line="45" w:lineRule="exact"/>
        <w:rPr>
          <w:rFonts w:ascii="Arial" w:cs="Arial" w:eastAsia="Arial" w:hAnsi="Arial"/>
          <w:sz w:val="14"/>
          <w:szCs w:val="14"/>
          <w:color w:val="auto"/>
        </w:rPr>
      </w:pPr>
    </w:p>
    <w:p>
      <w:pPr>
        <w:ind w:left="1720"/>
        <w:spacing w:after="0"/>
        <w:rPr>
          <w:rFonts w:ascii="Arial" w:cs="Arial" w:eastAsia="Arial" w:hAnsi="Arial"/>
          <w:sz w:val="14"/>
          <w:szCs w:val="14"/>
          <w:color w:val="auto"/>
        </w:rPr>
      </w:pPr>
      <w:r>
        <w:rPr>
          <w:rFonts w:ascii="Arial" w:cs="Arial" w:eastAsia="Arial" w:hAnsi="Arial"/>
          <w:sz w:val="16"/>
          <w:szCs w:val="16"/>
          <w:color w:val="auto"/>
        </w:rPr>
        <w:t>thereof; or</w:t>
      </w:r>
    </w:p>
    <w:p>
      <w:pPr>
        <w:spacing w:after="0" w:line="230" w:lineRule="exact"/>
        <w:rPr>
          <w:rFonts w:ascii="Arial" w:cs="Arial" w:eastAsia="Arial" w:hAnsi="Arial"/>
          <w:sz w:val="14"/>
          <w:szCs w:val="14"/>
          <w:color w:val="auto"/>
        </w:rPr>
      </w:pPr>
    </w:p>
    <w:p>
      <w:pPr>
        <w:ind w:left="1720" w:firstLine="679"/>
        <w:spacing w:after="0" w:line="271" w:lineRule="auto"/>
        <w:tabs>
          <w:tab w:leader="none" w:pos="2885"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59" w:right="2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72" w:lineRule="exact"/>
        <w:rPr>
          <w:sz w:val="20"/>
          <w:szCs w:val="20"/>
          <w:color w:val="auto"/>
        </w:rPr>
      </w:pPr>
    </w:p>
    <w:p>
      <w:pPr>
        <w:ind w:right="480" w:firstLine="799"/>
        <w:spacing w:after="0" w:line="303" w:lineRule="auto"/>
        <w:rPr>
          <w:sz w:val="20"/>
          <w:szCs w:val="20"/>
          <w:color w:val="auto"/>
        </w:rPr>
      </w:pPr>
      <w:r>
        <w:rPr>
          <w:rFonts w:ascii="Arial" w:cs="Arial" w:eastAsia="Arial" w:hAnsi="Arial"/>
          <w:sz w:val="14"/>
          <w:szCs w:val="14"/>
          <w:color w:val="auto"/>
        </w:rPr>
        <w:t xml:space="preserve">Section 10.02. </w:t>
      </w:r>
      <w:r>
        <w:rPr>
          <w:rFonts w:ascii="Arial" w:cs="Arial" w:eastAsia="Arial" w:hAnsi="Arial"/>
          <w:sz w:val="14"/>
          <w:szCs w:val="14"/>
          <w:i w:val="1"/>
          <w:iCs w:val="1"/>
          <w:color w:val="auto"/>
        </w:rPr>
        <w:t>Effect of Termination</w:t>
      </w:r>
      <w:r>
        <w:rPr>
          <w:rFonts w:ascii="Arial" w:cs="Arial" w:eastAsia="Arial" w:hAnsi="Arial"/>
          <w:sz w:val="14"/>
          <w:szCs w:val="14"/>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w:t>
      </w:r>
    </w:p>
    <w:p>
      <w:pPr>
        <w:spacing w:after="0" w:line="2" w:lineRule="exact"/>
        <w:rPr>
          <w:sz w:val="20"/>
          <w:szCs w:val="20"/>
          <w:color w:val="auto"/>
        </w:rPr>
      </w:pPr>
    </w:p>
    <w:p>
      <w:pPr>
        <w:ind w:right="60" w:firstLine="8"/>
        <w:spacing w:after="0" w:line="270" w:lineRule="auto"/>
        <w:tabs>
          <w:tab w:leader="none" w:pos="23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failure of any party to perform a covenant hereof or (iii) 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ARTICLE 11</w:t>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Miscellaneous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i w:val="1"/>
          <w:iCs w:val="1"/>
          <w:color w:val="auto"/>
        </w:rPr>
        <w:t>Notices</w:t>
      </w:r>
      <w:r>
        <w:rPr>
          <w:rFonts w:ascii="Arial" w:cs="Arial" w:eastAsia="Arial" w:hAnsi="Arial"/>
          <w:sz w:val="15"/>
          <w:szCs w:val="15"/>
          <w:color w:val="auto"/>
        </w:rPr>
        <w:t>. All notices, requests and other communications to any party hereunder shall be in writing (including facsimile transmission) and shall be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given,</w:t>
      </w:r>
    </w:p>
    <w:p>
      <w:pPr>
        <w:spacing w:after="0" w:line="1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to Parent or Merger Subsidiary,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Comcast Corporation</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1701 John F. Kennedy Boulevard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Philadelphia, PA 19103</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Attention: Arthur R. Block</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(215) 981-7794</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(which shall not constitute notice)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Davis Polk &amp; Wardwell LLP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450 Lexington Avenue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New York 10017</w:t>
      </w:r>
    </w:p>
    <w:p>
      <w:pPr>
        <w:spacing w:after="0" w:line="1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David L. Caplan</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William J. Chudd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450-3800</w:t>
      </w:r>
    </w:p>
    <w:p>
      <w:pPr>
        <w:spacing w:after="0" w:line="23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if to the Company,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Time Warner Cable Inc.</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NY 10023</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364-8459</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(which shall not constitute notice) to:</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Paul, Weiss, Rifkind, Wharton &amp; Garrison LLP</w:t>
      </w:r>
    </w:p>
    <w:p>
      <w:pPr>
        <w:spacing w:after="0" w:line="2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1285 Avenue of the Americas</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New York, New York 10019-6064</w:t>
      </w:r>
    </w:p>
    <w:p>
      <w:pPr>
        <w:spacing w:after="0" w:line="1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Robert B. Schumer</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Ariel J. Deckelbaum</w:t>
      </w:r>
    </w:p>
    <w:p>
      <w:pPr>
        <w:spacing w:after="0" w:line="1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Ross A. Fieldston</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Facsimile No.: (212) 757-3990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59" w:right="2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right="180" w:firstLine="799"/>
        <w:spacing w:after="0" w:line="278"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Survival of Representations and Warranties</w:t>
      </w:r>
      <w:r>
        <w:rPr>
          <w:rFonts w:ascii="Arial" w:cs="Arial" w:eastAsia="Arial" w:hAnsi="Arial"/>
          <w:sz w:val="16"/>
          <w:szCs w:val="16"/>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93" w:lineRule="exact"/>
        <w:rPr>
          <w:sz w:val="20"/>
          <w:szCs w:val="20"/>
          <w:color w:val="auto"/>
        </w:rPr>
      </w:pPr>
    </w:p>
    <w:p>
      <w:pPr>
        <w:ind w:right="100" w:firstLine="799"/>
        <w:spacing w:after="0" w:line="27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Amendments and Waivers</w:t>
      </w:r>
      <w:r>
        <w:rPr>
          <w:rFonts w:ascii="Arial" w:cs="Arial" w:eastAsia="Arial" w:hAnsi="Arial"/>
          <w:sz w:val="16"/>
          <w:szCs w:val="16"/>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90" w:lineRule="exact"/>
        <w:rPr>
          <w:sz w:val="20"/>
          <w:szCs w:val="20"/>
          <w:color w:val="auto"/>
        </w:rPr>
      </w:pPr>
    </w:p>
    <w:p>
      <w:pPr>
        <w:ind w:right="120" w:firstLine="1720"/>
        <w:spacing w:after="0" w:line="278" w:lineRule="auto"/>
        <w:tabs>
          <w:tab w:leader="none" w:pos="214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4" w:lineRule="exact"/>
        <w:rPr>
          <w:sz w:val="20"/>
          <w:szCs w:val="20"/>
          <w:color w:val="auto"/>
        </w:rPr>
      </w:pPr>
    </w:p>
    <w:p>
      <w:pPr>
        <w:ind w:firstLine="799"/>
        <w:spacing w:after="0" w:line="335" w:lineRule="auto"/>
        <w:rPr>
          <w:sz w:val="20"/>
          <w:szCs w:val="20"/>
          <w:color w:val="auto"/>
        </w:rPr>
      </w:pPr>
      <w:r>
        <w:rPr>
          <w:rFonts w:ascii="Arial" w:cs="Arial" w:eastAsia="Arial" w:hAnsi="Arial"/>
          <w:sz w:val="14"/>
          <w:szCs w:val="14"/>
          <w:color w:val="auto"/>
        </w:rPr>
        <w:t xml:space="preserve">Section 11.04. </w:t>
      </w:r>
      <w:r>
        <w:rPr>
          <w:rFonts w:ascii="Arial" w:cs="Arial" w:eastAsia="Arial" w:hAnsi="Arial"/>
          <w:sz w:val="14"/>
          <w:szCs w:val="14"/>
          <w:i w:val="1"/>
          <w:iCs w:val="1"/>
          <w:color w:val="auto"/>
        </w:rPr>
        <w:t>Expenses</w:t>
      </w:r>
      <w:r>
        <w:rPr>
          <w:rFonts w:ascii="Arial" w:cs="Arial" w:eastAsia="Arial" w:hAnsi="Arial"/>
          <w:sz w:val="14"/>
          <w:szCs w:val="14"/>
          <w:color w:val="auto"/>
        </w:rPr>
        <w:t xml:space="preserve">. (a) </w:t>
      </w:r>
      <w:r>
        <w:rPr>
          <w:rFonts w:ascii="Arial" w:cs="Arial" w:eastAsia="Arial" w:hAnsi="Arial"/>
          <w:sz w:val="14"/>
          <w:szCs w:val="14"/>
          <w:u w:val="single" w:color="auto"/>
          <w:color w:val="auto"/>
        </w:rPr>
        <w:t>General</w:t>
      </w:r>
      <w:r>
        <w:rPr>
          <w:rFonts w:ascii="Arial" w:cs="Arial" w:eastAsia="Arial" w:hAnsi="Arial"/>
          <w:sz w:val="14"/>
          <w:szCs w:val="14"/>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50" w:lineRule="exact"/>
        <w:rPr>
          <w:sz w:val="20"/>
          <w:szCs w:val="20"/>
          <w:color w:val="auto"/>
        </w:rPr>
      </w:pPr>
    </w:p>
    <w:p>
      <w:pPr>
        <w:ind w:right="20" w:firstLine="799"/>
        <w:spacing w:after="0" w:line="293" w:lineRule="auto"/>
        <w:rPr>
          <w:sz w:val="20"/>
          <w:szCs w:val="20"/>
          <w:color w:val="auto"/>
        </w:rPr>
      </w:pPr>
      <w:r>
        <w:rPr>
          <w:rFonts w:ascii="Arial" w:cs="Arial" w:eastAsia="Arial" w:hAnsi="Arial"/>
          <w:sz w:val="15"/>
          <w:szCs w:val="15"/>
          <w:color w:val="auto"/>
        </w:rPr>
        <w:t xml:space="preserve">Section 11.05. </w:t>
      </w:r>
      <w:r>
        <w:rPr>
          <w:rFonts w:ascii="Arial" w:cs="Arial" w:eastAsia="Arial" w:hAnsi="Arial"/>
          <w:sz w:val="15"/>
          <w:szCs w:val="15"/>
          <w:i w:val="1"/>
          <w:iCs w:val="1"/>
          <w:color w:val="auto"/>
        </w:rPr>
        <w:t>Disclosure Schedule and SEC Document References</w:t>
      </w:r>
      <w:r>
        <w:rPr>
          <w:rFonts w:ascii="Arial" w:cs="Arial" w:eastAsia="Arial" w:hAnsi="Arial"/>
          <w:sz w:val="15"/>
          <w:szCs w:val="15"/>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76" w:lineRule="exact"/>
        <w:rPr>
          <w:sz w:val="20"/>
          <w:szCs w:val="20"/>
          <w:color w:val="auto"/>
        </w:rPr>
      </w:pPr>
    </w:p>
    <w:p>
      <w:pPr>
        <w:ind w:right="20" w:firstLine="1720"/>
        <w:spacing w:after="0" w:line="291" w:lineRule="auto"/>
        <w:tabs>
          <w:tab w:leader="none" w:pos="2141" w:val="left"/>
        </w:tabs>
        <w:numPr>
          <w:ilvl w:val="0"/>
          <w:numId w:val="346"/>
        </w:numPr>
        <w:rPr>
          <w:rFonts w:ascii="Arial" w:cs="Arial" w:eastAsia="Arial" w:hAnsi="Arial"/>
          <w:sz w:val="15"/>
          <w:szCs w:val="15"/>
          <w:color w:val="auto"/>
        </w:rPr>
      </w:pPr>
      <w:r>
        <w:rPr>
          <w:rFonts w:ascii="Arial" w:cs="Arial" w:eastAsia="Arial" w:hAnsi="Arial"/>
          <w:sz w:val="15"/>
          <w:szCs w:val="15"/>
          <w:color w:val="auto"/>
        </w:rPr>
        <w:t>The parties hereto agree that any information contained in any part of any Specified Company SEC Document or Specified Parent SEC Document shall only be 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5"/>
          <w:szCs w:val="15"/>
          <w:b w:val="1"/>
          <w:bCs w:val="1"/>
          <w:color w:val="auto"/>
        </w:rPr>
        <w:t>Risk</w:t>
      </w:r>
      <w:r>
        <w:rPr>
          <w:rFonts w:ascii="Arial" w:cs="Arial" w:eastAsia="Arial" w:hAnsi="Arial"/>
          <w:sz w:val="15"/>
          <w:szCs w:val="15"/>
          <w:color w:val="auto"/>
        </w:rPr>
        <w:t xml:space="preserve"> </w:t>
      </w:r>
      <w:r>
        <w:rPr>
          <w:rFonts w:ascii="Arial" w:cs="Arial" w:eastAsia="Arial" w:hAnsi="Arial"/>
          <w:sz w:val="15"/>
          <w:szCs w:val="15"/>
          <w:b w:val="1"/>
          <w:bCs w:val="1"/>
          <w:color w:val="auto"/>
        </w:rPr>
        <w:t>Factors</w:t>
      </w:r>
      <w:r>
        <w:rPr>
          <w:rFonts w:ascii="Arial" w:cs="Arial" w:eastAsia="Arial" w:hAnsi="Arial"/>
          <w:sz w:val="15"/>
          <w:szCs w:val="15"/>
          <w:color w:val="auto"/>
        </w:rPr>
        <w:t>” (or words of similar import) or containing a description or explanation of “</w:t>
      </w:r>
      <w:r>
        <w:rPr>
          <w:rFonts w:ascii="Arial" w:cs="Arial" w:eastAsia="Arial" w:hAnsi="Arial"/>
          <w:sz w:val="15"/>
          <w:szCs w:val="15"/>
          <w:b w:val="1"/>
          <w:bCs w:val="1"/>
          <w:color w:val="auto"/>
        </w:rPr>
        <w:t>Forward-Looking Statements</w:t>
      </w:r>
      <w:r>
        <w:rPr>
          <w:rFonts w:ascii="Arial" w:cs="Arial" w:eastAsia="Arial" w:hAnsi="Arial"/>
          <w:sz w:val="15"/>
          <w:szCs w:val="15"/>
          <w:color w:val="auto"/>
        </w:rPr>
        <w:t>” be deemed to be an exception to (or a disclosure for</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of) any representations and warranties of any party contained in this Agreement.</w:t>
      </w:r>
    </w:p>
    <w:p>
      <w:pPr>
        <w:spacing w:after="0" w:line="177" w:lineRule="exact"/>
        <w:rPr>
          <w:sz w:val="20"/>
          <w:szCs w:val="20"/>
          <w:color w:val="auto"/>
        </w:rPr>
      </w:pPr>
    </w:p>
    <w:p>
      <w:pPr>
        <w:ind w:right="80" w:firstLine="799"/>
        <w:spacing w:after="0" w:line="269"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Binding Effect; Benefit; Assignment</w:t>
      </w:r>
      <w:r>
        <w:rPr>
          <w:rFonts w:ascii="Arial" w:cs="Arial" w:eastAsia="Arial" w:hAnsi="Arial"/>
          <w:sz w:val="16"/>
          <w:szCs w:val="16"/>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1720"/>
        <w:spacing w:after="0" w:line="297" w:lineRule="auto"/>
        <w:tabs>
          <w:tab w:leader="none" w:pos="2144" w:val="left"/>
        </w:tabs>
        <w:numPr>
          <w:ilvl w:val="0"/>
          <w:numId w:val="347"/>
        </w:numPr>
        <w:rPr>
          <w:rFonts w:ascii="Arial" w:cs="Arial" w:eastAsia="Arial" w:hAnsi="Arial"/>
          <w:sz w:val="15"/>
          <w:szCs w:val="15"/>
          <w:color w:val="auto"/>
        </w:rPr>
      </w:pPr>
      <w:r>
        <w:rPr>
          <w:rFonts w:ascii="Arial" w:cs="Arial" w:eastAsia="Arial" w:hAnsi="Arial"/>
          <w:sz w:val="15"/>
          <w:szCs w:val="15"/>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73" w:lineRule="exact"/>
        <w:rPr>
          <w:sz w:val="20"/>
          <w:szCs w:val="20"/>
          <w:color w:val="auto"/>
        </w:rPr>
      </w:pPr>
    </w:p>
    <w:p>
      <w:pPr>
        <w:ind w:right="220" w:firstLine="799"/>
        <w:spacing w:after="0" w:line="293"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without regard to the conflicts of law rules of such state.</w:t>
      </w:r>
    </w:p>
    <w:p>
      <w:pPr>
        <w:spacing w:after="0" w:line="172"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11.08. </w:t>
      </w:r>
      <w:r>
        <w:rPr>
          <w:rFonts w:ascii="Arial" w:cs="Arial" w:eastAsia="Arial" w:hAnsi="Arial"/>
          <w:sz w:val="15"/>
          <w:szCs w:val="15"/>
          <w:i w:val="1"/>
          <w:iCs w:val="1"/>
          <w:color w:val="auto"/>
        </w:rPr>
        <w:t>Jurisdiction.</w:t>
      </w:r>
      <w:r>
        <w:rPr>
          <w:rFonts w:ascii="Arial" w:cs="Arial" w:eastAsia="Arial" w:hAnsi="Arial"/>
          <w:sz w:val="15"/>
          <w:szCs w:val="15"/>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81" w:lineRule="exact"/>
        <w:rPr>
          <w:sz w:val="20"/>
          <w:szCs w:val="20"/>
          <w:color w:val="auto"/>
        </w:rPr>
      </w:pPr>
    </w:p>
    <w:p>
      <w:pPr>
        <w:ind w:right="140" w:firstLine="799"/>
        <w:spacing w:after="0" w:line="293"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i w:val="1"/>
          <w:iCs w:val="1"/>
          <w:color w:val="auto"/>
        </w:rPr>
        <w:t>WAIVER OF JURY TRIAL.</w:t>
      </w:r>
      <w:r>
        <w:rPr>
          <w:rFonts w:ascii="Arial" w:cs="Arial" w:eastAsia="Arial" w:hAnsi="Arial"/>
          <w:sz w:val="16"/>
          <w:szCs w:val="16"/>
          <w:color w:val="auto"/>
        </w:rPr>
        <w:t xml:space="preserve">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Counterparts; Effectiveness.</w:t>
      </w:r>
      <w:r>
        <w:rPr>
          <w:rFonts w:ascii="Arial" w:cs="Arial" w:eastAsia="Arial" w:hAnsi="Arial"/>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90" w:lineRule="exact"/>
        <w:rPr>
          <w:sz w:val="20"/>
          <w:szCs w:val="20"/>
          <w:color w:val="auto"/>
        </w:rPr>
      </w:pPr>
    </w:p>
    <w:p>
      <w:pPr>
        <w:ind w:right="20" w:firstLine="799"/>
        <w:spacing w:after="0" w:line="278"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84" w:lineRule="exact"/>
        <w:rPr>
          <w:sz w:val="20"/>
          <w:szCs w:val="20"/>
          <w:color w:val="auto"/>
        </w:rPr>
      </w:pPr>
    </w:p>
    <w:p>
      <w:pPr>
        <w:ind w:right="40" w:firstLine="799"/>
        <w:spacing w:after="0" w:line="318" w:lineRule="auto"/>
        <w:rPr>
          <w:sz w:val="20"/>
          <w:szCs w:val="20"/>
          <w:color w:val="auto"/>
        </w:rPr>
      </w:pPr>
      <w:r>
        <w:rPr>
          <w:rFonts w:ascii="Arial" w:cs="Arial" w:eastAsia="Arial" w:hAnsi="Arial"/>
          <w:sz w:val="14"/>
          <w:szCs w:val="14"/>
          <w:color w:val="auto"/>
        </w:rPr>
        <w:t xml:space="preserve">Section 11.12.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right="40" w:firstLine="799"/>
        <w:spacing w:after="0" w:line="289" w:lineRule="auto"/>
        <w:rPr>
          <w:sz w:val="20"/>
          <w:szCs w:val="20"/>
          <w:color w:val="auto"/>
        </w:rPr>
      </w:pPr>
      <w:r>
        <w:rPr>
          <w:rFonts w:ascii="Arial" w:cs="Arial" w:eastAsia="Arial" w:hAnsi="Arial"/>
          <w:sz w:val="15"/>
          <w:szCs w:val="15"/>
          <w:color w:val="auto"/>
        </w:rPr>
        <w:t xml:space="preserve">Section 11.13. </w:t>
      </w:r>
      <w:r>
        <w:rPr>
          <w:rFonts w:ascii="Arial" w:cs="Arial" w:eastAsia="Arial" w:hAnsi="Arial"/>
          <w:sz w:val="15"/>
          <w:szCs w:val="15"/>
          <w:i w:val="1"/>
          <w:iCs w:val="1"/>
          <w:color w:val="auto"/>
        </w:rPr>
        <w:t>Specific Performance.</w:t>
      </w:r>
      <w:r>
        <w:rPr>
          <w:rFonts w:ascii="Arial" w:cs="Arial" w:eastAsia="Arial" w:hAnsi="Arial"/>
          <w:sz w:val="15"/>
          <w:szCs w:val="15"/>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remainder of this page has been intentionally left blank; the next page is the signature page.]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IN WITNESS WHEREOF, the parties hereto have caused this Agreement to be duly executed by their respective authorized officers as of the date set forth on the cover page of this Agreement.</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TIME WARNER CABLE INC.</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Arthur T. Minson, Jr.</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Executive Vice President and</w:t>
      </w:r>
    </w:p>
    <w:p>
      <w:pPr>
        <w:spacing w:after="0" w:line="19"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Robert S. Pick</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Senior Vice President</w:t>
      </w:r>
    </w:p>
    <w:p>
      <w:pPr>
        <w:spacing w:after="0" w:line="200" w:lineRule="exact"/>
        <w:rPr>
          <w:sz w:val="20"/>
          <w:szCs w:val="20"/>
          <w:color w:val="auto"/>
        </w:rPr>
      </w:pPr>
    </w:p>
    <w:p>
      <w:pPr>
        <w:spacing w:after="0" w:line="32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TANGO ACQUISITION SUB, INC.</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17780</wp:posOffset>
            </wp:positionV>
            <wp:extent cx="26841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Robert S. Pick</w:t>
      </w:r>
    </w:p>
    <w:p>
      <w:pPr>
        <w:spacing w:after="0" w:line="22"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6"/>
          <w:szCs w:val="16"/>
          <w:color w:val="auto"/>
        </w:rPr>
        <w:t>Title:</w:t>
        <w:tab/>
        <w:t>Senior Vice President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00"/>
          </w:cols>
          <w:pgMar w:left="240" w:top="460" w:right="3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B</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AGREEMENT</w:t>
      </w:r>
    </w:p>
    <w:p>
      <w:pPr>
        <w:spacing w:after="0" w:line="235" w:lineRule="exact"/>
        <w:rPr>
          <w:sz w:val="20"/>
          <w:szCs w:val="20"/>
          <w:color w:val="auto"/>
        </w:rPr>
      </w:pPr>
    </w:p>
    <w:p>
      <w:pPr>
        <w:ind w:right="280" w:firstLine="799"/>
        <w:spacing w:after="0" w:line="298" w:lineRule="auto"/>
        <w:rPr>
          <w:sz w:val="20"/>
          <w:szCs w:val="20"/>
          <w:color w:val="auto"/>
        </w:rPr>
      </w:pPr>
      <w:r>
        <w:rPr>
          <w:rFonts w:ascii="Arial" w:cs="Arial" w:eastAsia="Arial" w:hAnsi="Arial"/>
          <w:sz w:val="16"/>
          <w:szCs w:val="16"/>
          <w:color w:val="auto"/>
        </w:rPr>
        <w:t>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12, 2014, among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the individuals or entities listed on Schedule 1.01 hereto (each, a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164" w:lineRule="exact"/>
        <w:rPr>
          <w:sz w:val="20"/>
          <w:szCs w:val="20"/>
          <w:color w:val="auto"/>
        </w:rPr>
      </w:pPr>
    </w:p>
    <w:p>
      <w:pPr>
        <w:ind w:right="200" w:firstLine="799"/>
        <w:spacing w:after="0" w:line="275" w:lineRule="auto"/>
        <w:rPr>
          <w:sz w:val="20"/>
          <w:szCs w:val="20"/>
          <w:color w:val="auto"/>
        </w:rPr>
      </w:pPr>
      <w:r>
        <w:rPr>
          <w:rFonts w:ascii="Arial" w:cs="Arial" w:eastAsia="Arial" w:hAnsi="Arial"/>
          <w:sz w:val="16"/>
          <w:szCs w:val="16"/>
          <w:color w:val="auto"/>
        </w:rPr>
        <w:t>WHEREAS, concurrently with the execution and delivery of this Agreement, the Company,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and Tango Acquisition Sub, Inc., a Delaware corporation and wholly 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 are entering into an Agreement and Plan of Merger (as amended or modified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Merger Subsidiary will be merged with and into the Company, with the Company continuing as the surviving corporation and a wholly owned subsidiary of Parent;</w:t>
      </w:r>
    </w:p>
    <w:p>
      <w:pPr>
        <w:spacing w:after="0" w:line="187"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WHEREAS, as of the date hereof, each Stockholder is the record and beneficial owner of the shares of “Parent Class A Common Stock,” and “Parent Class B Common Stock,” respectively, on Schedule 1.01; and</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WHEREAS, in order to induce the Company to enter into the Merger Agreement, each Stockholder has agreed to enter into this Agreement.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NOW, THEREFORE, the parties hereto agree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3"/>
          <w:szCs w:val="13"/>
          <w:color w:val="auto"/>
        </w:rPr>
        <w:t>EFINED</w:t>
      </w:r>
      <w:r>
        <w:rPr>
          <w:rFonts w:ascii="Arial" w:cs="Arial" w:eastAsia="Arial" w:hAnsi="Arial"/>
          <w:sz w:val="16"/>
          <w:szCs w:val="16"/>
          <w:color w:val="auto"/>
        </w:rPr>
        <w:t xml:space="preserve"> T</w:t>
      </w:r>
      <w:r>
        <w:rPr>
          <w:rFonts w:ascii="Arial" w:cs="Arial" w:eastAsia="Arial" w:hAnsi="Arial"/>
          <w:sz w:val="13"/>
          <w:szCs w:val="13"/>
          <w:color w:val="auto"/>
        </w:rPr>
        <w:t>ERMS</w:t>
      </w:r>
    </w:p>
    <w:p>
      <w:pPr>
        <w:spacing w:after="0" w:line="231" w:lineRule="exact"/>
        <w:rPr>
          <w:sz w:val="20"/>
          <w:szCs w:val="20"/>
          <w:color w:val="auto"/>
        </w:rPr>
      </w:pPr>
    </w:p>
    <w:p>
      <w:pPr>
        <w:ind w:right="460" w:firstLine="799"/>
        <w:spacing w:after="0" w:line="293"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Definitions Generally</w:t>
      </w:r>
      <w:r>
        <w:rPr>
          <w:rFonts w:ascii="Arial" w:cs="Arial" w:eastAsia="Arial" w:hAnsi="Arial"/>
          <w:sz w:val="16"/>
          <w:szCs w:val="16"/>
          <w:color w:val="auto"/>
        </w:rPr>
        <w:t>. For purposes of this Agreement, terms used in this Agreement that are defined in the Merger Agreement but not in this Agreement shall have the respective meanings ascribed to them in the Merger Agreement.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Certain Definitions</w:t>
      </w:r>
      <w:r>
        <w:rPr>
          <w:rFonts w:ascii="Arial" w:cs="Arial" w:eastAsia="Arial" w:hAnsi="Arial"/>
          <w:sz w:val="16"/>
          <w:szCs w:val="16"/>
          <w:color w:val="auto"/>
        </w:rPr>
        <w:t>. In addition, the following terms, as used herein, have the following meanings:</w:t>
      </w:r>
    </w:p>
    <w:p>
      <w:pPr>
        <w:spacing w:after="0" w:line="231" w:lineRule="exact"/>
        <w:rPr>
          <w:sz w:val="20"/>
          <w:szCs w:val="20"/>
          <w:color w:val="auto"/>
        </w:rPr>
      </w:pPr>
    </w:p>
    <w:p>
      <w:pPr>
        <w:ind w:left="1940" w:hanging="390"/>
        <w:spacing w:after="0"/>
        <w:tabs>
          <w:tab w:leader="none" w:pos="19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means the Amended and Restated Articles of Incorporation of Parent.</w:t>
      </w:r>
    </w:p>
    <w:p>
      <w:pPr>
        <w:spacing w:after="0" w:line="234" w:lineRule="exact"/>
        <w:rPr>
          <w:rFonts w:ascii="Arial" w:cs="Arial" w:eastAsia="Arial" w:hAnsi="Arial"/>
          <w:sz w:val="16"/>
          <w:szCs w:val="16"/>
          <w:color w:val="auto"/>
        </w:rPr>
      </w:pPr>
    </w:p>
    <w:p>
      <w:pPr>
        <w:ind w:left="800" w:right="220" w:firstLine="750"/>
        <w:spacing w:after="0" w:line="281" w:lineRule="auto"/>
        <w:tabs>
          <w:tab w:leader="none" w:pos="198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16"/>
          <w:szCs w:val="16"/>
          <w:b w:val="1"/>
          <w:bCs w:val="1"/>
          <w:color w:val="auto"/>
        </w:rPr>
        <w:t>beneficially owned</w:t>
      </w:r>
      <w:r>
        <w:rPr>
          <w:rFonts w:ascii="Arial" w:cs="Arial" w:eastAsia="Arial" w:hAnsi="Arial"/>
          <w:sz w:val="16"/>
          <w:szCs w:val="16"/>
          <w:color w:val="auto"/>
        </w:rPr>
        <w:t>” and “</w:t>
      </w:r>
      <w:r>
        <w:rPr>
          <w:rFonts w:ascii="Arial" w:cs="Arial" w:eastAsia="Arial" w:hAnsi="Arial"/>
          <w:sz w:val="16"/>
          <w:szCs w:val="16"/>
          <w:b w:val="1"/>
          <w:bCs w:val="1"/>
          <w:color w:val="auto"/>
        </w:rPr>
        <w:t>beneficial owner</w:t>
      </w:r>
      <w:r>
        <w:rPr>
          <w:rFonts w:ascii="Arial" w:cs="Arial" w:eastAsia="Arial" w:hAnsi="Arial"/>
          <w:sz w:val="16"/>
          <w:szCs w:val="16"/>
          <w:color w:val="auto"/>
        </w:rPr>
        <w:t>” shall have correlative meanings.</w:t>
      </w:r>
    </w:p>
    <w:p>
      <w:pPr>
        <w:spacing w:after="0" w:line="177" w:lineRule="exact"/>
        <w:rPr>
          <w:rFonts w:ascii="Arial" w:cs="Arial" w:eastAsia="Arial" w:hAnsi="Arial"/>
          <w:sz w:val="16"/>
          <w:szCs w:val="16"/>
          <w:color w:val="auto"/>
        </w:rPr>
      </w:pPr>
    </w:p>
    <w:p>
      <w:pPr>
        <w:ind w:left="2040" w:hanging="490"/>
        <w:spacing w:after="0"/>
        <w:tabs>
          <w:tab w:leader="none" w:pos="20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Covered Shares</w:t>
      </w:r>
      <w:r>
        <w:rPr>
          <w:rFonts w:ascii="Arial" w:cs="Arial" w:eastAsia="Arial" w:hAnsi="Arial"/>
          <w:sz w:val="15"/>
          <w:szCs w:val="15"/>
          <w:color w:val="auto"/>
        </w:rPr>
        <w:t>” means, with respect to any Stockholder at any time, such Stockholder’s Existing Shares and New Shares as of such time.</w:t>
      </w:r>
    </w:p>
    <w:p>
      <w:pPr>
        <w:spacing w:after="0" w:line="246" w:lineRule="exact"/>
        <w:rPr>
          <w:rFonts w:ascii="Arial" w:cs="Arial" w:eastAsia="Arial" w:hAnsi="Arial"/>
          <w:sz w:val="15"/>
          <w:szCs w:val="15"/>
          <w:color w:val="auto"/>
        </w:rPr>
      </w:pPr>
    </w:p>
    <w:p>
      <w:pPr>
        <w:ind w:left="800" w:right="160" w:firstLine="750"/>
        <w:spacing w:after="0" w:line="281" w:lineRule="auto"/>
        <w:tabs>
          <w:tab w:leader="none" w:pos="20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Shares</w:t>
      </w:r>
      <w:r>
        <w:rPr>
          <w:rFonts w:ascii="Arial" w:cs="Arial" w:eastAsia="Arial" w:hAnsi="Arial"/>
          <w:sz w:val="16"/>
          <w:szCs w:val="16"/>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77" w:lineRule="exact"/>
        <w:rPr>
          <w:rFonts w:ascii="Arial" w:cs="Arial" w:eastAsia="Arial" w:hAnsi="Arial"/>
          <w:sz w:val="16"/>
          <w:szCs w:val="16"/>
          <w:color w:val="auto"/>
        </w:rPr>
      </w:pPr>
    </w:p>
    <w:p>
      <w:pPr>
        <w:ind w:left="800" w:right="280" w:firstLine="750"/>
        <w:spacing w:after="0" w:line="281" w:lineRule="auto"/>
        <w:tabs>
          <w:tab w:leader="none" w:pos="197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Shares</w:t>
      </w:r>
      <w:r>
        <w:rPr>
          <w:rFonts w:ascii="Arial" w:cs="Arial" w:eastAsia="Arial" w:hAnsi="Arial"/>
          <w:sz w:val="16"/>
          <w:szCs w:val="16"/>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77" w:lineRule="exact"/>
        <w:rPr>
          <w:rFonts w:ascii="Arial" w:cs="Arial" w:eastAsia="Arial" w:hAnsi="Arial"/>
          <w:sz w:val="16"/>
          <w:szCs w:val="16"/>
          <w:color w:val="auto"/>
        </w:rPr>
      </w:pPr>
    </w:p>
    <w:p>
      <w:pPr>
        <w:ind w:left="800" w:right="420" w:firstLine="750"/>
        <w:spacing w:after="0" w:line="298" w:lineRule="auto"/>
        <w:tabs>
          <w:tab w:leader="none" w:pos="20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Shares</w:t>
      </w:r>
      <w:r>
        <w:rPr>
          <w:rFonts w:ascii="Arial" w:cs="Arial" w:eastAsia="Arial" w:hAnsi="Arial"/>
          <w:sz w:val="16"/>
          <w:szCs w:val="16"/>
          <w:color w:val="auto"/>
        </w:rPr>
        <w:t>” means, with respect to any Stockholder, all shares of Parent Stock (other than shares of Parent Class A Special Common Stock) issuable upon exercise of options held by such Stockholder.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hanging="530"/>
        <w:spacing w:after="0"/>
        <w:tabs>
          <w:tab w:leader="none" w:pos="208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 Issuance</w:t>
      </w:r>
      <w:r>
        <w:rPr>
          <w:rFonts w:ascii="Arial" w:cs="Arial" w:eastAsia="Arial" w:hAnsi="Arial"/>
          <w:sz w:val="16"/>
          <w:szCs w:val="16"/>
          <w:color w:val="auto"/>
        </w:rPr>
        <w:t>” means the issuance of shares of Parent Class A Common Stock as part of the Merger Consideration.</w:t>
      </w:r>
    </w:p>
    <w:p>
      <w:pPr>
        <w:spacing w:after="0" w:line="234" w:lineRule="exact"/>
        <w:rPr>
          <w:rFonts w:ascii="Arial" w:cs="Arial" w:eastAsia="Arial" w:hAnsi="Arial"/>
          <w:sz w:val="16"/>
          <w:szCs w:val="16"/>
          <w:color w:val="auto"/>
        </w:rPr>
      </w:pPr>
    </w:p>
    <w:p>
      <w:pPr>
        <w:ind w:left="2120" w:hanging="570"/>
        <w:spacing w:after="0"/>
        <w:tabs>
          <w:tab w:leader="none" w:pos="21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w:t>
      </w:r>
      <w:r>
        <w:rPr>
          <w:rFonts w:ascii="Arial" w:cs="Arial" w:eastAsia="Arial" w:hAnsi="Arial"/>
          <w:sz w:val="16"/>
          <w:szCs w:val="16"/>
          <w:color w:val="auto"/>
        </w:rPr>
        <w:t>” means Brian L. Roberts.</w:t>
      </w:r>
    </w:p>
    <w:p>
      <w:pPr>
        <w:spacing w:after="0" w:line="234" w:lineRule="exact"/>
        <w:rPr>
          <w:rFonts w:ascii="Arial" w:cs="Arial" w:eastAsia="Arial" w:hAnsi="Arial"/>
          <w:sz w:val="16"/>
          <w:szCs w:val="16"/>
          <w:color w:val="auto"/>
        </w:rPr>
      </w:pPr>
    </w:p>
    <w:p>
      <w:pPr>
        <w:jc w:val="both"/>
        <w:ind w:left="800" w:firstLine="750"/>
        <w:spacing w:after="0" w:line="275" w:lineRule="auto"/>
        <w:tabs>
          <w:tab w:leader="none" w:pos="20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Roberts Family Group</w:t>
      </w:r>
      <w:r>
        <w:rPr>
          <w:rFonts w:ascii="Arial" w:cs="Arial" w:eastAsia="Arial" w:hAnsi="Arial"/>
          <w:sz w:val="16"/>
          <w:szCs w:val="16"/>
          <w:color w:val="auto"/>
        </w:rPr>
        <w:t>” means (i) Roberts, (ii) any lineal descendant or ancestor or sibling (by birth or adoption) of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87" w:lineRule="exact"/>
        <w:rPr>
          <w:sz w:val="20"/>
          <w:szCs w:val="20"/>
          <w:color w:val="auto"/>
        </w:rPr>
      </w:pPr>
    </w:p>
    <w:p>
      <w:pPr>
        <w:ind w:firstLine="799"/>
        <w:spacing w:after="0" w:line="285"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i w:val="1"/>
          <w:iCs w:val="1"/>
          <w:color w:val="auto"/>
        </w:rPr>
        <w:t>Other Definitional and Interpretative Provisions</w:t>
      </w:r>
      <w:r>
        <w:rPr>
          <w:rFonts w:ascii="Arial" w:cs="Arial" w:eastAsia="Arial" w:hAnsi="Arial"/>
          <w:sz w:val="15"/>
          <w:szCs w:val="15"/>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w:t>
      </w:r>
      <w:r>
        <w:rPr>
          <w:rFonts w:ascii="Arial" w:cs="Arial" w:eastAsia="Arial" w:hAnsi="Arial"/>
          <w:sz w:val="13"/>
          <w:szCs w:val="13"/>
          <w:color w:val="auto"/>
        </w:rPr>
        <w:t>OTING</w:t>
      </w:r>
      <w:r>
        <w:rPr>
          <w:rFonts w:ascii="Arial" w:cs="Arial" w:eastAsia="Arial" w:hAnsi="Arial"/>
          <w:sz w:val="16"/>
          <w:szCs w:val="16"/>
          <w:color w:val="auto"/>
        </w:rPr>
        <w:t xml:space="preserve"> A</w:t>
      </w:r>
      <w:r>
        <w:rPr>
          <w:rFonts w:ascii="Arial" w:cs="Arial" w:eastAsia="Arial" w:hAnsi="Arial"/>
          <w:sz w:val="13"/>
          <w:szCs w:val="13"/>
          <w:color w:val="auto"/>
        </w:rPr>
        <w:t>GREEMENT AND</w:t>
      </w:r>
      <w:r>
        <w:rPr>
          <w:rFonts w:ascii="Arial" w:cs="Arial" w:eastAsia="Arial" w:hAnsi="Arial"/>
          <w:sz w:val="16"/>
          <w:szCs w:val="16"/>
          <w:color w:val="auto"/>
        </w:rPr>
        <w:t xml:space="preserve"> I</w:t>
      </w:r>
      <w:r>
        <w:rPr>
          <w:rFonts w:ascii="Arial" w:cs="Arial" w:eastAsia="Arial" w:hAnsi="Arial"/>
          <w:sz w:val="13"/>
          <w:szCs w:val="13"/>
          <w:color w:val="auto"/>
        </w:rPr>
        <w:t>RREVOCABLE</w:t>
      </w:r>
      <w:r>
        <w:rPr>
          <w:rFonts w:ascii="Arial" w:cs="Arial" w:eastAsia="Arial" w:hAnsi="Arial"/>
          <w:sz w:val="16"/>
          <w:szCs w:val="16"/>
          <w:color w:val="auto"/>
        </w:rPr>
        <w:t xml:space="preserve"> P</w:t>
      </w:r>
      <w:r>
        <w:rPr>
          <w:rFonts w:ascii="Arial" w:cs="Arial" w:eastAsia="Arial" w:hAnsi="Arial"/>
          <w:sz w:val="13"/>
          <w:szCs w:val="13"/>
          <w:color w:val="auto"/>
        </w:rPr>
        <w:t>ROXY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Agreement to Vote</w:t>
      </w:r>
      <w:r>
        <w:rPr>
          <w:rFonts w:ascii="Arial" w:cs="Arial" w:eastAsia="Arial" w:hAnsi="Arial"/>
          <w:sz w:val="16"/>
          <w:szCs w:val="16"/>
          <w:color w:val="auto"/>
        </w:rPr>
        <w:t>.</w:t>
      </w:r>
    </w:p>
    <w:p>
      <w:pPr>
        <w:spacing w:after="0" w:line="235" w:lineRule="exact"/>
        <w:rPr>
          <w:sz w:val="20"/>
          <w:szCs w:val="20"/>
          <w:color w:val="auto"/>
        </w:rPr>
      </w:pPr>
    </w:p>
    <w:p>
      <w:pPr>
        <w:ind w:firstLine="807"/>
        <w:spacing w:after="0" w:line="269" w:lineRule="auto"/>
        <w:tabs>
          <w:tab w:leader="none" w:pos="1222"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Written Consent</w:t>
      </w:r>
      <w:r>
        <w:rPr>
          <w:rFonts w:ascii="Arial" w:cs="Arial" w:eastAsia="Arial" w:hAnsi="Arial"/>
          <w:sz w:val="16"/>
          <w:szCs w:val="16"/>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90" w:lineRule="exact"/>
        <w:rPr>
          <w:rFonts w:ascii="Arial" w:cs="Arial" w:eastAsia="Arial" w:hAnsi="Arial"/>
          <w:sz w:val="16"/>
          <w:szCs w:val="16"/>
          <w:color w:val="auto"/>
        </w:rPr>
      </w:pPr>
    </w:p>
    <w:p>
      <w:pPr>
        <w:ind w:right="60" w:firstLine="807"/>
        <w:spacing w:after="0" w:line="273" w:lineRule="auto"/>
        <w:tabs>
          <w:tab w:leader="none" w:pos="123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Agreement to Vote</w:t>
      </w:r>
      <w:r>
        <w:rPr>
          <w:rFonts w:ascii="Arial" w:cs="Arial" w:eastAsia="Arial" w:hAnsi="Arial"/>
          <w:sz w:val="16"/>
          <w:szCs w:val="16"/>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89" w:lineRule="exact"/>
        <w:rPr>
          <w:rFonts w:ascii="Arial" w:cs="Arial" w:eastAsia="Arial" w:hAnsi="Arial"/>
          <w:sz w:val="16"/>
          <w:szCs w:val="16"/>
          <w:color w:val="auto"/>
        </w:rPr>
      </w:pPr>
    </w:p>
    <w:p>
      <w:pPr>
        <w:ind w:left="800" w:right="620" w:firstLine="750"/>
        <w:spacing w:after="0" w:line="293" w:lineRule="auto"/>
        <w:tabs>
          <w:tab w:leader="none" w:pos="193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in favor of the approval of the Parent Stock Issuance (other than in respect of the separate approval right of the holders of Parent Class B Common Stock that is the subject of Section 2.01(a));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800" w:right="400" w:firstLine="750"/>
        <w:spacing w:after="0" w:line="278" w:lineRule="auto"/>
        <w:tabs>
          <w:tab w:leader="none" w:pos="1984"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84" w:lineRule="exact"/>
        <w:rPr>
          <w:rFonts w:ascii="Arial" w:cs="Arial" w:eastAsia="Arial" w:hAnsi="Arial"/>
          <w:sz w:val="16"/>
          <w:szCs w:val="16"/>
          <w:color w:val="auto"/>
        </w:rPr>
      </w:pPr>
    </w:p>
    <w:p>
      <w:pPr>
        <w:ind w:left="800" w:right="520" w:firstLine="750"/>
        <w:spacing w:after="0" w:line="293" w:lineRule="auto"/>
        <w:tabs>
          <w:tab w:leader="none" w:pos="2029" w:val="left"/>
        </w:tabs>
        <w:numPr>
          <w:ilvl w:val="1"/>
          <w:numId w:val="351"/>
        </w:numPr>
        <w:rPr>
          <w:rFonts w:ascii="Arial" w:cs="Arial" w:eastAsia="Arial" w:hAnsi="Arial"/>
          <w:sz w:val="16"/>
          <w:szCs w:val="16"/>
          <w:color w:val="auto"/>
        </w:rPr>
      </w:pPr>
      <w:r>
        <w:rPr>
          <w:rFonts w:ascii="Arial" w:cs="Arial" w:eastAsia="Arial" w:hAnsi="Arial"/>
          <w:sz w:val="16"/>
          <w:szCs w:val="16"/>
          <w:color w:val="auto"/>
        </w:rPr>
        <w:t>against any corporate action the consummation of which would frustrate the purposes of, or prevent or impede the consummation of, the transactions contemplated by the Merger Agreement.</w:t>
      </w:r>
    </w:p>
    <w:p>
      <w:pPr>
        <w:spacing w:after="0" w:line="172" w:lineRule="exact"/>
        <w:rPr>
          <w:rFonts w:ascii="Arial" w:cs="Arial" w:eastAsia="Arial" w:hAnsi="Arial"/>
          <w:sz w:val="16"/>
          <w:szCs w:val="16"/>
          <w:color w:val="auto"/>
        </w:rPr>
      </w:pPr>
    </w:p>
    <w:p>
      <w:pPr>
        <w:ind w:right="220" w:firstLine="807"/>
        <w:spacing w:after="0" w:line="278" w:lineRule="auto"/>
        <w:tabs>
          <w:tab w:leader="none" w:pos="1222"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Certain Procedural Matters</w:t>
      </w:r>
      <w:r>
        <w:rPr>
          <w:rFonts w:ascii="Arial" w:cs="Arial" w:eastAsia="Arial" w:hAnsi="Arial"/>
          <w:sz w:val="16"/>
          <w:szCs w:val="16"/>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84" w:lineRule="exact"/>
        <w:rPr>
          <w:rFonts w:ascii="Arial" w:cs="Arial" w:eastAsia="Arial" w:hAnsi="Arial"/>
          <w:sz w:val="16"/>
          <w:szCs w:val="16"/>
          <w:color w:val="auto"/>
        </w:rPr>
      </w:pPr>
    </w:p>
    <w:p>
      <w:pPr>
        <w:ind w:right="620" w:firstLine="807"/>
        <w:spacing w:after="0" w:line="278" w:lineRule="auto"/>
        <w:tabs>
          <w:tab w:leader="none" w:pos="1231"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No Obligation to Exercise Options or Other Rights</w:t>
      </w:r>
      <w:r>
        <w:rPr>
          <w:rFonts w:ascii="Arial" w:cs="Arial" w:eastAsia="Arial" w:hAnsi="Arial"/>
          <w:sz w:val="16"/>
          <w:szCs w:val="16"/>
          <w:color w:val="auto"/>
        </w:rPr>
        <w:t>. Nothing contained in this Section 2.01 shall require any Stockholder (i) 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84"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Irrevocable Proxy</w:t>
      </w:r>
      <w:r>
        <w:rPr>
          <w:rFonts w:ascii="Arial" w:cs="Arial" w:eastAsia="Arial" w:hAnsi="Arial"/>
          <w:sz w:val="15"/>
          <w:szCs w:val="15"/>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3</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EPRESENTATIONS AND</w:t>
      </w:r>
      <w:r>
        <w:rPr>
          <w:rFonts w:ascii="Arial" w:cs="Arial" w:eastAsia="Arial" w:hAnsi="Arial"/>
          <w:sz w:val="16"/>
          <w:szCs w:val="16"/>
          <w:color w:val="auto"/>
        </w:rPr>
        <w:t xml:space="preserve"> W</w:t>
      </w:r>
      <w:r>
        <w:rPr>
          <w:rFonts w:ascii="Arial" w:cs="Arial" w:eastAsia="Arial" w:hAnsi="Arial"/>
          <w:sz w:val="13"/>
          <w:szCs w:val="13"/>
          <w:color w:val="auto"/>
        </w:rPr>
        <w:t>ARRANTIES OF EACH</w:t>
      </w:r>
      <w:r>
        <w:rPr>
          <w:rFonts w:ascii="Arial" w:cs="Arial" w:eastAsia="Arial" w:hAnsi="Arial"/>
          <w:sz w:val="16"/>
          <w:szCs w:val="16"/>
          <w:color w:val="auto"/>
        </w:rPr>
        <w:t xml:space="preserve"> S</w:t>
      </w:r>
      <w:r>
        <w:rPr>
          <w:rFonts w:ascii="Arial" w:cs="Arial" w:eastAsia="Arial" w:hAnsi="Arial"/>
          <w:sz w:val="13"/>
          <w:szCs w:val="13"/>
          <w:color w:val="auto"/>
        </w:rPr>
        <w:t>TOCKHOLDER</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Each Stockholder represents and warrants to the Company that:</w:t>
      </w:r>
    </w:p>
    <w:p>
      <w:pPr>
        <w:spacing w:after="0" w:line="235" w:lineRule="exact"/>
        <w:rPr>
          <w:sz w:val="20"/>
          <w:szCs w:val="20"/>
          <w:color w:val="auto"/>
        </w:rPr>
      </w:pPr>
    </w:p>
    <w:p>
      <w:pPr>
        <w:ind w:right="380" w:firstLine="79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Organization</w:t>
      </w:r>
      <w:r>
        <w:rPr>
          <w:rFonts w:ascii="Arial" w:cs="Arial" w:eastAsia="Arial" w:hAnsi="Arial"/>
          <w:sz w:val="16"/>
          <w:szCs w:val="16"/>
          <w:color w:val="auto"/>
        </w:rPr>
        <w:t>. Such Stockholder, if it is a corporation, partnership, limited liability company, trust or other entity, is duly organized and validly existing and in good standing under the laws of the jurisdiction of its organization.</w:t>
      </w:r>
    </w:p>
    <w:p>
      <w:pPr>
        <w:spacing w:after="0" w:line="172" w:lineRule="exact"/>
        <w:rPr>
          <w:sz w:val="20"/>
          <w:szCs w:val="20"/>
          <w:color w:val="auto"/>
        </w:rPr>
      </w:pPr>
    </w:p>
    <w:p>
      <w:pPr>
        <w:ind w:right="40" w:firstLine="799"/>
        <w:spacing w:after="0" w:line="293"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i w:val="1"/>
          <w:iCs w:val="1"/>
          <w:color w:val="auto"/>
        </w:rPr>
        <w:t>Authorization</w:t>
      </w:r>
      <w:r>
        <w:rPr>
          <w:rFonts w:ascii="Arial" w:cs="Arial" w:eastAsia="Arial" w:hAnsi="Arial"/>
          <w:sz w:val="15"/>
          <w:szCs w:val="15"/>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76" w:lineRule="exact"/>
        <w:rPr>
          <w:sz w:val="20"/>
          <w:szCs w:val="20"/>
          <w:color w:val="auto"/>
        </w:rPr>
      </w:pPr>
    </w:p>
    <w:p>
      <w:pPr>
        <w:ind w:right="40" w:firstLine="799"/>
        <w:spacing w:after="0" w:line="283"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No Conflict; Required Filings and Consents</w:t>
      </w:r>
      <w:r>
        <w:rPr>
          <w:rFonts w:ascii="Arial" w:cs="Arial" w:eastAsia="Arial" w:hAnsi="Arial"/>
          <w:sz w:val="15"/>
          <w:szCs w:val="15"/>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w:t>
      </w:r>
    </w:p>
    <w:p>
      <w:pPr>
        <w:spacing w:after="0" w:line="1" w:lineRule="exact"/>
        <w:rPr>
          <w:sz w:val="20"/>
          <w:szCs w:val="20"/>
          <w:color w:val="auto"/>
        </w:rPr>
      </w:pPr>
    </w:p>
    <w:p>
      <w:pPr>
        <w:ind w:left="300" w:hanging="292"/>
        <w:spacing w:after="0"/>
        <w:tabs>
          <w:tab w:leader="none" w:pos="3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require any consent or other action by any person under, constitute a default under, or give rise to</w:t>
      </w:r>
    </w:p>
    <w:p>
      <w:pPr>
        <w:spacing w:after="0" w:line="15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64" w:lineRule="exact"/>
        <w:rPr>
          <w:sz w:val="20"/>
          <w:szCs w:val="20"/>
          <w:color w:val="auto"/>
        </w:rPr>
      </w:pPr>
    </w:p>
    <w:p>
      <w:pPr>
        <w:ind w:firstLine="799"/>
        <w:spacing w:after="0" w:line="289" w:lineRule="auto"/>
        <w:rPr>
          <w:sz w:val="20"/>
          <w:szCs w:val="20"/>
          <w:color w:val="auto"/>
        </w:rPr>
      </w:pPr>
      <w:r>
        <w:rPr>
          <w:rFonts w:ascii="Arial" w:cs="Arial" w:eastAsia="Arial" w:hAnsi="Arial"/>
          <w:sz w:val="15"/>
          <w:szCs w:val="15"/>
          <w:color w:val="auto"/>
        </w:rPr>
        <w:t>Section 3.04</w:t>
      </w:r>
      <w:r>
        <w:rPr>
          <w:rFonts w:ascii="Arial" w:cs="Arial" w:eastAsia="Arial" w:hAnsi="Arial"/>
          <w:sz w:val="15"/>
          <w:szCs w:val="15"/>
          <w:i w:val="1"/>
          <w:iCs w:val="1"/>
          <w:color w:val="auto"/>
        </w:rPr>
        <w:t>. Ownership of Shares</w:t>
      </w:r>
      <w:r>
        <w:rPr>
          <w:rFonts w:ascii="Arial" w:cs="Arial" w:eastAsia="Arial" w:hAnsi="Arial"/>
          <w:sz w:val="15"/>
          <w:szCs w:val="15"/>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 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80" w:lineRule="exact"/>
        <w:rPr>
          <w:sz w:val="20"/>
          <w:szCs w:val="20"/>
          <w:color w:val="auto"/>
        </w:rPr>
      </w:pPr>
    </w:p>
    <w:p>
      <w:pPr>
        <w:ind w:right="120" w:firstLine="799"/>
        <w:spacing w:after="0" w:line="305"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Total Shares</w:t>
      </w:r>
      <w:r>
        <w:rPr>
          <w:rFonts w:ascii="Arial" w:cs="Arial" w:eastAsia="Arial" w:hAnsi="Arial"/>
          <w:sz w:val="15"/>
          <w:szCs w:val="15"/>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66" w:lineRule="exact"/>
        <w:rPr>
          <w:sz w:val="20"/>
          <w:szCs w:val="20"/>
          <w:color w:val="auto"/>
        </w:rPr>
      </w:pPr>
    </w:p>
    <w:p>
      <w:pPr>
        <w:ind w:right="100" w:firstLine="799"/>
        <w:spacing w:after="0" w:line="273"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Opportunity to Review; Reliance</w:t>
      </w:r>
      <w:r>
        <w:rPr>
          <w:rFonts w:ascii="Arial" w:cs="Arial" w:eastAsia="Arial" w:hAnsi="Arial"/>
          <w:sz w:val="16"/>
          <w:szCs w:val="16"/>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4</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EPRESENTATIONS AND</w:t>
      </w:r>
      <w:r>
        <w:rPr>
          <w:rFonts w:ascii="Arial" w:cs="Arial" w:eastAsia="Arial" w:hAnsi="Arial"/>
          <w:sz w:val="16"/>
          <w:szCs w:val="16"/>
          <w:color w:val="auto"/>
        </w:rPr>
        <w:t xml:space="preserve"> W</w:t>
      </w:r>
      <w:r>
        <w:rPr>
          <w:rFonts w:ascii="Arial" w:cs="Arial" w:eastAsia="Arial" w:hAnsi="Arial"/>
          <w:sz w:val="13"/>
          <w:szCs w:val="13"/>
          <w:color w:val="auto"/>
        </w:rPr>
        <w:t>ARRANTIES OF THE COMPANY</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represents and warrants to each Stockholder that:</w:t>
      </w:r>
    </w:p>
    <w:p>
      <w:pPr>
        <w:spacing w:after="0" w:line="235" w:lineRule="exact"/>
        <w:rPr>
          <w:sz w:val="20"/>
          <w:szCs w:val="20"/>
          <w:color w:val="auto"/>
        </w:rPr>
      </w:pPr>
    </w:p>
    <w:p>
      <w:pPr>
        <w:ind w:firstLine="799"/>
        <w:spacing w:after="0" w:line="273"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Authorization</w:t>
      </w:r>
      <w:r>
        <w:rPr>
          <w:rFonts w:ascii="Arial" w:cs="Arial" w:eastAsia="Arial" w:hAnsi="Arial"/>
          <w:sz w:val="16"/>
          <w:szCs w:val="16"/>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89" w:lineRule="exact"/>
        <w:rPr>
          <w:sz w:val="20"/>
          <w:szCs w:val="20"/>
          <w:color w:val="auto"/>
        </w:rPr>
      </w:pPr>
    </w:p>
    <w:p>
      <w:pPr>
        <w:ind w:firstLine="799"/>
        <w:spacing w:after="0" w:line="269"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No Conflict; Required Filings and Consents</w:t>
      </w:r>
      <w:r>
        <w:rPr>
          <w:rFonts w:ascii="Arial" w:cs="Arial" w:eastAsia="Arial" w:hAnsi="Arial"/>
          <w:sz w:val="16"/>
          <w:szCs w:val="16"/>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 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 (v) result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5</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w:t>
      </w:r>
      <w:r>
        <w:rPr>
          <w:rFonts w:ascii="Arial" w:cs="Arial" w:eastAsia="Arial" w:hAnsi="Arial"/>
          <w:sz w:val="13"/>
          <w:szCs w:val="13"/>
          <w:color w:val="auto"/>
        </w:rPr>
        <w:t>OVENANTS OF EACH</w:t>
      </w:r>
      <w:r>
        <w:rPr>
          <w:rFonts w:ascii="Arial" w:cs="Arial" w:eastAsia="Arial" w:hAnsi="Arial"/>
          <w:sz w:val="16"/>
          <w:szCs w:val="16"/>
          <w:color w:val="auto"/>
        </w:rPr>
        <w:t xml:space="preserve"> S</w:t>
      </w:r>
      <w:r>
        <w:rPr>
          <w:rFonts w:ascii="Arial" w:cs="Arial" w:eastAsia="Arial" w:hAnsi="Arial"/>
          <w:sz w:val="13"/>
          <w:szCs w:val="13"/>
          <w:color w:val="auto"/>
        </w:rPr>
        <w:t>TOCKHOLDER</w:t>
      </w:r>
    </w:p>
    <w:p>
      <w:pPr>
        <w:spacing w:after="0" w:line="231" w:lineRule="exact"/>
        <w:rPr>
          <w:sz w:val="20"/>
          <w:szCs w:val="20"/>
          <w:color w:val="auto"/>
        </w:rPr>
      </w:pPr>
    </w:p>
    <w:p>
      <w:pPr>
        <w:ind w:right="20" w:firstLine="799"/>
        <w:spacing w:after="0" w:line="291" w:lineRule="auto"/>
        <w:rPr>
          <w:sz w:val="20"/>
          <w:szCs w:val="20"/>
          <w:color w:val="auto"/>
        </w:rPr>
      </w:pPr>
      <w:r>
        <w:rPr>
          <w:rFonts w:ascii="Arial" w:cs="Arial" w:eastAsia="Arial" w:hAnsi="Arial"/>
          <w:sz w:val="15"/>
          <w:szCs w:val="15"/>
          <w:color w:val="auto"/>
        </w:rPr>
        <w:t>Section 5.01</w:t>
      </w:r>
      <w:r>
        <w:rPr>
          <w:rFonts w:ascii="Arial" w:cs="Arial" w:eastAsia="Arial" w:hAnsi="Arial"/>
          <w:sz w:val="15"/>
          <w:szCs w:val="15"/>
          <w:i w:val="1"/>
          <w:iCs w:val="1"/>
          <w:color w:val="auto"/>
        </w:rPr>
        <w:t>. Restrictions on Transfer</w:t>
      </w:r>
      <w:r>
        <w:rPr>
          <w:rFonts w:ascii="Arial" w:cs="Arial" w:eastAsia="Arial" w:hAnsi="Arial"/>
          <w:sz w:val="15"/>
          <w:szCs w:val="15"/>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5"/>
          <w:szCs w:val="15"/>
          <w:b w:val="1"/>
          <w:bCs w:val="1"/>
          <w:color w:val="auto"/>
        </w:rPr>
        <w:t>Transfer</w:t>
      </w:r>
      <w:r>
        <w:rPr>
          <w:rFonts w:ascii="Arial" w:cs="Arial" w:eastAsia="Arial" w:hAnsi="Arial"/>
          <w:sz w:val="15"/>
          <w:szCs w:val="15"/>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77" w:lineRule="exact"/>
        <w:rPr>
          <w:sz w:val="20"/>
          <w:szCs w:val="20"/>
          <w:color w:val="auto"/>
        </w:rPr>
      </w:pPr>
    </w:p>
    <w:p>
      <w:pPr>
        <w:ind w:right="20" w:firstLine="807"/>
        <w:spacing w:after="0" w:line="269" w:lineRule="auto"/>
        <w:tabs>
          <w:tab w:leader="none" w:pos="1231" w:val="left"/>
        </w:tabs>
        <w:numPr>
          <w:ilvl w:val="0"/>
          <w:numId w:val="354"/>
        </w:numPr>
        <w:rPr>
          <w:rFonts w:ascii="Arial" w:cs="Arial" w:eastAsia="Arial" w:hAnsi="Arial"/>
          <w:sz w:val="16"/>
          <w:szCs w:val="16"/>
          <w:color w:val="auto"/>
        </w:rPr>
      </w:pPr>
      <w:r>
        <w:rPr>
          <w:rFonts w:ascii="Arial" w:cs="Arial" w:eastAsia="Arial" w:hAnsi="Arial"/>
          <w:sz w:val="16"/>
          <w:szCs w:val="16"/>
          <w:color w:val="auto"/>
        </w:rPr>
        <w:t>Notwithstanding Section 5.01(a) (but subject to the immediately succeeding sentence), each Stockholder may Transfer any or all of such Stockholder’s Parent Class B Common Stock (the “</w:t>
      </w:r>
      <w:r>
        <w:rPr>
          <w:rFonts w:ascii="Arial" w:cs="Arial" w:eastAsia="Arial" w:hAnsi="Arial"/>
          <w:sz w:val="16"/>
          <w:szCs w:val="16"/>
          <w:b w:val="1"/>
          <w:bCs w:val="1"/>
          <w:color w:val="auto"/>
        </w:rPr>
        <w:t>Permitted Transfer Securities</w:t>
      </w:r>
      <w:r>
        <w:rPr>
          <w:rFonts w:ascii="Arial" w:cs="Arial" w:eastAsia="Arial" w:hAnsi="Arial"/>
          <w:sz w:val="16"/>
          <w:szCs w:val="16"/>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 (i) and (ii) that is not already a “Stockholder” hereunder shall be deemed to be a “Stockholder” for purposes of this Agreement.</w:t>
      </w:r>
    </w:p>
    <w:p>
      <w:pPr>
        <w:spacing w:after="0" w:line="191" w:lineRule="exact"/>
        <w:rPr>
          <w:sz w:val="20"/>
          <w:szCs w:val="20"/>
          <w:color w:val="auto"/>
        </w:rPr>
      </w:pPr>
    </w:p>
    <w:p>
      <w:pPr>
        <w:jc w:val="both"/>
        <w:ind w:right="100" w:firstLine="799"/>
        <w:spacing w:after="0" w:line="27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No Conversion</w:t>
      </w:r>
      <w:r>
        <w:rPr>
          <w:rFonts w:ascii="Arial" w:cs="Arial" w:eastAsia="Arial" w:hAnsi="Arial"/>
          <w:sz w:val="16"/>
          <w:szCs w:val="16"/>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84" w:lineRule="exact"/>
        <w:rPr>
          <w:sz w:val="20"/>
          <w:szCs w:val="20"/>
          <w:color w:val="auto"/>
        </w:rPr>
      </w:pPr>
    </w:p>
    <w:p>
      <w:pPr>
        <w:ind w:right="20" w:firstLine="799"/>
        <w:spacing w:after="0" w:line="27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No Proxies</w:t>
      </w:r>
      <w:r>
        <w:rPr>
          <w:rFonts w:ascii="Arial" w:cs="Arial" w:eastAsia="Arial" w:hAnsi="Arial"/>
          <w:sz w:val="16"/>
          <w:szCs w:val="16"/>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6</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w:t>
      </w:r>
      <w:r>
        <w:rPr>
          <w:rFonts w:ascii="Arial" w:cs="Arial" w:eastAsia="Arial" w:hAnsi="Arial"/>
          <w:sz w:val="13"/>
          <w:szCs w:val="13"/>
          <w:color w:val="auto"/>
        </w:rPr>
        <w:t>ERMINATION</w:t>
      </w:r>
    </w:p>
    <w:p>
      <w:pPr>
        <w:spacing w:after="0" w:line="231" w:lineRule="exact"/>
        <w:rPr>
          <w:sz w:val="20"/>
          <w:szCs w:val="20"/>
          <w:color w:val="auto"/>
        </w:rPr>
      </w:pPr>
    </w:p>
    <w:p>
      <w:pPr>
        <w:ind w:firstLine="799"/>
        <w:spacing w:after="0" w:line="303" w:lineRule="auto"/>
        <w:rPr>
          <w:sz w:val="20"/>
          <w:szCs w:val="20"/>
          <w:color w:val="auto"/>
        </w:rPr>
      </w:pPr>
      <w:r>
        <w:rPr>
          <w:rFonts w:ascii="Arial" w:cs="Arial" w:eastAsia="Arial" w:hAnsi="Arial"/>
          <w:sz w:val="14"/>
          <w:szCs w:val="14"/>
          <w:color w:val="auto"/>
        </w:rPr>
        <w:t>Section 6.01</w:t>
      </w:r>
      <w:r>
        <w:rPr>
          <w:rFonts w:ascii="Arial" w:cs="Arial" w:eastAsia="Arial" w:hAnsi="Arial"/>
          <w:sz w:val="14"/>
          <w:szCs w:val="14"/>
          <w:i w:val="1"/>
          <w:iCs w:val="1"/>
          <w:color w:val="auto"/>
        </w:rPr>
        <w:t>. Termination</w:t>
      </w:r>
      <w:r>
        <w:rPr>
          <w:rFonts w:ascii="Arial" w:cs="Arial" w:eastAsia="Arial" w:hAnsi="Arial"/>
          <w:sz w:val="14"/>
          <w:szCs w:val="14"/>
          <w:color w:val="auto"/>
        </w:rPr>
        <w:t>. This Agreement and all obligations of the parties hereunder shall automatically terminate upon the earliest to occur of (a) 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w:t>
      </w:r>
    </w:p>
    <w:p>
      <w:pPr>
        <w:spacing w:after="0" w:line="2" w:lineRule="exact"/>
        <w:rPr>
          <w:sz w:val="20"/>
          <w:szCs w:val="20"/>
          <w:color w:val="auto"/>
        </w:rPr>
      </w:pPr>
    </w:p>
    <w:p>
      <w:pPr>
        <w:ind w:right="40" w:firstLine="8"/>
        <w:spacing w:after="0" w:line="290" w:lineRule="auto"/>
        <w:tabs>
          <w:tab w:leader="none" w:pos="266"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xml:space="preserve">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460" w:right="2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ISCELLANEOUS</w:t>
      </w:r>
    </w:p>
    <w:p>
      <w:pPr>
        <w:spacing w:after="0" w:line="231" w:lineRule="exact"/>
        <w:rPr>
          <w:sz w:val="20"/>
          <w:szCs w:val="20"/>
          <w:color w:val="auto"/>
        </w:rPr>
      </w:pPr>
    </w:p>
    <w:p>
      <w:pPr>
        <w:ind w:right="20" w:firstLine="799"/>
        <w:spacing w:after="0" w:line="329"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i w:val="1"/>
          <w:iCs w:val="1"/>
          <w:color w:val="auto"/>
        </w:rPr>
        <w:t>Further Assurances</w:t>
      </w:r>
      <w:r>
        <w:rPr>
          <w:rFonts w:ascii="Arial" w:cs="Arial" w:eastAsia="Arial" w:hAnsi="Arial"/>
          <w:sz w:val="15"/>
          <w:szCs w:val="15"/>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148"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Notices.</w:t>
      </w:r>
      <w:r>
        <w:rPr>
          <w:rFonts w:ascii="Arial" w:cs="Arial" w:eastAsia="Arial" w:hAnsi="Arial"/>
          <w:sz w:val="16"/>
          <w:szCs w:val="16"/>
          <w:color w:val="auto"/>
        </w:rPr>
        <w:t xml:space="preserve"> All notices, requests and other communications to any party hereunder shall be in writing (including facsimile transmission) and shall be given, if to the Company, to:</w:t>
      </w:r>
    </w:p>
    <w:p>
      <w:pPr>
        <w:spacing w:after="0" w:line="17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Time Warner Cable Inc.</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New York, NY 10023</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Facsimile: (212) 364-8459</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with a copy to:</w:t>
      </w:r>
    </w:p>
    <w:p>
      <w:pPr>
        <w:spacing w:after="0" w:line="23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Paul, Weiss, Rifkind, Wharton &amp; Garrison LLP</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1285 Avenue of the Americas</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New York, New York 10019-6064</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Attention: Robert B. Schumer</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Ariel J. Deckelbaum</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Ross A. Fieldston</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Facsimile: (212) 757-3990</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to a Stockholder, to such Stockholder and its counsel at their respective addresses or facsimile numbers set forth on the applicable signature page hereof,</w:t>
      </w:r>
    </w:p>
    <w:p>
      <w:pPr>
        <w:spacing w:after="0" w:line="24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Covered Shares Held in Trust</w:t>
      </w:r>
      <w:r>
        <w:rPr>
          <w:rFonts w:ascii="Arial" w:cs="Arial" w:eastAsia="Arial" w:hAnsi="Arial"/>
          <w:sz w:val="16"/>
          <w:szCs w:val="16"/>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89" w:lineRule="exact"/>
        <w:rPr>
          <w:sz w:val="20"/>
          <w:szCs w:val="20"/>
          <w:color w:val="auto"/>
        </w:rPr>
      </w:pPr>
    </w:p>
    <w:p>
      <w:pPr>
        <w:jc w:val="both"/>
        <w:ind w:right="320" w:firstLine="799"/>
        <w:spacing w:after="0" w:line="278" w:lineRule="auto"/>
        <w:rPr>
          <w:sz w:val="20"/>
          <w:szCs w:val="20"/>
          <w:color w:val="auto"/>
        </w:rPr>
      </w:pPr>
      <w:r>
        <w:rPr>
          <w:rFonts w:ascii="Arial" w:cs="Arial" w:eastAsia="Arial" w:hAnsi="Arial"/>
          <w:sz w:val="16"/>
          <w:szCs w:val="16"/>
          <w:color w:val="auto"/>
        </w:rPr>
        <w:t>Section 7.04</w:t>
      </w:r>
      <w:r>
        <w:rPr>
          <w:rFonts w:ascii="Arial" w:cs="Arial" w:eastAsia="Arial" w:hAnsi="Arial"/>
          <w:sz w:val="16"/>
          <w:szCs w:val="16"/>
          <w:i w:val="1"/>
          <w:iCs w:val="1"/>
          <w:color w:val="auto"/>
        </w:rPr>
        <w:t>. Amendments and Waivers</w:t>
      </w:r>
      <w:r>
        <w:rPr>
          <w:rFonts w:ascii="Arial" w:cs="Arial" w:eastAsia="Arial" w:hAnsi="Arial"/>
          <w:sz w:val="16"/>
          <w:szCs w:val="16"/>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84" w:lineRule="exact"/>
        <w:rPr>
          <w:sz w:val="20"/>
          <w:szCs w:val="20"/>
          <w:color w:val="auto"/>
        </w:rPr>
      </w:pPr>
    </w:p>
    <w:p>
      <w:pPr>
        <w:jc w:val="both"/>
        <w:ind w:firstLine="807"/>
        <w:spacing w:after="0" w:line="278" w:lineRule="auto"/>
        <w:tabs>
          <w:tab w:leader="none" w:pos="123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4" w:lineRule="exact"/>
        <w:rPr>
          <w:sz w:val="20"/>
          <w:szCs w:val="20"/>
          <w:color w:val="auto"/>
        </w:rPr>
      </w:pPr>
    </w:p>
    <w:p>
      <w:pPr>
        <w:ind w:right="20" w:firstLine="799"/>
        <w:spacing w:after="0" w:line="318" w:lineRule="auto"/>
        <w:rPr>
          <w:sz w:val="20"/>
          <w:szCs w:val="20"/>
          <w:color w:val="auto"/>
        </w:rPr>
      </w:pPr>
      <w:r>
        <w:rPr>
          <w:rFonts w:ascii="Arial" w:cs="Arial" w:eastAsia="Arial" w:hAnsi="Arial"/>
          <w:sz w:val="14"/>
          <w:szCs w:val="14"/>
          <w:color w:val="auto"/>
        </w:rPr>
        <w:t xml:space="preserve">Section 7.05. </w:t>
      </w:r>
      <w:r>
        <w:rPr>
          <w:rFonts w:ascii="Arial" w:cs="Arial" w:eastAsia="Arial" w:hAnsi="Arial"/>
          <w:sz w:val="14"/>
          <w:szCs w:val="14"/>
          <w:i w:val="1"/>
          <w:iCs w:val="1"/>
          <w:color w:val="auto"/>
        </w:rPr>
        <w:t>Documentation and Information</w:t>
      </w:r>
      <w:r>
        <w:rPr>
          <w:rFonts w:ascii="Arial" w:cs="Arial" w:eastAsia="Arial" w:hAnsi="Arial"/>
          <w:sz w:val="14"/>
          <w:szCs w:val="14"/>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reasonable opportunity to review and comment on such publications or disclosure prior to their being made public, and the Company shall consider in good faith all comments of such Stockholder in connection therewith.</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Section 7.06</w:t>
      </w:r>
      <w:r>
        <w:rPr>
          <w:rFonts w:ascii="Arial" w:cs="Arial" w:eastAsia="Arial" w:hAnsi="Arial"/>
          <w:sz w:val="16"/>
          <w:szCs w:val="16"/>
          <w:i w:val="1"/>
          <w:iCs w:val="1"/>
          <w:color w:val="auto"/>
        </w:rPr>
        <w:t>. Expenses</w:t>
      </w:r>
      <w:r>
        <w:rPr>
          <w:rFonts w:ascii="Arial" w:cs="Arial" w:eastAsia="Arial" w:hAnsi="Arial"/>
          <w:sz w:val="16"/>
          <w:szCs w:val="16"/>
          <w:color w:val="auto"/>
        </w:rPr>
        <w:t>. All costs and expenses incurred in connection with this Agreement shall be paid by the party incurring such cost or expense.</w:t>
      </w:r>
    </w:p>
    <w:p>
      <w:pPr>
        <w:spacing w:after="0" w:line="235" w:lineRule="exact"/>
        <w:rPr>
          <w:sz w:val="20"/>
          <w:szCs w:val="20"/>
          <w:color w:val="auto"/>
        </w:rPr>
      </w:pPr>
    </w:p>
    <w:p>
      <w:pPr>
        <w:ind w:right="240" w:firstLine="799"/>
        <w:spacing w:after="0" w:line="293" w:lineRule="auto"/>
        <w:rPr>
          <w:sz w:val="20"/>
          <w:szCs w:val="20"/>
          <w:color w:val="auto"/>
        </w:rPr>
      </w:pPr>
      <w:r>
        <w:rPr>
          <w:rFonts w:ascii="Arial" w:cs="Arial" w:eastAsia="Arial" w:hAnsi="Arial"/>
          <w:sz w:val="16"/>
          <w:szCs w:val="16"/>
          <w:color w:val="auto"/>
        </w:rPr>
        <w:t>Section 7.07</w:t>
      </w:r>
      <w:r>
        <w:rPr>
          <w:rFonts w:ascii="Arial" w:cs="Arial" w:eastAsia="Arial" w:hAnsi="Arial"/>
          <w:sz w:val="16"/>
          <w:szCs w:val="16"/>
          <w:i w:val="1"/>
          <w:iCs w:val="1"/>
          <w:color w:val="auto"/>
        </w:rPr>
        <w:t>. Other Capacities.</w:t>
      </w:r>
      <w:r>
        <w:rPr>
          <w:rFonts w:ascii="Arial" w:cs="Arial" w:eastAsia="Arial" w:hAnsi="Arial"/>
          <w:sz w:val="16"/>
          <w:szCs w:val="16"/>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72" w:lineRule="exact"/>
        <w:rPr>
          <w:sz w:val="20"/>
          <w:szCs w:val="20"/>
          <w:color w:val="auto"/>
        </w:rPr>
      </w:pPr>
    </w:p>
    <w:p>
      <w:pPr>
        <w:ind w:right="260" w:firstLine="799"/>
        <w:spacing w:after="0" w:line="369" w:lineRule="auto"/>
        <w:rPr>
          <w:sz w:val="20"/>
          <w:szCs w:val="20"/>
          <w:color w:val="auto"/>
        </w:rPr>
      </w:pPr>
      <w:r>
        <w:rPr>
          <w:rFonts w:ascii="Arial" w:cs="Arial" w:eastAsia="Arial" w:hAnsi="Arial"/>
          <w:sz w:val="14"/>
          <w:szCs w:val="14"/>
          <w:color w:val="auto"/>
        </w:rPr>
        <w:t xml:space="preserve">Section 7.08. </w:t>
      </w:r>
      <w:r>
        <w:rPr>
          <w:rFonts w:ascii="Arial" w:cs="Arial" w:eastAsia="Arial" w:hAnsi="Arial"/>
          <w:sz w:val="14"/>
          <w:szCs w:val="14"/>
          <w:i w:val="1"/>
          <w:iCs w:val="1"/>
          <w:color w:val="auto"/>
        </w:rPr>
        <w:t>Entire Agreement</w:t>
      </w:r>
      <w:r>
        <w:rPr>
          <w:rFonts w:ascii="Arial" w:cs="Arial" w:eastAsia="Arial" w:hAnsi="Arial"/>
          <w:sz w:val="14"/>
          <w:szCs w:val="14"/>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26" w:lineRule="exact"/>
        <w:rPr>
          <w:sz w:val="20"/>
          <w:szCs w:val="20"/>
          <w:color w:val="auto"/>
        </w:rPr>
      </w:pPr>
    </w:p>
    <w:p>
      <w:pPr>
        <w:ind w:right="200" w:firstLine="799"/>
        <w:spacing w:after="0" w:line="278" w:lineRule="auto"/>
        <w:rPr>
          <w:sz w:val="20"/>
          <w:szCs w:val="20"/>
          <w:color w:val="auto"/>
        </w:rPr>
      </w:pPr>
      <w:r>
        <w:rPr>
          <w:rFonts w:ascii="Arial" w:cs="Arial" w:eastAsia="Arial" w:hAnsi="Arial"/>
          <w:sz w:val="16"/>
          <w:szCs w:val="16"/>
          <w:color w:val="auto"/>
        </w:rPr>
        <w:t>Section 7.09</w:t>
      </w:r>
      <w:r>
        <w:rPr>
          <w:rFonts w:ascii="Arial" w:cs="Arial" w:eastAsia="Arial" w:hAnsi="Arial"/>
          <w:sz w:val="16"/>
          <w:szCs w:val="16"/>
          <w:i w:val="1"/>
          <w:iCs w:val="1"/>
          <w:color w:val="auto"/>
        </w:rPr>
        <w:t>. Successors and Assigns</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 5.01(b), no party may assign, delegate or otherwise transfer any of its rights or obligations under this Agreement without the consent of the other parties hereto.</w:t>
      </w:r>
    </w:p>
    <w:p>
      <w:pPr>
        <w:spacing w:after="0" w:line="184"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Governing Law</w:t>
      </w:r>
      <w:r>
        <w:rPr>
          <w:rFonts w:ascii="Arial" w:cs="Arial" w:eastAsia="Arial" w:hAnsi="Arial"/>
          <w:sz w:val="16"/>
          <w:szCs w:val="16"/>
          <w:color w:val="auto"/>
        </w:rPr>
        <w:t>. This Agreement shall be governed by and construed in accordance with the laws of the State of Delaware, without regard to the conflicts of law rules of such state.</w:t>
      </w:r>
    </w:p>
    <w:p>
      <w:pPr>
        <w:spacing w:after="0" w:line="172" w:lineRule="exact"/>
        <w:rPr>
          <w:sz w:val="20"/>
          <w:szCs w:val="20"/>
          <w:color w:val="auto"/>
        </w:rPr>
      </w:pPr>
    </w:p>
    <w:p>
      <w:pPr>
        <w:ind w:right="60" w:firstLine="799"/>
        <w:spacing w:after="0" w:line="297" w:lineRule="auto"/>
        <w:rPr>
          <w:sz w:val="20"/>
          <w:szCs w:val="20"/>
          <w:color w:val="auto"/>
        </w:rPr>
      </w:pPr>
      <w:r>
        <w:rPr>
          <w:rFonts w:ascii="Arial" w:cs="Arial" w:eastAsia="Arial" w:hAnsi="Arial"/>
          <w:sz w:val="15"/>
          <w:szCs w:val="15"/>
          <w:color w:val="auto"/>
        </w:rPr>
        <w:t>Section 7.11</w:t>
      </w:r>
      <w:r>
        <w:rPr>
          <w:rFonts w:ascii="Arial" w:cs="Arial" w:eastAsia="Arial" w:hAnsi="Arial"/>
          <w:sz w:val="15"/>
          <w:szCs w:val="15"/>
          <w:i w:val="1"/>
          <w:iCs w:val="1"/>
          <w:color w:val="auto"/>
        </w:rPr>
        <w:t>. Counterparts; Effectiveness</w:t>
      </w:r>
      <w:r>
        <w:rPr>
          <w:rFonts w:ascii="Arial" w:cs="Arial" w:eastAsia="Arial" w:hAnsi="Arial"/>
          <w:sz w:val="15"/>
          <w:szCs w:val="15"/>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73" w:lineRule="exact"/>
        <w:rPr>
          <w:sz w:val="20"/>
          <w:szCs w:val="20"/>
          <w:color w:val="auto"/>
        </w:rPr>
      </w:pPr>
    </w:p>
    <w:p>
      <w:pPr>
        <w:ind w:right="20" w:firstLine="799"/>
        <w:spacing w:after="0" w:line="318" w:lineRule="auto"/>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i w:val="1"/>
          <w:iCs w:val="1"/>
          <w:color w:val="auto"/>
        </w:rPr>
        <w:t>Severability</w:t>
      </w:r>
      <w:r>
        <w:rPr>
          <w:rFonts w:ascii="Arial" w:cs="Arial" w:eastAsia="Arial" w:hAnsi="Arial"/>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2" w:lineRule="exact"/>
        <w:rPr>
          <w:sz w:val="20"/>
          <w:szCs w:val="20"/>
          <w:color w:val="auto"/>
        </w:rPr>
      </w:pPr>
    </w:p>
    <w:p>
      <w:pPr>
        <w:ind w:firstLine="799"/>
        <w:spacing w:after="0" w:line="288" w:lineRule="auto"/>
        <w:rPr>
          <w:sz w:val="20"/>
          <w:szCs w:val="20"/>
          <w:color w:val="auto"/>
        </w:rPr>
      </w:pPr>
      <w:r>
        <w:rPr>
          <w:rFonts w:ascii="Arial" w:cs="Arial" w:eastAsia="Arial" w:hAnsi="Arial"/>
          <w:sz w:val="15"/>
          <w:szCs w:val="15"/>
          <w:color w:val="auto"/>
        </w:rPr>
        <w:t xml:space="preserve">Section 7.13. </w:t>
      </w:r>
      <w:r>
        <w:rPr>
          <w:rFonts w:ascii="Arial" w:cs="Arial" w:eastAsia="Arial" w:hAnsi="Arial"/>
          <w:sz w:val="15"/>
          <w:szCs w:val="15"/>
          <w:i w:val="1"/>
          <w:iCs w:val="1"/>
          <w:color w:val="auto"/>
        </w:rPr>
        <w:t>Jurisdiction</w:t>
      </w:r>
      <w:r>
        <w:rPr>
          <w:rFonts w:ascii="Arial" w:cs="Arial" w:eastAsia="Arial" w:hAnsi="Arial"/>
          <w:sz w:val="15"/>
          <w:szCs w:val="15"/>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81"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72" w:lineRule="exact"/>
        <w:rPr>
          <w:sz w:val="20"/>
          <w:szCs w:val="20"/>
          <w:color w:val="auto"/>
        </w:rPr>
      </w:pPr>
    </w:p>
    <w:p>
      <w:pPr>
        <w:ind w:right="400" w:firstLine="799"/>
        <w:spacing w:after="0" w:line="278"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provisions hereof in any federal court located in the State of Delaware or any Delaware state court, in addition to any other remedy to which they are entitled at law or in equity.</w:t>
      </w:r>
    </w:p>
    <w:p>
      <w:pPr>
        <w:spacing w:after="0" w:line="172" w:lineRule="exact"/>
        <w:rPr>
          <w:sz w:val="20"/>
          <w:szCs w:val="20"/>
          <w:color w:val="auto"/>
        </w:rPr>
      </w:pPr>
    </w:p>
    <w:p>
      <w:pPr>
        <w:jc w:val="both"/>
        <w:ind w:firstLine="799"/>
        <w:spacing w:after="0" w:line="335" w:lineRule="auto"/>
        <w:rPr>
          <w:sz w:val="20"/>
          <w:szCs w:val="20"/>
          <w:color w:val="auto"/>
        </w:rPr>
      </w:pPr>
      <w:r>
        <w:rPr>
          <w:rFonts w:ascii="Arial" w:cs="Arial" w:eastAsia="Arial" w:hAnsi="Arial"/>
          <w:sz w:val="14"/>
          <w:szCs w:val="14"/>
          <w:color w:val="auto"/>
        </w:rPr>
        <w:t>Section 7.16</w:t>
      </w:r>
      <w:r>
        <w:rPr>
          <w:rFonts w:ascii="Arial" w:cs="Arial" w:eastAsia="Arial" w:hAnsi="Arial"/>
          <w:sz w:val="14"/>
          <w:szCs w:val="14"/>
          <w:i w:val="1"/>
          <w:iCs w:val="1"/>
          <w:color w:val="auto"/>
        </w:rPr>
        <w:t>. No Ownership Interest.</w:t>
      </w:r>
      <w:r>
        <w:rPr>
          <w:rFonts w:ascii="Arial" w:cs="Arial" w:eastAsia="Arial" w:hAnsi="Arial"/>
          <w:sz w:val="14"/>
          <w:szCs w:val="14"/>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[The remainder of this page has been intentionally left blank; the next page is the signature page]</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80"/>
          </w:cols>
          <w:pgMar w:left="240" w:top="459" w:right="3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day and year first above written.</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TIME WARNER CABLE INC.</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Arthur T. Minson, Jr.</w:t>
      </w:r>
    </w:p>
    <w:p>
      <w:pPr>
        <w:spacing w:after="0" w:line="22" w:lineRule="exact"/>
        <w:rPr>
          <w:sz w:val="20"/>
          <w:szCs w:val="20"/>
          <w:color w:val="auto"/>
        </w:rPr>
      </w:pPr>
    </w:p>
    <w:tbl>
      <w:tblPr>
        <w:tblLayout w:type="fixed"/>
        <w:tblInd w:w="7200" w:type="dxa"/>
        <w:tblCellMar>
          <w:top w:w="0" w:type="dxa"/>
          <w:left w:w="0" w:type="dxa"/>
          <w:bottom w:w="0" w:type="dxa"/>
          <w:right w:w="0" w:type="dxa"/>
        </w:tblCellMar>
      </w:tblPr>
      <w:tr>
        <w:trPr>
          <w:trHeight w:val="206"/>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6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Arthur T. Minson, Jr.</w:t>
            </w:r>
          </w:p>
        </w:tc>
      </w:tr>
      <w:tr>
        <w:trPr>
          <w:trHeight w:val="203"/>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620" w:type="dxa"/>
            <w:vAlign w:val="bottom"/>
          </w:tcPr>
          <w:p>
            <w:pPr>
              <w:ind w:left="160"/>
              <w:spacing w:after="0"/>
              <w:rPr>
                <w:sz w:val="20"/>
                <w:szCs w:val="20"/>
                <w:color w:val="auto"/>
              </w:rPr>
            </w:pPr>
            <w:r>
              <w:rPr>
                <w:rFonts w:ascii="Arial" w:cs="Arial" w:eastAsia="Arial" w:hAnsi="Arial"/>
                <w:sz w:val="16"/>
                <w:szCs w:val="16"/>
                <w:color w:val="auto"/>
              </w:rPr>
              <w:t>Executive Vice President</w:t>
            </w:r>
          </w:p>
        </w:tc>
      </w:tr>
      <w:tr>
        <w:trPr>
          <w:trHeight w:val="206"/>
        </w:trPr>
        <w:tc>
          <w:tcPr>
            <w:tcW w:w="600" w:type="dxa"/>
            <w:vAlign w:val="bottom"/>
          </w:tcPr>
          <w:p>
            <w:pPr>
              <w:spacing w:after="0"/>
              <w:rPr>
                <w:sz w:val="17"/>
                <w:szCs w:val="17"/>
                <w:color w:val="auto"/>
              </w:rPr>
            </w:pPr>
          </w:p>
        </w:tc>
        <w:tc>
          <w:tcPr>
            <w:tcW w:w="3620" w:type="dxa"/>
            <w:vAlign w:val="bottom"/>
          </w:tcPr>
          <w:p>
            <w:pPr>
              <w:ind w:left="160"/>
              <w:spacing w:after="0"/>
              <w:rPr>
                <w:sz w:val="20"/>
                <w:szCs w:val="20"/>
                <w:color w:val="auto"/>
              </w:rPr>
            </w:pPr>
            <w:r>
              <w:rPr>
                <w:rFonts w:ascii="Arial" w:cs="Arial" w:eastAsia="Arial" w:hAnsi="Arial"/>
                <w:sz w:val="16"/>
                <w:szCs w:val="16"/>
                <w:color w:val="auto"/>
              </w:rPr>
              <w:t>and Chief Financial Officer</w:t>
            </w:r>
          </w:p>
        </w:tc>
      </w:tr>
    </w:tbl>
    <w:p>
      <w:pPr>
        <w:spacing w:after="0" w:line="33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wp:posOffset>
            </wp:positionV>
            <wp:extent cx="28987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Brian L. Roberts</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Comcast Corporation</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Philadelphia, PA 19103</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BRCC Holdings LLC</w:t>
      </w:r>
    </w:p>
    <w:p>
      <w:pPr>
        <w:spacing w:after="0" w:line="200" w:lineRule="exact"/>
        <w:rPr>
          <w:sz w:val="20"/>
          <w:szCs w:val="20"/>
          <w:color w:val="auto"/>
        </w:rPr>
      </w:pPr>
    </w:p>
    <w:p>
      <w:pPr>
        <w:spacing w:after="0" w:line="251"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Brian L. Roberts</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Manager</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1105 North Market Street</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Suite 1300</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P.O. Box 8985</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Wilmington, DE 19807</w:t>
      </w:r>
    </w:p>
    <w:p>
      <w:pPr>
        <w:spacing w:after="0" w:line="3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Irrevocable Deed of Trust of Brian L.</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Roberts for Children and Other Issue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dated June 10, 1998</w:t>
      </w:r>
    </w:p>
    <w:p>
      <w:pPr>
        <w:spacing w:after="0" w:line="200" w:lineRule="exact"/>
        <w:rPr>
          <w:sz w:val="20"/>
          <w:szCs w:val="20"/>
          <w:color w:val="auto"/>
        </w:rPr>
      </w:pPr>
    </w:p>
    <w:p>
      <w:pPr>
        <w:spacing w:after="0" w:line="260"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Sheldon M. Bonovitz</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General Trustee</w:t>
      </w:r>
    </w:p>
    <w:p>
      <w:pPr>
        <w:spacing w:after="0" w:line="258"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 Christiana Trust, Trustee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Greenville Center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3801 Kennett Pike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Suite C200</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Voting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Irrevocable Deed of Trust of Ralph J.</w:t>
      </w:r>
    </w:p>
    <w:p>
      <w:pPr>
        <w:spacing w:after="0" w:line="3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Roberts for Brian L. Roberts and Other</w:t>
      </w:r>
    </w:p>
    <w:p>
      <w:pPr>
        <w:spacing w:after="0" w:line="4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Beneficiaries dated May 11, 1993</w:t>
      </w:r>
    </w:p>
    <w:p>
      <w:pPr>
        <w:spacing w:after="0" w:line="200" w:lineRule="exact"/>
        <w:rPr>
          <w:sz w:val="20"/>
          <w:szCs w:val="20"/>
          <w:color w:val="auto"/>
        </w:rPr>
      </w:pPr>
    </w:p>
    <w:p>
      <w:pPr>
        <w:spacing w:after="0" w:line="260"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Brian L. Roberts</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Trustee</w:t>
      </w:r>
    </w:p>
    <w:p>
      <w:pPr>
        <w:spacing w:after="0" w:line="339"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6"/>
          <w:szCs w:val="16"/>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17780</wp:posOffset>
            </wp:positionV>
            <wp:extent cx="2718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Name: Sheldon M. Bonovitz</w:t>
      </w:r>
    </w:p>
    <w:p>
      <w:pPr>
        <w:spacing w:after="0" w:line="22" w:lineRule="exact"/>
        <w:rPr>
          <w:sz w:val="20"/>
          <w:szCs w:val="20"/>
          <w:color w:val="auto"/>
        </w:rPr>
      </w:pPr>
    </w:p>
    <w:p>
      <w:pPr>
        <w:ind w:left="7180"/>
        <w:spacing w:after="0"/>
        <w:tabs>
          <w:tab w:leader="none" w:pos="7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Trustee</w:t>
      </w:r>
    </w:p>
    <w:p>
      <w:pPr>
        <w:spacing w:after="0" w:line="231" w:lineRule="exact"/>
        <w:rPr>
          <w:sz w:val="20"/>
          <w:szCs w:val="20"/>
          <w:color w:val="auto"/>
        </w:rPr>
      </w:pPr>
    </w:p>
    <w:p>
      <w:pPr>
        <w:ind w:left="6900"/>
        <w:spacing w:after="0"/>
        <w:rPr>
          <w:sz w:val="20"/>
          <w:szCs w:val="20"/>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c/o Sheldon M. Bonovitz, Trustee</w:t>
      </w:r>
    </w:p>
    <w:p>
      <w:pPr>
        <w:spacing w:after="0" w:line="1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Duane Morris LLP</w:t>
      </w:r>
    </w:p>
    <w:p>
      <w:pPr>
        <w:ind w:left="6900"/>
        <w:spacing w:after="0" w:line="185" w:lineRule="auto"/>
        <w:rPr>
          <w:sz w:val="20"/>
          <w:szCs w:val="20"/>
          <w:color w:val="auto"/>
        </w:rPr>
      </w:pPr>
      <w:r>
        <w:rPr>
          <w:rFonts w:ascii="Arial" w:cs="Arial" w:eastAsia="Arial" w:hAnsi="Arial"/>
          <w:sz w:val="16"/>
          <w:szCs w:val="16"/>
          <w:color w:val="auto"/>
        </w:rPr>
        <w:t>30 South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80"/>
        <w:spacing w:after="0"/>
        <w:rPr>
          <w:sz w:val="20"/>
          <w:szCs w:val="20"/>
          <w:color w:val="auto"/>
        </w:rPr>
      </w:pPr>
      <w:r>
        <w:rPr>
          <w:rFonts w:ascii="Arial" w:cs="Arial" w:eastAsia="Arial" w:hAnsi="Arial"/>
          <w:sz w:val="16"/>
          <w:szCs w:val="16"/>
          <w:i w:val="1"/>
          <w:iCs w:val="1"/>
          <w:color w:val="auto"/>
        </w:rPr>
        <w:t>[Signature Page to Voting Agreement]</w:t>
      </w:r>
    </w:p>
    <w:p>
      <w:pPr>
        <w:sectPr>
          <w:pgSz w:w="11900" w:h="16838" w:orient="portrait"/>
          <w:cols w:equalWidth="0" w:num="1">
            <w:col w:w="10219"/>
          </w:cols>
          <w:pgMar w:left="240" w:top="460" w:right="1440" w:bottom="1440" w:gutter="0" w:footer="0" w:header="0"/>
        </w:sectPr>
      </w:pPr>
    </w:p>
    <w:p>
      <w:pPr>
        <w:spacing w:after="0" w:line="16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B-10</w:t>
      </w:r>
    </w:p>
    <w:p>
      <w:pPr>
        <w:sectPr>
          <w:pgSz w:w="11900" w:h="16838" w:orient="portrait"/>
          <w:cols w:equalWidth="0" w:num="1">
            <w:col w:w="10219"/>
          </w:cols>
          <w:pgMar w:left="240" w:top="460" w:right="1440" w:bottom="1440" w:gutter="0" w:footer="0" w:header="0"/>
          <w:type w:val="continuous"/>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ALLEN &amp; COMPANY LLC]</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right="80" w:firstLine="799"/>
        <w:spacing w:after="0" w:line="271" w:lineRule="auto"/>
        <w:rPr>
          <w:sz w:val="20"/>
          <w:szCs w:val="20"/>
          <w:color w:val="auto"/>
        </w:rPr>
      </w:pPr>
      <w:r>
        <w:rPr>
          <w:rFonts w:ascii="Arial" w:cs="Arial" w:eastAsia="Arial" w:hAnsi="Arial"/>
          <w:sz w:val="16"/>
          <w:szCs w:val="16"/>
          <w:color w:val="auto"/>
        </w:rPr>
        <w:t>We understand that Time Warner Cable Inc., a Delaware corporation (“</w:t>
      </w:r>
      <w:r>
        <w:rPr>
          <w:rFonts w:ascii="Arial" w:cs="Arial" w:eastAsia="Arial" w:hAnsi="Arial"/>
          <w:sz w:val="16"/>
          <w:szCs w:val="16"/>
          <w:u w:val="single" w:color="auto"/>
          <w:color w:val="auto"/>
        </w:rPr>
        <w:t>TWC</w:t>
      </w:r>
      <w:r>
        <w:rPr>
          <w:rFonts w:ascii="Arial" w:cs="Arial" w:eastAsia="Arial" w:hAnsi="Arial"/>
          <w:sz w:val="16"/>
          <w:szCs w:val="16"/>
          <w:color w:val="auto"/>
        </w:rPr>
        <w:t>”), Comcast Corporation, a Pennsylvania corporation (“</w:t>
      </w:r>
      <w:r>
        <w:rPr>
          <w:rFonts w:ascii="Arial" w:cs="Arial" w:eastAsia="Arial" w:hAnsi="Arial"/>
          <w:sz w:val="16"/>
          <w:szCs w:val="16"/>
          <w:u w:val="single" w:color="auto"/>
          <w:color w:val="auto"/>
        </w:rPr>
        <w:t>Comcast</w:t>
      </w:r>
      <w:r>
        <w:rPr>
          <w:rFonts w:ascii="Arial" w:cs="Arial" w:eastAsia="Arial" w:hAnsi="Arial"/>
          <w:sz w:val="16"/>
          <w:szCs w:val="16"/>
          <w:color w:val="auto"/>
        </w:rPr>
        <w:t>”), and Tango Acquisition Sub, Inc., a Delaware corporation and wholly owned subsidiary of Comcast (“Merger Sub”), propose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pursuant to which (i) Merger Sub will be merged with and into TWC (the “</w:t>
      </w:r>
      <w:r>
        <w:rPr>
          <w:rFonts w:ascii="Arial" w:cs="Arial" w:eastAsia="Arial" w:hAnsi="Arial"/>
          <w:sz w:val="16"/>
          <w:szCs w:val="16"/>
          <w:u w:val="single" w:color="auto"/>
          <w:color w:val="auto"/>
        </w:rPr>
        <w:t>Merger</w:t>
      </w:r>
      <w:r>
        <w:rPr>
          <w:rFonts w:ascii="Arial" w:cs="Arial" w:eastAsia="Arial" w:hAnsi="Arial"/>
          <w:sz w:val="16"/>
          <w:szCs w:val="16"/>
          <w:color w:val="auto"/>
        </w:rPr>
        <w:t>”) and (ii) each outstanding share of the common stock, par value $0.01 per share, of TWC (“</w:t>
      </w:r>
      <w:r>
        <w:rPr>
          <w:rFonts w:ascii="Arial" w:cs="Arial" w:eastAsia="Arial" w:hAnsi="Arial"/>
          <w:sz w:val="16"/>
          <w:szCs w:val="16"/>
          <w:u w:val="single" w:color="auto"/>
          <w:color w:val="auto"/>
        </w:rPr>
        <w:t>TWC Common Stock</w:t>
      </w:r>
      <w:r>
        <w:rPr>
          <w:rFonts w:ascii="Arial" w:cs="Arial" w:eastAsia="Arial" w:hAnsi="Arial"/>
          <w:sz w:val="16"/>
          <w:szCs w:val="16"/>
          <w:color w:val="auto"/>
        </w:rPr>
        <w:t>”) will be converted into the right to receive 2.8750 (the “</w:t>
      </w:r>
      <w:r>
        <w:rPr>
          <w:rFonts w:ascii="Arial" w:cs="Arial" w:eastAsia="Arial" w:hAnsi="Arial"/>
          <w:sz w:val="16"/>
          <w:szCs w:val="16"/>
          <w:u w:val="single" w:color="auto"/>
          <w:color w:val="auto"/>
        </w:rPr>
        <w:t>Exchange Ratio</w:t>
      </w:r>
      <w:r>
        <w:rPr>
          <w:rFonts w:ascii="Arial" w:cs="Arial" w:eastAsia="Arial" w:hAnsi="Arial"/>
          <w:sz w:val="16"/>
          <w:szCs w:val="16"/>
          <w:color w:val="auto"/>
        </w:rPr>
        <w:t>”) shares of Class A common stock, par value $0.01 per share, of Comcast (“</w:t>
      </w:r>
      <w:r>
        <w:rPr>
          <w:rFonts w:ascii="Arial" w:cs="Arial" w:eastAsia="Arial" w:hAnsi="Arial"/>
          <w:sz w:val="16"/>
          <w:szCs w:val="16"/>
          <w:u w:val="single" w:color="auto"/>
          <w:color w:val="auto"/>
        </w:rPr>
        <w:t>Comcast Class A Common Stock</w:t>
      </w:r>
      <w:r>
        <w:rPr>
          <w:rFonts w:ascii="Arial" w:cs="Arial" w:eastAsia="Arial" w:hAnsi="Arial"/>
          <w:sz w:val="16"/>
          <w:szCs w:val="16"/>
          <w:color w:val="auto"/>
        </w:rPr>
        <w:t>”).</w:t>
      </w:r>
    </w:p>
    <w:p>
      <w:pPr>
        <w:spacing w:after="0" w:line="190" w:lineRule="exact"/>
        <w:rPr>
          <w:sz w:val="20"/>
          <w:szCs w:val="20"/>
          <w:color w:val="auto"/>
        </w:rPr>
      </w:pPr>
    </w:p>
    <w:p>
      <w:pPr>
        <w:ind w:right="140" w:firstLine="799"/>
        <w:spacing w:after="0" w:line="318" w:lineRule="auto"/>
        <w:rPr>
          <w:sz w:val="20"/>
          <w:szCs w:val="20"/>
          <w:color w:val="auto"/>
        </w:rPr>
      </w:pPr>
      <w:r>
        <w:rPr>
          <w:rFonts w:ascii="Arial" w:cs="Arial" w:eastAsia="Arial" w:hAnsi="Arial"/>
          <w:sz w:val="14"/>
          <w:szCs w:val="14"/>
          <w:color w:val="auto"/>
        </w:rPr>
        <w:t>As you know, Allen &amp; Company LLC (“</w:t>
      </w:r>
      <w:r>
        <w:rPr>
          <w:rFonts w:ascii="Arial" w:cs="Arial" w:eastAsia="Arial" w:hAnsi="Arial"/>
          <w:sz w:val="14"/>
          <w:szCs w:val="14"/>
          <w:u w:val="single" w:color="auto"/>
          <w:color w:val="auto"/>
        </w:rPr>
        <w:t>Allen</w:t>
      </w:r>
      <w:r>
        <w:rPr>
          <w:rFonts w:ascii="Arial" w:cs="Arial" w:eastAsia="Arial" w:hAnsi="Arial"/>
          <w:sz w:val="14"/>
          <w:szCs w:val="14"/>
          <w:color w:val="auto"/>
        </w:rPr>
        <w:t>”) has acted as financial advisor to TWC in connection with the proposed Merger and has been asked to render an opinion to the Board of Directors of TWC (the “</w:t>
      </w:r>
      <w:r>
        <w:rPr>
          <w:rFonts w:ascii="Arial" w:cs="Arial" w:eastAsia="Arial" w:hAnsi="Arial"/>
          <w:sz w:val="14"/>
          <w:szCs w:val="14"/>
          <w:u w:val="single" w:color="auto"/>
          <w:color w:val="auto"/>
        </w:rPr>
        <w:t>Board</w:t>
      </w:r>
      <w:r>
        <w:rPr>
          <w:rFonts w:ascii="Arial" w:cs="Arial" w:eastAsia="Arial" w:hAnsi="Arial"/>
          <w:sz w:val="14"/>
          <w:szCs w:val="14"/>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4"/>
          <w:szCs w:val="14"/>
          <w:u w:val="single" w:color="auto"/>
          <w:color w:val="auto"/>
        </w:rPr>
        <w:t>Transaction Fee</w:t>
      </w:r>
      <w:r>
        <w:rPr>
          <w:rFonts w:ascii="Arial" w:cs="Arial" w:eastAsia="Arial" w:hAnsi="Arial"/>
          <w:sz w:val="14"/>
          <w:szCs w:val="14"/>
          <w:color w:val="auto"/>
        </w:rPr>
        <w:t>”) and TWC also has agreed to pay Allen a cash fee upon delivery of this opinion (the “</w:t>
      </w:r>
      <w:r>
        <w:rPr>
          <w:rFonts w:ascii="Arial" w:cs="Arial" w:eastAsia="Arial" w:hAnsi="Arial"/>
          <w:sz w:val="14"/>
          <w:szCs w:val="14"/>
          <w:u w:val="single" w:color="auto"/>
          <w:color w:val="auto"/>
        </w:rPr>
        <w:t>Opinion Fee</w:t>
      </w:r>
      <w:r>
        <w:rPr>
          <w:rFonts w:ascii="Arial" w:cs="Arial" w:eastAsia="Arial" w:hAnsi="Arial"/>
          <w:sz w:val="14"/>
          <w:szCs w:val="14"/>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62" w:lineRule="exact"/>
        <w:rPr>
          <w:sz w:val="20"/>
          <w:szCs w:val="20"/>
          <w:color w:val="auto"/>
        </w:rPr>
      </w:pPr>
    </w:p>
    <w:p>
      <w:pPr>
        <w:ind w:right="20" w:firstLine="799"/>
        <w:spacing w:after="0" w:line="267" w:lineRule="auto"/>
        <w:rPr>
          <w:sz w:val="20"/>
          <w:szCs w:val="20"/>
          <w:color w:val="auto"/>
        </w:rPr>
      </w:pPr>
      <w:r>
        <w:rPr>
          <w:rFonts w:ascii="Arial" w:cs="Arial" w:eastAsia="Arial" w:hAnsi="Arial"/>
          <w:sz w:val="16"/>
          <w:szCs w:val="16"/>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197" w:lineRule="exact"/>
        <w:rPr>
          <w:sz w:val="20"/>
          <w:szCs w:val="20"/>
          <w:color w:val="auto"/>
        </w:rPr>
      </w:pPr>
    </w:p>
    <w:p>
      <w:pPr>
        <w:ind w:right="160" w:firstLine="799"/>
        <w:spacing w:after="0" w:line="271" w:lineRule="auto"/>
        <w:rPr>
          <w:sz w:val="20"/>
          <w:szCs w:val="20"/>
          <w:color w:val="auto"/>
        </w:rPr>
      </w:pPr>
      <w:r>
        <w:rPr>
          <w:rFonts w:ascii="Arial" w:cs="Arial" w:eastAsia="Arial" w:hAnsi="Arial"/>
          <w:sz w:val="16"/>
          <w:szCs w:val="16"/>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arriving at our opinion, we have, among other things:</w:t>
      </w:r>
    </w:p>
    <w:p>
      <w:pPr>
        <w:spacing w:after="0" w:line="262" w:lineRule="exact"/>
        <w:rPr>
          <w:sz w:val="20"/>
          <w:szCs w:val="20"/>
          <w:color w:val="auto"/>
        </w:rPr>
      </w:pPr>
    </w:p>
    <w:p>
      <w:pPr>
        <w:ind w:left="580" w:hanging="572"/>
        <w:spacing w:after="0"/>
        <w:tabs>
          <w:tab w:leader="none" w:pos="5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6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left="580" w:right="32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99" w:lineRule="exact"/>
        <w:rPr>
          <w:rFonts w:ascii="Arial" w:cs="Arial" w:eastAsia="Arial" w:hAnsi="Arial"/>
          <w:sz w:val="16"/>
          <w:szCs w:val="16"/>
          <w:color w:val="auto"/>
        </w:rPr>
      </w:pPr>
    </w:p>
    <w:p>
      <w:pPr>
        <w:ind w:left="580" w:right="1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held discussions with the managements of TWC and Comcast relating to the past and current operations and financial condition and prospects of TWC and Comcast;</w:t>
      </w:r>
    </w:p>
    <w:p>
      <w:pPr>
        <w:spacing w:after="0" w:line="284" w:lineRule="exact"/>
        <w:rPr>
          <w:rFonts w:ascii="Arial" w:cs="Arial" w:eastAsia="Arial" w:hAnsi="Arial"/>
          <w:sz w:val="14"/>
          <w:szCs w:val="14"/>
          <w:color w:val="auto"/>
        </w:rPr>
      </w:pPr>
    </w:p>
    <w:p>
      <w:pPr>
        <w:ind w:left="580" w:right="36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the strategic rationale for the Merger and certain information relating to potential cost savings anticipated by the managements of TWC and Comcast to result from the Merger;</w:t>
      </w:r>
    </w:p>
    <w:p>
      <w:pPr>
        <w:spacing w:after="0" w:line="199" w:lineRule="exact"/>
        <w:rPr>
          <w:rFonts w:ascii="Arial" w:cs="Arial" w:eastAsia="Arial" w:hAnsi="Arial"/>
          <w:sz w:val="16"/>
          <w:szCs w:val="16"/>
          <w:color w:val="auto"/>
        </w:rPr>
      </w:pPr>
    </w:p>
    <w:p>
      <w:pPr>
        <w:ind w:left="580" w:right="2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99" w:lineRule="exact"/>
        <w:rPr>
          <w:rFonts w:ascii="Arial" w:cs="Arial" w:eastAsia="Arial" w:hAnsi="Arial"/>
          <w:sz w:val="16"/>
          <w:szCs w:val="16"/>
          <w:color w:val="auto"/>
        </w:rPr>
      </w:pPr>
    </w:p>
    <w:p>
      <w:pPr>
        <w:ind w:left="580" w:right="440" w:hanging="572"/>
        <w:spacing w:after="0" w:line="293" w:lineRule="auto"/>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reviewed certain publicly available financial information relating to selected transactions that we deemed generally relevant in evaluating the Merger; and</w:t>
      </w:r>
    </w:p>
    <w:p>
      <w:pPr>
        <w:spacing w:after="0" w:line="261" w:lineRule="exact"/>
        <w:rPr>
          <w:rFonts w:ascii="Arial" w:cs="Arial" w:eastAsia="Arial" w:hAnsi="Arial"/>
          <w:sz w:val="16"/>
          <w:szCs w:val="16"/>
          <w:color w:val="auto"/>
        </w:rPr>
      </w:pPr>
    </w:p>
    <w:p>
      <w:pPr>
        <w:ind w:left="580" w:hanging="572"/>
        <w:spacing w:after="0"/>
        <w:tabs>
          <w:tab w:leader="none" w:pos="5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we deemed necessary or appropriate for purposes of the opinion expressed herein.</w:t>
      </w:r>
    </w:p>
    <w:p>
      <w:pPr>
        <w:spacing w:after="0" w:line="235" w:lineRule="exact"/>
        <w:rPr>
          <w:sz w:val="20"/>
          <w:szCs w:val="20"/>
          <w:color w:val="auto"/>
        </w:rPr>
      </w:pPr>
    </w:p>
    <w:p>
      <w:pPr>
        <w:ind w:firstLine="799"/>
        <w:spacing w:after="0" w:line="284" w:lineRule="auto"/>
        <w:rPr>
          <w:sz w:val="20"/>
          <w:szCs w:val="20"/>
          <w:color w:val="auto"/>
        </w:rPr>
      </w:pPr>
      <w:r>
        <w:rPr>
          <w:rFonts w:ascii="Arial" w:cs="Arial" w:eastAsia="Arial" w:hAnsi="Arial"/>
          <w:sz w:val="15"/>
          <w:szCs w:val="15"/>
          <w:color w:val="auto"/>
        </w:rPr>
        <w:t>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 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63" w:lineRule="exact"/>
        <w:rPr>
          <w:sz w:val="20"/>
          <w:szCs w:val="20"/>
          <w:color w:val="auto"/>
        </w:rPr>
      </w:pPr>
    </w:p>
    <w:p>
      <w:pPr>
        <w:jc w:val="both"/>
        <w:ind w:right="180" w:firstLine="799"/>
        <w:spacing w:after="0" w:line="335" w:lineRule="auto"/>
        <w:rPr>
          <w:sz w:val="20"/>
          <w:szCs w:val="20"/>
          <w:color w:val="auto"/>
        </w:rPr>
      </w:pPr>
      <w:r>
        <w:rPr>
          <w:rFonts w:ascii="Arial" w:cs="Arial" w:eastAsia="Arial" w:hAnsi="Arial"/>
          <w:sz w:val="14"/>
          <w:szCs w:val="14"/>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50" w:lineRule="exact"/>
        <w:rPr>
          <w:sz w:val="20"/>
          <w:szCs w:val="20"/>
          <w:color w:val="auto"/>
        </w:rPr>
      </w:pPr>
    </w:p>
    <w:p>
      <w:pPr>
        <w:ind w:firstLine="799"/>
        <w:spacing w:after="0" w:line="287" w:lineRule="auto"/>
        <w:rPr>
          <w:sz w:val="20"/>
          <w:szCs w:val="20"/>
          <w:color w:val="auto"/>
        </w:rPr>
      </w:pPr>
      <w:r>
        <w:rPr>
          <w:rFonts w:ascii="Arial" w:cs="Arial" w:eastAsia="Arial" w:hAnsi="Arial"/>
          <w:sz w:val="15"/>
          <w:szCs w:val="15"/>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79" w:lineRule="exact"/>
        <w:rPr>
          <w:sz w:val="20"/>
          <w:szCs w:val="20"/>
          <w:color w:val="auto"/>
        </w:rPr>
      </w:pPr>
    </w:p>
    <w:p>
      <w:pPr>
        <w:ind w:right="80" w:firstLine="799"/>
        <w:spacing w:after="0" w:line="288" w:lineRule="auto"/>
        <w:rPr>
          <w:sz w:val="20"/>
          <w:szCs w:val="20"/>
          <w:color w:val="auto"/>
        </w:rPr>
      </w:pPr>
      <w:r>
        <w:rPr>
          <w:rFonts w:ascii="Arial" w:cs="Arial" w:eastAsia="Arial" w:hAnsi="Arial"/>
          <w:sz w:val="15"/>
          <w:szCs w:val="15"/>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81" w:lineRule="exact"/>
        <w:rPr>
          <w:sz w:val="20"/>
          <w:szCs w:val="20"/>
          <w:color w:val="auto"/>
        </w:rPr>
      </w:pPr>
    </w:p>
    <w:p>
      <w:pPr>
        <w:ind w:right="120" w:firstLine="799"/>
        <w:spacing w:after="0" w:line="278" w:lineRule="auto"/>
        <w:rPr>
          <w:sz w:val="20"/>
          <w:szCs w:val="20"/>
          <w:color w:val="auto"/>
        </w:rPr>
      </w:pPr>
      <w:r>
        <w:rPr>
          <w:rFonts w:ascii="Arial" w:cs="Arial" w:eastAsia="Arial" w:hAnsi="Arial"/>
          <w:sz w:val="16"/>
          <w:szCs w:val="16"/>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8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Based upon and subject to the foregoing, it is our opinion that, as of the date hereof, the Exchange Ratio provided for in the Merger is fair, from a financial point of view, to holders of TWC Common Stock.</w:t>
      </w: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ALLEN &amp; COMPANY LLC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9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 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 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 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83"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D-3</w:t>
      </w:r>
    </w:p>
    <w:p>
      <w:pPr>
        <w:spacing w:after="0" w:line="2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ectPr>
          <w:pgSz w:w="11900" w:h="16838" w:orient="portrait"/>
          <w:cols w:equalWidth="0" w:num="1">
            <w:col w:w="11340"/>
          </w:cols>
          <w:pgMar w:left="240" w:top="459" w:right="31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MORGAN STANLEY &amp; CO. LLC]</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w:t>
      </w:r>
    </w:p>
    <w:p>
      <w:pPr>
        <w:spacing w:after="0" w:line="235"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7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You have asked for our opinion as to whether the Exchange Ratio pursuant to the Merger Agreement is fair from a financial point of view to the holders of shares of TWC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opinion set forth herein, we have:</w:t>
      </w:r>
    </w:p>
    <w:p>
      <w:pPr>
        <w:spacing w:after="0" w:line="262" w:lineRule="exact"/>
        <w:rPr>
          <w:sz w:val="20"/>
          <w:szCs w:val="20"/>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TWC and Comcast, respectively;</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TWC;</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certain financial projections relating to TWC provided to or discussed with us by the management of TWC;</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and discussed with Comcast certain publicly available financial projections relating to Comcast (the “Comcast Public Projections”);</w:t>
      </w:r>
    </w:p>
    <w:p>
      <w:pPr>
        <w:spacing w:after="0" w:line="261" w:lineRule="exact"/>
        <w:rPr>
          <w:rFonts w:ascii="Arial" w:cs="Arial" w:eastAsia="Arial" w:hAnsi="Arial"/>
          <w:sz w:val="16"/>
          <w:szCs w:val="16"/>
          <w:color w:val="auto"/>
        </w:rPr>
      </w:pPr>
    </w:p>
    <w:p>
      <w:pPr>
        <w:ind w:left="340" w:right="5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information relating to certain strategic, financial and operational benefits (including potential cost savings) anticipated from the Merger prepared by the managements of TWC and Comcast;</w:t>
      </w:r>
    </w:p>
    <w:p>
      <w:pPr>
        <w:spacing w:after="0" w:line="199" w:lineRule="exact"/>
        <w:rPr>
          <w:rFonts w:ascii="Arial" w:cs="Arial" w:eastAsia="Arial" w:hAnsi="Arial"/>
          <w:sz w:val="16"/>
          <w:szCs w:val="16"/>
          <w:color w:val="auto"/>
        </w:rPr>
      </w:pPr>
    </w:p>
    <w:p>
      <w:pPr>
        <w:ind w:left="340" w:right="14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9" w:lineRule="exact"/>
        <w:rPr>
          <w:rFonts w:ascii="Arial" w:cs="Arial" w:eastAsia="Arial" w:hAnsi="Arial"/>
          <w:sz w:val="16"/>
          <w:szCs w:val="16"/>
          <w:color w:val="auto"/>
        </w:rPr>
      </w:pPr>
    </w:p>
    <w:p>
      <w:pPr>
        <w:ind w:left="340" w:right="7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9"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the potential pro forma financial impact of the Merger on Comcast’s levered free cash flow per share;</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Reviewed the reported prices and trading activity for TWC Common Stock and Comcast Class A Common Stock;</w:t>
      </w:r>
    </w:p>
    <w:p>
      <w:pPr>
        <w:spacing w:after="0" w:line="261" w:lineRule="exact"/>
        <w:rPr>
          <w:rFonts w:ascii="Arial" w:cs="Arial" w:eastAsia="Arial" w:hAnsi="Arial"/>
          <w:sz w:val="16"/>
          <w:szCs w:val="16"/>
          <w:color w:val="auto"/>
        </w:rPr>
      </w:pPr>
    </w:p>
    <w:p>
      <w:pPr>
        <w:ind w:left="340" w:right="100" w:hanging="332"/>
        <w:spacing w:after="0" w:line="293" w:lineRule="auto"/>
        <w:tabs>
          <w:tab w:leader="none" w:pos="3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the financial terms, to the extent publicly available, of certain comparable acquisition transactions;</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the Merger Agreement and certain related documents; and</w:t>
      </w:r>
    </w:p>
    <w:p>
      <w:pPr>
        <w:spacing w:after="0" w:line="261" w:lineRule="exact"/>
        <w:rPr>
          <w:rFonts w:ascii="Arial" w:cs="Arial" w:eastAsia="Arial" w:hAnsi="Arial"/>
          <w:sz w:val="16"/>
          <w:szCs w:val="16"/>
          <w:color w:val="auto"/>
        </w:rPr>
      </w:pPr>
    </w:p>
    <w:p>
      <w:pPr>
        <w:ind w:left="340" w:hanging="332"/>
        <w:spacing w:after="0"/>
        <w:tabs>
          <w:tab w:leader="none" w:pos="3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we have deemed appropriate.</w:t>
      </w:r>
    </w:p>
    <w:p>
      <w:pPr>
        <w:spacing w:after="0" w:line="23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 assessment of TWC and Comcast and their respective legal, tax or regulatory advisors with respect to legal, tax, or regulatory matters.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 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459" w:right="2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72"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9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 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7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MORGAN STANLEY &amp; CO. LLC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380"/>
          </w:cols>
          <w:pgMar w:left="240" w:top="459" w:right="2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Centerview Partners LLC</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31 West 52nd Street</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New York, NY 10019</w:t>
      </w: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February 12, 2014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60 Columbus Circle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10023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35" w:lineRule="exact"/>
        <w:rPr>
          <w:sz w:val="20"/>
          <w:szCs w:val="20"/>
          <w:color w:val="auto"/>
        </w:rPr>
      </w:pPr>
    </w:p>
    <w:p>
      <w:pPr>
        <w:ind w:firstLine="799"/>
        <w:spacing w:after="0" w:line="267"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 2.8750 (the “Exchange Ratio”) shares of Class A common stock, par value $0.01 per share, of Comcast (“Comcast Class A Common Stock”). The terms and conditions of the Merger are more fully set forth in the Agreement.</w:t>
      </w:r>
    </w:p>
    <w:p>
      <w:pPr>
        <w:spacing w:after="0" w:line="197"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89" w:lineRule="exact"/>
        <w:rPr>
          <w:sz w:val="20"/>
          <w:szCs w:val="20"/>
          <w:color w:val="auto"/>
        </w:rPr>
      </w:pPr>
    </w:p>
    <w:p>
      <w:pPr>
        <w:ind w:right="140" w:firstLine="799"/>
        <w:spacing w:after="0" w:line="289" w:lineRule="auto"/>
        <w:rPr>
          <w:sz w:val="20"/>
          <w:szCs w:val="20"/>
          <w:color w:val="auto"/>
        </w:rPr>
      </w:pPr>
      <w:r>
        <w:rPr>
          <w:rFonts w:ascii="Arial" w:cs="Arial" w:eastAsia="Arial" w:hAnsi="Arial"/>
          <w:sz w:val="15"/>
          <w:szCs w:val="15"/>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80" w:lineRule="exact"/>
        <w:rPr>
          <w:sz w:val="20"/>
          <w:szCs w:val="20"/>
          <w:color w:val="auto"/>
        </w:rPr>
      </w:pPr>
    </w:p>
    <w:p>
      <w:pPr>
        <w:ind w:right="80" w:firstLine="799"/>
        <w:spacing w:after="0" w:line="318" w:lineRule="auto"/>
        <w:rPr>
          <w:sz w:val="20"/>
          <w:szCs w:val="20"/>
          <w:color w:val="auto"/>
        </w:rPr>
      </w:pPr>
      <w:r>
        <w:rPr>
          <w:rFonts w:ascii="Arial" w:cs="Arial" w:eastAsia="Arial" w:hAnsi="Arial"/>
          <w:sz w:val="14"/>
          <w:szCs w:val="14"/>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 (v) certain other communications from TWC and Comcast to their respective stockholders; (vi) certain internal information relating to the business, operations, earnings, cash flow, assets, liabilities and prospects of TWC, including certain financial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63" w:lineRule="exact"/>
        <w:rPr>
          <w:sz w:val="20"/>
          <w:szCs w:val="20"/>
          <w:color w:val="auto"/>
        </w:rPr>
      </w:pPr>
    </w:p>
    <w:p>
      <w:pPr>
        <w:ind w:right="80"/>
        <w:spacing w:after="0" w:line="309" w:lineRule="auto"/>
        <w:rPr>
          <w:sz w:val="20"/>
          <w:szCs w:val="20"/>
          <w:color w:val="auto"/>
        </w:rPr>
      </w:pPr>
      <w:r>
        <w:rPr>
          <w:rFonts w:ascii="Arial" w:cs="Arial" w:eastAsia="Arial" w:hAnsi="Arial"/>
          <w:sz w:val="14"/>
          <w:szCs w:val="14"/>
          <w:color w:val="auto"/>
        </w:rPr>
        <w:t>forecasts, analyses and projections relating to TWC prepared by management of TWC and furnished to us by TWC for purposes of our analysis (the “TWC Forecasts”) (collectively, the “TWC Internal Data”), (vii) 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169" w:lineRule="exact"/>
        <w:rPr>
          <w:sz w:val="20"/>
          <w:szCs w:val="20"/>
          <w:color w:val="auto"/>
        </w:rPr>
      </w:pPr>
    </w:p>
    <w:p>
      <w:pPr>
        <w:ind w:firstLine="799"/>
        <w:spacing w:after="0" w:line="306" w:lineRule="auto"/>
        <w:rPr>
          <w:sz w:val="20"/>
          <w:szCs w:val="20"/>
          <w:color w:val="auto"/>
        </w:rPr>
      </w:pPr>
      <w:r>
        <w:rPr>
          <w:rFonts w:ascii="Arial" w:cs="Arial" w:eastAsia="Arial" w:hAnsi="Arial"/>
          <w:sz w:val="14"/>
          <w:szCs w:val="14"/>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 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76" w:lineRule="exact"/>
        <w:rPr>
          <w:sz w:val="20"/>
          <w:szCs w:val="20"/>
          <w:color w:val="auto"/>
        </w:rPr>
      </w:pPr>
    </w:p>
    <w:p>
      <w:pPr>
        <w:ind w:right="20" w:firstLine="799"/>
        <w:spacing w:after="0" w:line="309" w:lineRule="auto"/>
        <w:rPr>
          <w:sz w:val="20"/>
          <w:szCs w:val="20"/>
          <w:color w:val="auto"/>
        </w:rPr>
      </w:pPr>
      <w:r>
        <w:rPr>
          <w:rFonts w:ascii="Arial" w:cs="Arial" w:eastAsia="Arial" w:hAnsi="Arial"/>
          <w:sz w:val="14"/>
          <w:szCs w:val="14"/>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obligations when they come due, or as to the impact of the Merger on such matters, under any state, federal or other laws relating to bankruptcy, insolvency or similar matters.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We are not legal, regulatory, tax or accounting advisors, and we express no opinion as to any legal, regulatory, tax or accounting matters.</w:t>
      </w:r>
    </w:p>
    <w:p>
      <w:pPr>
        <w:spacing w:after="0" w:line="231" w:lineRule="exact"/>
        <w:rPr>
          <w:sz w:val="20"/>
          <w:szCs w:val="20"/>
          <w:color w:val="auto"/>
        </w:rPr>
      </w:pPr>
    </w:p>
    <w:p>
      <w:pPr>
        <w:ind w:firstLine="799"/>
        <w:spacing w:after="0" w:line="286" w:lineRule="auto"/>
        <w:rPr>
          <w:sz w:val="20"/>
          <w:szCs w:val="20"/>
          <w:color w:val="auto"/>
        </w:rPr>
      </w:pPr>
      <w:r>
        <w:rPr>
          <w:rFonts w:ascii="Arial" w:cs="Arial" w:eastAsia="Arial" w:hAnsi="Arial"/>
          <w:sz w:val="15"/>
          <w:szCs w:val="15"/>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 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83" w:lineRule="exact"/>
        <w:rPr>
          <w:sz w:val="20"/>
          <w:szCs w:val="20"/>
          <w:color w:val="auto"/>
        </w:rPr>
      </w:pPr>
    </w:p>
    <w:p>
      <w:pPr>
        <w:ind w:right="40" w:firstLine="799"/>
        <w:spacing w:after="0" w:line="269" w:lineRule="auto"/>
        <w:rPr>
          <w:sz w:val="20"/>
          <w:szCs w:val="20"/>
          <w:color w:val="auto"/>
        </w:rPr>
      </w:pPr>
      <w:r>
        <w:rPr>
          <w:rFonts w:ascii="Arial" w:cs="Arial" w:eastAsia="Arial" w:hAnsi="Arial"/>
          <w:sz w:val="16"/>
          <w:szCs w:val="16"/>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 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91" w:lineRule="exact"/>
        <w:rPr>
          <w:sz w:val="20"/>
          <w:szCs w:val="20"/>
          <w:color w:val="auto"/>
        </w:rPr>
      </w:pPr>
    </w:p>
    <w:p>
      <w:pPr>
        <w:ind w:right="20" w:firstLine="799"/>
        <w:spacing w:after="0" w:line="324" w:lineRule="auto"/>
        <w:rPr>
          <w:sz w:val="20"/>
          <w:szCs w:val="20"/>
          <w:color w:val="auto"/>
        </w:rPr>
      </w:pPr>
      <w:r>
        <w:rPr>
          <w:rFonts w:ascii="Arial" w:cs="Arial" w:eastAsia="Arial" w:hAnsi="Arial"/>
          <w:sz w:val="14"/>
          <w:szCs w:val="14"/>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57" w:lineRule="exact"/>
        <w:rPr>
          <w:sz w:val="20"/>
          <w:szCs w:val="20"/>
          <w:color w:val="auto"/>
        </w:rPr>
      </w:pPr>
    </w:p>
    <w:p>
      <w:pPr>
        <w:ind w:right="240" w:firstLine="799"/>
        <w:spacing w:after="0" w:line="329" w:lineRule="auto"/>
        <w:rPr>
          <w:sz w:val="20"/>
          <w:szCs w:val="20"/>
          <w:color w:val="auto"/>
        </w:rPr>
      </w:pPr>
      <w:r>
        <w:rPr>
          <w:rFonts w:ascii="Arial" w:cs="Arial" w:eastAsia="Arial" w:hAnsi="Arial"/>
          <w:sz w:val="15"/>
          <w:szCs w:val="15"/>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CENTERVIEW PARTNERS LLC</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175260</wp:posOffset>
            </wp:positionV>
            <wp:extent cx="1329055" cy="274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290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One Comcast Center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19103-2838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 of Directors:</w:t>
      </w: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 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37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87"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5"/>
          <w:szCs w:val="15"/>
          <w:b w:val="1"/>
          <w:bCs w:val="1"/>
          <w:color w:val="auto"/>
        </w:rPr>
        <w:t>.</w:t>
      </w:r>
      <w:r>
        <w:rPr>
          <w:rFonts w:ascii="Arial" w:cs="Arial" w:eastAsia="Arial" w:hAnsi="Arial"/>
          <w:sz w:val="15"/>
          <w:szCs w:val="15"/>
          <w:color w:val="auto"/>
        </w:rPr>
        <w:t xml:space="preserve"> We are expressing no opinion herein as to the price at which the Merger Partner Common Stock or the Company Common Stock will trade at any future time.</w:t>
      </w:r>
    </w:p>
    <w:p>
      <w:pPr>
        <w:spacing w:after="0" w:line="180" w:lineRule="exact"/>
        <w:rPr>
          <w:sz w:val="20"/>
          <w:szCs w:val="20"/>
          <w:color w:val="auto"/>
        </w:rPr>
      </w:pPr>
    </w:p>
    <w:p>
      <w:pPr>
        <w:ind w:right="100"/>
        <w:spacing w:after="0" w:line="309" w:lineRule="auto"/>
        <w:rPr>
          <w:sz w:val="20"/>
          <w:szCs w:val="20"/>
          <w:color w:val="auto"/>
        </w:rPr>
      </w:pPr>
      <w:r>
        <w:rPr>
          <w:rFonts w:ascii="Arial" w:cs="Arial" w:eastAsia="Arial" w:hAnsi="Arial"/>
          <w:sz w:val="14"/>
          <w:szCs w:val="14"/>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the basis of and subject to the foregoing, it is our opinion as of the date hereof that the Exchange Ratio in the proposed Transaction is fair, from a financial point of view, to the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 J.P. Morgan Securities LLC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J.P. Morgan Securities LLC</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300"/>
          </w:cols>
          <w:pgMar w:left="240" w:top="459" w:right="3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Articles of Incorporation and By-laws.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6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87"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Comcast’s articles and by-laws. II-2</w:t>
      </w:r>
    </w:p>
    <w:p>
      <w:pPr>
        <w:sectPr>
          <w:pgSz w:w="11900" w:h="16838" w:orient="portrait"/>
          <w:cols w:equalWidth="0" w:num="1">
            <w:col w:w="11400"/>
          </w:cols>
          <w:pgMar w:left="240" w:top="459" w:right="2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8"/>
              </w:rPr>
              <w:t>Form of Consent of Paul, Weiss, Rifkind, Wharton &amp; Garrison LLP (included in the opinion filed as Exhibit 8.2 to this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60"/>
          </w:cols>
          <w:pgMar w:left="240" w:top="459" w:right="39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135" w:lineRule="exact"/>
        <w:rPr>
          <w:sz w:val="20"/>
          <w:szCs w:val="20"/>
          <w:color w:val="auto"/>
        </w:rPr>
      </w:pPr>
    </w:p>
    <w:p>
      <w:pPr>
        <w:ind w:left="900" w:hanging="446"/>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20" w:right="60" w:hanging="440"/>
        <w:spacing w:after="0" w:line="291" w:lineRule="auto"/>
        <w:tabs>
          <w:tab w:leader="none" w:pos="1920"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2" w:lineRule="exact"/>
        <w:rPr>
          <w:rFonts w:ascii="Arial" w:cs="Arial" w:eastAsia="Arial" w:hAnsi="Arial"/>
          <w:sz w:val="16"/>
          <w:szCs w:val="16"/>
          <w:color w:val="auto"/>
        </w:rPr>
      </w:pPr>
    </w:p>
    <w:p>
      <w:pPr>
        <w:ind w:left="1920" w:right="20" w:hanging="440"/>
        <w:spacing w:after="0" w:line="277" w:lineRule="auto"/>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right="80" w:hanging="567"/>
        <w:spacing w:after="0" w:line="276" w:lineRule="auto"/>
        <w:tabs>
          <w:tab w:leader="none" w:pos="148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920" w:hanging="440"/>
        <w:spacing w:after="0" w:line="277" w:lineRule="auto"/>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59" w:right="27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400" w:hanging="440"/>
        <w:spacing w:after="0" w:line="277" w:lineRule="auto"/>
        <w:tabs>
          <w:tab w:leader="none" w:pos="192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36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7"/>
          <w:szCs w:val="17"/>
          <w:color w:val="auto"/>
        </w:rPr>
      </w:pPr>
    </w:p>
    <w:p>
      <w:pPr>
        <w:ind w:left="900" w:right="100" w:hanging="446"/>
        <w:spacing w:after="0" w:line="257"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3" w:lineRule="exact"/>
        <w:rPr>
          <w:rFonts w:ascii="Arial" w:cs="Arial" w:eastAsia="Arial" w:hAnsi="Arial"/>
          <w:sz w:val="18"/>
          <w:szCs w:val="18"/>
          <w:color w:val="auto"/>
        </w:rPr>
      </w:pPr>
    </w:p>
    <w:p>
      <w:pPr>
        <w:ind w:left="1480" w:right="20" w:hanging="567"/>
        <w:spacing w:after="0" w:line="255" w:lineRule="auto"/>
        <w:tabs>
          <w:tab w:leader="none" w:pos="14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1"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COMCAST CORPORATION</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August 25, 2014.</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0"/>
          <w:szCs w:val="20"/>
          <w:color w:val="auto"/>
        </w:rPr>
      </w:pPr>
    </w:p>
    <w:tbl>
      <w:tblPr>
        <w:tblLayout w:type="fixed"/>
        <w:tblInd w:w="7120" w:type="dxa"/>
        <w:tblCellMar>
          <w:top w:w="0" w:type="dxa"/>
          <w:left w:w="0" w:type="dxa"/>
          <w:bottom w:w="0" w:type="dxa"/>
          <w:right w:w="0" w:type="dxa"/>
        </w:tblCellMar>
      </w:tblPr>
      <w:tr>
        <w:trPr>
          <w:trHeight w:val="209"/>
        </w:trPr>
        <w:tc>
          <w:tcPr>
            <w:tcW w:w="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16"/>
        </w:trPr>
        <w:tc>
          <w:tcPr>
            <w:tcW w:w="70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80"/>
              <w:spacing w:after="0"/>
              <w:rPr>
                <w:sz w:val="20"/>
                <w:szCs w:val="20"/>
                <w:color w:val="auto"/>
              </w:rPr>
            </w:pPr>
            <w:r>
              <w:rPr>
                <w:rFonts w:ascii="Arial" w:cs="Arial" w:eastAsia="Arial" w:hAnsi="Arial"/>
                <w:sz w:val="18"/>
                <w:szCs w:val="18"/>
                <w:color w:val="auto"/>
              </w:rPr>
              <w:t>Senior Vice President, General</w:t>
            </w:r>
          </w:p>
        </w:tc>
      </w:tr>
      <w:tr>
        <w:trPr>
          <w:trHeight w:val="230"/>
        </w:trPr>
        <w:tc>
          <w:tcPr>
            <w:tcW w:w="70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Counsel and Secretary</w:t>
            </w: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40" w:type="dxa"/>
            <w:vAlign w:val="bottom"/>
            <w:vMerge w:val="restart"/>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Chairman and CEO; Director (Principal Executive</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25, 2014</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40" w:type="dxa"/>
            <w:vAlign w:val="bottom"/>
            <w:gridSpan w:val="3"/>
          </w:tcPr>
          <w:p>
            <w:pPr>
              <w:jc w:val="center"/>
              <w:ind w:right="200"/>
              <w:spacing w:after="0" w:line="203" w:lineRule="exact"/>
              <w:rPr>
                <w:sz w:val="20"/>
                <w:szCs w:val="20"/>
                <w:color w:val="auto"/>
              </w:rPr>
            </w:pPr>
            <w:r>
              <w:rPr>
                <w:rFonts w:ascii="Arial" w:cs="Arial" w:eastAsia="Arial" w:hAnsi="Arial"/>
                <w:sz w:val="18"/>
                <w:szCs w:val="18"/>
                <w:color w:val="auto"/>
                <w:w w:val="98"/>
              </w:rPr>
              <w:t>Officer)</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Brian L.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Founder; Chairman Emeritus of the Board</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25,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Ralph J.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Vice Chairman and CFO (Principal Financial Officer)</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25,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Michael J. Angelakis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840" w:type="dxa"/>
            <w:vAlign w:val="bottom"/>
            <w:gridSpan w:val="2"/>
            <w:vMerge w:val="restart"/>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Senior Vice President; Chief Accounting Officer and</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25, 2014</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gridSpan w:val="2"/>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40" w:type="dxa"/>
            <w:vAlign w:val="bottom"/>
            <w:gridSpan w:val="3"/>
          </w:tcPr>
          <w:p>
            <w:pPr>
              <w:jc w:val="center"/>
              <w:ind w:right="220"/>
              <w:spacing w:after="0" w:line="203" w:lineRule="exact"/>
              <w:rPr>
                <w:sz w:val="20"/>
                <w:szCs w:val="20"/>
                <w:color w:val="auto"/>
              </w:rPr>
            </w:pPr>
            <w:r>
              <w:rPr>
                <w:rFonts w:ascii="Arial" w:cs="Arial" w:eastAsia="Arial" w:hAnsi="Arial"/>
                <w:sz w:val="18"/>
                <w:szCs w:val="18"/>
                <w:color w:val="auto"/>
                <w:w w:val="94"/>
              </w:rPr>
              <w:t>Controller (Principal Accounting Officer)</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Lawrence J. Salva</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25,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Kenneth J. Bacon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273"/>
              <w:spacing w:after="0"/>
              <w:rPr>
                <w:sz w:val="20"/>
                <w:szCs w:val="20"/>
                <w:color w:val="auto"/>
              </w:rPr>
            </w:pPr>
            <w:r>
              <w:rPr>
                <w:rFonts w:ascii="Arial" w:cs="Arial" w:eastAsia="Arial" w:hAnsi="Arial"/>
                <w:sz w:val="18"/>
                <w:szCs w:val="18"/>
                <w:color w:val="auto"/>
                <w:w w:val="91"/>
              </w:rPr>
              <w:t>August 25,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4"/>
              </w:rPr>
              <w:t>Sheldon M. Bonovitz</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gridSpan w:val="2"/>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7"/>
              </w:rPr>
              <w:t>Title</w:t>
            </w:r>
          </w:p>
        </w:tc>
        <w:tc>
          <w:tcPr>
            <w:tcW w:w="2360" w:type="dxa"/>
            <w:vAlign w:val="bottom"/>
            <w:gridSpan w:val="3"/>
          </w:tcPr>
          <w:p>
            <w:pPr>
              <w:jc w:val="center"/>
              <w:ind w:left="10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0"/>
              </w:rPr>
              <w:t>Edward D. Breen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8"/>
              </w:rPr>
              <w:t>Joseph J. Collins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3"/>
              </w:rPr>
              <w:t>J. Michael Cook</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Gerald L. Hassell</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3"/>
              </w:rPr>
              <w:t>Jeffrey A. Honickman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Eduardo G. Mestre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Johnathan A. Rodgers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40" w:type="dxa"/>
            <w:vAlign w:val="bottom"/>
            <w:gridSpan w:val="3"/>
          </w:tcPr>
          <w:p>
            <w:pPr>
              <w:jc w:val="center"/>
              <w:ind w:left="49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1072"/>
              <w:spacing w:after="0"/>
              <w:rPr>
                <w:sz w:val="20"/>
                <w:szCs w:val="20"/>
                <w:color w:val="auto"/>
              </w:rPr>
            </w:pPr>
            <w:r>
              <w:rPr>
                <w:rFonts w:ascii="Arial" w:cs="Arial" w:eastAsia="Arial" w:hAnsi="Arial"/>
                <w:sz w:val="18"/>
                <w:szCs w:val="18"/>
                <w:color w:val="auto"/>
                <w:w w:val="91"/>
              </w:rPr>
              <w:t>August 25,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Dr. Judith Rodin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8"/>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5"/>
          </w:tcPr>
          <w:p>
            <w:pPr>
              <w:ind w:left="180"/>
              <w:spacing w:after="0"/>
              <w:rPr>
                <w:sz w:val="20"/>
                <w:szCs w:val="20"/>
                <w:color w:val="auto"/>
              </w:rPr>
            </w:pPr>
            <w:r>
              <w:rPr>
                <w:rFonts w:ascii="Arial" w:cs="Arial" w:eastAsia="Arial" w:hAnsi="Arial"/>
                <w:sz w:val="18"/>
                <w:szCs w:val="18"/>
                <w:color w:val="auto"/>
              </w:rPr>
              <w:t>/s/ Arthur R. Block</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Arthur R. Block</w:t>
            </w: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4"/>
          </w:tcPr>
          <w:p>
            <w:pPr>
              <w:ind w:left="80"/>
              <w:spacing w:after="0"/>
              <w:rPr>
                <w:sz w:val="20"/>
                <w:szCs w:val="20"/>
                <w:color w:val="auto"/>
              </w:rPr>
            </w:pPr>
            <w:r>
              <w:rPr>
                <w:rFonts w:ascii="Arial" w:cs="Arial" w:eastAsia="Arial" w:hAnsi="Arial"/>
                <w:sz w:val="18"/>
                <w:szCs w:val="18"/>
                <w:color w:val="auto"/>
              </w:rPr>
              <w:t>Attorney-in-Fact</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ectPr>
          <w:pgSz w:w="11900" w:h="16838" w:orient="portrait"/>
          <w:cols w:equalWidth="0" w:num="1">
            <w:col w:w="10980"/>
          </w:cols>
          <w:pgMar w:left="240" w:top="460" w:right="6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8"/>
              </w:rPr>
              <w:t>Form of Consent of Paul, Weiss, Rifkind, Wharton &amp; Garrison LLP (included in the opinion filed as Exhibit 8.2 to this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260"/>
          </w:cols>
          <w:pgMar w:left="240" w:top="459" w:right="399" w:bottom="1440" w:gutter="0" w:footer="0" w:header="0"/>
        </w:sectPr>
      </w:pPr>
    </w:p>
    <w:bookmarkStart w:id="347" w:name="page348"/>
    <w:bookmarkEnd w:id="347"/>
    <w:p>
      <w:pPr>
        <w:ind w:left="105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August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Pursuant to the Agreement and Plan of Merger, dated as of February 12, 2014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Comcast Corporation, a Pennsylvania corporation (“</w:t>
      </w:r>
      <w:r>
        <w:rPr>
          <w:rFonts w:ascii="Arial" w:cs="Arial" w:eastAsia="Arial" w:hAnsi="Arial"/>
          <w:sz w:val="16"/>
          <w:szCs w:val="16"/>
          <w:b w:val="1"/>
          <w:bCs w:val="1"/>
          <w:color w:val="auto"/>
        </w:rPr>
        <w:t>Comcast</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Time Warner Cable Inc., a Delaware corporation (“</w:t>
      </w:r>
      <w:r>
        <w:rPr>
          <w:rFonts w:ascii="Arial" w:cs="Arial" w:eastAsia="Arial" w:hAnsi="Arial"/>
          <w:sz w:val="16"/>
          <w:szCs w:val="16"/>
          <w:b w:val="1"/>
          <w:bCs w:val="1"/>
          <w:color w:val="auto"/>
        </w:rPr>
        <w:t>TWC</w:t>
      </w:r>
      <w:r>
        <w:rPr>
          <w:rFonts w:ascii="Arial" w:cs="Arial" w:eastAsia="Arial" w:hAnsi="Arial"/>
          <w:sz w:val="16"/>
          <w:szCs w:val="16"/>
          <w:color w:val="auto"/>
        </w:rPr>
        <w:t>”), and Tango Acquisition Sub, Inc., a Delaware corporation and wholly owned subsidiary of Comcast (“</w:t>
      </w:r>
      <w:r>
        <w:rPr>
          <w:rFonts w:ascii="Arial" w:cs="Arial" w:eastAsia="Arial" w:hAnsi="Arial"/>
          <w:sz w:val="16"/>
          <w:szCs w:val="16"/>
          <w:b w:val="1"/>
          <w:bCs w:val="1"/>
          <w:color w:val="auto"/>
        </w:rPr>
        <w:t>Merger Sub</w:t>
      </w:r>
      <w:r>
        <w:rPr>
          <w:rFonts w:ascii="Arial" w:cs="Arial" w:eastAsia="Arial" w:hAnsi="Arial"/>
          <w:sz w:val="16"/>
          <w:szCs w:val="16"/>
          <w:color w:val="auto"/>
        </w:rPr>
        <w:t>”), Merger Sub will merge (“</w:t>
      </w:r>
      <w:r>
        <w:rPr>
          <w:rFonts w:ascii="Arial" w:cs="Arial" w:eastAsia="Arial" w:hAnsi="Arial"/>
          <w:sz w:val="16"/>
          <w:szCs w:val="16"/>
          <w:b w:val="1"/>
          <w:bCs w:val="1"/>
          <w:color w:val="auto"/>
        </w:rPr>
        <w:t>the Merger</w:t>
      </w:r>
      <w:r>
        <w:rPr>
          <w:rFonts w:ascii="Arial" w:cs="Arial" w:eastAsia="Arial" w:hAnsi="Arial"/>
          <w:sz w:val="16"/>
          <w:szCs w:val="16"/>
          <w:color w:val="auto"/>
        </w:rPr>
        <w:t>”) with and into TWC, with TWC surviving the Merger as a wholly owned subsidiary of Comcast, and each share of common stock, par value $0.01 per share, of TWC issued and outstanding immediately prior to the effective time of the Merger will be converted into 2.875 duly issued, fully paid and nonassessable shares of Comcast Class A common stock, par value $0.01 per share (“</w:t>
      </w:r>
      <w:r>
        <w:rPr>
          <w:rFonts w:ascii="Arial" w:cs="Arial" w:eastAsia="Arial" w:hAnsi="Arial"/>
          <w:sz w:val="16"/>
          <w:szCs w:val="16"/>
          <w:b w:val="1"/>
          <w:bCs w:val="1"/>
          <w:color w:val="auto"/>
        </w:rPr>
        <w:t>Comcast Class A common stock</w:t>
      </w:r>
      <w:r>
        <w:rPr>
          <w:rFonts w:ascii="Arial" w:cs="Arial" w:eastAsia="Arial" w:hAnsi="Arial"/>
          <w:sz w:val="16"/>
          <w:szCs w:val="16"/>
          <w:color w:val="auto"/>
        </w:rPr>
        <w:t>”). In connection with the Merger, Comcast will issue up to 810,732,069 shares of Comcast Class A common stock (the “</w:t>
      </w:r>
      <w:r>
        <w:rPr>
          <w:rFonts w:ascii="Arial" w:cs="Arial" w:eastAsia="Arial" w:hAnsi="Arial"/>
          <w:sz w:val="16"/>
          <w:szCs w:val="16"/>
          <w:b w:val="1"/>
          <w:bCs w:val="1"/>
          <w:color w:val="auto"/>
        </w:rPr>
        <w:t>Shares</w:t>
      </w:r>
      <w:r>
        <w:rPr>
          <w:rFonts w:ascii="Arial" w:cs="Arial" w:eastAsia="Arial" w:hAnsi="Arial"/>
          <w:sz w:val="16"/>
          <w:szCs w:val="16"/>
          <w:color w:val="auto"/>
        </w:rPr>
        <w:t>”), upon the terms and conditions set forth in the Merger Agreement and as described in the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of Comcast, as filed with the Securities and Exchange Commission.</w:t>
      </w:r>
    </w:p>
    <w:p>
      <w:pPr>
        <w:spacing w:after="0" w:line="16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Based upon the foregoing, I advise you that, in my opinion, the Shares will, upon their issuance in accordance with the terms of the Merger Agreement and as described in the Registration Statement, be legally issued, fully paid and nonassessable.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my opinion expressed above, I have assumed that, at or prior to the time of the delivery of any Share, (i) the Company is, and shall remain, validly subsisting as a corporation in good standing under the laws of the Commonwealth of Pennsylvania; (ii) the Registration Statement shall have become effective and such effectiveness shall not have been terminated or rescinded; and (iii) there shall not have occurred any change in law affecting the validity or enforceability of the Shares.</w:t>
      </w:r>
    </w:p>
    <w:p>
      <w:pPr>
        <w:spacing w:after="0" w:line="18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121" w:right="239" w:bottom="1440" w:gutter="0" w:footer="0" w:header="0"/>
        </w:sectPr>
      </w:pPr>
    </w:p>
    <w:bookmarkStart w:id="348" w:name="page349"/>
    <w:bookmarkEnd w:id="348"/>
    <w:p>
      <w:pPr>
        <w:ind w:left="10580"/>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420"/>
          </w:cols>
          <w:pgMar w:left="240" w:top="121" w:right="239" w:bottom="1440" w:gutter="0" w:footer="0" w:header="0"/>
        </w:sectPr>
      </w:pPr>
    </w:p>
    <w:p>
      <w:pPr>
        <w:spacing w:after="0" w:line="27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New York</w:t>
      </w:r>
    </w:p>
    <w:p>
      <w:pPr>
        <w:ind w:left="8940"/>
        <w:spacing w:after="0" w:line="226" w:lineRule="auto"/>
        <w:rPr>
          <w:sz w:val="20"/>
          <w:szCs w:val="20"/>
          <w:color w:val="auto"/>
        </w:rPr>
      </w:pPr>
      <w:r>
        <w:rPr>
          <w:rFonts w:ascii="Arial" w:cs="Arial" w:eastAsia="Arial" w:hAnsi="Arial"/>
          <w:sz w:val="14"/>
          <w:szCs w:val="14"/>
          <w:b w:val="1"/>
          <w:bCs w:val="1"/>
          <w:color w:val="auto"/>
        </w:rPr>
        <w:t>Menlo Park</w:t>
      </w:r>
    </w:p>
    <w:p>
      <w:pPr>
        <w:ind w:left="8940"/>
        <w:spacing w:after="0"/>
        <w:rPr>
          <w:sz w:val="20"/>
          <w:szCs w:val="20"/>
          <w:color w:val="auto"/>
        </w:rPr>
      </w:pPr>
      <w:r>
        <w:rPr>
          <w:rFonts w:ascii="Arial" w:cs="Arial" w:eastAsia="Arial" w:hAnsi="Arial"/>
          <w:sz w:val="13"/>
          <w:szCs w:val="13"/>
          <w:b w:val="1"/>
          <w:bCs w:val="1"/>
          <w:color w:val="auto"/>
        </w:rPr>
        <w:t>Washington DC</w:t>
      </w:r>
    </w:p>
    <w:p>
      <w:pPr>
        <w:ind w:left="8940"/>
        <w:spacing w:after="0" w:line="221" w:lineRule="auto"/>
        <w:rPr>
          <w:sz w:val="20"/>
          <w:szCs w:val="20"/>
          <w:color w:val="auto"/>
        </w:rPr>
      </w:pPr>
      <w:r>
        <w:rPr>
          <w:rFonts w:ascii="Arial" w:cs="Arial" w:eastAsia="Arial" w:hAnsi="Arial"/>
          <w:sz w:val="14"/>
          <w:szCs w:val="14"/>
          <w:b w:val="1"/>
          <w:bCs w:val="1"/>
          <w:color w:val="auto"/>
        </w:rPr>
        <w:t>London</w:t>
      </w:r>
    </w:p>
    <w:p>
      <w:pPr>
        <w:ind w:left="8940"/>
        <w:spacing w:after="0"/>
        <w:rPr>
          <w:sz w:val="20"/>
          <w:szCs w:val="20"/>
          <w:color w:val="auto"/>
        </w:rPr>
      </w:pPr>
      <w:r>
        <w:rPr>
          <w:rFonts w:ascii="Arial" w:cs="Arial" w:eastAsia="Arial" w:hAnsi="Arial"/>
          <w:sz w:val="14"/>
          <w:szCs w:val="14"/>
          <w:b w:val="1"/>
          <w:bCs w:val="1"/>
          <w:color w:val="auto"/>
        </w:rPr>
        <w:t>São Paulo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31925" cy="2571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43192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3"/>
          <w:szCs w:val="13"/>
          <w:b w:val="1"/>
          <w:bCs w:val="1"/>
          <w:color w:val="auto"/>
        </w:rPr>
        <w:t>Hong Kong</w:t>
      </w:r>
    </w:p>
    <w:p>
      <w:pPr>
        <w:spacing w:after="0" w:line="211" w:lineRule="exact"/>
        <w:rPr>
          <w:sz w:val="20"/>
          <w:szCs w:val="20"/>
          <w:color w:val="auto"/>
        </w:rPr>
      </w:pPr>
    </w:p>
    <w:p>
      <w:pPr>
        <w:sectPr>
          <w:pgSz w:w="11900" w:h="16838" w:orient="portrait"/>
          <w:cols w:equalWidth="0" w:num="2">
            <w:col w:w="9920" w:space="360"/>
            <w:col w:w="1140"/>
          </w:cols>
          <w:pgMar w:left="240" w:top="121" w:right="2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8"/>
              </w:rPr>
              <w:t xml:space="preserve">Davis Polk &amp; Wardwell </w:t>
            </w:r>
            <w:r>
              <w:rPr>
                <w:rFonts w:ascii="Arial" w:cs="Arial" w:eastAsia="Arial" w:hAnsi="Arial"/>
                <w:sz w:val="15"/>
                <w:szCs w:val="15"/>
                <w:color w:val="auto"/>
                <w:w w:val="98"/>
              </w:rPr>
              <w:t>LLP</w:t>
            </w:r>
          </w:p>
        </w:tc>
        <w:tc>
          <w:tcPr>
            <w:tcW w:w="1420" w:type="dxa"/>
            <w:vAlign w:val="bottom"/>
          </w:tcPr>
          <w:p>
            <w:pPr>
              <w:ind w:left="220"/>
              <w:spacing w:after="0"/>
              <w:rPr>
                <w:sz w:val="20"/>
                <w:szCs w:val="20"/>
                <w:color w:val="auto"/>
              </w:rPr>
            </w:pPr>
            <w:r>
              <w:rPr>
                <w:rFonts w:ascii="Arial" w:cs="Arial" w:eastAsia="Arial" w:hAnsi="Arial"/>
                <w:sz w:val="18"/>
                <w:szCs w:val="18"/>
                <w:color w:val="auto"/>
                <w:w w:val="87"/>
              </w:rPr>
              <w:t>212 450 4000 tel</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450 Lexington Avenue</w:t>
            </w:r>
          </w:p>
        </w:tc>
        <w:tc>
          <w:tcPr>
            <w:tcW w:w="1420" w:type="dxa"/>
            <w:vAlign w:val="bottom"/>
          </w:tcPr>
          <w:p>
            <w:pPr>
              <w:ind w:left="60"/>
              <w:spacing w:after="0"/>
              <w:rPr>
                <w:sz w:val="20"/>
                <w:szCs w:val="20"/>
                <w:color w:val="auto"/>
              </w:rPr>
            </w:pPr>
            <w:r>
              <w:rPr>
                <w:rFonts w:ascii="Arial" w:cs="Arial" w:eastAsia="Arial" w:hAnsi="Arial"/>
                <w:sz w:val="18"/>
                <w:szCs w:val="18"/>
                <w:color w:val="auto"/>
                <w:w w:val="96"/>
              </w:rPr>
              <w:t>212 701 5800 fax</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New York, NY 10017</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August [</w:t>
      </w:r>
      <w:r>
        <w:rPr>
          <w:sz w:val="20"/>
          <w:szCs w:val="20"/>
          <w:color w:val="auto"/>
        </w:rPr>
        <w:tab/>
      </w:r>
      <w:r>
        <w:rPr>
          <w:rFonts w:ascii="Arial" w:cs="Arial" w:eastAsia="Arial" w:hAnsi="Arial"/>
          <w:sz w:val="16"/>
          <w:szCs w:val="16"/>
          <w:color w:val="auto"/>
        </w:rPr>
        <w:t>], 2014</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have acted as counsel for Comcast Corporation, a Pennsylvania corporation (“</w:t>
      </w:r>
      <w:r>
        <w:rPr>
          <w:rFonts w:ascii="Arial" w:cs="Arial" w:eastAsia="Arial" w:hAnsi="Arial"/>
          <w:sz w:val="17"/>
          <w:szCs w:val="17"/>
          <w:b w:val="1"/>
          <w:bCs w:val="1"/>
          <w:color w:val="auto"/>
        </w:rPr>
        <w:t>Parent</w:t>
      </w:r>
      <w:r>
        <w:rPr>
          <w:rFonts w:ascii="Arial" w:cs="Arial" w:eastAsia="Arial" w:hAnsi="Arial"/>
          <w:sz w:val="17"/>
          <w:szCs w:val="17"/>
          <w:color w:val="auto"/>
        </w:rPr>
        <w:t>”), in connection with (i) the Merger, as defined and described in the Agreement and Plan of Merger dated as of February 12, 2014 (the “</w:t>
      </w:r>
      <w:r>
        <w:rPr>
          <w:rFonts w:ascii="Arial" w:cs="Arial" w:eastAsia="Arial" w:hAnsi="Arial"/>
          <w:sz w:val="17"/>
          <w:szCs w:val="17"/>
          <w:b w:val="1"/>
          <w:bCs w:val="1"/>
          <w:color w:val="auto"/>
        </w:rPr>
        <w:t>Merger Agreement</w:t>
      </w:r>
      <w:r>
        <w:rPr>
          <w:rFonts w:ascii="Arial" w:cs="Arial" w:eastAsia="Arial" w:hAnsi="Arial"/>
          <w:sz w:val="17"/>
          <w:szCs w:val="17"/>
          <w:color w:val="auto"/>
        </w:rPr>
        <w:t>”) among Parent, Tango Acquisition Sub, Inc., a Delaware corporation and a wholly owned subsidiary of Parent (“</w:t>
      </w:r>
      <w:r>
        <w:rPr>
          <w:rFonts w:ascii="Arial" w:cs="Arial" w:eastAsia="Arial" w:hAnsi="Arial"/>
          <w:sz w:val="17"/>
          <w:szCs w:val="17"/>
          <w:b w:val="1"/>
          <w:bCs w:val="1"/>
          <w:color w:val="auto"/>
        </w:rPr>
        <w:t>Merger Subsidiary</w:t>
      </w:r>
      <w:r>
        <w:rPr>
          <w:rFonts w:ascii="Arial" w:cs="Arial" w:eastAsia="Arial" w:hAnsi="Arial"/>
          <w:sz w:val="17"/>
          <w:szCs w:val="17"/>
          <w:color w:val="auto"/>
        </w:rPr>
        <w:t>”), and Time Warner Cable,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(ii) the preparation and filing of the related Registration Statement on Form S-4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which includes the Proxy Statement/Prospectus (the “</w:t>
      </w:r>
      <w:r>
        <w:rPr>
          <w:rFonts w:ascii="Arial" w:cs="Arial" w:eastAsia="Arial" w:hAnsi="Arial"/>
          <w:sz w:val="17"/>
          <w:szCs w:val="17"/>
          <w:b w:val="1"/>
          <w:bCs w:val="1"/>
          <w:color w:val="auto"/>
        </w:rPr>
        <w:t>Proxy Statement/Prospectus</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Unless otherwise indicated, each capitalized term used herein has the meaning ascribed to it in the Merger Agreement.</w:t>
      </w:r>
    </w:p>
    <w:p>
      <w:pPr>
        <w:spacing w:after="0" w:line="17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connection with this opinion, we have examined the Merger Agreement, the Registration Statement, the Proxy Statement/Prospectus, the representation letters of Parent (together with Merger Subsidiary) and the Company delivered to us for purposes of this opinion (the “</w:t>
      </w:r>
      <w:r>
        <w:rPr>
          <w:rFonts w:ascii="Arial" w:cs="Arial" w:eastAsia="Arial" w:hAnsi="Arial"/>
          <w:sz w:val="16"/>
          <w:szCs w:val="16"/>
          <w:b w:val="1"/>
          <w:bCs w:val="1"/>
          <w:color w:val="auto"/>
        </w:rPr>
        <w:t>Tax Representation Letters</w:t>
      </w:r>
      <w:r>
        <w:rPr>
          <w:rFonts w:ascii="Arial" w:cs="Arial" w:eastAsia="Arial" w:hAnsi="Arial"/>
          <w:sz w:val="16"/>
          <w:szCs w:val="16"/>
          <w:color w:val="auto"/>
        </w:rPr>
        <w:t>”) and such other documents as we have deemed necessary or appropriate in order to enable us to render our opinion. 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For purposes of this opinion, we have assumed, with your permission, (i) that the Merger will be consummated in the manner described in Merger Agreement and the Proxy Statement/Prospectus,</w:t>
      </w:r>
    </w:p>
    <w:p>
      <w:pPr>
        <w:spacing w:after="0" w:line="3" w:lineRule="exact"/>
        <w:rPr>
          <w:sz w:val="20"/>
          <w:szCs w:val="20"/>
          <w:color w:val="auto"/>
        </w:rPr>
      </w:pPr>
    </w:p>
    <w:p>
      <w:pPr>
        <w:ind w:right="20" w:firstLine="8"/>
        <w:spacing w:after="0" w:line="287" w:lineRule="auto"/>
        <w:tabs>
          <w:tab w:leader="none" w:pos="26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statements concerning the Merger set forth in the Merger Agreement and the Proxy Statement/Prospectus are true, complete and correct and will remain true, complete and correct at all times up to and including the Effective Time, (iii) that the representations made and to be made by Parent (together with Merger Subsidiary) and the Company pursuant to Section 8.07 of the Merger Agreement, including those contained in the Tax Representation Letters, are and will be accurate and complete and (iv) any representations made in the Merger Agreement or the Tax Representation Letters “to the knowledge of,” or based on the belief of Parent, Merger Subsidiary or the Company or similarly qualified are true, complete and correct and will remain true, complete and correct at all times up to and including the Effective Time, in each case without such qualification. We have also assumed that the parties have complied with and, if applicable, will continue to comply with, the obligations, covenants, and agreements contained in the Merger Agreement. In addition, our opinion is based solely on the documents that we have examined, the additional information that we have obtained, and the representations to be made by Parent and the Company referred to above, which we have assumed will be true as of the Effective Time.</w:t>
      </w:r>
    </w:p>
    <w:p>
      <w:pPr>
        <w:sectPr>
          <w:pgSz w:w="11900" w:h="16838" w:orient="portrait"/>
          <w:cols w:equalWidth="0" w:num="1">
            <w:col w:w="11420"/>
          </w:cols>
          <w:pgMar w:left="240" w:top="121" w:right="239" w:bottom="1440" w:gutter="0" w:footer="0" w:header="0"/>
          <w:type w:val="continuous"/>
        </w:sectPr>
      </w:pPr>
    </w:p>
    <w:bookmarkStart w:id="349" w:name="page350"/>
    <w:bookmarkEnd w:id="349"/>
    <w:p>
      <w:pPr>
        <w:spacing w:after="0"/>
        <w:tabs>
          <w:tab w:leader="none" w:pos="5780" w:val="left"/>
          <w:tab w:leader="none" w:pos="10080" w:val="left"/>
          <w:tab w:leader="none" w:pos="10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August [</w:t>
      </w:r>
      <w:r>
        <w:rPr>
          <w:sz w:val="20"/>
          <w:szCs w:val="20"/>
          <w:color w:val="auto"/>
        </w:rPr>
        <w:tab/>
      </w:r>
      <w:r>
        <w:rPr>
          <w:rFonts w:ascii="Arial" w:cs="Arial" w:eastAsia="Arial" w:hAnsi="Arial"/>
          <w:sz w:val="16"/>
          <w:szCs w:val="16"/>
          <w:color w:val="auto"/>
        </w:rPr>
        <w:t>], 2014</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upon the foregoing, and subject to the assumptions and qualifications set forth herein, we hereby confirm our opinion set forth in the discussion in the Proxy Statement/Prospectus under the heading “Material U.S. Federal Income Tax Consequences of the Merger.”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express our opinion herein only as to those matters specifically set forth above and no opinion should be inferred as to the tax consequences of the Merger under any state, local or foreign law, or with respect to other areas of U.S. federal taxation. This opinion is given as of the date hereof and is based on the Internal Revenue Code of 1986, as amended, Treasury Regulations promulgated thereunder and interpretations thereof by the Internal Revenue Service and the courts having jurisdiction over such matters, all of which are subject to change either prospectively or retroactively. Further, any variation or difference in the facts from those set forth in the Merger Agreement, the Proxy Statement/Prospectus and the Tax Representation Letters may affect the conclusions stated herein. We are members of the Bar of the State of New York, and we do not express any opinion herein concerning any law other than the federal law of the United States.</w:t>
      </w:r>
    </w:p>
    <w:p>
      <w:pPr>
        <w:spacing w:after="0" w:line="18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opinion is furnished to you solely for use in connection with the Registration Statement. We hereby consent to the filing of this opinion as an exhibit to the Registration Statement and to the references to our firm name in the Proxy Statement/Prospectus in connection with the references to this opinion and the material U.S. federal income tax consequences of the Merger. In giving such consent, we do not thereby admit that we are in the category of persons whose consent is required under Section 7 of the Securities Act of 1933, as amended, or the rules and regulations of the Commission thereunder.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Davis Polk &amp; Wardwell LLP</w:t>
      </w:r>
    </w:p>
    <w:p>
      <w:pPr>
        <w:sectPr>
          <w:pgSz w:w="11900" w:h="16838" w:orient="portrait"/>
          <w:cols w:equalWidth="0" w:num="1">
            <w:col w:w="11420"/>
          </w:cols>
          <w:pgMar w:left="240" w:top="274"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8.2</w:t>
      </w:r>
    </w:p>
    <w:p>
      <w:pPr>
        <w:spacing w:after="0" w:line="229" w:lineRule="exact"/>
        <w:rPr>
          <w:sz w:val="20"/>
          <w:szCs w:val="20"/>
          <w:color w:val="auto"/>
        </w:rPr>
      </w:pPr>
    </w:p>
    <w:p>
      <w:pPr>
        <w:ind w:left="600" w:hanging="592"/>
        <w:spacing w:after="0"/>
        <w:tabs>
          <w:tab w:leader="none" w:pos="6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360" w:firstLine="456"/>
        <w:spacing w:after="0" w:line="295" w:lineRule="auto"/>
        <w:rPr>
          <w:sz w:val="20"/>
          <w:szCs w:val="20"/>
          <w:color w:val="auto"/>
        </w:rPr>
      </w:pPr>
      <w:r>
        <w:rPr>
          <w:rFonts w:ascii="Arial" w:cs="Arial" w:eastAsia="Arial" w:hAnsi="Arial"/>
          <w:sz w:val="16"/>
          <w:szCs w:val="16"/>
          <w:color w:val="auto"/>
        </w:rPr>
        <w:t>We have acted as counsel for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 the Merger, as defined and described in the Agreement and Plan of Merger dated as of February 12, 2014 (the “</w:t>
      </w:r>
      <w:r>
        <w:rPr>
          <w:rFonts w:ascii="Arial" w:cs="Arial" w:eastAsia="Arial" w:hAnsi="Arial"/>
          <w:sz w:val="16"/>
          <w:szCs w:val="16"/>
          <w:b w:val="1"/>
          <w:bCs w:val="1"/>
          <w:color w:val="auto"/>
        </w:rPr>
        <w:t>Merger Agreement</w:t>
      </w:r>
      <w:r>
        <w:rPr>
          <w:rFonts w:ascii="Arial" w:cs="Arial" w:eastAsia="Arial" w:hAnsi="Arial"/>
          <w:sz w:val="16"/>
          <w:szCs w:val="16"/>
          <w:color w:val="auto"/>
        </w:rPr>
        <w:t>”) among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Tango Acquisition Sub, Inc., a Delaware corporation and a wholly 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 and the Company and (ii) the preparation and filing of the related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includes the Proxy Statement/Prospectus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Unless otherwise indicated, each capitalized term used herein has the meaning ascribed to it in the Merger Agreement.</w:t>
      </w:r>
    </w:p>
    <w:p>
      <w:pPr>
        <w:sectPr>
          <w:pgSz w:w="11900" w:h="16838" w:orient="portrait"/>
          <w:cols w:equalWidth="0" w:num="1">
            <w:col w:w="11420"/>
          </w:cols>
          <w:pgMar w:left="240" w:top="121" w:right="239" w:bottom="1440" w:gutter="0" w:footer="0" w:header="0"/>
        </w:sectPr>
      </w:pPr>
    </w:p>
    <w:bookmarkStart w:id="351" w:name="page352"/>
    <w:bookmarkEnd w:id="351"/>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this opinion, we have examined the Merger Agreement, the Registration Statement, the Proxy Statement/Prospectus, the representation letters of Parent (together with Merger Subsidiary) and the Company delivered to us for purposes of this opinion (the “</w:t>
      </w:r>
      <w:r>
        <w:rPr>
          <w:rFonts w:ascii="Arial" w:cs="Arial" w:eastAsia="Arial" w:hAnsi="Arial"/>
          <w:sz w:val="16"/>
          <w:szCs w:val="16"/>
          <w:b w:val="1"/>
          <w:bCs w:val="1"/>
          <w:color w:val="auto"/>
        </w:rPr>
        <w:t>Tax Representation</w:t>
      </w:r>
      <w:r>
        <w:rPr>
          <w:rFonts w:ascii="Arial" w:cs="Arial" w:eastAsia="Arial" w:hAnsi="Arial"/>
          <w:sz w:val="16"/>
          <w:szCs w:val="16"/>
          <w:color w:val="auto"/>
        </w:rPr>
        <w:t xml:space="preserve"> </w:t>
      </w:r>
      <w:r>
        <w:rPr>
          <w:rFonts w:ascii="Arial" w:cs="Arial" w:eastAsia="Arial" w:hAnsi="Arial"/>
          <w:sz w:val="16"/>
          <w:szCs w:val="16"/>
          <w:b w:val="1"/>
          <w:bCs w:val="1"/>
          <w:color w:val="auto"/>
        </w:rPr>
        <w:t>Letters</w:t>
      </w:r>
      <w:r>
        <w:rPr>
          <w:rFonts w:ascii="Arial" w:cs="Arial" w:eastAsia="Arial" w:hAnsi="Arial"/>
          <w:sz w:val="16"/>
          <w:szCs w:val="16"/>
          <w:color w:val="auto"/>
        </w:rPr>
        <w:t>”) and such other documents as we have deemed necessary or appropriate in order to enable us to render our opinion. In such examination,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For purposes of this opinion, we have assumed, with your permission, (i) that the Merger will be consummated in the manner described in Merger Agreement and the Proxy Statement/Prospectus, (ii) the statements concerning the Merger set forth in the Merger Agreement and the Proxy Statement/Prospectus are true, complete and correct and will remain true, complete and correct at all times up to and including the Effective Time, (iii) that the representations made and to be made by Parent (together with Merger Subsidiary) and the Company pursuant to Section 8.07 of the Merger Agreement, including those contained in the Tax Representation Letters, are and will be accurate and complete and (iv) any representations made in the Merger Agreement or the Tax Representation Letters “to the knowledge of,” or based on the belief of Parent, Merger Subsidiary or the Company or similarly qualified are true, complete and correct and will remain true, complete and correct at all times up to and including the Effective Time, in each case without such qualification. We have also assumed that the parties have complied with and, if applicable, will continue to comply with, the obligations, covenants, and agreements contained in the Merger Agreement. In addition, our opinion is based solely on the documents that we have examined, the additional information that we have obtained, and the representations to be made by Parent and the Company referred to above, which we have assumed will be true as of the Effective Time.</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Based upon the foregoing, and subject to the assumptions and qualifications set forth herein, we hereby confirm our opinion set forth in the discussion in the Proxy Statement/Prospectus under the heading “Material U.S. Federal Income Tax Consequences of the Merger.”</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express our opinion herein only as to those matters specifically set forth above and no opinion should be inferred as to the tax consequences of the Merger under any state, local or foreign law, or with respect to other areas of U.S. federal taxation. This opinion is given as of the date hereof and is based on the Internal Revenue Code of 1986, as amended, Treasury Regulations promulgated thereunder and interpretations thereof by the Internal Revenue Service and the courts having jurisdiction over such matters, all of which are subject to change either prospectively or retroactively. Further, any variation or difference in the facts from those set forth in the Merger Agreement, the Proxy Statement/Prospectus and the Tax Representation Letters may affect the conclusions stated herein. We are members of the Bar of the State of New York, and we do not express any opinion herein concerning any law other than the federal law of the United States.</w:t>
      </w:r>
    </w:p>
    <w:p>
      <w:pPr>
        <w:sectPr>
          <w:pgSz w:w="11900" w:h="16838" w:orient="portrait"/>
          <w:cols w:equalWidth="0" w:num="1">
            <w:col w:w="11400"/>
          </w:cols>
          <w:pgMar w:left="240" w:top="274" w:right="259" w:bottom="1440" w:gutter="0" w:footer="0" w:header="0"/>
        </w:sectPr>
      </w:pPr>
    </w:p>
    <w:bookmarkStart w:id="352" w:name="page353"/>
    <w:bookmarkEnd w:id="352"/>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is furnished to you solely for use in connection with the Registration Statement. We hereby consent to the filing of this opinion as an exhibit to the Registration Statement and to the references to our firm name in the Proxy Statement/Prospectus in connection with the references to this opinion and the material U.S. federal income tax consequences of the Merger. In giving such consent, we do not thereby admit that we are in the category of persons whose consent is required under Section 7 of the Securities Act of 1933, as amended, or the rules and regulations of the Commission thereunder.</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WEISS, RIFKIND, WHARTON &amp; GARRISON LLP</w:t>
      </w:r>
    </w:p>
    <w:p>
      <w:pPr>
        <w:sectPr>
          <w:pgSz w:w="11900" w:h="16838" w:orient="portrait"/>
          <w:cols w:equalWidth="0" w:num="1">
            <w:col w:w="11260"/>
          </w:cols>
          <w:pgMar w:left="240" w:top="273" w:right="39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this Amendment No. 4 to Registration Statement No. 333-194698 on Form S-4 of our reports dated February 12, 2014,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2013, and to the reference to us under the heading “Experts” in the joint proxy statement/prospectus, which is part of such Registration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2014</w:t>
      </w:r>
    </w:p>
    <w:p>
      <w:pPr>
        <w:sectPr>
          <w:pgSz w:w="11900" w:h="16838" w:orient="portrait"/>
          <w:cols w:equalWidth="0" w:num="1">
            <w:col w:w="11420"/>
          </w:cols>
          <w:pgMar w:left="240" w:top="121"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We consent to the reference to our firm under the captions “Experts” and “Selected Historical Consolidated Financial Data of TWC” in the Registration Statement (Form S-4) and related joint proxy statement/prospectus of Comcast Corporation and to the incorporation by reference therein of our reports</w:t>
      </w:r>
    </w:p>
    <w:p>
      <w:pPr>
        <w:ind w:right="180" w:firstLine="8"/>
        <w:spacing w:after="0" w:line="254" w:lineRule="auto"/>
        <w:tabs>
          <w:tab w:leader="none" w:pos="24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dated February 18, 2014 with respect to the effectiveness of internal control over financial reporting of Time Warner Cable Inc. in its Annual Report (Form 10-K) for the year ended December 31, 2013, and (b) dated February 18, 2014 (except Notes 1, 6 and 16, as to which the date is April 24, 2014) with respect to the consolidated financial statements of Time Warner Cable Inc. included in its Report on Form 8-K dated April 24, 2014, both filed with the Securities and Exchange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2014</w:t>
      </w:r>
    </w:p>
    <w:p>
      <w:pPr>
        <w:sectPr>
          <w:pgSz w:w="11900" w:h="16838" w:orient="portrait"/>
          <w:cols w:equalWidth="0" w:num="1">
            <w:col w:w="11420"/>
          </w:cols>
          <w:pgMar w:left="240" w:top="121"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J.P. MORGAN SECURITIES LLC</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hereby consent to (i) the use of our opinion letter dated February 12, 2014 to the Board of Directors of Comcast Corporation (the “Company”) included in Annex G to Amendment No. 4 to the Joint Proxy Statement/Prospectus relating to the proposed merger of Tango Acquisition Sub, Inc., a wholly owned subsidiary of the Company, and Time Warner Cable Inc.,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J.P. MORGAN SECURITIES LLC</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J.P. Morgan Securities LLC</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August 25,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F6384"/>
    <w:multiLevelType w:val="hybridMultilevel"/>
    <w:lvl w:ilvl="0">
      <w:lvlJc w:val="left"/>
      <w:lvlText w:val="•"/>
      <w:numFmt w:val="bullet"/>
      <w:start w:val="1"/>
    </w:lvl>
  </w:abstractNum>
  <w:abstractNum w:abstractNumId="1">
    <w:nsid w:val="2B4B8B53"/>
    <w:multiLevelType w:val="hybridMultilevel"/>
    <w:lvl w:ilvl="0">
      <w:lvlJc w:val="left"/>
      <w:lvlText w:val="•"/>
      <w:numFmt w:val="bullet"/>
      <w:start w:val="1"/>
    </w:lvl>
  </w:abstractNum>
  <w:abstractNum w:abstractNumId="2">
    <w:nsid w:val="72E3413A"/>
    <w:multiLevelType w:val="hybridMultilevel"/>
    <w:lvl w:ilvl="0">
      <w:lvlJc w:val="left"/>
      <w:lvlText w:val="%1:"/>
      <w:numFmt w:val="upperLetter"/>
      <w:start w:val="17"/>
    </w:lvl>
  </w:abstractNum>
  <w:abstractNum w:abstractNumId="3">
    <w:nsid w:val="116AE494"/>
    <w:multiLevelType w:val="hybridMultilevel"/>
    <w:lvl w:ilvl="0">
      <w:lvlJc w:val="left"/>
      <w:lvlText w:val="%1:"/>
      <w:numFmt w:val="upperLetter"/>
      <w:start w:val="1"/>
    </w:lvl>
  </w:abstractNum>
  <w:abstractNum w:abstractNumId="4">
    <w:nsid w:val="3494B2FB"/>
    <w:multiLevelType w:val="hybridMultilevel"/>
    <w:lvl w:ilvl="0">
      <w:lvlJc w:val="left"/>
      <w:lvlText w:val="%1:"/>
      <w:numFmt w:val="upperLetter"/>
      <w:start w:val="17"/>
    </w:lvl>
  </w:abstractNum>
  <w:abstractNum w:abstractNumId="5">
    <w:nsid w:val="B13A31"/>
    <w:multiLevelType w:val="hybridMultilevel"/>
    <w:lvl w:ilvl="0">
      <w:lvlJc w:val="left"/>
      <w:lvlText w:val="%1:"/>
      <w:numFmt w:val="upperLetter"/>
      <w:start w:val="1"/>
    </w:lvl>
  </w:abstractNum>
  <w:abstractNum w:abstractNumId="6">
    <w:nsid w:val="64429599"/>
    <w:multiLevelType w:val="hybridMultilevel"/>
    <w:lvl w:ilvl="0">
      <w:lvlJc w:val="left"/>
      <w:lvlText w:val="%1:"/>
      <w:numFmt w:val="upperLetter"/>
      <w:start w:val="17"/>
    </w:lvl>
  </w:abstractNum>
  <w:abstractNum w:abstractNumId="7">
    <w:nsid w:val="631F1690"/>
    <w:multiLevelType w:val="hybridMultilevel"/>
    <w:lvl w:ilvl="0">
      <w:lvlJc w:val="left"/>
      <w:lvlText w:val="%1:"/>
      <w:numFmt w:val="upperLetter"/>
      <w:start w:val="1"/>
    </w:lvl>
  </w:abstractNum>
  <w:abstractNum w:abstractNumId="8">
    <w:nsid w:val="25973E32"/>
    <w:multiLevelType w:val="hybridMultilevel"/>
    <w:lvl w:ilvl="0">
      <w:lvlJc w:val="left"/>
      <w:lvlText w:val="%1:"/>
      <w:numFmt w:val="upperLetter"/>
      <w:start w:val="17"/>
    </w:lvl>
  </w:abstractNum>
  <w:abstractNum w:abstractNumId="9">
    <w:nsid w:val="EAD6F57"/>
    <w:multiLevelType w:val="hybridMultilevel"/>
    <w:lvl w:ilvl="0">
      <w:lvlJc w:val="left"/>
      <w:lvlText w:val="%1:"/>
      <w:numFmt w:val="upperLetter"/>
      <w:start w:val="1"/>
    </w:lvl>
    <w:lvl w:ilvl="1">
      <w:lvlJc w:val="left"/>
      <w:lvlText w:val="•"/>
      <w:numFmt w:val="bullet"/>
      <w:start w:val="1"/>
    </w:lvl>
  </w:abstractNum>
  <w:abstractNum w:abstractNumId="10">
    <w:nsid w:val="6EC9D844"/>
    <w:multiLevelType w:val="hybridMultilevel"/>
    <w:lvl w:ilvl="0">
      <w:lvlJc w:val="left"/>
      <w:lvlText w:val="%1:"/>
      <w:numFmt w:val="upperLetter"/>
      <w:start w:val="17"/>
    </w:lvl>
  </w:abstractNum>
  <w:abstractNum w:abstractNumId="11">
    <w:nsid w:val="5C49EAEE"/>
    <w:multiLevelType w:val="hybridMultilevel"/>
    <w:lvl w:ilvl="0">
      <w:lvlJc w:val="left"/>
      <w:lvlText w:val="%1:"/>
      <w:numFmt w:val="upperLetter"/>
      <w:start w:val="1"/>
    </w:lvl>
    <w:lvl w:ilvl="1">
      <w:lvlJc w:val="left"/>
      <w:lvlText w:val="•"/>
      <w:numFmt w:val="bullet"/>
      <w:start w:val="1"/>
    </w:lvl>
  </w:abstractNum>
  <w:abstractNum w:abstractNumId="12">
    <w:nsid w:val="64AF49B"/>
    <w:multiLevelType w:val="hybridMultilevel"/>
    <w:lvl w:ilvl="0">
      <w:lvlJc w:val="left"/>
      <w:lvlText w:val="%1:"/>
      <w:numFmt w:val="upperLetter"/>
      <w:start w:val="17"/>
    </w:lvl>
  </w:abstractNum>
  <w:abstractNum w:abstractNumId="13">
    <w:nsid w:val="397C46BC"/>
    <w:multiLevelType w:val="hybridMultilevel"/>
    <w:lvl w:ilvl="0">
      <w:lvlJc w:val="left"/>
      <w:lvlText w:val="%1:"/>
      <w:numFmt w:val="upperLetter"/>
      <w:start w:val="1"/>
    </w:lvl>
  </w:abstractNum>
  <w:abstractNum w:abstractNumId="14">
    <w:nsid w:val="7E448DE9"/>
    <w:multiLevelType w:val="hybridMultilevel"/>
    <w:lvl w:ilvl="0">
      <w:lvlJc w:val="left"/>
      <w:lvlText w:val="%1:"/>
      <w:numFmt w:val="upperLetter"/>
      <w:start w:val="17"/>
    </w:lvl>
  </w:abstractNum>
  <w:abstractNum w:abstractNumId="15">
    <w:nsid w:val="5A9CC3E5"/>
    <w:multiLevelType w:val="hybridMultilevel"/>
    <w:lvl w:ilvl="0">
      <w:lvlJc w:val="left"/>
      <w:lvlText w:val="%1:"/>
      <w:numFmt w:val="upperLetter"/>
      <w:start w:val="1"/>
    </w:lvl>
  </w:abstractNum>
  <w:abstractNum w:abstractNumId="16">
    <w:nsid w:val="1AFE3625"/>
    <w:multiLevelType w:val="hybridMultilevel"/>
    <w:lvl w:ilvl="0">
      <w:lvlJc w:val="left"/>
      <w:lvlText w:val="%1:"/>
      <w:numFmt w:val="upperLetter"/>
      <w:start w:val="17"/>
    </w:lvl>
  </w:abstractNum>
  <w:abstractNum w:abstractNumId="17">
    <w:nsid w:val="3CA88ECF"/>
    <w:multiLevelType w:val="hybridMultilevel"/>
    <w:lvl w:ilvl="0">
      <w:lvlJc w:val="left"/>
      <w:lvlText w:val="%1:"/>
      <w:numFmt w:val="upperLetter"/>
      <w:start w:val="1"/>
    </w:lvl>
  </w:abstractNum>
  <w:abstractNum w:abstractNumId="18">
    <w:nsid w:val="6EBE4208"/>
    <w:multiLevelType w:val="hybridMultilevel"/>
    <w:lvl w:ilvl="0">
      <w:lvlJc w:val="left"/>
      <w:lvlText w:val="%1:"/>
      <w:numFmt w:val="upperLetter"/>
      <w:start w:val="17"/>
    </w:lvl>
  </w:abstractNum>
  <w:abstractNum w:abstractNumId="19">
    <w:nsid w:val="C058DF5"/>
    <w:multiLevelType w:val="hybridMultilevel"/>
    <w:lvl w:ilvl="0">
      <w:lvlJc w:val="left"/>
      <w:lvlText w:val="%1:"/>
      <w:numFmt w:val="upperLetter"/>
      <w:start w:val="1"/>
    </w:lvl>
  </w:abstractNum>
  <w:abstractNum w:abstractNumId="20">
    <w:nsid w:val="CBE5BE9"/>
    <w:multiLevelType w:val="hybridMultilevel"/>
    <w:lvl w:ilvl="0">
      <w:lvlJc w:val="left"/>
      <w:lvlText w:val="%1:"/>
      <w:numFmt w:val="upperLetter"/>
      <w:start w:val="17"/>
    </w:lvl>
  </w:abstractNum>
  <w:abstractNum w:abstractNumId="21">
    <w:nsid w:val="3102BBE2"/>
    <w:multiLevelType w:val="hybridMultilevel"/>
    <w:lvl w:ilvl="0">
      <w:lvlJc w:val="left"/>
      <w:lvlText w:val="%1:"/>
      <w:numFmt w:val="upperLetter"/>
      <w:start w:val="1"/>
    </w:lvl>
  </w:abstractNum>
  <w:abstractNum w:abstractNumId="22">
    <w:nsid w:val="26A02C5E"/>
    <w:multiLevelType w:val="hybridMultilevel"/>
    <w:lvl w:ilvl="0">
      <w:lvlJc w:val="left"/>
      <w:lvlText w:val="%1:"/>
      <w:numFmt w:val="upperLetter"/>
      <w:start w:val="17"/>
    </w:lvl>
  </w:abstractNum>
  <w:abstractNum w:abstractNumId="23">
    <w:nsid w:val="541C8153"/>
    <w:multiLevelType w:val="hybridMultilevel"/>
    <w:lvl w:ilvl="0">
      <w:lvlJc w:val="left"/>
      <w:lvlText w:val="%1:"/>
      <w:numFmt w:val="upperLetter"/>
      <w:start w:val="1"/>
    </w:lvl>
  </w:abstractNum>
  <w:abstractNum w:abstractNumId="24">
    <w:nsid w:val="67906F60"/>
    <w:multiLevelType w:val="hybridMultilevel"/>
    <w:lvl w:ilvl="0">
      <w:lvlJc w:val="left"/>
      <w:lvlText w:val="%1:"/>
      <w:numFmt w:val="upperLetter"/>
      <w:start w:val="17"/>
    </w:lvl>
  </w:abstractNum>
  <w:abstractNum w:abstractNumId="25">
    <w:nsid w:val="10DB9DAA"/>
    <w:multiLevelType w:val="hybridMultilevel"/>
    <w:lvl w:ilvl="0">
      <w:lvlJc w:val="left"/>
      <w:lvlText w:val="%1:"/>
      <w:numFmt w:val="upperLetter"/>
      <w:start w:val="1"/>
    </w:lvl>
    <w:lvl w:ilvl="1">
      <w:lvlJc w:val="left"/>
      <w:lvlText w:val="•"/>
      <w:numFmt w:val="bullet"/>
      <w:start w:val="1"/>
    </w:lvl>
  </w:abstractNum>
  <w:abstractNum w:abstractNumId="26">
    <w:nsid w:val="697D2D2"/>
    <w:multiLevelType w:val="hybridMultilevel"/>
    <w:lvl w:ilvl="0">
      <w:lvlJc w:val="left"/>
      <w:lvlText w:val="%1:"/>
      <w:numFmt w:val="upperLetter"/>
      <w:start w:val="17"/>
    </w:lvl>
  </w:abstractNum>
  <w:abstractNum w:abstractNumId="27">
    <w:nsid w:val="6D68AB2"/>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28">
    <w:nsid w:val="3A966CD0"/>
    <w:multiLevelType w:val="hybridMultilevel"/>
    <w:lvl w:ilvl="0">
      <w:lvlJc w:val="left"/>
      <w:lvlText w:val="%1:"/>
      <w:numFmt w:val="upperLetter"/>
      <w:start w:val="16"/>
    </w:lvl>
    <w:lvl w:ilvl="1">
      <w:lvlJc w:val="left"/>
      <w:lvlText w:val="•"/>
      <w:numFmt w:val="bullet"/>
      <w:start w:val="1"/>
    </w:lvl>
  </w:abstractNum>
  <w:abstractNum w:abstractNumId="29">
    <w:nsid w:val="63F37E85"/>
    <w:multiLevelType w:val="hybridMultilevel"/>
    <w:lvl w:ilvl="0">
      <w:lvlJc w:val="left"/>
      <w:lvlText w:val="%1:"/>
      <w:numFmt w:val="upperLetter"/>
      <w:start w:val="1"/>
    </w:lvl>
  </w:abstractNum>
  <w:abstractNum w:abstractNumId="30">
    <w:nsid w:val="5895F5FA"/>
    <w:multiLevelType w:val="hybridMultilevel"/>
    <w:lvl w:ilvl="0">
      <w:lvlJc w:val="left"/>
      <w:lvlText w:val="%1:"/>
      <w:numFmt w:val="upperLetter"/>
      <w:start w:val="17"/>
    </w:lvl>
  </w:abstractNum>
  <w:abstractNum w:abstractNumId="31">
    <w:nsid w:val="38A5D054"/>
    <w:multiLevelType w:val="hybridMultilevel"/>
    <w:lvl w:ilvl="0">
      <w:lvlJc w:val="left"/>
      <w:lvlText w:val="%1:"/>
      <w:numFmt w:val="upperLetter"/>
      <w:start w:val="1"/>
    </w:lvl>
  </w:abstractNum>
  <w:abstractNum w:abstractNumId="32">
    <w:nsid w:val="F3F09D8"/>
    <w:multiLevelType w:val="hybridMultilevel"/>
    <w:lvl w:ilvl="0">
      <w:lvlJc w:val="left"/>
      <w:lvlText w:val="%1:"/>
      <w:numFmt w:val="upperLetter"/>
      <w:start w:val="17"/>
    </w:lvl>
  </w:abstractNum>
  <w:abstractNum w:abstractNumId="33">
    <w:nsid w:val="4B793735"/>
    <w:multiLevelType w:val="hybridMultilevel"/>
    <w:lvl w:ilvl="0">
      <w:lvlJc w:val="left"/>
      <w:lvlText w:val="%1:"/>
      <w:numFmt w:val="upperLetter"/>
      <w:start w:val="1"/>
    </w:lvl>
  </w:abstractNum>
  <w:abstractNum w:abstractNumId="34">
    <w:nsid w:val="4A10B4E8"/>
    <w:multiLevelType w:val="hybridMultilevel"/>
    <w:lvl w:ilvl="0">
      <w:lvlJc w:val="left"/>
      <w:lvlText w:val="%1:"/>
      <w:numFmt w:val="upperLetter"/>
      <w:start w:val="17"/>
    </w:lvl>
  </w:abstractNum>
  <w:abstractNum w:abstractNumId="35">
    <w:nsid w:val="43D3BCD4"/>
    <w:multiLevelType w:val="hybridMultilevel"/>
    <w:lvl w:ilvl="0">
      <w:lvlJc w:val="left"/>
      <w:lvlText w:val="%1:"/>
      <w:numFmt w:val="upperLetter"/>
      <w:start w:val="1"/>
    </w:lvl>
  </w:abstractNum>
  <w:abstractNum w:abstractNumId="36">
    <w:nsid w:val="4C2A7166"/>
    <w:multiLevelType w:val="hybridMultilevel"/>
    <w:lvl w:ilvl="0">
      <w:lvlJc w:val="left"/>
      <w:lvlText w:val="%1:"/>
      <w:numFmt w:val="upperLetter"/>
      <w:start w:val="17"/>
    </w:lvl>
  </w:abstractNum>
  <w:abstractNum w:abstractNumId="37">
    <w:nsid w:val="2E534A82"/>
    <w:multiLevelType w:val="hybridMultilevel"/>
    <w:lvl w:ilvl="0">
      <w:lvlJc w:val="left"/>
      <w:lvlText w:val="%1:"/>
      <w:numFmt w:val="upperLetter"/>
      <w:start w:val="1"/>
    </w:lvl>
  </w:abstractNum>
  <w:abstractNum w:abstractNumId="38">
    <w:nsid w:val="26F2D364"/>
    <w:multiLevelType w:val="hybridMultilevel"/>
    <w:lvl w:ilvl="0">
      <w:lvlJc w:val="left"/>
      <w:lvlText w:val="%1:"/>
      <w:numFmt w:val="upperLetter"/>
      <w:start w:val="17"/>
    </w:lvl>
  </w:abstractNum>
  <w:abstractNum w:abstractNumId="39">
    <w:nsid w:val="71C1AF98"/>
    <w:multiLevelType w:val="hybridMultilevel"/>
    <w:lvl w:ilvl="0">
      <w:lvlJc w:val="left"/>
      <w:lvlText w:val="%1:"/>
      <w:numFmt w:val="upperLetter"/>
      <w:start w:val="1"/>
    </w:lvl>
  </w:abstractNum>
  <w:abstractNum w:abstractNumId="40">
    <w:nsid w:val="3D00B9D9"/>
    <w:multiLevelType w:val="hybridMultilevel"/>
    <w:lvl w:ilvl="0">
      <w:lvlJc w:val="left"/>
      <w:lvlText w:val="%1:"/>
      <w:numFmt w:val="upperLetter"/>
      <w:start w:val="17"/>
    </w:lvl>
  </w:abstractNum>
  <w:abstractNum w:abstractNumId="41">
    <w:nsid w:val="15BCABA8"/>
    <w:multiLevelType w:val="hybridMultilevel"/>
    <w:lvl w:ilvl="0">
      <w:lvlJc w:val="left"/>
      <w:lvlText w:val="%1:"/>
      <w:numFmt w:val="upperLetter"/>
      <w:start w:val="1"/>
    </w:lvl>
  </w:abstractNum>
  <w:abstractNum w:abstractNumId="42">
    <w:nsid w:val="4E0B9A87"/>
    <w:multiLevelType w:val="hybridMultilevel"/>
    <w:lvl w:ilvl="0">
      <w:lvlJc w:val="left"/>
      <w:lvlText w:val="%1:"/>
      <w:numFmt w:val="upperLetter"/>
      <w:start w:val="17"/>
    </w:lvl>
  </w:abstractNum>
  <w:abstractNum w:abstractNumId="43">
    <w:nsid w:val="434BAE75"/>
    <w:multiLevelType w:val="hybridMultilevel"/>
    <w:lvl w:ilvl="0">
      <w:lvlJc w:val="left"/>
      <w:lvlText w:val="%1:"/>
      <w:numFmt w:val="upperLetter"/>
      <w:start w:val="1"/>
    </w:lvl>
  </w:abstractNum>
  <w:abstractNum w:abstractNumId="44">
    <w:nsid w:val="4F38F265"/>
    <w:multiLevelType w:val="hybridMultilevel"/>
    <w:lvl w:ilvl="0">
      <w:lvlJc w:val="left"/>
      <w:lvlText w:val="%1:"/>
      <w:numFmt w:val="upperLetter"/>
      <w:start w:val="17"/>
    </w:lvl>
  </w:abstractNum>
  <w:abstractNum w:abstractNumId="45">
    <w:nsid w:val="4C502870"/>
    <w:multiLevelType w:val="hybridMultilevel"/>
    <w:lvl w:ilvl="0">
      <w:lvlJc w:val="left"/>
      <w:lvlText w:val="%1:"/>
      <w:numFmt w:val="upperLetter"/>
      <w:start w:val="1"/>
    </w:lvl>
  </w:abstractNum>
  <w:abstractNum w:abstractNumId="46">
    <w:nsid w:val="1DE8725A"/>
    <w:multiLevelType w:val="hybridMultilevel"/>
    <w:lvl w:ilvl="0">
      <w:lvlJc w:val="left"/>
      <w:lvlText w:val="%1:"/>
      <w:numFmt w:val="upperLetter"/>
      <w:start w:val="17"/>
    </w:lvl>
  </w:abstractNum>
  <w:abstractNum w:abstractNumId="47">
    <w:nsid w:val="6A37288A"/>
    <w:multiLevelType w:val="hybridMultilevel"/>
    <w:lvl w:ilvl="0">
      <w:lvlJc w:val="left"/>
      <w:lvlText w:val="%1:"/>
      <w:numFmt w:val="upperLetter"/>
      <w:start w:val="1"/>
    </w:lvl>
  </w:abstractNum>
  <w:abstractNum w:abstractNumId="48">
    <w:nsid w:val="8F8B73F"/>
    <w:multiLevelType w:val="hybridMultilevel"/>
    <w:lvl w:ilvl="0">
      <w:lvlJc w:val="left"/>
      <w:lvlText w:val="%1:"/>
      <w:numFmt w:val="upperLetter"/>
      <w:start w:val="17"/>
    </w:lvl>
  </w:abstractNum>
  <w:abstractNum w:abstractNumId="49">
    <w:nsid w:val="CA6B462"/>
    <w:multiLevelType w:val="hybridMultilevel"/>
    <w:lvl w:ilvl="0">
      <w:lvlJc w:val="left"/>
      <w:lvlText w:val="%1:"/>
      <w:numFmt w:val="upperLetter"/>
      <w:start w:val="1"/>
    </w:lvl>
  </w:abstractNum>
  <w:abstractNum w:abstractNumId="50">
    <w:nsid w:val="763CB680"/>
    <w:multiLevelType w:val="hybridMultilevel"/>
    <w:lvl w:ilvl="0">
      <w:lvlJc w:val="left"/>
      <w:lvlText w:val="%1:"/>
      <w:numFmt w:val="upperLetter"/>
      <w:start w:val="17"/>
    </w:lvl>
  </w:abstractNum>
  <w:abstractNum w:abstractNumId="51">
    <w:nsid w:val="15B71329"/>
    <w:multiLevelType w:val="hybridMultilevel"/>
    <w:lvl w:ilvl="0">
      <w:lvlJc w:val="left"/>
      <w:lvlText w:val="%1:"/>
      <w:numFmt w:val="upperLetter"/>
      <w:start w:val="1"/>
    </w:lvl>
  </w:abstractNum>
  <w:abstractNum w:abstractNumId="52">
    <w:nsid w:val="3DA97044"/>
    <w:multiLevelType w:val="hybridMultilevel"/>
    <w:lvl w:ilvl="0">
      <w:lvlJc w:val="left"/>
      <w:lvlText w:val="%1:"/>
      <w:numFmt w:val="upperLetter"/>
      <w:start w:val="17"/>
    </w:lvl>
  </w:abstractNum>
  <w:abstractNum w:abstractNumId="53">
    <w:nsid w:val="1CDCE2DE"/>
    <w:multiLevelType w:val="hybridMultilevel"/>
    <w:lvl w:ilvl="0">
      <w:lvlJc w:val="left"/>
      <w:lvlText w:val="%1:"/>
      <w:numFmt w:val="upperLetter"/>
      <w:start w:val="1"/>
    </w:lvl>
  </w:abstractNum>
  <w:abstractNum w:abstractNumId="54">
    <w:nsid w:val="69D3947C"/>
    <w:multiLevelType w:val="hybridMultilevel"/>
    <w:lvl w:ilvl="0">
      <w:lvlJc w:val="left"/>
      <w:lvlText w:val="%1:"/>
      <w:numFmt w:val="upperLetter"/>
      <w:start w:val="17"/>
    </w:lvl>
  </w:abstractNum>
  <w:abstractNum w:abstractNumId="55">
    <w:nsid w:val="2539DFA5"/>
    <w:multiLevelType w:val="hybridMultilevel"/>
    <w:lvl w:ilvl="0">
      <w:lvlJc w:val="left"/>
      <w:lvlText w:val="%1:"/>
      <w:numFmt w:val="upperLetter"/>
      <w:start w:val="1"/>
    </w:lvl>
  </w:abstractNum>
  <w:abstractNum w:abstractNumId="56">
    <w:nsid w:val="2DB88089"/>
    <w:multiLevelType w:val="hybridMultilevel"/>
    <w:lvl w:ilvl="0">
      <w:lvlJc w:val="left"/>
      <w:lvlText w:val="%1:"/>
      <w:numFmt w:val="upperLetter"/>
      <w:start w:val="17"/>
    </w:lvl>
  </w:abstractNum>
  <w:abstractNum w:abstractNumId="57">
    <w:nsid w:val="706B674E"/>
    <w:multiLevelType w:val="hybridMultilevel"/>
    <w:lvl w:ilvl="0">
      <w:lvlJc w:val="left"/>
      <w:lvlText w:val="%1:"/>
      <w:numFmt w:val="upperLetter"/>
      <w:start w:val="1"/>
    </w:lvl>
  </w:abstractNum>
  <w:abstractNum w:abstractNumId="58">
    <w:nsid w:val="2C106A57"/>
    <w:multiLevelType w:val="hybridMultilevel"/>
    <w:lvl w:ilvl="0">
      <w:lvlJc w:val="left"/>
      <w:lvlText w:val="%1:"/>
      <w:numFmt w:val="upperLetter"/>
      <w:start w:val="17"/>
    </w:lvl>
  </w:abstractNum>
  <w:abstractNum w:abstractNumId="59">
    <w:nsid w:val="684EED59"/>
    <w:multiLevelType w:val="hybridMultilevel"/>
    <w:lvl w:ilvl="0">
      <w:lvlJc w:val="left"/>
      <w:lvlText w:val="%1:"/>
      <w:numFmt w:val="upperLetter"/>
      <w:start w:val="1"/>
    </w:lvl>
  </w:abstractNum>
  <w:abstractNum w:abstractNumId="60">
    <w:nsid w:val="545EE5D3"/>
    <w:multiLevelType w:val="hybridMultilevel"/>
    <w:lvl w:ilvl="0">
      <w:lvlJc w:val="left"/>
      <w:lvlText w:val="%1:"/>
      <w:numFmt w:val="upperLetter"/>
      <w:start w:val="17"/>
    </w:lvl>
  </w:abstractNum>
  <w:abstractNum w:abstractNumId="61">
    <w:nsid w:val="4A66051"/>
    <w:multiLevelType w:val="hybridMultilevel"/>
    <w:lvl w:ilvl="0">
      <w:lvlJc w:val="left"/>
      <w:lvlText w:val="%1:"/>
      <w:numFmt w:val="upperLetter"/>
      <w:start w:val="1"/>
    </w:lvl>
  </w:abstractNum>
  <w:abstractNum w:abstractNumId="62">
    <w:nsid w:val="20F4BDAD"/>
    <w:multiLevelType w:val="hybridMultilevel"/>
    <w:lvl w:ilvl="0">
      <w:lvlJc w:val="left"/>
      <w:lvlText w:val="%1."/>
      <w:numFmt w:val="upperLetter"/>
      <w:start w:val="17"/>
    </w:lvl>
  </w:abstractNum>
  <w:abstractNum w:abstractNumId="63">
    <w:nsid w:val="639DEFA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4">
    <w:nsid w:val="501F9786"/>
    <w:multiLevelType w:val="hybridMultilevel"/>
    <w:lvl w:ilvl="0">
      <w:lvlJc w:val="left"/>
      <w:lvlText w:val="•"/>
      <w:numFmt w:val="bullet"/>
      <w:start w:val="1"/>
    </w:lvl>
  </w:abstractNum>
  <w:abstractNum w:abstractNumId="65">
    <w:nsid w:val="6B057295"/>
    <w:multiLevelType w:val="hybridMultilevel"/>
    <w:lvl w:ilvl="0">
      <w:lvlJc w:val="left"/>
      <w:lvlText w:val="%1:"/>
      <w:numFmt w:val="upperLetter"/>
      <w:start w:val="17"/>
    </w:lvl>
  </w:abstractNum>
  <w:abstractNum w:abstractNumId="66">
    <w:nsid w:val="2771AC80"/>
    <w:multiLevelType w:val="hybridMultilevel"/>
    <w:lvl w:ilvl="0">
      <w:lvlJc w:val="left"/>
      <w:lvlText w:val="%1:"/>
      <w:numFmt w:val="upperLetter"/>
      <w:start w:val="1"/>
    </w:lvl>
  </w:abstractNum>
  <w:abstractNum w:abstractNumId="67">
    <w:nsid w:val="1C4A08EC"/>
    <w:multiLevelType w:val="hybridMultilevel"/>
    <w:lvl w:ilvl="0">
      <w:lvlJc w:val="left"/>
      <w:lvlText w:val="%1:"/>
      <w:numFmt w:val="upperLetter"/>
      <w:start w:val="17"/>
    </w:lvl>
  </w:abstractNum>
  <w:abstractNum w:abstractNumId="68">
    <w:nsid w:val="1958BD17"/>
    <w:multiLevelType w:val="hybridMultilevel"/>
    <w:lvl w:ilvl="0">
      <w:lvlJc w:val="left"/>
      <w:lvlText w:val="%1:"/>
      <w:numFmt w:val="upperLetter"/>
      <w:start w:val="1"/>
    </w:lvl>
  </w:abstractNum>
  <w:abstractNum w:abstractNumId="69">
    <w:nsid w:val="4E647FE4"/>
    <w:multiLevelType w:val="hybridMultilevel"/>
    <w:lvl w:ilvl="0">
      <w:lvlJc w:val="left"/>
      <w:lvlText w:val="%1:"/>
      <w:numFmt w:val="upperLetter"/>
      <w:start w:val="17"/>
    </w:lvl>
  </w:abstractNum>
  <w:abstractNum w:abstractNumId="70">
    <w:nsid w:val="E0BB885"/>
    <w:multiLevelType w:val="hybridMultilevel"/>
    <w:lvl w:ilvl="0">
      <w:lvlJc w:val="left"/>
      <w:lvlText w:val="%1:"/>
      <w:numFmt w:val="upperLetter"/>
      <w:start w:val="1"/>
    </w:lvl>
  </w:abstractNum>
  <w:abstractNum w:abstractNumId="71">
    <w:nsid w:val="565976F1"/>
    <w:multiLevelType w:val="hybridMultilevel"/>
    <w:lvl w:ilvl="0">
      <w:lvlJc w:val="left"/>
      <w:lvlText w:val="%1:"/>
      <w:numFmt w:val="upperLetter"/>
      <w:start w:val="17"/>
    </w:lvl>
  </w:abstractNum>
  <w:abstractNum w:abstractNumId="72">
    <w:nsid w:val="64212B8C"/>
    <w:multiLevelType w:val="hybridMultilevel"/>
    <w:lvl w:ilvl="0">
      <w:lvlJc w:val="left"/>
      <w:lvlText w:val="%1:"/>
      <w:numFmt w:val="upperLetter"/>
      <w:start w:val="1"/>
    </w:lvl>
  </w:abstractNum>
  <w:abstractNum w:abstractNumId="73">
    <w:nsid w:val="5C17530C"/>
    <w:multiLevelType w:val="hybridMultilevel"/>
    <w:lvl w:ilvl="0">
      <w:lvlJc w:val="left"/>
      <w:lvlText w:val="%1:"/>
      <w:numFmt w:val="upperLetter"/>
      <w:start w:val="17"/>
    </w:lvl>
  </w:abstractNum>
  <w:abstractNum w:abstractNumId="74">
    <w:nsid w:val="19A52566"/>
    <w:multiLevelType w:val="hybridMultilevel"/>
    <w:lvl w:ilvl="0">
      <w:lvlJc w:val="left"/>
      <w:lvlText w:val="%1:"/>
      <w:numFmt w:val="upperLetter"/>
      <w:start w:val="1"/>
    </w:lvl>
  </w:abstractNum>
  <w:abstractNum w:abstractNumId="75">
    <w:nsid w:val="335A1DF1"/>
    <w:multiLevelType w:val="hybridMultilevel"/>
    <w:lvl w:ilvl="0">
      <w:lvlJc w:val="left"/>
      <w:lvlText w:val="%1:"/>
      <w:numFmt w:val="upperLetter"/>
      <w:start w:val="17"/>
    </w:lvl>
  </w:abstractNum>
  <w:abstractNum w:abstractNumId="76">
    <w:nsid w:val="28677B7C"/>
    <w:multiLevelType w:val="hybridMultilevel"/>
    <w:lvl w:ilvl="0">
      <w:lvlJc w:val="left"/>
      <w:lvlText w:val="%1:"/>
      <w:numFmt w:val="upperLetter"/>
      <w:start w:val="1"/>
    </w:lvl>
  </w:abstractNum>
  <w:abstractNum w:abstractNumId="77">
    <w:nsid w:val="378D97C0"/>
    <w:multiLevelType w:val="hybridMultilevel"/>
    <w:lvl w:ilvl="0">
      <w:lvlJc w:val="left"/>
      <w:lvlText w:val="%1:"/>
      <w:numFmt w:val="upperLetter"/>
      <w:start w:val="17"/>
    </w:lvl>
  </w:abstractNum>
  <w:abstractNum w:abstractNumId="78">
    <w:nsid w:val="1D91467C"/>
    <w:multiLevelType w:val="hybridMultilevel"/>
    <w:lvl w:ilvl="0">
      <w:lvlJc w:val="left"/>
      <w:lvlText w:val="%1:"/>
      <w:numFmt w:val="upperLetter"/>
      <w:start w:val="1"/>
    </w:lvl>
    <w:lvl w:ilvl="1">
      <w:lvlJc w:val="left"/>
      <w:lvlText w:val="•"/>
      <w:numFmt w:val="bullet"/>
      <w:start w:val="1"/>
    </w:lvl>
  </w:abstractNum>
  <w:abstractNum w:abstractNumId="79">
    <w:nsid w:val="316032BB"/>
    <w:multiLevelType w:val="hybridMultilevel"/>
    <w:lvl w:ilvl="0">
      <w:lvlJc w:val="left"/>
      <w:lvlText w:val="%1:"/>
      <w:numFmt w:val="upperLetter"/>
      <w:start w:val="17"/>
    </w:lvl>
  </w:abstractNum>
  <w:abstractNum w:abstractNumId="80">
    <w:nsid w:val="44344C22"/>
    <w:multiLevelType w:val="hybridMultilevel"/>
    <w:lvl w:ilvl="0">
      <w:lvlJc w:val="left"/>
      <w:lvlText w:val="%1:"/>
      <w:numFmt w:val="upperLetter"/>
      <w:start w:val="1"/>
    </w:lvl>
  </w:abstractNum>
  <w:abstractNum w:abstractNumId="81">
    <w:nsid w:val="13CDFCFC"/>
    <w:multiLevelType w:val="hybridMultilevel"/>
    <w:lvl w:ilvl="0">
      <w:lvlJc w:val="left"/>
      <w:lvlText w:val="%1:"/>
      <w:numFmt w:val="upperLetter"/>
      <w:start w:val="17"/>
    </w:lvl>
  </w:abstractNum>
  <w:abstractNum w:abstractNumId="82">
    <w:nsid w:val="471745E4"/>
    <w:multiLevelType w:val="hybridMultilevel"/>
    <w:lvl w:ilvl="0">
      <w:lvlJc w:val="left"/>
      <w:lvlText w:val="%1:"/>
      <w:numFmt w:val="upperLetter"/>
      <w:start w:val="1"/>
    </w:lvl>
  </w:abstractNum>
  <w:abstractNum w:abstractNumId="83">
    <w:nsid w:val="1DDBC66"/>
    <w:multiLevelType w:val="hybridMultilevel"/>
    <w:lvl w:ilvl="0">
      <w:lvlJc w:val="left"/>
      <w:lvlText w:val="%1:"/>
      <w:numFmt w:val="upperLetter"/>
      <w:start w:val="17"/>
    </w:lvl>
  </w:abstractNum>
  <w:abstractNum w:abstractNumId="84">
    <w:nsid w:val="30AADFDA"/>
    <w:multiLevelType w:val="hybridMultilevel"/>
    <w:lvl w:ilvl="0">
      <w:lvlJc w:val="left"/>
      <w:lvlText w:val="%1:"/>
      <w:numFmt w:val="upperLetter"/>
      <w:start w:val="1"/>
    </w:lvl>
    <w:lvl w:ilvl="1">
      <w:lvlJc w:val="left"/>
      <w:lvlText w:val="(%2)"/>
      <w:numFmt w:val="lowerLetter"/>
      <w:start w:val="25"/>
    </w:lvl>
  </w:abstractNum>
  <w:abstractNum w:abstractNumId="85">
    <w:nsid w:val="30EADA61"/>
    <w:multiLevelType w:val="hybridMultilevel"/>
    <w:lvl w:ilvl="0">
      <w:lvlJc w:val="left"/>
      <w:lvlText w:val="%1:"/>
      <w:numFmt w:val="upperLetter"/>
      <w:start w:val="17"/>
    </w:lvl>
  </w:abstractNum>
  <w:abstractNum w:abstractNumId="86">
    <w:nsid w:val="27179C0B"/>
    <w:multiLevelType w:val="hybridMultilevel"/>
    <w:lvl w:ilvl="0">
      <w:lvlJc w:val="left"/>
      <w:lvlText w:val="%1:"/>
      <w:numFmt w:val="upperLetter"/>
      <w:start w:val="1"/>
    </w:lvl>
  </w:abstractNum>
  <w:abstractNum w:abstractNumId="87">
    <w:nsid w:val="5E636063"/>
    <w:multiLevelType w:val="hybridMultilevel"/>
    <w:lvl w:ilvl="0">
      <w:lvlJc w:val="left"/>
      <w:lvlText w:val="%1:"/>
      <w:numFmt w:val="upperLetter"/>
      <w:start w:val="17"/>
    </w:lvl>
  </w:abstractNum>
  <w:abstractNum w:abstractNumId="88">
    <w:nsid w:val="215641AF"/>
    <w:multiLevelType w:val="hybridMultilevel"/>
    <w:lvl w:ilvl="0">
      <w:lvlJc w:val="left"/>
      <w:lvlText w:val="%1:"/>
      <w:numFmt w:val="upperLetter"/>
      <w:start w:val="1"/>
    </w:lvl>
  </w:abstractNum>
  <w:abstractNum w:abstractNumId="89">
    <w:nsid w:val="53280662"/>
    <w:multiLevelType w:val="hybridMultilevel"/>
    <w:lvl w:ilvl="0">
      <w:lvlJc w:val="left"/>
      <w:lvlText w:val="%1:"/>
      <w:numFmt w:val="upperLetter"/>
      <w:start w:val="17"/>
    </w:lvl>
  </w:abstractNum>
  <w:abstractNum w:abstractNumId="90">
    <w:nsid w:val="46B24DBC"/>
    <w:multiLevelType w:val="hybridMultilevel"/>
    <w:lvl w:ilvl="0">
      <w:lvlJc w:val="left"/>
      <w:lvlText w:val="%1:"/>
      <w:numFmt w:val="upperLetter"/>
      <w:start w:val="1"/>
    </w:lvl>
  </w:abstractNum>
  <w:abstractNum w:abstractNumId="91">
    <w:nsid w:val="75B52783"/>
    <w:multiLevelType w:val="hybridMultilevel"/>
    <w:lvl w:ilvl="0">
      <w:lvlJc w:val="left"/>
      <w:lvlText w:val="%1:"/>
      <w:numFmt w:val="upperLetter"/>
      <w:start w:val="17"/>
    </w:lvl>
  </w:abstractNum>
  <w:abstractNum w:abstractNumId="92">
    <w:nsid w:val="57CE66B4"/>
    <w:multiLevelType w:val="hybridMultilevel"/>
    <w:lvl w:ilvl="0">
      <w:lvlJc w:val="left"/>
      <w:lvlText w:val="%1:"/>
      <w:numFmt w:val="upperLetter"/>
      <w:start w:val="1"/>
    </w:lvl>
  </w:abstractNum>
  <w:abstractNum w:abstractNumId="93">
    <w:nsid w:val="67A70B69"/>
    <w:multiLevelType w:val="hybridMultilevel"/>
    <w:lvl w:ilvl="0">
      <w:lvlJc w:val="left"/>
      <w:lvlText w:val="%1:"/>
      <w:numFmt w:val="upperLetter"/>
      <w:start w:val="17"/>
    </w:lvl>
  </w:abstractNum>
  <w:abstractNum w:abstractNumId="94">
    <w:nsid w:val="5953172F"/>
    <w:multiLevelType w:val="hybridMultilevel"/>
    <w:lvl w:ilvl="0">
      <w:lvlJc w:val="left"/>
      <w:lvlText w:val="%1:"/>
      <w:numFmt w:val="upperLetter"/>
      <w:start w:val="1"/>
    </w:lvl>
  </w:abstractNum>
  <w:abstractNum w:abstractNumId="95">
    <w:nsid w:val="27EDFE3A"/>
    <w:multiLevelType w:val="hybridMultilevel"/>
    <w:lvl w:ilvl="0">
      <w:lvlJc w:val="left"/>
      <w:lvlText w:val="•"/>
      <w:numFmt w:val="bullet"/>
      <w:start w:val="1"/>
    </w:lvl>
  </w:abstractNum>
  <w:abstractNum w:abstractNumId="96">
    <w:nsid w:val="52AC7DFF"/>
    <w:multiLevelType w:val="hybridMultilevel"/>
    <w:lvl w:ilvl="0">
      <w:lvlJc w:val="left"/>
      <w:lvlText w:val="•"/>
      <w:numFmt w:val="bullet"/>
      <w:start w:val="1"/>
    </w:lvl>
  </w:abstractNum>
  <w:abstractNum w:abstractNumId="97">
    <w:nsid w:val="C4C3AF"/>
    <w:multiLevelType w:val="hybridMultilevel"/>
    <w:lvl w:ilvl="0">
      <w:lvlJc w:val="left"/>
      <w:lvlText w:val="•"/>
      <w:numFmt w:val="bullet"/>
      <w:start w:val="1"/>
    </w:lvl>
  </w:abstractNum>
  <w:abstractNum w:abstractNumId="98">
    <w:nsid w:val="44380727"/>
    <w:multiLevelType w:val="hybridMultilevel"/>
    <w:lvl w:ilvl="0">
      <w:lvlJc w:val="left"/>
      <w:lvlText w:val="•"/>
      <w:numFmt w:val="bullet"/>
      <w:start w:val="1"/>
    </w:lvl>
  </w:abstractNum>
  <w:abstractNum w:abstractNumId="99">
    <w:nsid w:val="6C053B16"/>
    <w:multiLevelType w:val="hybridMultilevel"/>
    <w:lvl w:ilvl="0">
      <w:lvlJc w:val="left"/>
      <w:lvlText w:val="•"/>
      <w:numFmt w:val="bullet"/>
      <w:start w:val="1"/>
    </w:lvl>
  </w:abstractNum>
  <w:abstractNum w:abstractNumId="100">
    <w:nsid w:val="4F294393"/>
    <w:multiLevelType w:val="hybridMultilevel"/>
    <w:lvl w:ilvl="0">
      <w:lvlJc w:val="left"/>
      <w:lvlText w:val="•"/>
      <w:numFmt w:val="bullet"/>
      <w:start w:val="1"/>
    </w:lvl>
  </w:abstractNum>
  <w:abstractNum w:abstractNumId="101">
    <w:nsid w:val="5243BFAC"/>
    <w:multiLevelType w:val="hybridMultilevel"/>
    <w:lvl w:ilvl="0">
      <w:lvlJc w:val="left"/>
      <w:lvlText w:val="•"/>
      <w:numFmt w:val="bullet"/>
      <w:start w:val="1"/>
    </w:lvl>
  </w:abstractNum>
  <w:abstractNum w:abstractNumId="102">
    <w:nsid w:val="425EB207"/>
    <w:multiLevelType w:val="hybridMultilevel"/>
    <w:lvl w:ilvl="0">
      <w:lvlJc w:val="left"/>
      <w:lvlText w:val="•"/>
      <w:numFmt w:val="bullet"/>
      <w:start w:val="1"/>
    </w:lvl>
  </w:abstractNum>
  <w:abstractNum w:abstractNumId="103">
    <w:nsid w:val="334A6F1F"/>
    <w:multiLevelType w:val="hybridMultilevel"/>
    <w:lvl w:ilvl="0">
      <w:lvlJc w:val="left"/>
      <w:lvlText w:val="(%1)"/>
      <w:numFmt w:val="lowerRoman"/>
      <w:start w:val="2"/>
    </w:lvl>
  </w:abstractNum>
  <w:abstractNum w:abstractNumId="104">
    <w:nsid w:val="2E5B12B8"/>
    <w:multiLevelType w:val="hybridMultilevel"/>
    <w:lvl w:ilvl="0">
      <w:lvlJc w:val="left"/>
      <w:lvlText w:val="•"/>
      <w:numFmt w:val="bullet"/>
      <w:start w:val="1"/>
    </w:lvl>
  </w:abstractNum>
  <w:abstractNum w:abstractNumId="105">
    <w:nsid w:val="5C03D76D"/>
    <w:multiLevelType w:val="hybridMultilevel"/>
    <w:lvl w:ilvl="0">
      <w:lvlJc w:val="left"/>
      <w:lvlText w:val="(%1)"/>
      <w:numFmt w:val="lowerRoman"/>
      <w:start w:val="2"/>
    </w:lvl>
  </w:abstractNum>
  <w:abstractNum w:abstractNumId="106">
    <w:nsid w:val="66A48D11"/>
    <w:multiLevelType w:val="hybridMultilevel"/>
    <w:lvl w:ilvl="0">
      <w:lvlJc w:val="left"/>
      <w:lvlText w:val="(%1)"/>
      <w:numFmt w:val="lowerRoman"/>
      <w:start w:val="1"/>
    </w:lvl>
  </w:abstractNum>
  <w:abstractNum w:abstractNumId="107">
    <w:nsid w:val="56C28E34"/>
    <w:multiLevelType w:val="hybridMultilevel"/>
    <w:lvl w:ilvl="0">
      <w:lvlJc w:val="left"/>
      <w:lvlText w:val="•"/>
      <w:numFmt w:val="bullet"/>
      <w:start w:val="1"/>
    </w:lvl>
    <w:lvl w:ilvl="1">
      <w:lvlJc w:val="left"/>
      <w:lvlText w:val="•"/>
      <w:numFmt w:val="bullet"/>
      <w:start w:val="1"/>
    </w:lvl>
  </w:abstractNum>
  <w:abstractNum w:abstractNumId="108">
    <w:nsid w:val="13916F2D"/>
    <w:multiLevelType w:val="hybridMultilevel"/>
    <w:lvl w:ilvl="0">
      <w:lvlJc w:val="left"/>
      <w:lvlText w:val="•"/>
      <w:numFmt w:val="bullet"/>
      <w:start w:val="1"/>
    </w:lvl>
    <w:lvl w:ilvl="1">
      <w:lvlJc w:val="left"/>
      <w:lvlText w:val="•"/>
      <w:numFmt w:val="bullet"/>
      <w:start w:val="1"/>
    </w:lvl>
  </w:abstractNum>
  <w:abstractNum w:abstractNumId="109">
    <w:nsid w:val="435D38D"/>
    <w:multiLevelType w:val="hybridMultilevel"/>
    <w:lvl w:ilvl="0">
      <w:lvlJc w:val="left"/>
      <w:lvlText w:val="(%1)"/>
      <w:numFmt w:val="decimal"/>
      <w:start w:val="1"/>
    </w:lvl>
  </w:abstractNum>
  <w:abstractNum w:abstractNumId="110">
    <w:nsid w:val="822C0EF"/>
    <w:multiLevelType w:val="hybridMultilevel"/>
    <w:lvl w:ilvl="0">
      <w:lvlJc w:val="left"/>
      <w:lvlText w:val="(%1)"/>
      <w:numFmt w:val="decimal"/>
      <w:start w:val="1"/>
    </w:lvl>
  </w:abstractNum>
  <w:abstractNum w:abstractNumId="111">
    <w:nsid w:val="57C5BB4F"/>
    <w:multiLevelType w:val="hybridMultilevel"/>
    <w:lvl w:ilvl="0">
      <w:lvlJc w:val="left"/>
      <w:lvlText w:val="(%1)"/>
      <w:numFmt w:val="decimal"/>
      <w:start w:val="1"/>
    </w:lvl>
  </w:abstractNum>
  <w:abstractNum w:abstractNumId="112">
    <w:nsid w:val="1803D089"/>
    <w:multiLevelType w:val="hybridMultilevel"/>
    <w:lvl w:ilvl="0">
      <w:lvlJc w:val="left"/>
      <w:lvlText w:val="(%1)"/>
      <w:numFmt w:val="lowerLetter"/>
      <w:start w:val="1"/>
    </w:lvl>
  </w:abstractNum>
  <w:abstractNum w:abstractNumId="113">
    <w:nsid w:val="4F3A06D4"/>
    <w:multiLevelType w:val="hybridMultilevel"/>
    <w:lvl w:ilvl="0">
      <w:lvlJc w:val="left"/>
      <w:lvlText w:val="(%1)"/>
      <w:numFmt w:val="lowerLetter"/>
      <w:start w:val="3"/>
    </w:lvl>
  </w:abstractNum>
  <w:abstractNum w:abstractNumId="114">
    <w:nsid w:val="59A377B6"/>
    <w:multiLevelType w:val="hybridMultilevel"/>
    <w:lvl w:ilvl="0">
      <w:lvlJc w:val="left"/>
      <w:lvlText w:val="(%1)"/>
      <w:numFmt w:val="lowerLetter"/>
      <w:start w:val="6"/>
    </w:lvl>
  </w:abstractNum>
  <w:abstractNum w:abstractNumId="115">
    <w:nsid w:val="48AEB063"/>
    <w:multiLevelType w:val="hybridMultilevel"/>
    <w:lvl w:ilvl="0">
      <w:lvlJc w:val="left"/>
      <w:lvlText w:val="(%1)"/>
      <w:numFmt w:val="lowerLetter"/>
      <w:start w:val="13"/>
    </w:lvl>
  </w:abstractNum>
  <w:abstractNum w:abstractNumId="116">
    <w:nsid w:val="24E135"/>
    <w:multiLevelType w:val="hybridMultilevel"/>
    <w:lvl w:ilvl="0">
      <w:lvlJc w:val="left"/>
      <w:lvlText w:val="%1"/>
      <w:numFmt w:val="lowerLetter"/>
      <w:start w:val="1"/>
    </w:lvl>
    <w:lvl w:ilvl="1">
      <w:lvlJc w:val="left"/>
      <w:lvlText w:val="(%2)"/>
      <w:numFmt w:val="lowerLetter"/>
      <w:start w:val="1"/>
    </w:lvl>
  </w:abstractNum>
  <w:abstractNum w:abstractNumId="117">
    <w:nsid w:val="BB13C1"/>
    <w:multiLevelType w:val="hybridMultilevel"/>
    <w:lvl w:ilvl="0">
      <w:lvlJc w:val="left"/>
      <w:lvlText w:val="(%1)"/>
      <w:numFmt w:val="lowerLetter"/>
      <w:start w:val="16"/>
    </w:lvl>
    <w:lvl w:ilvl="1">
      <w:lvlJc w:val="left"/>
      <w:lvlText w:val="%2"/>
      <w:numFmt w:val="lowerLetter"/>
      <w:start w:val="1"/>
    </w:lvl>
  </w:abstractNum>
  <w:abstractNum w:abstractNumId="118">
    <w:nsid w:val="271210C7"/>
    <w:multiLevelType w:val="hybridMultilevel"/>
    <w:lvl w:ilvl="0">
      <w:lvlJc w:val="left"/>
      <w:lvlText w:val="(%1)"/>
      <w:numFmt w:val="lowerLetter"/>
      <w:start w:val="1"/>
    </w:lvl>
  </w:abstractNum>
  <w:abstractNum w:abstractNumId="119">
    <w:nsid w:val="217B22E4"/>
    <w:multiLevelType w:val="hybridMultilevel"/>
    <w:lvl w:ilvl="0">
      <w:lvlJc w:val="left"/>
      <w:lvlText w:val="(%1)"/>
      <w:numFmt w:val="lowerLetter"/>
      <w:start w:val="2"/>
    </w:lvl>
  </w:abstractNum>
  <w:abstractNum w:abstractNumId="120">
    <w:nsid w:val="53E31A24"/>
    <w:multiLevelType w:val="hybridMultilevel"/>
    <w:lvl w:ilvl="0">
      <w:lvlJc w:val="left"/>
      <w:lvlText w:val="(%1)"/>
      <w:numFmt w:val="lowerLetter"/>
      <w:start w:val="4"/>
    </w:lvl>
  </w:abstractNum>
  <w:abstractNum w:abstractNumId="121">
    <w:nsid w:val="6DC45E83"/>
    <w:multiLevelType w:val="hybridMultilevel"/>
    <w:lvl w:ilvl="0">
      <w:lvlJc w:val="left"/>
      <w:lvlText w:val="(%1)"/>
      <w:numFmt w:val="lowerLetter"/>
      <w:start w:val="7"/>
    </w:lvl>
  </w:abstractNum>
  <w:abstractNum w:abstractNumId="122">
    <w:nsid w:val="17304A67"/>
    <w:multiLevelType w:val="hybridMultilevel"/>
    <w:lvl w:ilvl="0">
      <w:lvlJc w:val="left"/>
      <w:lvlText w:val="(%1)"/>
      <w:numFmt w:val="lowerLetter"/>
      <w:start w:val="8"/>
    </w:lvl>
  </w:abstractNum>
  <w:abstractNum w:abstractNumId="123">
    <w:nsid w:val="2BB180D8"/>
    <w:multiLevelType w:val="hybridMultilevel"/>
    <w:lvl w:ilvl="0">
      <w:lvlJc w:val="left"/>
      <w:lvlText w:val="(%1)"/>
      <w:numFmt w:val="lowerRoman"/>
      <w:start w:val="1"/>
    </w:lvl>
  </w:abstractNum>
  <w:abstractNum w:abstractNumId="124">
    <w:nsid w:val="556B69ED"/>
    <w:multiLevelType w:val="hybridMultilevel"/>
    <w:lvl w:ilvl="0">
      <w:lvlJc w:val="left"/>
      <w:lvlText w:val="%1"/>
      <w:numFmt w:val="lowerLetter"/>
      <w:start w:val="1"/>
    </w:lvl>
    <w:lvl w:ilvl="1">
      <w:lvlJc w:val="left"/>
      <w:lvlText w:val="(%2)"/>
      <w:numFmt w:val="lowerLetter"/>
      <w:start w:val="1"/>
    </w:lvl>
  </w:abstractNum>
  <w:abstractNum w:abstractNumId="125">
    <w:nsid w:val="70836196"/>
    <w:multiLevelType w:val="hybridMultilevel"/>
    <w:lvl w:ilvl="0">
      <w:lvlJc w:val="left"/>
      <w:lvlText w:val="(%1)"/>
      <w:numFmt w:val="lowerLetter"/>
      <w:start w:val="10"/>
    </w:lvl>
    <w:lvl w:ilvl="1">
      <w:lvlJc w:val="left"/>
      <w:lvlText w:val="%2"/>
      <w:numFmt w:val="lowerLetter"/>
      <w:start w:val="1"/>
    </w:lvl>
  </w:abstractNum>
  <w:abstractNum w:abstractNumId="126">
    <w:nsid w:val="539F7F12"/>
    <w:multiLevelType w:val="hybridMultilevel"/>
    <w:lvl w:ilvl="0">
      <w:lvlJc w:val="left"/>
      <w:lvlText w:val="•"/>
      <w:numFmt w:val="bullet"/>
      <w:start w:val="1"/>
    </w:lvl>
  </w:abstractNum>
  <w:abstractNum w:abstractNumId="127">
    <w:nsid w:val="2817E7EC"/>
    <w:multiLevelType w:val="hybridMultilevel"/>
    <w:lvl w:ilvl="0">
      <w:lvlJc w:val="left"/>
      <w:lvlText w:val="•"/>
      <w:numFmt w:val="bullet"/>
      <w:start w:val="1"/>
    </w:lvl>
  </w:abstractNum>
  <w:abstractNum w:abstractNumId="128">
    <w:nsid w:val="71482545"/>
    <w:multiLevelType w:val="hybridMultilevel"/>
    <w:lvl w:ilvl="0">
      <w:lvlJc w:val="left"/>
      <w:lvlText w:val="(%1)"/>
      <w:numFmt w:val="lowerRoman"/>
      <w:start w:val="1"/>
    </w:lvl>
  </w:abstractNum>
  <w:abstractNum w:abstractNumId="129">
    <w:nsid w:val="17D78639"/>
    <w:multiLevelType w:val="hybridMultilevel"/>
    <w:lvl w:ilvl="0">
      <w:lvlJc w:val="left"/>
      <w:lvlText w:val="•"/>
      <w:numFmt w:val="bullet"/>
      <w:start w:val="1"/>
    </w:lvl>
  </w:abstractNum>
  <w:abstractNum w:abstractNumId="130">
    <w:nsid w:val="141D2302"/>
    <w:multiLevelType w:val="hybridMultilevel"/>
    <w:lvl w:ilvl="0">
      <w:lvlJc w:val="left"/>
      <w:lvlText w:val="•"/>
      <w:numFmt w:val="bullet"/>
      <w:start w:val="1"/>
    </w:lvl>
  </w:abstractNum>
  <w:abstractNum w:abstractNumId="131">
    <w:nsid w:val="407168D8"/>
    <w:multiLevelType w:val="hybridMultilevel"/>
    <w:lvl w:ilvl="0">
      <w:lvlJc w:val="left"/>
      <w:lvlText w:val="•"/>
      <w:numFmt w:val="bullet"/>
      <w:start w:val="1"/>
    </w:lvl>
  </w:abstractNum>
  <w:abstractNum w:abstractNumId="132">
    <w:nsid w:val="6A1B45E5"/>
    <w:multiLevelType w:val="hybridMultilevel"/>
    <w:lvl w:ilvl="0">
      <w:lvlJc w:val="left"/>
      <w:lvlText w:val="•"/>
      <w:numFmt w:val="bullet"/>
      <w:start w:val="1"/>
    </w:lvl>
  </w:abstractNum>
  <w:abstractNum w:abstractNumId="133">
    <w:nsid w:val="567BD50A"/>
    <w:multiLevelType w:val="hybridMultilevel"/>
    <w:lvl w:ilvl="0">
      <w:lvlJc w:val="left"/>
      <w:lvlText w:val="•"/>
      <w:numFmt w:val="bullet"/>
      <w:start w:val="1"/>
    </w:lvl>
  </w:abstractNum>
  <w:abstractNum w:abstractNumId="134">
    <w:nsid w:val="73BBD7F8"/>
    <w:multiLevelType w:val="hybridMultilevel"/>
    <w:lvl w:ilvl="0">
      <w:lvlJc w:val="left"/>
      <w:lvlText w:val="(%1)"/>
      <w:numFmt w:val="decimal"/>
      <w:start w:val="866"/>
    </w:lvl>
  </w:abstractNum>
  <w:abstractNum w:abstractNumId="135">
    <w:nsid w:val="1876589D"/>
    <w:multiLevelType w:val="hybridMultilevel"/>
    <w:lvl w:ilvl="0">
      <w:lvlJc w:val="left"/>
      <w:lvlText w:val="•"/>
      <w:numFmt w:val="bullet"/>
      <w:start w:val="1"/>
    </w:lvl>
  </w:abstractNum>
  <w:abstractNum w:abstractNumId="136">
    <w:nsid w:val="327FAC77"/>
    <w:multiLevelType w:val="hybridMultilevel"/>
    <w:lvl w:ilvl="0">
      <w:lvlJc w:val="left"/>
      <w:lvlText w:val="•"/>
      <w:numFmt w:val="bullet"/>
      <w:start w:val="1"/>
    </w:lvl>
  </w:abstractNum>
  <w:abstractNum w:abstractNumId="137">
    <w:nsid w:val="5A606509"/>
    <w:multiLevelType w:val="hybridMultilevel"/>
    <w:lvl w:ilvl="0">
      <w:lvlJc w:val="left"/>
      <w:lvlText w:val="•"/>
      <w:numFmt w:val="bullet"/>
      <w:start w:val="1"/>
    </w:lvl>
  </w:abstractNum>
  <w:abstractNum w:abstractNumId="138">
    <w:nsid w:val="6F38E6D1"/>
    <w:multiLevelType w:val="hybridMultilevel"/>
    <w:lvl w:ilvl="0">
      <w:lvlJc w:val="left"/>
      <w:lvlText w:val="•"/>
      <w:numFmt w:val="bullet"/>
      <w:start w:val="1"/>
    </w:lvl>
  </w:abstractNum>
  <w:abstractNum w:abstractNumId="139">
    <w:nsid w:val="46111BA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0">
    <w:nsid w:val="5E963896"/>
    <w:multiLevelType w:val="hybridMultilevel"/>
    <w:lvl w:ilvl="0">
      <w:lvlJc w:val="left"/>
      <w:lvlText w:val="•"/>
      <w:numFmt w:val="bullet"/>
      <w:start w:val="1"/>
    </w:lvl>
    <w:lvl w:ilvl="1">
      <w:lvlJc w:val="left"/>
      <w:lvlText w:val="•"/>
      <w:numFmt w:val="bullet"/>
      <w:start w:val="1"/>
    </w:lvl>
  </w:abstractNum>
  <w:abstractNum w:abstractNumId="141">
    <w:nsid w:val="775BA7C1"/>
    <w:multiLevelType w:val="hybridMultilevel"/>
    <w:lvl w:ilvl="0">
      <w:lvlJc w:val="left"/>
      <w:lvlText w:val="•"/>
      <w:numFmt w:val="bullet"/>
      <w:start w:val="1"/>
    </w:lvl>
  </w:abstractNum>
  <w:abstractNum w:abstractNumId="142">
    <w:nsid w:val="1DD6D6F4"/>
    <w:multiLevelType w:val="hybridMultilevel"/>
    <w:lvl w:ilvl="0">
      <w:lvlJc w:val="left"/>
      <w:lvlText w:val="•"/>
      <w:numFmt w:val="bullet"/>
      <w:start w:val="1"/>
    </w:lvl>
    <w:lvl w:ilvl="1">
      <w:lvlJc w:val="left"/>
      <w:lvlText w:val="•"/>
      <w:numFmt w:val="bullet"/>
      <w:start w:val="1"/>
    </w:lvl>
  </w:abstractNum>
  <w:abstractNum w:abstractNumId="143">
    <w:nsid w:val="769A091F"/>
    <w:multiLevelType w:val="hybridMultilevel"/>
    <w:lvl w:ilvl="0">
      <w:lvlJc w:val="left"/>
      <w:lvlText w:val="•"/>
      <w:numFmt w:val="bullet"/>
      <w:start w:val="1"/>
    </w:lvl>
  </w:abstractNum>
  <w:abstractNum w:abstractNumId="144">
    <w:nsid w:val="4695AE95"/>
    <w:multiLevelType w:val="hybridMultilevel"/>
    <w:lvl w:ilvl="0">
      <w:lvlJc w:val="left"/>
      <w:lvlText w:val="•"/>
      <w:numFmt w:val="bullet"/>
      <w:start w:val="1"/>
    </w:lvl>
  </w:abstractNum>
  <w:abstractNum w:abstractNumId="145">
    <w:nsid w:val="777A4EAA"/>
    <w:multiLevelType w:val="hybridMultilevel"/>
    <w:lvl w:ilvl="0">
      <w:lvlJc w:val="left"/>
      <w:lvlText w:val="•"/>
      <w:numFmt w:val="bullet"/>
      <w:start w:val="1"/>
    </w:lvl>
  </w:abstractNum>
  <w:abstractNum w:abstractNumId="146">
    <w:nsid w:val="3F48B982"/>
    <w:multiLevelType w:val="hybridMultilevel"/>
    <w:lvl w:ilvl="0">
      <w:lvlJc w:val="left"/>
      <w:lvlText w:val="•"/>
      <w:numFmt w:val="bullet"/>
      <w:start w:val="1"/>
    </w:lvl>
  </w:abstractNum>
  <w:abstractNum w:abstractNumId="147">
    <w:nsid w:val="46BA8FCA"/>
    <w:multiLevelType w:val="hybridMultilevel"/>
    <w:lvl w:ilvl="0">
      <w:lvlJc w:val="left"/>
      <w:lvlText w:val="•"/>
      <w:numFmt w:val="bullet"/>
      <w:start w:val="1"/>
    </w:lvl>
  </w:abstractNum>
  <w:abstractNum w:abstractNumId="148">
    <w:nsid w:val="7835626C"/>
    <w:multiLevelType w:val="hybridMultilevel"/>
    <w:lvl w:ilvl="0">
      <w:lvlJc w:val="left"/>
      <w:lvlText w:val="•"/>
      <w:numFmt w:val="bullet"/>
      <w:start w:val="1"/>
    </w:lvl>
  </w:abstractNum>
  <w:abstractNum w:abstractNumId="149">
    <w:nsid w:val="665ACA49"/>
    <w:multiLevelType w:val="hybridMultilevel"/>
    <w:lvl w:ilvl="0">
      <w:lvlJc w:val="left"/>
      <w:lvlText w:val="•"/>
      <w:numFmt w:val="bullet"/>
      <w:start w:val="1"/>
    </w:lvl>
  </w:abstractNum>
  <w:abstractNum w:abstractNumId="150">
    <w:nsid w:val="6835B2AE"/>
    <w:multiLevelType w:val="hybridMultilevel"/>
    <w:lvl w:ilvl="0">
      <w:lvlJc w:val="left"/>
      <w:lvlText w:val="•"/>
      <w:numFmt w:val="bullet"/>
      <w:start w:val="1"/>
    </w:lvl>
  </w:abstractNum>
  <w:abstractNum w:abstractNumId="151">
    <w:nsid w:val="4C187C90"/>
    <w:multiLevelType w:val="hybridMultilevel"/>
    <w:lvl w:ilvl="0">
      <w:lvlJc w:val="left"/>
      <w:lvlText w:val="•"/>
      <w:numFmt w:val="bullet"/>
      <w:start w:val="1"/>
    </w:lvl>
  </w:abstractNum>
  <w:abstractNum w:abstractNumId="152">
    <w:nsid w:val="541F28CD"/>
    <w:multiLevelType w:val="hybridMultilevel"/>
    <w:lvl w:ilvl="0">
      <w:lvlJc w:val="left"/>
      <w:lvlText w:val="•"/>
      <w:numFmt w:val="bullet"/>
      <w:start w:val="1"/>
    </w:lvl>
  </w:abstractNum>
  <w:abstractNum w:abstractNumId="153">
    <w:nsid w:val="7F65FD16"/>
    <w:multiLevelType w:val="hybridMultilevel"/>
    <w:lvl w:ilvl="0">
      <w:lvlJc w:val="left"/>
      <w:lvlText w:val="•"/>
      <w:numFmt w:val="bullet"/>
      <w:start w:val="1"/>
    </w:lvl>
    <w:lvl w:ilvl="1">
      <w:lvlJc w:val="left"/>
      <w:lvlText w:val="•"/>
      <w:numFmt w:val="bullet"/>
      <w:start w:val="1"/>
    </w:lvl>
  </w:abstractNum>
  <w:abstractNum w:abstractNumId="154">
    <w:nsid w:val="77C9FD68"/>
    <w:multiLevelType w:val="hybridMultilevel"/>
    <w:lvl w:ilvl="0">
      <w:lvlJc w:val="left"/>
      <w:lvlText w:val="•"/>
      <w:numFmt w:val="bullet"/>
      <w:start w:val="1"/>
    </w:lvl>
  </w:abstractNum>
  <w:abstractNum w:abstractNumId="155">
    <w:nsid w:val="298A92BA"/>
    <w:multiLevelType w:val="hybridMultilevel"/>
    <w:lvl w:ilvl="0">
      <w:lvlJc w:val="left"/>
      <w:lvlText w:val="•"/>
      <w:numFmt w:val="bullet"/>
      <w:start w:val="1"/>
    </w:lvl>
  </w:abstractNum>
  <w:abstractNum w:abstractNumId="156">
    <w:nsid w:val="6FE95EAC"/>
    <w:multiLevelType w:val="hybridMultilevel"/>
    <w:lvl w:ilvl="0">
      <w:lvlJc w:val="left"/>
      <w:lvlText w:val="•"/>
      <w:numFmt w:val="bullet"/>
      <w:start w:val="1"/>
    </w:lvl>
  </w:abstractNum>
  <w:abstractNum w:abstractNumId="157">
    <w:nsid w:val="4B697C7A"/>
    <w:multiLevelType w:val="hybridMultilevel"/>
    <w:lvl w:ilvl="0">
      <w:lvlJc w:val="left"/>
      <w:lvlText w:val="*"/>
      <w:numFmt w:val="bullet"/>
      <w:start w:val="1"/>
    </w:lvl>
  </w:abstractNum>
  <w:abstractNum w:abstractNumId="158">
    <w:nsid w:val="51A27AA6"/>
    <w:multiLevelType w:val="hybridMultilevel"/>
    <w:lvl w:ilvl="0">
      <w:lvlJc w:val="left"/>
      <w:lvlText w:val="•"/>
      <w:numFmt w:val="bullet"/>
      <w:start w:val="1"/>
    </w:lvl>
  </w:abstractNum>
  <w:abstractNum w:abstractNumId="159">
    <w:nsid w:val="613183F2"/>
    <w:multiLevelType w:val="hybridMultilevel"/>
    <w:lvl w:ilvl="0">
      <w:lvlJc w:val="left"/>
      <w:lvlText w:val="•"/>
      <w:numFmt w:val="bullet"/>
      <w:start w:val="1"/>
    </w:lvl>
  </w:abstractNum>
  <w:abstractNum w:abstractNumId="160">
    <w:nsid w:val="634102B4"/>
    <w:multiLevelType w:val="hybridMultilevel"/>
    <w:lvl w:ilvl="0">
      <w:lvlJc w:val="left"/>
      <w:lvlText w:val="•"/>
      <w:numFmt w:val="bullet"/>
      <w:start w:val="1"/>
    </w:lvl>
    <w:lvl w:ilvl="1">
      <w:lvlJc w:val="left"/>
      <w:lvlText w:val="•"/>
      <w:numFmt w:val="bullet"/>
      <w:start w:val="1"/>
    </w:lvl>
  </w:abstractNum>
  <w:abstractNum w:abstractNumId="161">
    <w:nsid w:val="65BF9DA8"/>
    <w:multiLevelType w:val="hybridMultilevel"/>
    <w:lvl w:ilvl="0">
      <w:lvlJc w:val="left"/>
      <w:lvlText w:val="•"/>
      <w:numFmt w:val="bullet"/>
      <w:start w:val="1"/>
    </w:lvl>
  </w:abstractNum>
  <w:abstractNum w:abstractNumId="162">
    <w:nsid w:val="21A2ECCA"/>
    <w:multiLevelType w:val="hybridMultilevel"/>
    <w:lvl w:ilvl="0">
      <w:lvlJc w:val="left"/>
      <w:lvlText w:val="•"/>
      <w:numFmt w:val="bullet"/>
      <w:start w:val="1"/>
    </w:lvl>
  </w:abstractNum>
  <w:abstractNum w:abstractNumId="163">
    <w:nsid w:val="4D5C4899"/>
    <w:multiLevelType w:val="hybridMultilevel"/>
    <w:lvl w:ilvl="0">
      <w:lvlJc w:val="left"/>
      <w:lvlText w:val="•"/>
      <w:numFmt w:val="bullet"/>
      <w:start w:val="1"/>
    </w:lvl>
  </w:abstractNum>
  <w:abstractNum w:abstractNumId="164">
    <w:nsid w:val="3C3B72B2"/>
    <w:multiLevelType w:val="hybridMultilevel"/>
    <w:lvl w:ilvl="0">
      <w:lvlJc w:val="left"/>
      <w:lvlText w:val="•"/>
      <w:numFmt w:val="bullet"/>
      <w:start w:val="1"/>
    </w:lvl>
  </w:abstractNum>
  <w:abstractNum w:abstractNumId="165">
    <w:nsid w:val="155EC4C2"/>
    <w:multiLevelType w:val="hybridMultilevel"/>
    <w:lvl w:ilvl="0">
      <w:lvlJc w:val="left"/>
      <w:lvlText w:val="•"/>
      <w:numFmt w:val="bullet"/>
      <w:start w:val="1"/>
    </w:lvl>
  </w:abstractNum>
  <w:abstractNum w:abstractNumId="166">
    <w:nsid w:val="65D2A137"/>
    <w:multiLevelType w:val="hybridMultilevel"/>
    <w:lvl w:ilvl="0">
      <w:lvlJc w:val="left"/>
      <w:lvlText w:val="•"/>
      <w:numFmt w:val="bullet"/>
      <w:start w:val="1"/>
    </w:lvl>
  </w:abstractNum>
  <w:abstractNum w:abstractNumId="167">
    <w:nsid w:val="6EBB1F2A"/>
    <w:multiLevelType w:val="hybridMultilevel"/>
    <w:lvl w:ilvl="0">
      <w:lvlJc w:val="left"/>
      <w:lvlText w:val="•"/>
      <w:numFmt w:val="bullet"/>
      <w:start w:val="1"/>
    </w:lvl>
  </w:abstractNum>
  <w:abstractNum w:abstractNumId="168">
    <w:nsid w:val="6FBF29CB"/>
    <w:multiLevelType w:val="hybridMultilevel"/>
    <w:lvl w:ilvl="0">
      <w:lvlJc w:val="left"/>
      <w:lvlText w:val="(%1)"/>
      <w:numFmt w:val="lowerLetter"/>
      <w:start w:val="3"/>
    </w:lvl>
  </w:abstractNum>
  <w:abstractNum w:abstractNumId="169">
    <w:nsid w:val="550B8808"/>
    <w:multiLevelType w:val="hybridMultilevel"/>
    <w:lvl w:ilvl="0">
      <w:lvlJc w:val="left"/>
      <w:lvlText w:val="(%1)"/>
      <w:numFmt w:val="lowerRoman"/>
      <w:start w:val="3"/>
    </w:lvl>
  </w:abstractNum>
  <w:abstractNum w:abstractNumId="170">
    <w:nsid w:val="34CC3ACF"/>
    <w:multiLevelType w:val="hybridMultilevel"/>
    <w:lvl w:ilvl="0">
      <w:lvlJc w:val="left"/>
      <w:lvlText w:val="(%1)"/>
      <w:numFmt w:val="decimal"/>
      <w:start w:val="1"/>
    </w:lvl>
  </w:abstractNum>
  <w:abstractNum w:abstractNumId="171">
    <w:nsid w:val="4E556261"/>
    <w:multiLevelType w:val="hybridMultilevel"/>
    <w:lvl w:ilvl="0">
      <w:lvlJc w:val="left"/>
      <w:lvlText w:val="(%1)"/>
      <w:numFmt w:val="decimal"/>
      <w:start w:val="1"/>
    </w:lvl>
  </w:abstractNum>
  <w:abstractNum w:abstractNumId="172">
    <w:nsid w:val="4C672FC9"/>
    <w:multiLevelType w:val="hybridMultilevel"/>
    <w:lvl w:ilvl="0">
      <w:lvlJc w:val="left"/>
      <w:lvlText w:val="(%1)"/>
      <w:numFmt w:val="decimal"/>
      <w:start w:val="1"/>
    </w:lvl>
  </w:abstractNum>
  <w:abstractNum w:abstractNumId="173">
    <w:nsid w:val="52A311C3"/>
    <w:multiLevelType w:val="hybridMultilevel"/>
    <w:lvl w:ilvl="0">
      <w:lvlJc w:val="left"/>
      <w:lvlText w:val="(%1)"/>
      <w:numFmt w:val="decimal"/>
      <w:start w:val="2"/>
    </w:lvl>
  </w:abstractNum>
  <w:abstractNum w:abstractNumId="174">
    <w:nsid w:val="44EF6B80"/>
    <w:multiLevelType w:val="hybridMultilevel"/>
    <w:lvl w:ilvl="0">
      <w:lvlJc w:val="left"/>
      <w:lvlText w:val="(%1)"/>
      <w:numFmt w:val="decimal"/>
      <w:start w:val="1"/>
    </w:lvl>
  </w:abstractNum>
  <w:abstractNum w:abstractNumId="175">
    <w:nsid w:val="12FCDE5E"/>
    <w:multiLevelType w:val="hybridMultilevel"/>
    <w:lvl w:ilvl="0">
      <w:lvlJc w:val="left"/>
      <w:lvlText w:val="(%1)"/>
      <w:numFmt w:val="decimal"/>
      <w:start w:val="1"/>
    </w:lvl>
  </w:abstractNum>
  <w:abstractNum w:abstractNumId="176">
    <w:nsid w:val="4A1D606E"/>
    <w:multiLevelType w:val="hybridMultilevel"/>
    <w:lvl w:ilvl="0">
      <w:lvlJc w:val="left"/>
      <w:lvlText w:val="(%1)"/>
      <w:numFmt w:val="decimal"/>
      <w:start w:val="1"/>
    </w:lvl>
  </w:abstractNum>
  <w:abstractNum w:abstractNumId="177">
    <w:nsid w:val="4382503"/>
    <w:multiLevelType w:val="hybridMultilevel"/>
    <w:lvl w:ilvl="0">
      <w:lvlJc w:val="left"/>
      <w:lvlText w:val="•"/>
      <w:numFmt w:val="bullet"/>
      <w:start w:val="1"/>
    </w:lvl>
  </w:abstractNum>
  <w:abstractNum w:abstractNumId="178">
    <w:nsid w:val="59B76E28"/>
    <w:multiLevelType w:val="hybridMultilevel"/>
    <w:lvl w:ilvl="0">
      <w:lvlJc w:val="left"/>
      <w:lvlText w:val="•"/>
      <w:numFmt w:val="bullet"/>
      <w:start w:val="1"/>
    </w:lvl>
  </w:abstractNum>
  <w:abstractNum w:abstractNumId="179">
    <w:nsid w:val="4252C2DA"/>
    <w:multiLevelType w:val="hybridMultilevel"/>
    <w:lvl w:ilvl="0">
      <w:lvlJc w:val="left"/>
      <w:lvlText w:val="(%1)"/>
      <w:numFmt w:val="lowerRoman"/>
      <w:start w:val="2"/>
    </w:lvl>
  </w:abstractNum>
  <w:abstractNum w:abstractNumId="180">
    <w:nsid w:val="6A92EF4C"/>
    <w:multiLevelType w:val="hybridMultilevel"/>
    <w:lvl w:ilvl="0">
      <w:lvlJc w:val="left"/>
      <w:lvlText w:val="•"/>
      <w:numFmt w:val="bullet"/>
      <w:start w:val="1"/>
    </w:lvl>
  </w:abstractNum>
  <w:abstractNum w:abstractNumId="181">
    <w:nsid w:val="41ED20D7"/>
    <w:multiLevelType w:val="hybridMultilevel"/>
    <w:lvl w:ilvl="0">
      <w:lvlJc w:val="left"/>
      <w:lvlText w:val="•"/>
      <w:numFmt w:val="bullet"/>
      <w:start w:val="1"/>
    </w:lvl>
  </w:abstractNum>
  <w:abstractNum w:abstractNumId="182">
    <w:nsid w:val="E6B3F6A"/>
    <w:multiLevelType w:val="hybridMultilevel"/>
    <w:lvl w:ilvl="0">
      <w:lvlJc w:val="left"/>
      <w:lvlText w:val="•"/>
      <w:numFmt w:val="bullet"/>
      <w:start w:val="1"/>
    </w:lvl>
  </w:abstractNum>
  <w:abstractNum w:abstractNumId="183">
    <w:nsid w:val="3EB21819"/>
    <w:multiLevelType w:val="hybridMultilevel"/>
    <w:lvl w:ilvl="0">
      <w:lvlJc w:val="left"/>
      <w:lvlText w:val="(%1)"/>
      <w:numFmt w:val="lowerLetter"/>
      <w:start w:val="3"/>
    </w:lvl>
  </w:abstractNum>
  <w:abstractNum w:abstractNumId="184">
    <w:nsid w:val="41531DED"/>
    <w:multiLevelType w:val="hybridMultilevel"/>
    <w:lvl w:ilvl="0">
      <w:lvlJc w:val="left"/>
      <w:lvlText w:val="•"/>
      <w:numFmt w:val="bullet"/>
      <w:start w:val="1"/>
    </w:lvl>
  </w:abstractNum>
  <w:abstractNum w:abstractNumId="185">
    <w:nsid w:val="6353CD2"/>
    <w:multiLevelType w:val="hybridMultilevel"/>
    <w:lvl w:ilvl="0">
      <w:lvlJc w:val="left"/>
      <w:lvlText w:val="•"/>
      <w:numFmt w:val="bullet"/>
      <w:start w:val="1"/>
    </w:lvl>
  </w:abstractNum>
  <w:abstractNum w:abstractNumId="186">
    <w:nsid w:val="683CAAD3"/>
    <w:multiLevelType w:val="hybridMultilevel"/>
    <w:lvl w:ilvl="0">
      <w:lvlJc w:val="left"/>
      <w:lvlText w:val="•"/>
      <w:numFmt w:val="bullet"/>
      <w:start w:val="1"/>
    </w:lvl>
  </w:abstractNum>
  <w:abstractNum w:abstractNumId="187">
    <w:nsid w:val="313C7C99"/>
    <w:multiLevelType w:val="hybridMultilevel"/>
    <w:lvl w:ilvl="0">
      <w:lvlJc w:val="left"/>
      <w:lvlText w:val="•"/>
      <w:numFmt w:val="bullet"/>
      <w:start w:val="1"/>
    </w:lvl>
  </w:abstractNum>
  <w:abstractNum w:abstractNumId="188">
    <w:nsid w:val="519EB94C"/>
    <w:multiLevelType w:val="hybridMultilevel"/>
    <w:lvl w:ilvl="0">
      <w:lvlJc w:val="left"/>
      <w:lvlText w:val="•"/>
      <w:numFmt w:val="bullet"/>
      <w:start w:val="1"/>
    </w:lvl>
  </w:abstractNum>
  <w:abstractNum w:abstractNumId="189">
    <w:nsid w:val="39DF2579"/>
    <w:multiLevelType w:val="hybridMultilevel"/>
    <w:lvl w:ilvl="0">
      <w:lvlJc w:val="left"/>
      <w:lvlText w:val="•"/>
      <w:numFmt w:val="bullet"/>
      <w:start w:val="1"/>
    </w:lvl>
  </w:abstractNum>
  <w:abstractNum w:abstractNumId="190">
    <w:nsid w:val="126E008B"/>
    <w:multiLevelType w:val="hybridMultilevel"/>
    <w:lvl w:ilvl="0">
      <w:lvlJc w:val="left"/>
      <w:lvlText w:val="•"/>
      <w:numFmt w:val="bullet"/>
      <w:start w:val="1"/>
    </w:lvl>
  </w:abstractNum>
  <w:abstractNum w:abstractNumId="191">
    <w:nsid w:val="34DFBC00"/>
    <w:multiLevelType w:val="hybridMultilevel"/>
    <w:lvl w:ilvl="0">
      <w:lvlJc w:val="left"/>
      <w:lvlText w:val="•"/>
      <w:numFmt w:val="bullet"/>
      <w:start w:val="1"/>
    </w:lvl>
  </w:abstractNum>
  <w:abstractNum w:abstractNumId="192">
    <w:nsid w:val="1F9EC322"/>
    <w:multiLevelType w:val="hybridMultilevel"/>
    <w:lvl w:ilvl="0">
      <w:lvlJc w:val="left"/>
      <w:lvlText w:val="•"/>
      <w:numFmt w:val="bullet"/>
      <w:start w:val="1"/>
    </w:lvl>
  </w:abstractNum>
  <w:abstractNum w:abstractNumId="193">
    <w:nsid w:val="3410ED56"/>
    <w:multiLevelType w:val="hybridMultilevel"/>
    <w:lvl w:ilvl="0">
      <w:lvlJc w:val="left"/>
      <w:lvlText w:val="•"/>
      <w:numFmt w:val="bullet"/>
      <w:start w:val="1"/>
    </w:lvl>
  </w:abstractNum>
  <w:abstractNum w:abstractNumId="194">
    <w:nsid w:val="23C049A"/>
    <w:multiLevelType w:val="hybridMultilevel"/>
    <w:lvl w:ilvl="0">
      <w:lvlJc w:val="left"/>
      <w:lvlText w:val="•"/>
      <w:numFmt w:val="bullet"/>
      <w:start w:val="1"/>
    </w:lvl>
  </w:abstractNum>
  <w:abstractNum w:abstractNumId="195">
    <w:nsid w:val="5BDA35D4"/>
    <w:multiLevelType w:val="hybridMultilevel"/>
    <w:lvl w:ilvl="0">
      <w:lvlJc w:val="left"/>
      <w:lvlText w:val="•"/>
      <w:numFmt w:val="bullet"/>
      <w:start w:val="1"/>
    </w:lvl>
  </w:abstractNum>
  <w:abstractNum w:abstractNumId="196">
    <w:nsid w:val="496FB218"/>
    <w:multiLevelType w:val="hybridMultilevel"/>
    <w:lvl w:ilvl="0">
      <w:lvlJc w:val="left"/>
      <w:lvlText w:val="(%1)"/>
      <w:numFmt w:val="lowerRoman"/>
      <w:start w:val="2"/>
    </w:lvl>
  </w:abstractNum>
  <w:abstractNum w:abstractNumId="197">
    <w:nsid w:val="680EA5D1"/>
    <w:multiLevelType w:val="hybridMultilevel"/>
    <w:lvl w:ilvl="0">
      <w:lvlJc w:val="left"/>
      <w:lvlText w:val="•"/>
      <w:numFmt w:val="bullet"/>
      <w:start w:val="1"/>
    </w:lvl>
  </w:abstractNum>
  <w:abstractNum w:abstractNumId="198">
    <w:nsid w:val="4A9554FE"/>
    <w:multiLevelType w:val="hybridMultilevel"/>
    <w:lvl w:ilvl="0">
      <w:lvlJc w:val="left"/>
      <w:lvlText w:val="(%1)"/>
      <w:numFmt w:val="lowerRoman"/>
      <w:start w:val="1"/>
    </w:lvl>
  </w:abstractNum>
  <w:abstractNum w:abstractNumId="199">
    <w:nsid w:val="392EDBE4"/>
    <w:multiLevelType w:val="hybridMultilevel"/>
    <w:lvl w:ilvl="0">
      <w:lvlJc w:val="left"/>
      <w:lvlText w:val="(%1)"/>
      <w:numFmt w:val="lowerRoman"/>
      <w:start w:val="2"/>
    </w:lvl>
  </w:abstractNum>
  <w:abstractNum w:abstractNumId="200">
    <w:nsid w:val="3D1A2DD9"/>
    <w:multiLevelType w:val="hybridMultilevel"/>
    <w:lvl w:ilvl="0">
      <w:lvlJc w:val="left"/>
      <w:lvlText w:val="•"/>
      <w:numFmt w:val="bullet"/>
      <w:start w:val="1"/>
    </w:lvl>
  </w:abstractNum>
  <w:abstractNum w:abstractNumId="201">
    <w:nsid w:val="7F618FCD"/>
    <w:multiLevelType w:val="hybridMultilevel"/>
    <w:lvl w:ilvl="0">
      <w:lvlJc w:val="left"/>
      <w:lvlText w:val="(%1)"/>
      <w:numFmt w:val="lowerRoman"/>
      <w:start w:val="2"/>
    </w:lvl>
  </w:abstractNum>
  <w:abstractNum w:abstractNumId="202">
    <w:nsid w:val="7843E45"/>
    <w:multiLevelType w:val="hybridMultilevel"/>
    <w:lvl w:ilvl="0">
      <w:lvlJc w:val="left"/>
      <w:lvlText w:val="•"/>
      <w:numFmt w:val="bullet"/>
      <w:start w:val="1"/>
    </w:lvl>
  </w:abstractNum>
  <w:abstractNum w:abstractNumId="203">
    <w:nsid w:val="9815DA3"/>
    <w:multiLevelType w:val="hybridMultilevel"/>
    <w:lvl w:ilvl="0">
      <w:lvlJc w:val="left"/>
      <w:lvlText w:val="(%1)"/>
      <w:numFmt w:val="lowerRoman"/>
      <w:start w:val="8"/>
    </w:lvl>
  </w:abstractNum>
  <w:abstractNum w:abstractNumId="204">
    <w:nsid w:val="5204A191"/>
    <w:multiLevelType w:val="hybridMultilevel"/>
    <w:lvl w:ilvl="0">
      <w:lvlJc w:val="left"/>
      <w:lvlText w:val="•"/>
      <w:numFmt w:val="bullet"/>
      <w:start w:val="1"/>
    </w:lvl>
  </w:abstractNum>
  <w:abstractNum w:abstractNumId="205">
    <w:nsid w:val="4C73A9C6"/>
    <w:multiLevelType w:val="hybridMultilevel"/>
    <w:lvl w:ilvl="0">
      <w:lvlJc w:val="left"/>
      <w:lvlText w:val="•"/>
      <w:numFmt w:val="bullet"/>
      <w:start w:val="1"/>
    </w:lvl>
    <w:lvl w:ilvl="1">
      <w:lvlJc w:val="left"/>
      <w:lvlText w:val="•"/>
      <w:numFmt w:val="bullet"/>
      <w:start w:val="1"/>
    </w:lvl>
  </w:abstractNum>
  <w:abstractNum w:abstractNumId="206">
    <w:nsid w:val="1C7E3C01"/>
    <w:multiLevelType w:val="hybridMultilevel"/>
    <w:lvl w:ilvl="0">
      <w:lvlJc w:val="left"/>
      <w:lvlText w:val="•"/>
      <w:numFmt w:val="bullet"/>
      <w:start w:val="1"/>
    </w:lvl>
    <w:lvl w:ilvl="1">
      <w:lvlJc w:val="left"/>
      <w:lvlText w:val="•"/>
      <w:numFmt w:val="bullet"/>
      <w:start w:val="1"/>
    </w:lvl>
  </w:abstractNum>
  <w:abstractNum w:abstractNumId="207">
    <w:nsid w:val="1C2201FF"/>
    <w:multiLevelType w:val="hybridMultilevel"/>
    <w:lvl w:ilvl="0">
      <w:lvlJc w:val="left"/>
      <w:lvlText w:val="(%1)"/>
      <w:numFmt w:val="lowerRoman"/>
      <w:start w:val="1"/>
    </w:lvl>
  </w:abstractNum>
  <w:abstractNum w:abstractNumId="208">
    <w:nsid w:val="50ABCEC9"/>
    <w:multiLevelType w:val="hybridMultilevel"/>
    <w:lvl w:ilvl="0">
      <w:lvlJc w:val="left"/>
      <w:lvlText w:val="•"/>
      <w:numFmt w:val="bullet"/>
      <w:start w:val="1"/>
    </w:lvl>
  </w:abstractNum>
  <w:abstractNum w:abstractNumId="209">
    <w:nsid w:val="7635AA2A"/>
    <w:multiLevelType w:val="hybridMultilevel"/>
    <w:lvl w:ilvl="0">
      <w:lvlJc w:val="left"/>
      <w:lvlText w:val="(%1)"/>
      <w:numFmt w:val="lowerRoman"/>
      <w:start w:val="1"/>
    </w:lvl>
  </w:abstractNum>
  <w:abstractNum w:abstractNumId="210">
    <w:nsid w:val="5E74C4D9"/>
    <w:multiLevelType w:val="hybridMultilevel"/>
    <w:lvl w:ilvl="0">
      <w:lvlJc w:val="left"/>
      <w:lvlText w:val="•"/>
      <w:numFmt w:val="bullet"/>
      <w:start w:val="1"/>
    </w:lvl>
  </w:abstractNum>
  <w:abstractNum w:abstractNumId="211">
    <w:nsid w:val="3B3EBE15"/>
    <w:multiLevelType w:val="hybridMultilevel"/>
    <w:lvl w:ilvl="0">
      <w:lvlJc w:val="left"/>
      <w:lvlText w:val="•"/>
      <w:numFmt w:val="bullet"/>
      <w:start w:val="1"/>
    </w:lvl>
  </w:abstractNum>
  <w:abstractNum w:abstractNumId="212">
    <w:nsid w:val="3822CB01"/>
    <w:multiLevelType w:val="hybridMultilevel"/>
    <w:lvl w:ilvl="0">
      <w:lvlJc w:val="left"/>
      <w:lvlText w:val="[\emdash ]"/>
      <w:numFmt w:val="bullet"/>
      <w:start w:val="1"/>
    </w:lvl>
  </w:abstractNum>
  <w:abstractNum w:abstractNumId="213">
    <w:nsid w:val="6CE00443"/>
    <w:multiLevelType w:val="hybridMultilevel"/>
    <w:lvl w:ilvl="0">
      <w:lvlJc w:val="left"/>
      <w:lvlText w:val="(%1)"/>
      <w:numFmt w:val="lowerRoman"/>
      <w:start w:val="2"/>
    </w:lvl>
  </w:abstractNum>
  <w:abstractNum w:abstractNumId="214">
    <w:nsid w:val="79F0D62F"/>
    <w:multiLevelType w:val="hybridMultilevel"/>
    <w:lvl w:ilvl="0">
      <w:lvlJc w:val="left"/>
      <w:lvlText w:val="•"/>
      <w:numFmt w:val="bullet"/>
      <w:start w:val="1"/>
    </w:lvl>
    <w:lvl w:ilvl="1">
      <w:lvlJc w:val="left"/>
      <w:lvlText w:val="•"/>
      <w:numFmt w:val="bullet"/>
      <w:start w:val="1"/>
    </w:lvl>
  </w:abstractNum>
  <w:abstractNum w:abstractNumId="215">
    <w:nsid w:val="7975E8EE"/>
    <w:multiLevelType w:val="hybridMultilevel"/>
    <w:lvl w:ilvl="0">
      <w:lvlJc w:val="left"/>
      <w:lvlText w:val="(%1)"/>
      <w:numFmt w:val="lowerRoman"/>
      <w:start w:val="2"/>
    </w:lvl>
  </w:abstractNum>
  <w:abstractNum w:abstractNumId="216">
    <w:nsid w:val="73154115"/>
    <w:multiLevelType w:val="hybridMultilevel"/>
    <w:lvl w:ilvl="0">
      <w:lvlJc w:val="left"/>
      <w:lvlText w:val="(%1)"/>
      <w:numFmt w:val="lowerRoman"/>
      <w:start w:val="4"/>
    </w:lvl>
  </w:abstractNum>
  <w:abstractNum w:abstractNumId="217">
    <w:nsid w:val="622D8102"/>
    <w:multiLevelType w:val="hybridMultilevel"/>
    <w:lvl w:ilvl="0">
      <w:lvlJc w:val="left"/>
      <w:lvlText w:val="•"/>
      <w:numFmt w:val="bullet"/>
      <w:start w:val="1"/>
    </w:lvl>
  </w:abstractNum>
  <w:abstractNum w:abstractNumId="218">
    <w:nsid w:val="2AB26587"/>
    <w:multiLevelType w:val="hybridMultilevel"/>
    <w:lvl w:ilvl="0">
      <w:lvlJc w:val="left"/>
      <w:lvlText w:val="(%1)"/>
      <w:numFmt w:val="lowerLetter"/>
      <w:start w:val="2"/>
    </w:lvl>
  </w:abstractNum>
  <w:abstractNum w:abstractNumId="219">
    <w:nsid w:val="44B3FA61"/>
    <w:multiLevelType w:val="hybridMultilevel"/>
    <w:lvl w:ilvl="0">
      <w:lvlJc w:val="left"/>
      <w:lvlText w:val="•"/>
      <w:numFmt w:val="bullet"/>
      <w:start w:val="1"/>
    </w:lvl>
  </w:abstractNum>
  <w:abstractNum w:abstractNumId="220">
    <w:nsid w:val="1C0CA67C"/>
    <w:multiLevelType w:val="hybridMultilevel"/>
    <w:lvl w:ilvl="0">
      <w:lvlJc w:val="left"/>
      <w:lvlText w:val="•"/>
      <w:numFmt w:val="bullet"/>
      <w:start w:val="1"/>
    </w:lvl>
  </w:abstractNum>
  <w:abstractNum w:abstractNumId="221">
    <w:nsid w:val="3D206613"/>
    <w:multiLevelType w:val="hybridMultilevel"/>
    <w:lvl w:ilvl="0">
      <w:lvlJc w:val="left"/>
      <w:lvlText w:val="(%1)"/>
      <w:numFmt w:val="decimal"/>
      <w:start w:val="1"/>
    </w:lvl>
  </w:abstractNum>
  <w:abstractNum w:abstractNumId="222">
    <w:nsid w:val="7993B662"/>
    <w:multiLevelType w:val="hybridMultilevel"/>
    <w:lvl w:ilvl="0">
      <w:lvlJc w:val="left"/>
      <w:lvlText w:val="(%1)"/>
      <w:numFmt w:val="decimal"/>
      <w:start w:val="3"/>
    </w:lvl>
  </w:abstractNum>
  <w:abstractNum w:abstractNumId="223">
    <w:nsid w:val="3BAB699E"/>
    <w:multiLevelType w:val="hybridMultilevel"/>
    <w:lvl w:ilvl="0">
      <w:lvlJc w:val="left"/>
      <w:lvlText w:val="(%1)"/>
      <w:numFmt w:val="decimal"/>
      <w:start w:val="5"/>
    </w:lvl>
  </w:abstractNum>
  <w:abstractNum w:abstractNumId="224">
    <w:nsid w:val="71315369"/>
    <w:multiLevelType w:val="hybridMultilevel"/>
    <w:lvl w:ilvl="0">
      <w:lvlJc w:val="left"/>
      <w:lvlText w:val="•"/>
      <w:numFmt w:val="bullet"/>
      <w:start w:val="1"/>
    </w:lvl>
    <w:lvl w:ilvl="1">
      <w:lvlJc w:val="left"/>
      <w:lvlText w:val="•"/>
      <w:numFmt w:val="bullet"/>
      <w:start w:val="1"/>
    </w:lvl>
  </w:abstractNum>
  <w:abstractNum w:abstractNumId="225">
    <w:nsid w:val="7BCFBAFC"/>
    <w:multiLevelType w:val="hybridMultilevel"/>
    <w:lvl w:ilvl="0">
      <w:lvlJc w:val="left"/>
      <w:lvlText w:val="•"/>
      <w:numFmt w:val="bullet"/>
      <w:start w:val="1"/>
    </w:lvl>
    <w:lvl w:ilvl="1">
      <w:lvlJc w:val="left"/>
      <w:lvlText w:val="•"/>
      <w:numFmt w:val="bullet"/>
      <w:start w:val="1"/>
    </w:lvl>
  </w:abstractNum>
  <w:abstractNum w:abstractNumId="226">
    <w:nsid w:val="17859F72"/>
    <w:multiLevelType w:val="hybridMultilevel"/>
    <w:lvl w:ilvl="0">
      <w:lvlJc w:val="left"/>
      <w:lvlText w:val="•"/>
      <w:numFmt w:val="bullet"/>
      <w:start w:val="1"/>
    </w:lvl>
  </w:abstractNum>
  <w:abstractNum w:abstractNumId="227">
    <w:nsid w:val="3AA10581"/>
    <w:multiLevelType w:val="hybridMultilevel"/>
    <w:lvl w:ilvl="0">
      <w:lvlJc w:val="left"/>
      <w:lvlText w:val="•"/>
      <w:numFmt w:val="bullet"/>
      <w:start w:val="1"/>
    </w:lvl>
  </w:abstractNum>
  <w:abstractNum w:abstractNumId="228">
    <w:nsid w:val="63DE60CD"/>
    <w:multiLevelType w:val="hybridMultilevel"/>
    <w:lvl w:ilvl="0">
      <w:lvlJc w:val="left"/>
      <w:lvlText w:val="•"/>
      <w:numFmt w:val="bullet"/>
      <w:start w:val="1"/>
    </w:lvl>
  </w:abstractNum>
  <w:abstractNum w:abstractNumId="229">
    <w:nsid w:val="621AF471"/>
    <w:multiLevelType w:val="hybridMultilevel"/>
    <w:lvl w:ilvl="0">
      <w:lvlJc w:val="left"/>
      <w:lvlText w:val="•"/>
      <w:numFmt w:val="bullet"/>
      <w:start w:val="1"/>
    </w:lvl>
  </w:abstractNum>
  <w:abstractNum w:abstractNumId="230">
    <w:nsid w:val="73CFE165"/>
    <w:multiLevelType w:val="hybridMultilevel"/>
    <w:lvl w:ilvl="0">
      <w:lvlJc w:val="left"/>
      <w:lvlText w:val="*"/>
      <w:numFmt w:val="bullet"/>
      <w:start w:val="1"/>
    </w:lvl>
  </w:abstractNum>
  <w:abstractNum w:abstractNumId="231">
    <w:nsid w:val="20F88EA6"/>
    <w:multiLevelType w:val="hybridMultilevel"/>
    <w:lvl w:ilvl="0">
      <w:lvlJc w:val="left"/>
      <w:lvlText w:val="(%1)"/>
      <w:numFmt w:val="decimal"/>
      <w:start w:val="1"/>
    </w:lvl>
    <w:lvl w:ilvl="1">
      <w:lvlJc w:val="left"/>
      <w:lvlText w:val="(%2)"/>
      <w:numFmt w:val="lowerRoman"/>
      <w:start w:val="3"/>
    </w:lvl>
  </w:abstractNum>
  <w:abstractNum w:abstractNumId="232">
    <w:nsid w:val="617C843E"/>
    <w:multiLevelType w:val="hybridMultilevel"/>
    <w:lvl w:ilvl="0">
      <w:lvlJc w:val="left"/>
      <w:lvlText w:val="%1"/>
      <w:numFmt w:val="decimal"/>
      <w:start w:val="1"/>
    </w:lvl>
    <w:lvl w:ilvl="1">
      <w:lvlJc w:val="left"/>
      <w:lvlText w:val="(%2)"/>
      <w:numFmt w:val="lowerRoman"/>
      <w:start w:val="1"/>
    </w:lvl>
  </w:abstractNum>
  <w:abstractNum w:abstractNumId="233">
    <w:nsid w:val="7B541FAB"/>
    <w:multiLevelType w:val="hybridMultilevel"/>
    <w:lvl w:ilvl="0">
      <w:lvlJc w:val="left"/>
      <w:lvlText w:val="(%1)"/>
      <w:numFmt w:val="decimal"/>
      <w:start w:val="3"/>
    </w:lvl>
  </w:abstractNum>
  <w:abstractNum w:abstractNumId="234">
    <w:nsid w:val="2A79EC49"/>
    <w:multiLevelType w:val="hybridMultilevel"/>
    <w:lvl w:ilvl="0">
      <w:lvlJc w:val="left"/>
      <w:lvlText w:val="(%1)"/>
      <w:numFmt w:val="decimal"/>
      <w:start w:val="1"/>
    </w:lvl>
  </w:abstractNum>
  <w:abstractNum w:abstractNumId="235">
    <w:nsid w:val="338125CF"/>
    <w:multiLevelType w:val="hybridMultilevel"/>
    <w:lvl w:ilvl="0">
      <w:lvlJc w:val="left"/>
      <w:lvlText w:val="•"/>
      <w:numFmt w:val="bullet"/>
      <w:start w:val="1"/>
    </w:lvl>
  </w:abstractNum>
  <w:abstractNum w:abstractNumId="236">
    <w:nsid w:val="47C7C971"/>
    <w:multiLevelType w:val="hybridMultilevel"/>
    <w:lvl w:ilvl="0">
      <w:lvlJc w:val="left"/>
      <w:lvlText w:val="*"/>
      <w:numFmt w:val="bullet"/>
      <w:start w:val="1"/>
    </w:lvl>
  </w:abstractNum>
  <w:abstractNum w:abstractNumId="237">
    <w:nsid w:val="46F8284B"/>
    <w:multiLevelType w:val="hybridMultilevel"/>
    <w:lvl w:ilvl="0">
      <w:lvlJc w:val="left"/>
      <w:lvlText w:val="(%1)"/>
      <w:numFmt w:val="decimal"/>
      <w:start w:val="1"/>
    </w:lvl>
  </w:abstractNum>
  <w:abstractNum w:abstractNumId="238">
    <w:nsid w:val="4FA327CE"/>
    <w:multiLevelType w:val="hybridMultilevel"/>
    <w:lvl w:ilvl="0">
      <w:lvlJc w:val="left"/>
      <w:lvlText w:val="(%1)"/>
      <w:numFmt w:val="decimal"/>
      <w:start w:val="4"/>
    </w:lvl>
  </w:abstractNum>
  <w:abstractNum w:abstractNumId="239">
    <w:nsid w:val="1873983A"/>
    <w:multiLevelType w:val="hybridMultilevel"/>
    <w:lvl w:ilvl="0">
      <w:lvlJc w:val="left"/>
      <w:lvlText w:val="(%1)"/>
      <w:numFmt w:val="decimal"/>
      <w:start w:val="1"/>
    </w:lvl>
  </w:abstractNum>
  <w:abstractNum w:abstractNumId="240">
    <w:nsid w:val="3D2DD275"/>
    <w:multiLevelType w:val="hybridMultilevel"/>
    <w:lvl w:ilvl="0">
      <w:lvlJc w:val="left"/>
      <w:lvlText w:val="(%1)"/>
      <w:numFmt w:val="lowerRoman"/>
      <w:start w:val="1"/>
    </w:lvl>
  </w:abstractNum>
  <w:abstractNum w:abstractNumId="241">
    <w:nsid w:val="2E17ECA7"/>
    <w:multiLevelType w:val="hybridMultilevel"/>
    <w:lvl w:ilvl="0">
      <w:lvlJc w:val="left"/>
      <w:lvlText w:val="(%1)"/>
      <w:numFmt w:val="lowerRoman"/>
      <w:start w:val="1"/>
    </w:lvl>
  </w:abstractNum>
  <w:abstractNum w:abstractNumId="242">
    <w:nsid w:val="53B2564F"/>
    <w:multiLevelType w:val="hybridMultilevel"/>
    <w:lvl w:ilvl="0">
      <w:lvlJc w:val="left"/>
      <w:lvlText w:val="(%1)"/>
      <w:numFmt w:val="lowerRoman"/>
      <w:start w:val="3"/>
    </w:lvl>
  </w:abstractNum>
  <w:abstractNum w:abstractNumId="243">
    <w:nsid w:val="75509D76"/>
    <w:multiLevelType w:val="hybridMultilevel"/>
    <w:lvl w:ilvl="0">
      <w:lvlJc w:val="left"/>
      <w:lvlText w:val="(%1)"/>
      <w:numFmt w:val="lowerLetter"/>
      <w:start w:val="25"/>
    </w:lvl>
  </w:abstractNum>
  <w:abstractNum w:abstractNumId="244">
    <w:nsid w:val="1AF7F0EA"/>
    <w:multiLevelType w:val="hybridMultilevel"/>
    <w:lvl w:ilvl="0">
      <w:lvlJc w:val="left"/>
      <w:lvlText w:val="(%1)"/>
      <w:numFmt w:val="lowerRoman"/>
      <w:start w:val="2"/>
    </w:lvl>
  </w:abstractNum>
  <w:abstractNum w:abstractNumId="245">
    <w:nsid w:val="4DA32C7E"/>
    <w:multiLevelType w:val="hybridMultilevel"/>
    <w:lvl w:ilvl="0">
      <w:lvlJc w:val="left"/>
      <w:lvlText w:val="(%1)"/>
      <w:numFmt w:val="lowerRoman"/>
      <w:start w:val="1"/>
    </w:lvl>
  </w:abstractNum>
  <w:abstractNum w:abstractNumId="246">
    <w:nsid w:val="6EC68664"/>
    <w:multiLevelType w:val="hybridMultilevel"/>
    <w:lvl w:ilvl="0">
      <w:lvlJc w:val="left"/>
      <w:lvlText w:val="(%1)"/>
      <w:numFmt w:val="lowerRoman"/>
      <w:start w:val="1"/>
    </w:lvl>
  </w:abstractNum>
  <w:abstractNum w:abstractNumId="247">
    <w:nsid w:val="E0D31FF"/>
    <w:multiLevelType w:val="hybridMultilevel"/>
    <w:lvl w:ilvl="0">
      <w:lvlJc w:val="left"/>
      <w:lvlText w:val="(%1)"/>
      <w:numFmt w:val="lowerRoman"/>
      <w:start w:val="1"/>
    </w:lvl>
  </w:abstractNum>
  <w:abstractNum w:abstractNumId="248">
    <w:nsid w:val="2FD0AD81"/>
    <w:multiLevelType w:val="hybridMultilevel"/>
    <w:lvl w:ilvl="0">
      <w:lvlJc w:val="left"/>
      <w:lvlText w:val="(%1)"/>
      <w:numFmt w:val="lowerRoman"/>
      <w:start w:val="1"/>
    </w:lvl>
  </w:abstractNum>
  <w:abstractNum w:abstractNumId="249">
    <w:nsid w:val="1978EBEB"/>
    <w:multiLevelType w:val="hybridMultilevel"/>
    <w:lvl w:ilvl="0">
      <w:lvlJc w:val="left"/>
      <w:lvlText w:val="(%1)"/>
      <w:numFmt w:val="lowerRoman"/>
      <w:start w:val="1"/>
    </w:lvl>
  </w:abstractNum>
  <w:abstractNum w:abstractNumId="250">
    <w:nsid w:val="52C12C61"/>
    <w:multiLevelType w:val="hybridMultilevel"/>
    <w:lvl w:ilvl="0">
      <w:lvlJc w:val="left"/>
      <w:lvlText w:val="(%1)"/>
      <w:numFmt w:val="lowerRoman"/>
      <w:start w:val="1"/>
    </w:lvl>
  </w:abstractNum>
  <w:abstractNum w:abstractNumId="251">
    <w:nsid w:val="4BDD53FD"/>
    <w:multiLevelType w:val="hybridMultilevel"/>
    <w:lvl w:ilvl="0">
      <w:lvlJc w:val="left"/>
      <w:lvlText w:val="•"/>
      <w:numFmt w:val="bullet"/>
      <w:start w:val="1"/>
    </w:lvl>
  </w:abstractNum>
  <w:abstractNum w:abstractNumId="252">
    <w:nsid w:val="569951FE"/>
    <w:multiLevelType w:val="hybridMultilevel"/>
    <w:lvl w:ilvl="0">
      <w:lvlJc w:val="left"/>
      <w:lvlText w:val="•"/>
      <w:numFmt w:val="bullet"/>
      <w:start w:val="1"/>
    </w:lvl>
  </w:abstractNum>
  <w:abstractNum w:abstractNumId="253">
    <w:nsid w:val="4C54E2C3"/>
    <w:multiLevelType w:val="hybridMultilevel"/>
    <w:lvl w:ilvl="0">
      <w:lvlJc w:val="left"/>
      <w:lvlText w:val="(%1)"/>
      <w:numFmt w:val="lowerRoman"/>
      <w:start w:val="1"/>
    </w:lvl>
  </w:abstractNum>
  <w:abstractNum w:abstractNumId="254">
    <w:nsid w:val="788BD9B"/>
    <w:multiLevelType w:val="hybridMultilevel"/>
    <w:lvl w:ilvl="0">
      <w:lvlJc w:val="left"/>
      <w:lvlText w:val="(%1)"/>
      <w:numFmt w:val="upperLetter"/>
      <w:start w:val="6"/>
    </w:lvl>
  </w:abstractNum>
  <w:abstractNum w:abstractNumId="255">
    <w:nsid w:val="47CAA567"/>
    <w:multiLevelType w:val="hybridMultilevel"/>
    <w:lvl w:ilvl="0">
      <w:lvlJc w:val="left"/>
      <w:lvlText w:val="(%1)"/>
      <w:numFmt w:val="lowerRoman"/>
      <w:start w:val="3"/>
    </w:lvl>
  </w:abstractNum>
  <w:abstractNum w:abstractNumId="256">
    <w:nsid w:val="48249DBF"/>
    <w:multiLevelType w:val="hybridMultilevel"/>
    <w:lvl w:ilvl="0">
      <w:lvlJc w:val="left"/>
      <w:lvlText w:val="(%1)"/>
      <w:numFmt w:val="lowerLetter"/>
      <w:start w:val="2"/>
    </w:lvl>
  </w:abstractNum>
  <w:abstractNum w:abstractNumId="257">
    <w:nsid w:val="1F0E5D0D"/>
    <w:multiLevelType w:val="hybridMultilevel"/>
    <w:lvl w:ilvl="0">
      <w:lvlJc w:val="left"/>
      <w:lvlText w:val="(%1)"/>
      <w:numFmt w:val="lowerLetter"/>
      <w:start w:val="2"/>
    </w:lvl>
  </w:abstractNum>
  <w:abstractNum w:abstractNumId="258">
    <w:nsid w:val="26BAAE9"/>
    <w:multiLevelType w:val="hybridMultilevel"/>
    <w:lvl w:ilvl="0">
      <w:lvlJc w:val="left"/>
      <w:lvlText w:val="(%1)"/>
      <w:numFmt w:val="lowerLetter"/>
      <w:start w:val="4"/>
    </w:lvl>
  </w:abstractNum>
  <w:abstractNum w:abstractNumId="259">
    <w:nsid w:val="2C02FE8C"/>
    <w:multiLevelType w:val="hybridMultilevel"/>
    <w:lvl w:ilvl="0">
      <w:lvlJc w:val="left"/>
      <w:lvlText w:val="(%1)"/>
      <w:numFmt w:val="lowerLetter"/>
      <w:start w:val="1"/>
    </w:lvl>
  </w:abstractNum>
  <w:abstractNum w:abstractNumId="260">
    <w:nsid w:val="129517E"/>
    <w:multiLevelType w:val="hybridMultilevel"/>
    <w:lvl w:ilvl="0">
      <w:lvlJc w:val="left"/>
      <w:lvlText w:val="(%1)"/>
      <w:numFmt w:val="lowerLetter"/>
      <w:start w:val="2"/>
    </w:lvl>
  </w:abstractNum>
  <w:abstractNum w:abstractNumId="261">
    <w:nsid w:val="763B8C4E"/>
    <w:multiLevelType w:val="hybridMultilevel"/>
    <w:lvl w:ilvl="0">
      <w:lvlJc w:val="left"/>
      <w:lvlText w:val="(%1)"/>
      <w:numFmt w:val="lowerLetter"/>
      <w:start w:val="4"/>
    </w:lvl>
  </w:abstractNum>
  <w:abstractNum w:abstractNumId="262">
    <w:nsid w:val="4CFB8D32"/>
    <w:multiLevelType w:val="hybridMultilevel"/>
    <w:lvl w:ilvl="0">
      <w:lvlJc w:val="left"/>
      <w:lvlText w:val="(%1)"/>
      <w:numFmt w:val="lowerLetter"/>
      <w:start w:val="2"/>
    </w:lvl>
  </w:abstractNum>
  <w:abstractNum w:abstractNumId="263">
    <w:nsid w:val="62A5D5B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64">
    <w:nsid w:val="718FABF9"/>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265">
    <w:nsid w:val="7775797C"/>
    <w:multiLevelType w:val="hybridMultilevel"/>
    <w:lvl w:ilvl="0">
      <w:lvlJc w:val="left"/>
      <w:lvlText w:val="(%1)"/>
      <w:numFmt w:val="lowerLetter"/>
      <w:start w:val="6"/>
    </w:lvl>
  </w:abstractNum>
  <w:abstractNum w:abstractNumId="266">
    <w:nsid w:val="1626FB8C"/>
    <w:multiLevelType w:val="hybridMultilevel"/>
    <w:lvl w:ilvl="0">
      <w:lvlJc w:val="left"/>
      <w:lvlText w:val="%1"/>
      <w:numFmt w:val="lowerLetter"/>
      <w:start w:val="1"/>
    </w:lvl>
    <w:lvl w:ilvl="1">
      <w:lvlJc w:val="left"/>
      <w:lvlText w:val="(%2)"/>
      <w:numFmt w:val="lowerLetter"/>
      <w:start w:val="2"/>
    </w:lvl>
  </w:abstractNum>
  <w:abstractNum w:abstractNumId="267">
    <w:nsid w:val="3957756A"/>
    <w:multiLevelType w:val="hybridMultilevel"/>
    <w:lvl w:ilvl="0">
      <w:lvlJc w:val="left"/>
      <w:lvlText w:val="(%1)"/>
      <w:numFmt w:val="lowerLetter"/>
      <w:start w:val="35"/>
    </w:lvl>
    <w:lvl w:ilvl="1">
      <w:lvlJc w:val="left"/>
      <w:lvlText w:val="%2"/>
      <w:numFmt w:val="lowerLetter"/>
      <w:start w:val="1"/>
    </w:lvl>
  </w:abstractNum>
  <w:abstractNum w:abstractNumId="268">
    <w:nsid w:val="3E6DA1C7"/>
    <w:multiLevelType w:val="hybridMultilevel"/>
    <w:lvl w:ilvl="0">
      <w:lvlJc w:val="left"/>
      <w:lvlText w:val="(%1)"/>
      <w:numFmt w:val="lowerRoman"/>
      <w:start w:val="7"/>
    </w:lvl>
  </w:abstractNum>
  <w:abstractNum w:abstractNumId="269">
    <w:nsid w:val="65CA235B"/>
    <w:multiLevelType w:val="hybridMultilevel"/>
    <w:lvl w:ilvl="0">
      <w:lvlJc w:val="left"/>
      <w:lvlText w:val="%1"/>
      <w:numFmt w:val="lowerLetter"/>
      <w:start w:val="1"/>
    </w:lvl>
    <w:lvl w:ilvl="1">
      <w:lvlJc w:val="left"/>
      <w:lvlText w:val="(%2)"/>
      <w:numFmt w:val="lowerLetter"/>
      <w:start w:val="2"/>
    </w:lvl>
  </w:abstractNum>
  <w:abstractNum w:abstractNumId="270">
    <w:nsid w:val="51CB0DA4"/>
    <w:multiLevelType w:val="hybridMultilevel"/>
    <w:lvl w:ilvl="0">
      <w:lvlJc w:val="left"/>
      <w:lvlText w:val="(%1)"/>
      <w:numFmt w:val="lowerLetter"/>
      <w:start w:val="61"/>
    </w:lvl>
    <w:lvl w:ilvl="1">
      <w:lvlJc w:val="left"/>
      <w:lvlText w:val="%2"/>
      <w:numFmt w:val="lowerLetter"/>
      <w:start w:val="1"/>
    </w:lvl>
  </w:abstractNum>
  <w:abstractNum w:abstractNumId="271">
    <w:nsid w:val="7B9B743C"/>
    <w:multiLevelType w:val="hybridMultilevel"/>
    <w:lvl w:ilvl="0">
      <w:lvlJc w:val="left"/>
      <w:lvlText w:val="%1"/>
      <w:numFmt w:val="lowerLetter"/>
      <w:start w:val="1"/>
    </w:lvl>
    <w:lvl w:ilvl="1">
      <w:lvlJc w:val="left"/>
      <w:lvlText w:val="(%2)"/>
      <w:numFmt w:val="lowerLetter"/>
      <w:start w:val="2"/>
    </w:lvl>
  </w:abstractNum>
  <w:abstractNum w:abstractNumId="272">
    <w:nsid w:val="13E21002"/>
    <w:multiLevelType w:val="hybridMultilevel"/>
    <w:lvl w:ilvl="0">
      <w:lvlJc w:val="left"/>
      <w:lvlText w:val="(%1)"/>
      <w:numFmt w:val="lowerLetter"/>
      <w:start w:val="35"/>
    </w:lvl>
    <w:lvl w:ilvl="1">
      <w:lvlJc w:val="left"/>
      <w:lvlText w:val="%2"/>
      <w:numFmt w:val="lowerLetter"/>
      <w:start w:val="1"/>
    </w:lvl>
  </w:abstractNum>
  <w:abstractNum w:abstractNumId="273">
    <w:nsid w:val="257D63F4"/>
    <w:multiLevelType w:val="hybridMultilevel"/>
    <w:lvl w:ilvl="0">
      <w:lvlJc w:val="left"/>
      <w:lvlText w:val="(%1)"/>
      <w:numFmt w:val="lowerLetter"/>
      <w:start w:val="9"/>
    </w:lvl>
    <w:lvl w:ilvl="1">
      <w:lvlJc w:val="left"/>
      <w:lvlText w:val="%2"/>
      <w:numFmt w:val="lowerLetter"/>
      <w:start w:val="1"/>
    </w:lvl>
  </w:abstractNum>
  <w:abstractNum w:abstractNumId="274">
    <w:nsid w:val="70EC11B2"/>
    <w:multiLevelType w:val="hybridMultilevel"/>
    <w:lvl w:ilvl="0">
      <w:lvlJc w:val="left"/>
      <w:lvlText w:val="(%1)"/>
      <w:numFmt w:val="lowerLetter"/>
      <w:start w:val="3"/>
    </w:lvl>
  </w:abstractNum>
  <w:abstractNum w:abstractNumId="275">
    <w:nsid w:val="2EDA00ED"/>
    <w:multiLevelType w:val="hybridMultilevel"/>
    <w:lvl w:ilvl="0">
      <w:lvlJc w:val="left"/>
      <w:lvlText w:val="(%1)"/>
      <w:numFmt w:val="lowerLetter"/>
      <w:start w:val="2"/>
    </w:lvl>
  </w:abstractNum>
  <w:abstractNum w:abstractNumId="276">
    <w:nsid w:val="73209072"/>
    <w:multiLevelType w:val="hybridMultilevel"/>
    <w:lvl w:ilvl="0">
      <w:lvlJc w:val="left"/>
      <w:lvlText w:val="(%1)"/>
      <w:numFmt w:val="lowerLetter"/>
      <w:start w:val="8"/>
    </w:lvl>
  </w:abstractNum>
  <w:abstractNum w:abstractNumId="277">
    <w:nsid w:val="5FB29816"/>
    <w:multiLevelType w:val="hybridMultilevel"/>
    <w:lvl w:ilvl="0">
      <w:lvlJc w:val="left"/>
      <w:lvlText w:val="(%1)"/>
      <w:numFmt w:val="lowerLetter"/>
      <w:start w:val="2"/>
    </w:lvl>
  </w:abstractNum>
  <w:abstractNum w:abstractNumId="278">
    <w:nsid w:val="3CE732EC"/>
    <w:multiLevelType w:val="hybridMultilevel"/>
    <w:lvl w:ilvl="0">
      <w:lvlJc w:val="left"/>
      <w:lvlText w:val="(%1)"/>
      <w:numFmt w:val="lowerLetter"/>
      <w:start w:val="1"/>
    </w:lvl>
  </w:abstractNum>
  <w:abstractNum w:abstractNumId="279">
    <w:nsid w:val="22F13DF3"/>
    <w:multiLevelType w:val="hybridMultilevel"/>
    <w:lvl w:ilvl="0">
      <w:lvlJc w:val="left"/>
      <w:lvlText w:val="(%1)"/>
      <w:numFmt w:val="lowerLetter"/>
      <w:start w:val="2"/>
    </w:lvl>
  </w:abstractNum>
  <w:abstractNum w:abstractNumId="280">
    <w:nsid w:val="792B8401"/>
    <w:multiLevelType w:val="hybridMultilevel"/>
    <w:lvl w:ilvl="0">
      <w:lvlJc w:val="left"/>
      <w:lvlText w:val="%1"/>
      <w:numFmt w:val="lowerLetter"/>
      <w:start w:val="1"/>
    </w:lvl>
    <w:lvl w:ilvl="1">
      <w:lvlJc w:val="left"/>
      <w:lvlText w:val="(%2)"/>
      <w:numFmt w:val="lowerLetter"/>
      <w:start w:val="2"/>
    </w:lvl>
  </w:abstractNum>
  <w:abstractNum w:abstractNumId="281">
    <w:nsid w:val="FA85F4D"/>
    <w:multiLevelType w:val="hybridMultilevel"/>
    <w:lvl w:ilvl="0">
      <w:lvlJc w:val="left"/>
      <w:lvlText w:val="(%1)"/>
      <w:numFmt w:val="lowerLetter"/>
      <w:start w:val="35"/>
    </w:lvl>
    <w:lvl w:ilvl="1">
      <w:lvlJc w:val="left"/>
      <w:lvlText w:val="%2"/>
      <w:numFmt w:val="lowerLetter"/>
      <w:start w:val="1"/>
    </w:lvl>
  </w:abstractNum>
  <w:abstractNum w:abstractNumId="282">
    <w:nsid w:val="6ECE91F0"/>
    <w:multiLevelType w:val="hybridMultilevel"/>
    <w:lvl w:ilvl="0">
      <w:lvlJc w:val="left"/>
      <w:lvlText w:val="(%1)"/>
      <w:numFmt w:val="lowerLetter"/>
      <w:start w:val="9"/>
    </w:lvl>
    <w:lvl w:ilvl="1">
      <w:lvlJc w:val="left"/>
      <w:lvlText w:val="(%2)"/>
      <w:numFmt w:val="lowerLetter"/>
      <w:start w:val="2"/>
    </w:lvl>
  </w:abstractNum>
  <w:abstractNum w:abstractNumId="283">
    <w:nsid w:val="4FC4D600"/>
    <w:multiLevelType w:val="hybridMultilevel"/>
    <w:lvl w:ilvl="0">
      <w:lvlJc w:val="left"/>
      <w:lvlText w:val="(%1)"/>
      <w:numFmt w:val="lowerLetter"/>
      <w:start w:val="1"/>
    </w:lvl>
  </w:abstractNum>
  <w:abstractNum w:abstractNumId="284">
    <w:nsid w:val="5BFD4210"/>
    <w:multiLevelType w:val="hybridMultilevel"/>
    <w:lvl w:ilvl="0">
      <w:lvlJc w:val="left"/>
      <w:lvlText w:val="(%1)"/>
      <w:numFmt w:val="lowerRoman"/>
      <w:start w:val="2"/>
    </w:lvl>
  </w:abstractNum>
  <w:abstractNum w:abstractNumId="285">
    <w:nsid w:val="76574F8B"/>
    <w:multiLevelType w:val="hybridMultilevel"/>
    <w:lvl w:ilvl="0">
      <w:lvlJc w:val="left"/>
      <w:lvlText w:val="%1"/>
      <w:numFmt w:val="lowerLetter"/>
      <w:start w:val="1"/>
    </w:lvl>
    <w:lvl w:ilvl="1">
      <w:lvlJc w:val="left"/>
      <w:lvlText w:val="(%2)"/>
      <w:numFmt w:val="lowerRoman"/>
      <w:start w:val="3"/>
    </w:lvl>
  </w:abstractNum>
  <w:abstractNum w:abstractNumId="286">
    <w:nsid w:val="178F7B67"/>
    <w:multiLevelType w:val="hybridMultilevel"/>
    <w:lvl w:ilvl="0">
      <w:lvlJc w:val="left"/>
      <w:lvlText w:val="(%1)"/>
      <w:numFmt w:val="lowerLetter"/>
      <w:start w:val="2"/>
    </w:lvl>
    <w:lvl w:ilvl="1">
      <w:lvlJc w:val="left"/>
      <w:lvlText w:val="%2"/>
      <w:numFmt w:val="lowerRoman"/>
      <w:start w:val="1"/>
    </w:lvl>
  </w:abstractNum>
  <w:abstractNum w:abstractNumId="287">
    <w:nsid w:val="2421DFCF"/>
    <w:multiLevelType w:val="hybridMultilevel"/>
    <w:lvl w:ilvl="0">
      <w:lvlJc w:val="left"/>
      <w:lvlText w:val="%1)"/>
      <w:numFmt w:val="decimal"/>
      <w:start w:val="990"/>
    </w:lvl>
    <w:lvl w:ilvl="1">
      <w:lvlJc w:val="left"/>
      <w:lvlText w:val="(%2)"/>
      <w:numFmt w:val="lowerLetter"/>
      <w:start w:val="2"/>
    </w:lvl>
  </w:abstractNum>
  <w:abstractNum w:abstractNumId="288">
    <w:nsid w:val="1565AC99"/>
    <w:multiLevelType w:val="hybridMultilevel"/>
    <w:lvl w:ilvl="0">
      <w:lvlJc w:val="left"/>
      <w:lvlText w:val="(%1)"/>
      <w:numFmt w:val="lowerLetter"/>
      <w:start w:val="3"/>
    </w:lvl>
  </w:abstractNum>
  <w:abstractNum w:abstractNumId="289">
    <w:nsid w:val="19FB2650"/>
    <w:multiLevelType w:val="hybridMultilevel"/>
    <w:lvl w:ilvl="0">
      <w:lvlJc w:val="left"/>
      <w:lvlText w:val="(%1)"/>
      <w:numFmt w:val="lowerLetter"/>
      <w:start w:val="11"/>
    </w:lvl>
  </w:abstractNum>
  <w:abstractNum w:abstractNumId="290">
    <w:nsid w:val="5024DE5B"/>
    <w:multiLevelType w:val="hybridMultilevel"/>
    <w:lvl w:ilvl="0">
      <w:lvlJc w:val="left"/>
      <w:lvlText w:val="(%1)"/>
      <w:numFmt w:val="lowerLetter"/>
      <w:start w:val="2"/>
    </w:lvl>
  </w:abstractNum>
  <w:abstractNum w:abstractNumId="291">
    <w:nsid w:val="168EFE17"/>
    <w:multiLevelType w:val="hybridMultilevel"/>
    <w:lvl w:ilvl="0">
      <w:lvlJc w:val="left"/>
      <w:lvlText w:val="%1"/>
      <w:numFmt w:val="decimal"/>
      <w:start w:val="1"/>
    </w:lvl>
    <w:lvl w:ilvl="1">
      <w:lvlJc w:val="left"/>
      <w:lvlText w:val="(%2)"/>
      <w:numFmt w:val="lowerRoman"/>
      <w:start w:val="1"/>
    </w:lvl>
  </w:abstractNum>
  <w:abstractNum w:abstractNumId="292">
    <w:nsid w:val="1036B29F"/>
    <w:multiLevelType w:val="hybridMultilevel"/>
    <w:lvl w:ilvl="0">
      <w:lvlJc w:val="left"/>
      <w:lvlText w:val="(%1)"/>
      <w:numFmt w:val="decimal"/>
      <w:start w:val="3"/>
    </w:lvl>
    <w:lvl w:ilvl="1">
      <w:lvlJc w:val="left"/>
      <w:lvlText w:val="(%2)"/>
      <w:numFmt w:val="lowerRoman"/>
      <w:start w:val="2"/>
    </w:lvl>
  </w:abstractNum>
  <w:abstractNum w:abstractNumId="293">
    <w:nsid w:val="1D206B8E"/>
    <w:multiLevelType w:val="hybridMultilevel"/>
    <w:lvl w:ilvl="0">
      <w:lvlJc w:val="left"/>
      <w:lvlText w:val="(%1)"/>
      <w:numFmt w:val="lowerRoman"/>
      <w:start w:val="4"/>
    </w:lvl>
  </w:abstractNum>
  <w:abstractNum w:abstractNumId="294">
    <w:nsid w:val="7934D3D4"/>
    <w:multiLevelType w:val="hybridMultilevel"/>
    <w:lvl w:ilvl="0">
      <w:lvlJc w:val="left"/>
      <w:lvlText w:val="(%1)"/>
      <w:numFmt w:val="lowerLetter"/>
      <w:start w:val="2"/>
    </w:lvl>
  </w:abstractNum>
  <w:abstractNum w:abstractNumId="295">
    <w:nsid w:val="1C65E98"/>
    <w:multiLevelType w:val="hybridMultilevel"/>
    <w:lvl w:ilvl="0">
      <w:lvlJc w:val="left"/>
      <w:lvlText w:val="(%1)"/>
      <w:numFmt w:val="lowerLetter"/>
      <w:start w:val="2"/>
    </w:lvl>
  </w:abstractNum>
  <w:abstractNum w:abstractNumId="296">
    <w:nsid w:val="1495E50A"/>
    <w:multiLevelType w:val="hybridMultilevel"/>
    <w:lvl w:ilvl="0">
      <w:lvlJc w:val="left"/>
      <w:lvlText w:val="(%1)"/>
      <w:numFmt w:val="lowerLetter"/>
      <w:start w:val="2"/>
    </w:lvl>
  </w:abstractNum>
  <w:abstractNum w:abstractNumId="297">
    <w:nsid w:val="F5BCF61"/>
    <w:multiLevelType w:val="hybridMultilevel"/>
    <w:lvl w:ilvl="0">
      <w:lvlJc w:val="left"/>
      <w:lvlText w:val="(%1)"/>
      <w:numFmt w:val="lowerLetter"/>
      <w:start w:val="2"/>
    </w:lvl>
  </w:abstractNum>
  <w:abstractNum w:abstractNumId="298">
    <w:nsid w:val="3B1DD403"/>
    <w:multiLevelType w:val="hybridMultilevel"/>
    <w:lvl w:ilvl="0">
      <w:lvlJc w:val="left"/>
      <w:lvlText w:val="(%1)"/>
      <w:numFmt w:val="upperLetter"/>
      <w:start w:val="2"/>
    </w:lvl>
    <w:lvl w:ilvl="1">
      <w:lvlJc w:val="left"/>
      <w:lvlText w:val="%2"/>
      <w:numFmt w:val="lowerLetter"/>
      <w:start w:val="1"/>
    </w:lvl>
  </w:abstractNum>
  <w:abstractNum w:abstractNumId="299">
    <w:nsid w:val="530386D1"/>
    <w:multiLevelType w:val="hybridMultilevel"/>
    <w:lvl w:ilvl="0">
      <w:lvlJc w:val="left"/>
      <w:lvlText w:val="(%1)"/>
      <w:numFmt w:val="upperLetter"/>
      <w:start w:val="6"/>
    </w:lvl>
    <w:lvl w:ilvl="1">
      <w:lvlJc w:val="left"/>
      <w:lvlText w:val="(%2)"/>
      <w:numFmt w:val="lowerLetter"/>
      <w:start w:val="2"/>
    </w:lvl>
  </w:abstractNum>
  <w:abstractNum w:abstractNumId="300">
    <w:nsid w:val="7525F2BC"/>
    <w:multiLevelType w:val="hybridMultilevel"/>
    <w:lvl w:ilvl="0">
      <w:lvlJc w:val="left"/>
      <w:lvlText w:val="(%1)"/>
      <w:numFmt w:val="lowerLetter"/>
      <w:start w:val="3"/>
    </w:lvl>
  </w:abstractNum>
  <w:abstractNum w:abstractNumId="301">
    <w:nsid w:val="CE8E1A7"/>
    <w:multiLevelType w:val="hybridMultilevel"/>
    <w:lvl w:ilvl="0">
      <w:lvlJc w:val="left"/>
      <w:lvlText w:val="(%1)"/>
      <w:numFmt w:val="lowerLetter"/>
      <w:start w:val="2"/>
    </w:lvl>
  </w:abstractNum>
  <w:abstractNum w:abstractNumId="302">
    <w:nsid w:val="4E9EFB0D"/>
    <w:multiLevelType w:val="hybridMultilevel"/>
    <w:lvl w:ilvl="0">
      <w:lvlJc w:val="left"/>
      <w:lvlText w:val="(%1)"/>
      <w:numFmt w:val="lowerLetter"/>
      <w:start w:val="2"/>
    </w:lvl>
  </w:abstractNum>
  <w:abstractNum w:abstractNumId="303">
    <w:nsid w:val="90802BE"/>
    <w:multiLevelType w:val="hybridMultilevel"/>
    <w:lvl w:ilvl="0">
      <w:lvlJc w:val="left"/>
      <w:lvlText w:val="(%1)"/>
      <w:numFmt w:val="lowerLetter"/>
      <w:start w:val="3"/>
    </w:lvl>
  </w:abstractNum>
  <w:abstractNum w:abstractNumId="304">
    <w:nsid w:val="3266459B"/>
    <w:multiLevelType w:val="hybridMultilevel"/>
    <w:lvl w:ilvl="0">
      <w:lvlJc w:val="left"/>
      <w:lvlText w:val="(%1)"/>
      <w:numFmt w:val="lowerLetter"/>
      <w:start w:val="1"/>
    </w:lvl>
  </w:abstractNum>
  <w:abstractNum w:abstractNumId="305">
    <w:nsid w:val="3F8B0CBF"/>
    <w:multiLevelType w:val="hybridMultilevel"/>
    <w:lvl w:ilvl="0">
      <w:lvlJc w:val="left"/>
      <w:lvlText w:val="(%1)"/>
      <w:numFmt w:val="lowerLetter"/>
      <w:start w:val="2"/>
    </w:lvl>
  </w:abstractNum>
  <w:abstractNum w:abstractNumId="306">
    <w:nsid w:val="37E203AB"/>
    <w:multiLevelType w:val="hybridMultilevel"/>
    <w:lvl w:ilvl="0">
      <w:lvlJc w:val="left"/>
      <w:lvlText w:val="(%1)"/>
      <w:numFmt w:val="lowerLetter"/>
      <w:start w:val="1"/>
    </w:lvl>
    <w:lvl w:ilvl="1">
      <w:lvlJc w:val="left"/>
      <w:lvlText w:val="(%2)"/>
      <w:numFmt w:val="lowerRoman"/>
      <w:start w:val="2"/>
    </w:lvl>
  </w:abstractNum>
  <w:abstractNum w:abstractNumId="307">
    <w:nsid w:val="2586D60E"/>
    <w:multiLevelType w:val="hybridMultilevel"/>
    <w:lvl w:ilvl="0">
      <w:lvlJc w:val="left"/>
      <w:lvlText w:val="(%1)"/>
      <w:numFmt w:val="lowerLetter"/>
      <w:start w:val="2"/>
    </w:lvl>
  </w:abstractNum>
  <w:abstractNum w:abstractNumId="308">
    <w:nsid w:val="1F3DA4D5"/>
    <w:multiLevelType w:val="hybridMultilevel"/>
    <w:lvl w:ilvl="0">
      <w:lvlJc w:val="left"/>
      <w:lvlText w:val="(%1)"/>
      <w:numFmt w:val="lowerLetter"/>
      <w:start w:val="1"/>
    </w:lvl>
  </w:abstractNum>
  <w:abstractNum w:abstractNumId="309">
    <w:nsid w:val="74C93698"/>
    <w:multiLevelType w:val="hybridMultilevel"/>
    <w:lvl w:ilvl="0">
      <w:lvlJc w:val="left"/>
      <w:lvlText w:val="%1"/>
      <w:numFmt w:val="lowerLetter"/>
      <w:start w:val="1"/>
    </w:lvl>
    <w:lvl w:ilvl="1">
      <w:lvlJc w:val="left"/>
      <w:lvlText w:val="(%2)"/>
      <w:numFmt w:val="lowerLetter"/>
      <w:start w:val="3"/>
    </w:lvl>
  </w:abstractNum>
  <w:abstractNum w:abstractNumId="310">
    <w:nsid w:val="48781401"/>
    <w:multiLevelType w:val="hybridMultilevel"/>
    <w:lvl w:ilvl="0">
      <w:lvlJc w:val="left"/>
      <w:lvlText w:val="(%1)"/>
      <w:numFmt w:val="lowerLetter"/>
      <w:start w:val="35"/>
    </w:lvl>
    <w:lvl w:ilvl="1">
      <w:lvlJc w:val="left"/>
      <w:lvlText w:val="(%2)"/>
      <w:numFmt w:val="lowerLetter"/>
      <w:start w:val="6"/>
    </w:lvl>
  </w:abstractNum>
  <w:abstractNum w:abstractNumId="311">
    <w:nsid w:val="186928D6"/>
    <w:multiLevelType w:val="hybridMultilevel"/>
    <w:lvl w:ilvl="0">
      <w:lvlJc w:val="left"/>
      <w:lvlText w:val="%1"/>
      <w:numFmt w:val="lowerLetter"/>
      <w:start w:val="1"/>
    </w:lvl>
    <w:lvl w:ilvl="1">
      <w:lvlJc w:val="left"/>
      <w:lvlText w:val="(%2)"/>
      <w:numFmt w:val="lowerLetter"/>
      <w:start w:val="11"/>
    </w:lvl>
  </w:abstractNum>
  <w:abstractNum w:abstractNumId="312">
    <w:nsid w:val="47195E5"/>
    <w:multiLevelType w:val="hybridMultilevel"/>
    <w:lvl w:ilvl="0">
      <w:lvlJc w:val="left"/>
      <w:lvlText w:val="(%1)"/>
      <w:numFmt w:val="lowerLetter"/>
      <w:start w:val="35"/>
    </w:lvl>
    <w:lvl w:ilvl="1">
      <w:lvlJc w:val="left"/>
      <w:lvlText w:val="(%2)"/>
      <w:numFmt w:val="lowerLetter"/>
      <w:start w:val="15"/>
    </w:lvl>
  </w:abstractNum>
  <w:abstractNum w:abstractNumId="313">
    <w:nsid w:val="3746A5F2"/>
    <w:multiLevelType w:val="hybridMultilevel"/>
    <w:lvl w:ilvl="0">
      <w:lvlJc w:val="left"/>
      <w:lvlText w:val="(%1)"/>
      <w:numFmt w:val="lowerRoman"/>
      <w:start w:val="1"/>
    </w:lvl>
  </w:abstractNum>
  <w:abstractNum w:abstractNumId="314">
    <w:nsid w:val="682DFED6"/>
    <w:multiLevelType w:val="hybridMultilevel"/>
    <w:lvl w:ilvl="0">
      <w:lvlJc w:val="left"/>
      <w:lvlText w:val="(%1)"/>
      <w:numFmt w:val="lowerRoman"/>
      <w:start w:val="2"/>
    </w:lvl>
  </w:abstractNum>
  <w:abstractNum w:abstractNumId="315">
    <w:nsid w:val="606ED7F6"/>
    <w:multiLevelType w:val="hybridMultilevel"/>
    <w:lvl w:ilvl="0">
      <w:lvlJc w:val="left"/>
      <w:lvlText w:val="(%1)"/>
      <w:numFmt w:val="lowerLetter"/>
      <w:start w:val="2"/>
    </w:lvl>
    <w:lvl w:ilvl="1">
      <w:lvlJc w:val="left"/>
      <w:lvlText w:val="(%2)"/>
      <w:numFmt w:val="lowerRoman"/>
      <w:start w:val="1"/>
    </w:lvl>
  </w:abstractNum>
  <w:abstractNum w:abstractNumId="316">
    <w:nsid w:val="2D9DF57D"/>
    <w:multiLevelType w:val="hybridMultilevel"/>
    <w:lvl w:ilvl="0">
      <w:lvlJc w:val="left"/>
      <w:lvlText w:val="(%1)"/>
      <w:numFmt w:val="lowerLetter"/>
      <w:start w:val="3"/>
    </w:lvl>
  </w:abstractNum>
  <w:abstractNum w:abstractNumId="317">
    <w:nsid w:val="7FBD7A3E"/>
    <w:multiLevelType w:val="hybridMultilevel"/>
    <w:lvl w:ilvl="0">
      <w:lvlJc w:val="left"/>
      <w:lvlText w:val="(%1)"/>
      <w:numFmt w:val="lowerLetter"/>
      <w:start w:val="4"/>
    </w:lvl>
  </w:abstractNum>
  <w:abstractNum w:abstractNumId="318">
    <w:nsid w:val="490B7C5"/>
    <w:multiLevelType w:val="hybridMultilevel"/>
    <w:lvl w:ilvl="0">
      <w:lvlJc w:val="left"/>
      <w:lvlText w:val="(%1)"/>
      <w:numFmt w:val="lowerLetter"/>
      <w:start w:val="2"/>
    </w:lvl>
  </w:abstractNum>
  <w:abstractNum w:abstractNumId="319">
    <w:nsid w:val="4303A216"/>
    <w:multiLevelType w:val="hybridMultilevel"/>
    <w:lvl w:ilvl="0">
      <w:lvlJc w:val="left"/>
      <w:lvlText w:val="(%1)"/>
      <w:numFmt w:val="lowerLetter"/>
      <w:start w:val="1"/>
    </w:lvl>
  </w:abstractNum>
  <w:abstractNum w:abstractNumId="320">
    <w:nsid w:val="19B8A08E"/>
    <w:multiLevelType w:val="hybridMultilevel"/>
    <w:lvl w:ilvl="0">
      <w:lvlJc w:val="left"/>
      <w:lvlText w:val="(%1)"/>
      <w:numFmt w:val="lowerLetter"/>
      <w:start w:val="2"/>
    </w:lvl>
  </w:abstractNum>
  <w:abstractNum w:abstractNumId="321">
    <w:nsid w:val="54B59621"/>
    <w:multiLevelType w:val="hybridMultilevel"/>
    <w:lvl w:ilvl="0">
      <w:lvlJc w:val="left"/>
      <w:lvlText w:val="(%1)"/>
      <w:numFmt w:val="lowerLetter"/>
      <w:start w:val="3"/>
    </w:lvl>
  </w:abstractNum>
  <w:abstractNum w:abstractNumId="322">
    <w:nsid w:val="5992A02E"/>
    <w:multiLevelType w:val="hybridMultilevel"/>
    <w:lvl w:ilvl="0">
      <w:lvlJc w:val="left"/>
      <w:lvlText w:val="(%1)"/>
      <w:numFmt w:val="decimal"/>
      <w:start w:val="2"/>
    </w:lvl>
  </w:abstractNum>
  <w:abstractNum w:abstractNumId="323">
    <w:nsid w:val="29EF532D"/>
    <w:multiLevelType w:val="hybridMultilevel"/>
    <w:lvl w:ilvl="0">
      <w:lvlJc w:val="left"/>
      <w:lvlText w:val="(%1)"/>
      <w:numFmt w:val="lowerLetter"/>
      <w:start w:val="2"/>
    </w:lvl>
  </w:abstractNum>
  <w:abstractNum w:abstractNumId="324">
    <w:nsid w:val="71D601AF"/>
    <w:multiLevelType w:val="hybridMultilevel"/>
    <w:lvl w:ilvl="0">
      <w:lvlJc w:val="left"/>
      <w:lvlText w:val="(%1)"/>
      <w:numFmt w:val="lowerLetter"/>
      <w:start w:val="2"/>
    </w:lvl>
  </w:abstractNum>
  <w:abstractNum w:abstractNumId="325">
    <w:nsid w:val="52C77402"/>
    <w:multiLevelType w:val="hybridMultilevel"/>
    <w:lvl w:ilvl="0">
      <w:lvlJc w:val="left"/>
      <w:lvlText w:val="(%1)"/>
      <w:numFmt w:val="lowerLetter"/>
      <w:start w:val="6"/>
    </w:lvl>
  </w:abstractNum>
  <w:abstractNum w:abstractNumId="326">
    <w:nsid w:val="2BB5B1C6"/>
    <w:multiLevelType w:val="hybridMultilevel"/>
    <w:lvl w:ilvl="0">
      <w:lvlJc w:val="left"/>
      <w:lvlText w:val="(%1)"/>
      <w:numFmt w:val="lowerLetter"/>
      <w:start w:val="2"/>
    </w:lvl>
  </w:abstractNum>
  <w:abstractNum w:abstractNumId="327">
    <w:nsid w:val="66BE6B9"/>
    <w:multiLevelType w:val="hybridMultilevel"/>
    <w:lvl w:ilvl="0">
      <w:lvlJc w:val="left"/>
      <w:lvlText w:val="(%1)"/>
      <w:numFmt w:val="lowerLetter"/>
      <w:start w:val="35"/>
    </w:lvl>
    <w:lvl w:ilvl="1">
      <w:lvlJc w:val="left"/>
      <w:lvlText w:val="(%2)"/>
      <w:numFmt w:val="lowerLetter"/>
      <w:start w:val="5"/>
    </w:lvl>
  </w:abstractNum>
  <w:abstractNum w:abstractNumId="328">
    <w:nsid w:val="62234363"/>
    <w:multiLevelType w:val="hybridMultilevel"/>
    <w:lvl w:ilvl="0">
      <w:lvlJc w:val="left"/>
      <w:lvlText w:val="%1"/>
      <w:numFmt w:val="lowerLetter"/>
      <w:start w:val="1"/>
    </w:lvl>
    <w:lvl w:ilvl="1">
      <w:lvlJc w:val="left"/>
      <w:lvlText w:val="(%2)"/>
      <w:numFmt w:val="lowerLetter"/>
      <w:start w:val="7"/>
    </w:lvl>
  </w:abstractNum>
  <w:abstractNum w:abstractNumId="329">
    <w:nsid w:val="66D385C9"/>
    <w:multiLevelType w:val="hybridMultilevel"/>
    <w:lvl w:ilvl="0">
      <w:lvlJc w:val="left"/>
      <w:lvlText w:val="(%1)"/>
      <w:numFmt w:val="lowerLetter"/>
      <w:start w:val="9"/>
    </w:lvl>
    <w:lvl w:ilvl="1">
      <w:lvlJc w:val="left"/>
      <w:lvlText w:val="%2"/>
      <w:numFmt w:val="lowerLetter"/>
      <w:start w:val="1"/>
    </w:lvl>
  </w:abstractNum>
  <w:abstractNum w:abstractNumId="330">
    <w:nsid w:val="596F6D8A"/>
    <w:multiLevelType w:val="hybridMultilevel"/>
    <w:lvl w:ilvl="0">
      <w:lvlJc w:val="left"/>
      <w:lvlText w:val="(%1)"/>
      <w:numFmt w:val="lowerLetter"/>
      <w:start w:val="2"/>
    </w:lvl>
  </w:abstractNum>
  <w:abstractNum w:abstractNumId="331">
    <w:nsid w:val="5749361F"/>
    <w:multiLevelType w:val="hybridMultilevel"/>
    <w:lvl w:ilvl="0">
      <w:lvlJc w:val="left"/>
      <w:lvlText w:val="(%1)"/>
      <w:numFmt w:val="lowerLetter"/>
      <w:start w:val="2"/>
    </w:lvl>
  </w:abstractNum>
  <w:abstractNum w:abstractNumId="332">
    <w:nsid w:val="73BC6770"/>
    <w:multiLevelType w:val="hybridMultilevel"/>
    <w:lvl w:ilvl="0">
      <w:lvlJc w:val="left"/>
      <w:lvlText w:val="(%1)"/>
      <w:numFmt w:val="lowerLetter"/>
      <w:start w:val="1"/>
    </w:lvl>
  </w:abstractNum>
  <w:abstractNum w:abstractNumId="333">
    <w:nsid w:val="280E6897"/>
    <w:multiLevelType w:val="hybridMultilevel"/>
    <w:lvl w:ilvl="0">
      <w:lvlJc w:val="left"/>
      <w:lvlText w:val="(%1)"/>
      <w:numFmt w:val="lowerLetter"/>
      <w:start w:val="2"/>
    </w:lvl>
  </w:abstractNum>
  <w:abstractNum w:abstractNumId="334">
    <w:nsid w:val="605138DE"/>
    <w:multiLevelType w:val="hybridMultilevel"/>
    <w:lvl w:ilvl="0">
      <w:lvlJc w:val="left"/>
      <w:lvlText w:val="(%1)"/>
      <w:numFmt w:val="lowerLetter"/>
      <w:start w:val="1"/>
    </w:lvl>
  </w:abstractNum>
  <w:abstractNum w:abstractNumId="335">
    <w:nsid w:val="2622AD0C"/>
    <w:multiLevelType w:val="hybridMultilevel"/>
    <w:lvl w:ilvl="0">
      <w:lvlJc w:val="left"/>
      <w:lvlText w:val="%1"/>
      <w:numFmt w:val="upperLetter"/>
      <w:start w:val="1"/>
    </w:lvl>
    <w:lvl w:ilvl="1">
      <w:lvlJc w:val="left"/>
      <w:lvlText w:val="(%2)"/>
      <w:numFmt w:val="lowerLetter"/>
      <w:start w:val="4"/>
    </w:lvl>
  </w:abstractNum>
  <w:abstractNum w:abstractNumId="336">
    <w:nsid w:val="67997556"/>
    <w:multiLevelType w:val="hybridMultilevel"/>
    <w:lvl w:ilvl="0">
      <w:lvlJc w:val="left"/>
      <w:lvlText w:val="(%1)"/>
      <w:numFmt w:val="upperLetter"/>
      <w:start w:val="2"/>
    </w:lvl>
    <w:lvl w:ilvl="1">
      <w:lvlJc w:val="left"/>
      <w:lvlText w:val="(%2)"/>
      <w:numFmt w:val="lowerLetter"/>
      <w:start w:val="5"/>
    </w:lvl>
  </w:abstractNum>
  <w:abstractNum w:abstractNumId="337">
    <w:nsid w:val="18333C89"/>
    <w:multiLevelType w:val="hybridMultilevel"/>
    <w:lvl w:ilvl="0">
      <w:lvlJc w:val="left"/>
      <w:lvlText w:val="(%1)"/>
      <w:numFmt w:val="lowerLetter"/>
      <w:start w:val="1"/>
    </w:lvl>
  </w:abstractNum>
  <w:abstractNum w:abstractNumId="338">
    <w:nsid w:val="4BA9831A"/>
    <w:multiLevelType w:val="hybridMultilevel"/>
    <w:lvl w:ilvl="0">
      <w:lvlJc w:val="left"/>
      <w:lvlText w:val="(%1)"/>
      <w:numFmt w:val="lowerLetter"/>
      <w:start w:val="1"/>
    </w:lvl>
  </w:abstractNum>
  <w:abstractNum w:abstractNumId="339">
    <w:nsid w:val="6D71A2B"/>
    <w:multiLevelType w:val="hybridMultilevel"/>
    <w:lvl w:ilvl="0">
      <w:lvlJc w:val="left"/>
      <w:lvlText w:val="(%1)"/>
      <w:numFmt w:val="lowerLetter"/>
      <w:start w:val="1"/>
    </w:lvl>
    <w:lvl w:ilvl="1">
      <w:lvlJc w:val="left"/>
      <w:lvlText w:val="(%2)"/>
      <w:numFmt w:val="lowerLetter"/>
      <w:start w:val="9"/>
    </w:lvl>
  </w:abstractNum>
  <w:abstractNum w:abstractNumId="340">
    <w:nsid w:val="CFC7321"/>
    <w:multiLevelType w:val="hybridMultilevel"/>
    <w:lvl w:ilvl="0">
      <w:lvlJc w:val="left"/>
      <w:lvlText w:val="%1"/>
      <w:numFmt w:val="upperLetter"/>
      <w:start w:val="1"/>
    </w:lvl>
    <w:lvl w:ilvl="1">
      <w:lvlJc w:val="left"/>
      <w:lvlText w:val="(%2)"/>
      <w:numFmt w:val="lowerRoman"/>
      <w:start w:val="2"/>
    </w:lvl>
  </w:abstractNum>
  <w:abstractNum w:abstractNumId="341">
    <w:nsid w:val="1421971B"/>
    <w:multiLevelType w:val="hybridMultilevel"/>
    <w:lvl w:ilvl="0">
      <w:lvlJc w:val="left"/>
      <w:lvlText w:val="(%1)"/>
      <w:numFmt w:val="upperLetter"/>
      <w:start w:val="2"/>
    </w:lvl>
    <w:lvl w:ilvl="1">
      <w:lvlJc w:val="left"/>
      <w:lvlText w:val="(%2)"/>
      <w:numFmt w:val="lowerRoman"/>
      <w:start w:val="3"/>
    </w:lvl>
  </w:abstractNum>
  <w:abstractNum w:abstractNumId="342">
    <w:nsid w:val="1F404301"/>
    <w:multiLevelType w:val="hybridMultilevel"/>
    <w:lvl w:ilvl="0">
      <w:lvlJc w:val="left"/>
      <w:lvlText w:val="(%1)"/>
      <w:numFmt w:val="lowerLetter"/>
      <w:start w:val="3"/>
    </w:lvl>
    <w:lvl w:ilvl="1">
      <w:lvlJc w:val="left"/>
      <w:lvlText w:val="(%2)"/>
      <w:numFmt w:val="lowerRoman"/>
      <w:start w:val="1"/>
    </w:lvl>
  </w:abstractNum>
  <w:abstractNum w:abstractNumId="343">
    <w:nsid w:val="116E0907"/>
    <w:multiLevelType w:val="hybridMultilevel"/>
    <w:lvl w:ilvl="0">
      <w:lvlJc w:val="left"/>
      <w:lvlText w:val="(%1)"/>
      <w:numFmt w:val="lowerRoman"/>
      <w:start w:val="2"/>
    </w:lvl>
  </w:abstractNum>
  <w:abstractNum w:abstractNumId="344">
    <w:nsid w:val="4B683D0D"/>
    <w:multiLevelType w:val="hybridMultilevel"/>
    <w:lvl w:ilvl="0">
      <w:lvlJc w:val="left"/>
      <w:lvlText w:val="(%1)"/>
      <w:numFmt w:val="lowerLetter"/>
      <w:start w:val="2"/>
    </w:lvl>
  </w:abstractNum>
  <w:abstractNum w:abstractNumId="345">
    <w:nsid w:val="76E41D8"/>
    <w:multiLevelType w:val="hybridMultilevel"/>
    <w:lvl w:ilvl="0">
      <w:lvlJc w:val="left"/>
      <w:lvlText w:val="(%1)"/>
      <w:numFmt w:val="lowerLetter"/>
      <w:start w:val="2"/>
    </w:lvl>
  </w:abstractNum>
  <w:abstractNum w:abstractNumId="346">
    <w:nsid w:val="71DCE0FD"/>
    <w:multiLevelType w:val="hybridMultilevel"/>
    <w:lvl w:ilvl="0">
      <w:lvlJc w:val="left"/>
      <w:lvlText w:val="(%1)"/>
      <w:numFmt w:val="lowerLetter"/>
      <w:start w:val="2"/>
    </w:lvl>
  </w:abstractNum>
  <w:abstractNum w:abstractNumId="347">
    <w:nsid w:val="7906328B"/>
    <w:multiLevelType w:val="hybridMultilevel"/>
    <w:lvl w:ilvl="0">
      <w:lvlJc w:val="left"/>
      <w:lvlText w:val="(%1)"/>
      <w:numFmt w:val="lowerRoman"/>
      <w:start w:val="1"/>
    </w:lvl>
  </w:abstractNum>
  <w:abstractNum w:abstractNumId="348">
    <w:nsid w:val="72BBC16"/>
    <w:multiLevelType w:val="hybridMultilevel"/>
    <w:lvl w:ilvl="0">
      <w:lvlJc w:val="left"/>
      <w:lvlText w:val="(%1)"/>
      <w:numFmt w:val="lowerRoman"/>
      <w:start w:val="7"/>
    </w:lvl>
  </w:abstractNum>
  <w:abstractNum w:abstractNumId="349">
    <w:nsid w:val="766D98C2"/>
    <w:multiLevelType w:val="hybridMultilevel"/>
    <w:lvl w:ilvl="0">
      <w:lvlJc w:val="left"/>
      <w:lvlText w:val="(%1)"/>
      <w:numFmt w:val="lowerLetter"/>
      <w:start w:val="1"/>
    </w:lvl>
    <w:lvl w:ilvl="1">
      <w:lvlJc w:val="left"/>
      <w:lvlText w:val="(%2)"/>
      <w:numFmt w:val="lowerLetter"/>
      <w:start w:val="9"/>
    </w:lvl>
  </w:abstractNum>
  <w:abstractNum w:abstractNumId="350">
    <w:nsid w:val="3C09D4A1"/>
    <w:multiLevelType w:val="hybridMultilevel"/>
    <w:lvl w:ilvl="0">
      <w:lvlJc w:val="left"/>
      <w:lvlText w:val="%1"/>
      <w:numFmt w:val="lowerLetter"/>
      <w:start w:val="1"/>
    </w:lvl>
    <w:lvl w:ilvl="1">
      <w:lvlJc w:val="left"/>
      <w:lvlText w:val="(%2)"/>
      <w:numFmt w:val="lowerRoman"/>
      <w:start w:val="2"/>
    </w:lvl>
  </w:abstractNum>
  <w:abstractNum w:abstractNumId="351">
    <w:nsid w:val="20E45CA4"/>
    <w:multiLevelType w:val="hybridMultilevel"/>
    <w:lvl w:ilvl="0">
      <w:lvlJc w:val="left"/>
      <w:lvlText w:val="(%1)"/>
      <w:numFmt w:val="lowerLetter"/>
      <w:start w:val="3"/>
    </w:lvl>
    <w:lvl w:ilvl="1">
      <w:lvlJc w:val="left"/>
      <w:lvlText w:val="%2"/>
      <w:numFmt w:val="lowerRoman"/>
      <w:start w:val="1"/>
    </w:lvl>
  </w:abstractNum>
  <w:abstractNum w:abstractNumId="352">
    <w:nsid w:val="4B232EE3"/>
    <w:multiLevelType w:val="hybridMultilevel"/>
    <w:lvl w:ilvl="0">
      <w:lvlJc w:val="left"/>
      <w:lvlText w:val="(%1)"/>
      <w:numFmt w:val="lowerRoman"/>
      <w:start w:val="3"/>
    </w:lvl>
  </w:abstractNum>
  <w:abstractNum w:abstractNumId="353">
    <w:nsid w:val="159C74CF"/>
    <w:multiLevelType w:val="hybridMultilevel"/>
    <w:lvl w:ilvl="0">
      <w:lvlJc w:val="left"/>
      <w:lvlText w:val="(%1)"/>
      <w:numFmt w:val="lowerLetter"/>
      <w:start w:val="2"/>
    </w:lvl>
  </w:abstractNum>
  <w:abstractNum w:abstractNumId="354">
    <w:nsid w:val="4AD3AFD2"/>
    <w:multiLevelType w:val="hybridMultilevel"/>
    <w:lvl w:ilvl="0">
      <w:lvlJc w:val="left"/>
      <w:lvlText w:val="(%1)"/>
      <w:numFmt w:val="upperLetter"/>
      <w:start w:val="1"/>
    </w:lvl>
  </w:abstractNum>
  <w:abstractNum w:abstractNumId="355">
    <w:nsid w:val="3CF93092"/>
    <w:multiLevelType w:val="hybridMultilevel"/>
    <w:lvl w:ilvl="0">
      <w:lvlJc w:val="left"/>
      <w:lvlText w:val="(%1)"/>
      <w:numFmt w:val="lowerLetter"/>
      <w:start w:val="2"/>
    </w:lvl>
  </w:abstractNum>
  <w:abstractNum w:abstractNumId="356">
    <w:nsid w:val="6863E8D2"/>
    <w:multiLevelType w:val="hybridMultilevel"/>
    <w:lvl w:ilvl="0">
      <w:lvlJc w:val="left"/>
      <w:lvlText w:val="(%1)"/>
      <w:numFmt w:val="lowerRoman"/>
      <w:start w:val="1"/>
    </w:lvl>
  </w:abstractNum>
  <w:abstractNum w:abstractNumId="357">
    <w:nsid w:val="76896198"/>
    <w:multiLevelType w:val="hybridMultilevel"/>
    <w:lvl w:ilvl="0">
      <w:lvlJc w:val="left"/>
      <w:lvlText w:val="(%1)"/>
      <w:numFmt w:val="lowerRoman"/>
      <w:start w:val="2"/>
    </w:lvl>
  </w:abstractNum>
  <w:abstractNum w:abstractNumId="358">
    <w:nsid w:val="4365174B"/>
    <w:multiLevelType w:val="hybridMultilevel"/>
    <w:lvl w:ilvl="0">
      <w:lvlJc w:val="left"/>
      <w:lvlText w:val="%1)"/>
      <w:numFmt w:val="decimal"/>
      <w:start w:val="1"/>
    </w:lvl>
  </w:abstractNum>
  <w:abstractNum w:abstractNumId="359">
    <w:nsid w:val="4A872C35"/>
    <w:multiLevelType w:val="hybridMultilevel"/>
    <w:lvl w:ilvl="0">
      <w:lvlJc w:val="left"/>
      <w:lvlText w:val="%1)"/>
      <w:numFmt w:val="decimal"/>
      <w:start w:val="11"/>
    </w:lvl>
  </w:abstractNum>
  <w:abstractNum w:abstractNumId="360">
    <w:nsid w:val="5D5CE761"/>
    <w:multiLevelType w:val="hybridMultilevel"/>
    <w:lvl w:ilvl="0">
      <w:lvlJc w:val="left"/>
      <w:lvlText w:val="*"/>
      <w:numFmt w:val="bullet"/>
      <w:start w:val="1"/>
    </w:lvl>
  </w:abstractNum>
  <w:abstractNum w:abstractNumId="361">
    <w:nsid w:val="1CD484D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2">
    <w:nsid w:val="21D0625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63">
    <w:nsid w:val="51194ED1"/>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64">
    <w:nsid w:val="44E2ED6C"/>
    <w:multiLevelType w:val="hybridMultilevel"/>
    <w:lvl w:ilvl="0">
      <w:lvlJc w:val="left"/>
      <w:lvlText w:val="*"/>
      <w:numFmt w:val="bullet"/>
      <w:start w:val="1"/>
    </w:lvl>
  </w:abstractNum>
  <w:abstractNum w:abstractNumId="365">
    <w:nsid w:val="2219B33"/>
    <w:multiLevelType w:val="hybridMultilevel"/>
    <w:lvl w:ilvl="0">
      <w:lvlJc w:val="left"/>
      <w:lvlText w:val="(%1)"/>
      <w:numFmt w:val="lowerRoman"/>
      <w:start w:val="2"/>
    </w:lvl>
  </w:abstractNum>
  <w:abstractNum w:abstractNumId="366">
    <w:nsid w:val="773BFBDD"/>
    <w:multiLevelType w:val="hybridMultilevel"/>
    <w:lvl w:ilvl="0">
      <w:lvlJc w:val="left"/>
      <w:lvlText w:val="["/>
      <w:numFmt w:val="bullet"/>
      <w:start w:val="1"/>
    </w:lvl>
  </w:abstractNum>
  <w:abstractNum w:abstractNumId="367">
    <w:nsid w:val="2C7C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2019-12-07T03:17:49Z</dcterms:created>
  <dcterms:modified xsi:type="dcterms:W3CDTF">2019-12-07T03:17:49Z</dcterms:modified>
</cp:coreProperties>
</file>