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September 23,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€900,000,000 3.250% Euro Notes due 2032 (the “2032 Euro Notes”)</w:t>
      </w:r>
    </w:p>
    <w:p>
      <w:pPr>
        <w:spacing w:after="0" w:line="3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€900,000,000 3.550% Euro Notes due 2036 (the “2036 Euro Notes”)</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£750,000,000 5.250% Sterling Notes due 2040 (the “Sterling Notes”)</w:t>
      </w:r>
    </w:p>
    <w:p>
      <w:pPr>
        <w:spacing w:after="0" w:line="205" w:lineRule="exact"/>
        <w:rPr>
          <w:sz w:val="24"/>
          <w:szCs w:val="24"/>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The 2032 Euro Notes and 2036 Euro Notes are herein referred to as the “Euro Notes.” The Euro Notes and Sterling Notes are herein referred to as the “Notes.”</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1020"/>
          </w:cols>
          <w:pgMar w:left="440" w:top="225" w:right="439" w:bottom="1440" w:gutter="0" w:footer="0" w:header="0"/>
        </w:sectPr>
      </w:pPr>
    </w:p>
    <w:p>
      <w:pPr>
        <w:spacing w:after="0" w:line="25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Comcast Cable Communications, LLC and NBCUniversal Media, LLC</w:t>
      </w:r>
    </w:p>
    <w:p>
      <w:pPr>
        <w:spacing w:after="0" w:line="124"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3.250% Euro Notes due 2032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3.550% Euro Notes due 2036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5.250% Sterling Notes due 2040</w:t>
      </w:r>
    </w:p>
    <w:p>
      <w:pPr>
        <w:spacing w:after="0" w:line="120"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4"/>
          <w:szCs w:val="24"/>
          <w:color w:val="auto"/>
        </w:rPr>
      </w:pPr>
      <w:r>
        <w:rPr>
          <w:sz w:val="24"/>
          <w:szCs w:val="24"/>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Euro Notes will be issued in minimum denominations of €100,000 and integral multiples of €1,000 in excess thereof</w:t>
      </w:r>
    </w:p>
    <w:p>
      <w:pPr>
        <w:spacing w:after="0" w:line="67"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420" w:right="460"/>
        <w:spacing w:after="0" w:line="282" w:lineRule="auto"/>
        <w:rPr>
          <w:sz w:val="20"/>
          <w:szCs w:val="20"/>
          <w:color w:val="auto"/>
        </w:rPr>
      </w:pPr>
      <w:r>
        <w:rPr>
          <w:rFonts w:ascii="Times New Roman" w:cs="Times New Roman" w:eastAsia="Times New Roman" w:hAnsi="Times New Roman"/>
          <w:sz w:val="18"/>
          <w:szCs w:val="18"/>
          <w:color w:val="auto"/>
        </w:rPr>
        <w:t>The Sterling Notes will be issued in minimum denominations of £100,000 and integral multiples of £1,000 in excess thereof</w:t>
      </w:r>
    </w:p>
    <w:p>
      <w:pPr>
        <w:sectPr>
          <w:pgSz w:w="11900" w:h="16838" w:orient="portrait"/>
          <w:cols w:equalWidth="0" w:num="1">
            <w:col w:w="11020"/>
          </w:cols>
          <w:pgMar w:left="440" w:top="225" w:right="439" w:bottom="1440" w:gutter="0" w:footer="0" w:header="0"/>
          <w:type w:val="continuous"/>
        </w:sectPr>
      </w:pPr>
    </w:p>
    <w:p>
      <w:pPr>
        <w:spacing w:after="0" w:line="6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 and expenses, for working capital and general corporate purposes, including the redemption in full of our outstanding 5.250% Notes due November 7, 2025 and the repayment of certain of our other debt with near-term maturities. We have delivered a notice of redemption in respect of the 5.250% Notes due November 7, 2025 on the date hereof.</w:t>
      </w:r>
    </w:p>
    <w:p>
      <w:pPr>
        <w:spacing w:after="0" w:line="71"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p>
      <w:pPr>
        <w:spacing w:after="0" w:line="116"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225" w:right="439" w:bottom="1440" w:gutter="0" w:footer="0" w:header="0"/>
          <w:type w:val="continuous"/>
        </w:sectPr>
      </w:pPr>
    </w:p>
    <w:bookmarkStart w:id="1" w:name="page2"/>
    <w:bookmarkEnd w:id="1"/>
    <w:p>
      <w:pPr>
        <w:ind w:left="364"/>
        <w:spacing w:after="0"/>
        <w:rPr>
          <w:sz w:val="20"/>
          <w:szCs w:val="20"/>
          <w:color w:val="auto"/>
        </w:rPr>
      </w:pPr>
      <w:r>
        <w:rPr>
          <w:rFonts w:ascii="Times New Roman" w:cs="Times New Roman" w:eastAsia="Times New Roman" w:hAnsi="Times New Roman"/>
          <w:sz w:val="17"/>
          <w:szCs w:val="17"/>
          <w:b w:val="1"/>
          <w:bCs w:val="1"/>
          <w:color w:val="auto"/>
        </w:rPr>
        <w:t>Optional Tax Redemption: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Each series of Notes may be redeemed, at any time, by the Company, in whole, but not in part, at a redemption price equal to 100% of the aggregate principal amount of such Notes, together with accrued and unpaid interest on such Notes being redeemed to, but not including, the date fixed for redemption, 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hereof, the Company becomes or, based upon a written opinion of independent counsel selected by the Company, will become obligated to pay additional amounts as described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-1402715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704" w:space="720"/>
            <w:col w:w="7540"/>
          </w:cols>
          <w:pgMar w:left="436" w:top="374" w:right="499" w:bottom="1440" w:gutter="0" w:footer="0" w:header="0"/>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125"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b w:val="1"/>
          <w:bCs w:val="1"/>
          <w:color w:val="auto"/>
        </w:rPr>
        <w:t>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 London Branch</w:t>
      </w:r>
    </w:p>
    <w:p>
      <w:pPr>
        <w:spacing w:after="0" w:line="124"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Expected Ratings:</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Moody’s: A3; S&amp;P: A-; Fitch: A-</w:t>
      </w:r>
    </w:p>
    <w:p>
      <w:pPr>
        <w:spacing w:after="0" w:line="125"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International plc</w:t>
      </w:r>
    </w:p>
    <w:p>
      <w:pPr>
        <w:spacing w:after="0" w:line="120" w:lineRule="exact"/>
        <w:rPr>
          <w:sz w:val="20"/>
          <w:szCs w:val="20"/>
          <w:color w:val="auto"/>
        </w:rPr>
      </w:pPr>
    </w:p>
    <w:p>
      <w:pPr>
        <w:sectPr>
          <w:pgSz w:w="11900" w:h="16838" w:orient="portrait"/>
          <w:cols w:equalWidth="0" w:num="2">
            <w:col w:w="2804" w:space="6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1501775</wp:posOffset>
            </wp:positionV>
            <wp:extent cx="771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Banco Santander,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Capital Markets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Securities International Limited</w:t>
      </w:r>
    </w:p>
    <w:p>
      <w:pPr>
        <w:spacing w:after="0" w:line="200"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spacing w:after="0" w:line="5" w:lineRule="exact"/>
        <w:rPr>
          <w:sz w:val="20"/>
          <w:szCs w:val="20"/>
          <w:color w:val="auto"/>
        </w:rPr>
      </w:pPr>
    </w:p>
    <w:p>
      <w:pPr>
        <w:ind w:left="5464" w:right="1100" w:hanging="5464"/>
        <w:spacing w:after="0" w:line="334" w:lineRule="auto"/>
        <w:tabs>
          <w:tab w:leader="none" w:pos="433"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 2</w:t>
      </w:r>
    </w:p>
    <w:p>
      <w:pPr>
        <w:sectPr>
          <w:pgSz w:w="11900" w:h="16838" w:orient="portrait"/>
          <w:cols w:equalWidth="0" w:num="1">
            <w:col w:w="10964"/>
          </w:cols>
          <w:pgMar w:left="436" w:top="374" w:right="499" w:bottom="1440" w:gutter="0" w:footer="0" w:header="0"/>
          <w:type w:val="continuous"/>
        </w:sectPr>
      </w:pPr>
    </w:p>
    <w:bookmarkStart w:id="2" w:name="page3"/>
    <w:bookmarkEnd w:id="2"/>
    <w:p>
      <w:pPr>
        <w:ind w:left="3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ICBC Standard Bank Plc</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NatWest Markets Plc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Scotiabank (Ireland) Designated Activity Company</w:t>
      </w:r>
    </w:p>
    <w:p>
      <w:pPr>
        <w:spacing w:after="0" w:line="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Commerzbank Aktiengesellschaft</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ING Bank N.V., Belgian Branch</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Loop Capital Markets LLC</w:t>
      </w:r>
    </w:p>
    <w:p>
      <w:pPr>
        <w:sectPr>
          <w:pgSz w:w="11900" w:h="16838" w:orient="portrait"/>
          <w:cols w:equalWidth="0" w:num="1">
            <w:col w:w="9659"/>
          </w:cols>
          <w:pgMar w:left="800" w:top="270" w:right="1440"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Date: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23, 2024</w:t>
      </w:r>
    </w:p>
    <w:p>
      <w:pPr>
        <w:spacing w:after="0" w:line="125"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26, 2024 (T+3)</w:t>
      </w:r>
    </w:p>
    <w:p>
      <w:pPr>
        <w:spacing w:after="0" w:line="125"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intends to list each series of Notes on the NASDAQ Global Market</w:t>
      </w:r>
    </w:p>
    <w:p>
      <w:pPr>
        <w:spacing w:after="0" w:line="169"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59"/>
          </w:cols>
          <w:pgMar w:left="800" w:top="270"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2032 Euro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Bund: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Mid-swap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Reoffer Spread to Mid-swap: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 1.700% due 15 August 2032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97.560%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99.702%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99.352% per €900,000,000 principal amount of 2032 Euro Notes; €894,168,000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June 26, 2032 (three (3) months prior to the maturity date of the 2032 Euro Notes) (the “2032 Euro Notes Par Call Date”), the Company may redeem the 2032 Euro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2032 Euro Notes matured on the 2032 Euro Notes Par Call Date) on an annual basis (ACTUAL/ACTUAL (ICMA)) at the</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500" w:space="560"/>
            <w:col w:w="7540"/>
          </w:cols>
          <w:pgMar w:left="800" w:top="266" w:right="499" w:bottom="1440" w:gutter="0" w:footer="0" w:header="0"/>
        </w:sectPr>
      </w:pPr>
    </w:p>
    <w:bookmarkStart w:id="4" w:name="page5"/>
    <w:bookmarkEnd w:id="4"/>
    <w:p>
      <w:pPr>
        <w:ind w:left="306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comparable government bond rate plus 20 basis points, less (b) interest accrued to the date of redemption, and (2) 100% of the principal amount of the 2032 Euro Notes to be redeemed, plus, in either case, accrued and unpaid interest thereon to the redemption date. On or after the 2032 Euro Notes Par Call Date, the Company may redeem the 2032 Euro Notes, in whole or in part, at any time and from time to time, at a redemption price equal to 100% of the principal amount of the 2032 Euro Notes being redeemed plus accrued and unpaid interest thereon to the redemption date.</w:t>
      </w:r>
    </w:p>
    <w:p>
      <w:pPr>
        <w:sectPr>
          <w:pgSz w:w="11900" w:h="16838" w:orient="portrait"/>
          <w:cols w:equalWidth="0" w:num="1">
            <w:col w:w="10660"/>
          </w:cols>
          <w:pgMar w:left="800" w:top="270" w:right="4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2032 Euro Notes may be issued. The 2032 Euro Notes and any additional 2032 Euro Notes that may be issued may be treated as a single series for all purposes under the Indenture</w:t>
      </w:r>
    </w:p>
    <w:p>
      <w:pPr>
        <w:spacing w:after="0" w:line="64" w:lineRule="exact"/>
        <w:rPr>
          <w:sz w:val="20"/>
          <w:szCs w:val="20"/>
          <w:color w:val="auto"/>
        </w:rPr>
      </w:pPr>
    </w:p>
    <w:p>
      <w:pPr>
        <w:sectPr>
          <w:pgSz w:w="11900" w:h="16838" w:orient="portrait"/>
          <w:cols w:equalWidth="0" w:num="2">
            <w:col w:w="2340" w:space="720"/>
            <w:col w:w="7600"/>
          </w:cols>
          <w:pgMar w:left="80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EL1 / XS2909746310 / 290974631</w:t>
      </w:r>
    </w:p>
    <w:p>
      <w:pPr>
        <w:spacing w:after="0" w:line="169" w:lineRule="exact"/>
        <w:rPr>
          <w:sz w:val="20"/>
          <w:szCs w:val="20"/>
          <w:color w:val="auto"/>
        </w:rPr>
      </w:pPr>
    </w:p>
    <w:p>
      <w:pPr>
        <w:sectPr>
          <w:pgSz w:w="11900" w:h="16838" w:orient="portrait"/>
          <w:cols w:equalWidth="0" w:num="2">
            <w:col w:w="2400" w:space="660"/>
            <w:col w:w="7600"/>
          </w:cols>
          <w:pgMar w:left="800" w:top="270"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60"/>
          </w:cols>
          <w:pgMar w:left="800" w:top="270"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2036 Euro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Bund: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Mid-swap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Reoffer Spread to Mid-swap: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 0.000% due 15 May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76.890%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131.1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99.568%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0.375%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99.193% per €900,000,000 principal amount of 2036 Euro Notes; €892,737,000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June 26, 2036 (three (3) months prior to the maturity date of the 2036 Euro Notes) (the “2036 Euro Notes Par Call Date”), the Company may redeem the 2036 Euro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2036 Euro Notes matured on the 2036 Euro Notes Par Call Date) on an annual basis (ACTUAL/ACTUAL (ICMA)) at the</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500" w:space="560"/>
            <w:col w:w="7540"/>
          </w:cols>
          <w:pgMar w:left="800" w:top="266" w:right="499" w:bottom="1440" w:gutter="0" w:footer="0" w:header="0"/>
        </w:sectPr>
      </w:pPr>
    </w:p>
    <w:bookmarkStart w:id="6" w:name="page7"/>
    <w:bookmarkEnd w:id="6"/>
    <w:p>
      <w:pPr>
        <w:ind w:left="306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comparable government bond rate plus 20 basis points, less (b) interest accrued to the date of redemption, and (2) 100% of the principal amount of the 2036 Euro Notes to be redeemed, plus, in either case, accrued and unpaid interest thereon to the redemption date. On or after the 2036 Euro Notes Par Call Date, the Company may redeem the 2036 Euro Notes, in whole or in part, at any time and from time to time, at a redemption price equal to 100% of the principal amount of the 2036 Euro Notes being redeemed plus accrued and unpaid interest thereon to the redemption date.</w:t>
      </w:r>
    </w:p>
    <w:p>
      <w:pPr>
        <w:sectPr>
          <w:pgSz w:w="11900" w:h="16838" w:orient="portrait"/>
          <w:cols w:equalWidth="0" w:num="1">
            <w:col w:w="10660"/>
          </w:cols>
          <w:pgMar w:left="800" w:top="270" w:right="4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2036 Euro Notes may be issued. The 2036 Euro Notes and any additional 2036 Euro Notes that may be issued may be treated as a single series for all purposes under the Indenture</w:t>
      </w:r>
    </w:p>
    <w:p>
      <w:pPr>
        <w:spacing w:after="0" w:line="64" w:lineRule="exact"/>
        <w:rPr>
          <w:sz w:val="20"/>
          <w:szCs w:val="20"/>
          <w:color w:val="auto"/>
        </w:rPr>
      </w:pPr>
    </w:p>
    <w:p>
      <w:pPr>
        <w:sectPr>
          <w:pgSz w:w="11900" w:h="16838" w:orient="portrait"/>
          <w:cols w:equalWidth="0" w:num="2">
            <w:col w:w="2340" w:space="720"/>
            <w:col w:w="7600"/>
          </w:cols>
          <w:pgMar w:left="80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EM9 / XS2909746401 / 290974640</w:t>
      </w:r>
    </w:p>
    <w:p>
      <w:pPr>
        <w:spacing w:after="0" w:line="169" w:lineRule="exact"/>
        <w:rPr>
          <w:sz w:val="20"/>
          <w:szCs w:val="20"/>
          <w:color w:val="auto"/>
        </w:rPr>
      </w:pPr>
    </w:p>
    <w:p>
      <w:pPr>
        <w:sectPr>
          <w:pgSz w:w="11900" w:h="16838" w:orient="portrait"/>
          <w:cols w:equalWidth="0" w:num="2">
            <w:col w:w="2400" w:space="660"/>
            <w:col w:w="7600"/>
          </w:cols>
          <w:pgMar w:left="800" w:top="270"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660"/>
          </w:cols>
          <w:pgMar w:left="800" w:top="270"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Sterling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Gilt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Gilt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Gilt: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UKT 4.250% due 7 December 2040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99.411%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0.495%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98.916% per £750,000,000 principal amount of Sterling Notes; £741,870,000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June 26, 2040 (three (3) months prior to the maturity date of the Sterling Notes) (the “Sterling Notes Par Call Date”), the Company may redeem the Sterling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Sterling Notes matured on the Sterling Notes Par Call Date) on an annual basis (ACTUAL/ACTUAL (ICMA)) at the applicable comparable government bond rate plus 15 basis points, less (b) interest accrued to the date of redemption, and (2) 100% of the principal amount of the Sterling Notes to be redeemed, plus, in</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500" w:space="560"/>
            <w:col w:w="7540"/>
          </w:cols>
          <w:pgMar w:left="800" w:top="266" w:right="499" w:bottom="1440" w:gutter="0" w:footer="0" w:header="0"/>
        </w:sectPr>
      </w:pPr>
    </w:p>
    <w:bookmarkStart w:id="8" w:name="page9"/>
    <w:bookmarkEnd w:id="8"/>
    <w:p>
      <w:pPr>
        <w:ind w:left="3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case, accrued and unpaid interest thereon to the redemption date. On or after the Sterling Notes Par Call Date, the Company may redeem the Sterling Notes, in whole or in part, at any time and from time to time, at a redemption price equal to 100% of the principal amount of the Sterling Notes being redeemed plus accrued and unpaid interest thereon to the redemption date.</w:t>
      </w:r>
    </w:p>
    <w:p>
      <w:pPr>
        <w:sectPr>
          <w:pgSz w:w="11900" w:h="16838" w:orient="portrait"/>
          <w:cols w:equalWidth="0" w:num="1">
            <w:col w:w="11000"/>
          </w:cols>
          <w:pgMar w:left="440" w:top="270" w:right="459" w:bottom="1440" w:gutter="0" w:footer="0" w:header="0"/>
        </w:sectPr>
      </w:pP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An unlimited amount of additional Sterling Notes may be issued. The Sterling Notes and any additional Sterling Notes that may be issued may be treated as a single series for all purposes under the Indenture</w:t>
      </w:r>
    </w:p>
    <w:p>
      <w:pPr>
        <w:spacing w:after="0" w:line="28"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EN7 / XS2909746666 / 290974666</w:t>
      </w:r>
    </w:p>
    <w:p>
      <w:pPr>
        <w:spacing w:after="0" w:line="200" w:lineRule="exact"/>
        <w:rPr>
          <w:sz w:val="20"/>
          <w:szCs w:val="20"/>
          <w:color w:val="auto"/>
        </w:rPr>
      </w:pPr>
    </w:p>
    <w:p>
      <w:pPr>
        <w:sectPr>
          <w:pgSz w:w="11900" w:h="16838" w:orient="portrait"/>
          <w:cols w:equalWidth="0" w:num="2">
            <w:col w:w="2760" w:space="660"/>
            <w:col w:w="7580"/>
          </w:cols>
          <w:pgMar w:left="440" w:top="270" w:right="459" w:bottom="1440" w:gutter="0" w:footer="0" w:header="0"/>
          <w:type w:val="continuous"/>
        </w:sectPr>
      </w:pPr>
    </w:p>
    <w:p>
      <w:pPr>
        <w:spacing w:after="0" w:line="37" w:lineRule="exact"/>
        <w:rPr>
          <w:sz w:val="20"/>
          <w:szCs w:val="20"/>
          <w:color w:val="auto"/>
        </w:rPr>
      </w:pPr>
    </w:p>
    <w:p>
      <w:pPr>
        <w:ind w:right="120" w:firstLine="33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September 26, 2024,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187" w:lineRule="exact"/>
        <w:rPr>
          <w:sz w:val="20"/>
          <w:szCs w:val="20"/>
          <w:color w:val="auto"/>
        </w:rPr>
      </w:pPr>
    </w:p>
    <w:p>
      <w:pPr>
        <w:ind w:firstLine="330"/>
        <w:spacing w:after="0" w:line="255" w:lineRule="auto"/>
        <w:rPr>
          <w:sz w:val="20"/>
          <w:szCs w:val="20"/>
          <w:color w:val="auto"/>
        </w:rPr>
      </w:pPr>
      <w:r>
        <w:rPr>
          <w:rFonts w:ascii="Times New Roman" w:cs="Times New Roman" w:eastAsia="Times New Roman" w:hAnsi="Times New Roman"/>
          <w:sz w:val="18"/>
          <w:szCs w:val="18"/>
          <w:color w:val="auto"/>
        </w:rPr>
        <w:t>The Notes will be represented by beneficial interests in fully registered permanent global notes without interest coupons attached, which will be registered in the name of, and shall be deposited on or about September 26, 2024 with a common depositary for, and in respect of interests held through, Euroclear Bank, S.A./N.V., as operator of the Euroclear System (“Euroclear”), and Clearstream Banking, société anonyme (“Clearstream”). Any Notes represented by global notes held by a nominee of Euroclear or Clearstream will be subject to the then applicable procedures of Euroclear and Clearstream, as applicable. Euroclear and Clearstream’s current practice is to make payments in respect of global notes to participants of record that hold an interest in the relevant global notes at the close of business on the date that is the clearing system business day (for these purposes, Monday to Friday inclusive except December 25th and January 1st) immediately preceding each applicable interest payment date.</w:t>
      </w:r>
    </w:p>
    <w:p>
      <w:pPr>
        <w:spacing w:after="0" w:line="189" w:lineRule="exact"/>
        <w:rPr>
          <w:sz w:val="20"/>
          <w:szCs w:val="20"/>
          <w:color w:val="auto"/>
        </w:rPr>
      </w:pPr>
    </w:p>
    <w:p>
      <w:pPr>
        <w:ind w:right="440" w:firstLine="330"/>
        <w:spacing w:after="0" w:line="312" w:lineRule="auto"/>
        <w:rPr>
          <w:sz w:val="20"/>
          <w:szCs w:val="20"/>
          <w:color w:val="auto"/>
        </w:rPr>
      </w:pPr>
      <w:r>
        <w:rPr>
          <w:rFonts w:ascii="Times New Roman" w:cs="Times New Roman" w:eastAsia="Times New Roman" w:hAnsi="Times New Roman"/>
          <w:sz w:val="17"/>
          <w:szCs w:val="17"/>
          <w:color w:val="auto"/>
        </w:rPr>
        <w:t>This term sheet is not a prospectus for the purposes of Regulation (EU) 2017/1129, including the same as it forms part of domestic law in the United Kingdom by virtue of the European Union (Withdrawal) Act 2018, as amended by the European Union (Withdrawal Agreement) Act 2020.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type w:val="continuous"/>
        </w:sectPr>
      </w:pPr>
    </w:p>
    <w:bookmarkStart w:id="9" w:name="page10"/>
    <w:bookmarkEnd w:id="9"/>
    <w:p>
      <w:pPr>
        <w:jc w:val="both"/>
        <w:ind w:right="500" w:firstLine="33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MiFID II and UK MiFIR – professionals/ECPs-only / No PRIIPs or UK PRIIPs KID – Manufacturer target market (MiFID II and UK MiFIR product governance) is eligible counterparties and professional clients only (all distribution channels). No PRIIPs or UK PRIIPs key information document (KID) has been prepared as the notes are not available to retail investors in the EEA or UK.</w:t>
      </w:r>
    </w:p>
    <w:p>
      <w:pPr>
        <w:spacing w:after="0" w:line="176" w:lineRule="exact"/>
        <w:rPr>
          <w:sz w:val="20"/>
          <w:szCs w:val="20"/>
          <w:color w:val="auto"/>
        </w:rPr>
      </w:pPr>
    </w:p>
    <w:p>
      <w:pPr>
        <w:ind w:firstLine="330"/>
        <w:spacing w:after="0" w:line="253" w:lineRule="auto"/>
        <w:rPr>
          <w:sz w:val="20"/>
          <w:szCs w:val="20"/>
          <w:color w:val="auto"/>
        </w:rPr>
      </w:pPr>
      <w:r>
        <w:rPr>
          <w:rFonts w:ascii="Times New Roman" w:cs="Times New Roman" w:eastAsia="Times New Roman" w:hAnsi="Times New Roman"/>
          <w:sz w:val="18"/>
          <w:szCs w:val="18"/>
          <w:color w:val="auto"/>
        </w:rPr>
        <w:t>The communication of this term sheet and any other document or materials relating to the issue of the notes is not being made, and such documents or materials have not been approved, by an authorized person for the purposes of Section 21 of the United Kingdom’s Financial Services and Markets Act 2000, as amended. Accordingly, such documents and/or materials are not being distributed to, and must not be passed on to, the general public in the United Kingdom. This document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made under the Financial Promotion Order (all such persons together being referred to as “relevant persons”). This document is directed only at relevant persons and must not be acted on or relied on by persons who are not relevant persons. Any investment or investment activity to which this term sheet and any other document or materials relates will be engaged in only with relevant persons. Any person in the United Kingdom that is not a relevant person should not act or rely on this term sheet or any of its contents.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Relevant stabilization regulations including FCA/ICMA will apply.</w:t>
      </w:r>
    </w:p>
    <w:p>
      <w:pPr>
        <w:spacing w:after="0" w:line="225" w:lineRule="exact"/>
        <w:rPr>
          <w:sz w:val="20"/>
          <w:szCs w:val="20"/>
          <w:color w:val="auto"/>
        </w:rPr>
      </w:pPr>
    </w:p>
    <w:p>
      <w:pPr>
        <w:ind w:right="40" w:firstLine="330"/>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accompanying prospectus supplement) with the SEC for the offering to which this communication relates. Before you invest, you should read the prospectus in that registration statement, the accompanying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the prospectus supplement if you request it by calling Barclays Bank PLC at 1-888-603-5847 or BNP Paribas at (800) 854-5674.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2024-09-23T16:18:49Z</dcterms:created>
  <dcterms:modified xsi:type="dcterms:W3CDTF">2024-09-23T16:18:49Z</dcterms:modified>
</cp:coreProperties>
</file>