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174625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Pursuant to Section 13 or 15(d) of</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the Securities Exchange Act of 1934</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April 12, 2019</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Comcast Corporation</w:t>
      </w:r>
    </w:p>
    <w:p>
      <w:pPr>
        <w:spacing w:after="0" w:line="34"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as Specified in its Charter)</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1400" w:type="dxa"/>
        <w:tblCellMar>
          <w:top w:w="0" w:type="dxa"/>
          <w:left w:w="0" w:type="dxa"/>
          <w:bottom w:w="0" w:type="dxa"/>
          <w:right w:w="0" w:type="dxa"/>
        </w:tblCellMar>
      </w:tblPr>
      <w:tr>
        <w:trPr>
          <w:trHeight w:val="234"/>
        </w:trPr>
        <w:tc>
          <w:tcPr>
            <w:tcW w:w="4460" w:type="dxa"/>
            <w:vAlign w:val="bottom"/>
          </w:tcPr>
          <w:p>
            <w:pPr>
              <w:jc w:val="center"/>
              <w:ind w:right="1430"/>
              <w:spacing w:after="0"/>
              <w:rPr>
                <w:sz w:val="20"/>
                <w:szCs w:val="20"/>
                <w:color w:val="auto"/>
              </w:rPr>
            </w:pPr>
            <w:r>
              <w:rPr>
                <w:rFonts w:ascii="Arial" w:cs="Arial" w:eastAsia="Arial" w:hAnsi="Arial"/>
                <w:sz w:val="18"/>
                <w:szCs w:val="18"/>
                <w:b w:val="1"/>
                <w:bCs w:val="1"/>
                <w:color w:val="auto"/>
                <w:w w:val="90"/>
              </w:rPr>
              <w:t>001-32871</w:t>
            </w:r>
          </w:p>
        </w:tc>
        <w:tc>
          <w:tcPr>
            <w:tcW w:w="4000" w:type="dxa"/>
            <w:vAlign w:val="bottom"/>
          </w:tcPr>
          <w:p>
            <w:pPr>
              <w:jc w:val="center"/>
              <w:ind w:left="1430"/>
              <w:spacing w:after="0"/>
              <w:rPr>
                <w:sz w:val="20"/>
                <w:szCs w:val="20"/>
                <w:color w:val="auto"/>
              </w:rPr>
            </w:pPr>
            <w:r>
              <w:rPr>
                <w:rFonts w:ascii="Arial" w:cs="Arial" w:eastAsia="Arial" w:hAnsi="Arial"/>
                <w:sz w:val="18"/>
                <w:szCs w:val="18"/>
                <w:b w:val="1"/>
                <w:bCs w:val="1"/>
                <w:color w:val="auto"/>
                <w:w w:val="91"/>
              </w:rPr>
              <w:t>27-0000798</w:t>
            </w:r>
          </w:p>
        </w:tc>
      </w:tr>
      <w:tr>
        <w:trPr>
          <w:trHeight w:val="270"/>
        </w:trPr>
        <w:tc>
          <w:tcPr>
            <w:tcW w:w="4460" w:type="dxa"/>
            <w:vAlign w:val="bottom"/>
          </w:tcPr>
          <w:p>
            <w:pPr>
              <w:jc w:val="center"/>
              <w:ind w:right="145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left="1430"/>
              <w:spacing w:after="0"/>
              <w:rPr>
                <w:sz w:val="20"/>
                <w:szCs w:val="20"/>
                <w:color w:val="auto"/>
              </w:rPr>
            </w:pPr>
            <w:r>
              <w:rPr>
                <w:rFonts w:ascii="Arial" w:cs="Arial" w:eastAsia="Arial" w:hAnsi="Arial"/>
                <w:sz w:val="18"/>
                <w:szCs w:val="18"/>
                <w:color w:val="auto"/>
                <w:w w:val="94"/>
              </w:rPr>
              <w:t>(IRS Employer Identification No.)</w:t>
            </w:r>
          </w:p>
        </w:tc>
      </w:tr>
      <w:tr>
        <w:trPr>
          <w:trHeight w:val="495"/>
        </w:trPr>
        <w:tc>
          <w:tcPr>
            <w:tcW w:w="4460" w:type="dxa"/>
            <w:vAlign w:val="bottom"/>
          </w:tcPr>
          <w:p>
            <w:pPr>
              <w:jc w:val="center"/>
              <w:ind w:right="1450"/>
              <w:spacing w:after="0"/>
              <w:rPr>
                <w:sz w:val="20"/>
                <w:szCs w:val="20"/>
                <w:color w:val="auto"/>
              </w:rPr>
            </w:pPr>
            <w:r>
              <w:rPr>
                <w:rFonts w:ascii="Arial" w:cs="Arial" w:eastAsia="Arial" w:hAnsi="Arial"/>
                <w:sz w:val="18"/>
                <w:szCs w:val="18"/>
                <w:b w:val="1"/>
                <w:bCs w:val="1"/>
                <w:color w:val="auto"/>
                <w:w w:val="89"/>
              </w:rPr>
              <w:t>One Comcast Center</w:t>
            </w:r>
          </w:p>
        </w:tc>
        <w:tc>
          <w:tcPr>
            <w:tcW w:w="4000" w:type="dxa"/>
            <w:vAlign w:val="bottom"/>
          </w:tcPr>
          <w:p>
            <w:pPr>
              <w:spacing w:after="0"/>
              <w:rPr>
                <w:sz w:val="24"/>
                <w:szCs w:val="24"/>
                <w:color w:val="auto"/>
              </w:rPr>
            </w:pPr>
          </w:p>
        </w:tc>
      </w:tr>
      <w:tr>
        <w:trPr>
          <w:trHeight w:val="234"/>
        </w:trPr>
        <w:tc>
          <w:tcPr>
            <w:tcW w:w="4460" w:type="dxa"/>
            <w:vAlign w:val="bottom"/>
          </w:tcPr>
          <w:p>
            <w:pPr>
              <w:jc w:val="center"/>
              <w:ind w:right="1450"/>
              <w:spacing w:after="0"/>
              <w:rPr>
                <w:sz w:val="20"/>
                <w:szCs w:val="20"/>
                <w:color w:val="auto"/>
              </w:rPr>
            </w:pPr>
            <w:r>
              <w:rPr>
                <w:rFonts w:ascii="Arial" w:cs="Arial" w:eastAsia="Arial" w:hAnsi="Arial"/>
                <w:sz w:val="18"/>
                <w:szCs w:val="18"/>
                <w:b w:val="1"/>
                <w:bCs w:val="1"/>
                <w:color w:val="auto"/>
                <w:w w:val="90"/>
              </w:rPr>
              <w:t>Philadelphia, PA</w:t>
            </w:r>
          </w:p>
        </w:tc>
        <w:tc>
          <w:tcPr>
            <w:tcW w:w="4000" w:type="dxa"/>
            <w:vAlign w:val="bottom"/>
          </w:tcPr>
          <w:p>
            <w:pPr>
              <w:jc w:val="center"/>
              <w:ind w:left="1430"/>
              <w:spacing w:after="0"/>
              <w:rPr>
                <w:sz w:val="20"/>
                <w:szCs w:val="20"/>
                <w:color w:val="auto"/>
              </w:rPr>
            </w:pPr>
            <w:r>
              <w:rPr>
                <w:rFonts w:ascii="Arial" w:cs="Arial" w:eastAsia="Arial" w:hAnsi="Arial"/>
                <w:sz w:val="18"/>
                <w:szCs w:val="18"/>
                <w:b w:val="1"/>
                <w:bCs w:val="1"/>
                <w:color w:val="auto"/>
                <w:w w:val="91"/>
              </w:rPr>
              <w:t>19103-2838</w:t>
            </w:r>
          </w:p>
        </w:tc>
      </w:tr>
      <w:tr>
        <w:trPr>
          <w:trHeight w:val="270"/>
        </w:trPr>
        <w:tc>
          <w:tcPr>
            <w:tcW w:w="4460" w:type="dxa"/>
            <w:vAlign w:val="bottom"/>
          </w:tcPr>
          <w:p>
            <w:pPr>
              <w:jc w:val="center"/>
              <w:ind w:right="1430"/>
              <w:spacing w:after="0"/>
              <w:rPr>
                <w:sz w:val="20"/>
                <w:szCs w:val="20"/>
                <w:color w:val="auto"/>
              </w:rPr>
            </w:pPr>
            <w:r>
              <w:rPr>
                <w:rFonts w:ascii="Arial" w:cs="Arial" w:eastAsia="Arial" w:hAnsi="Arial"/>
                <w:sz w:val="18"/>
                <w:szCs w:val="18"/>
                <w:color w:val="auto"/>
                <w:w w:val="92"/>
              </w:rPr>
              <w:t>(Address of Principal Executive Offices)</w:t>
            </w:r>
          </w:p>
        </w:tc>
        <w:tc>
          <w:tcPr>
            <w:tcW w:w="4000" w:type="dxa"/>
            <w:vAlign w:val="bottom"/>
          </w:tcPr>
          <w:p>
            <w:pPr>
              <w:jc w:val="center"/>
              <w:ind w:left="143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48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868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6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Following its acquisition of Sky Limited (formerly known as Sky plc) (“</w:t>
      </w:r>
      <w:r>
        <w:rPr>
          <w:rFonts w:ascii="Arial" w:cs="Arial" w:eastAsia="Arial" w:hAnsi="Arial"/>
          <w:sz w:val="18"/>
          <w:szCs w:val="18"/>
          <w:b w:val="1"/>
          <w:bCs w:val="1"/>
          <w:color w:val="auto"/>
        </w:rPr>
        <w:t>Sky</w:t>
      </w:r>
      <w:r>
        <w:rPr>
          <w:rFonts w:ascii="Arial" w:cs="Arial" w:eastAsia="Arial" w:hAnsi="Arial"/>
          <w:sz w:val="18"/>
          <w:szCs w:val="18"/>
          <w:color w:val="auto"/>
        </w:rPr>
        <w:t>”), Comcast Corporation (“</w:t>
      </w:r>
      <w:r>
        <w:rPr>
          <w:rFonts w:ascii="Arial" w:cs="Arial" w:eastAsia="Arial" w:hAnsi="Arial"/>
          <w:sz w:val="18"/>
          <w:szCs w:val="18"/>
          <w:b w:val="1"/>
          <w:bCs w:val="1"/>
          <w:color w:val="auto"/>
        </w:rPr>
        <w:t>Comcast</w:t>
      </w:r>
      <w:r>
        <w:rPr>
          <w:rFonts w:ascii="Arial" w:cs="Arial" w:eastAsia="Arial" w:hAnsi="Arial"/>
          <w:sz w:val="18"/>
          <w:szCs w:val="18"/>
          <w:color w:val="auto"/>
        </w:rPr>
        <w:t>”) continues to explore ways to improve efficiencies, including simplifying Comcast’s capital structure and streamlining its ongoing financial reporting obligations. In connection with this effort and as previously reported, on March 21, 2019, Sky announced a series of consent solicitations (the “</w:t>
      </w:r>
      <w:r>
        <w:rPr>
          <w:rFonts w:ascii="Arial" w:cs="Arial" w:eastAsia="Arial" w:hAnsi="Arial"/>
          <w:sz w:val="18"/>
          <w:szCs w:val="18"/>
          <w:b w:val="1"/>
          <w:bCs w:val="1"/>
          <w:color w:val="auto"/>
        </w:rPr>
        <w:t>Consent Solicitations</w:t>
      </w:r>
      <w:r>
        <w:rPr>
          <w:rFonts w:ascii="Arial" w:cs="Arial" w:eastAsia="Arial" w:hAnsi="Arial"/>
          <w:sz w:val="18"/>
          <w:szCs w:val="18"/>
          <w:color w:val="auto"/>
        </w:rPr>
        <w:t>”) with respect to its Notes (as defined below).</w:t>
      </w:r>
    </w:p>
    <w:p>
      <w:pPr>
        <w:spacing w:after="0" w:line="1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Consent Solicitations seek to permit the transfer of the listing of the Main Market Notes (as defined below) from the Main Market of the London Stock Exchange plc (the “</w:t>
      </w:r>
      <w:r>
        <w:rPr>
          <w:rFonts w:ascii="Arial" w:cs="Arial" w:eastAsia="Arial" w:hAnsi="Arial"/>
          <w:sz w:val="17"/>
          <w:szCs w:val="17"/>
          <w:b w:val="1"/>
          <w:bCs w:val="1"/>
          <w:color w:val="auto"/>
        </w:rPr>
        <w:t>LSE</w:t>
      </w:r>
      <w:r>
        <w:rPr>
          <w:rFonts w:ascii="Arial" w:cs="Arial" w:eastAsia="Arial" w:hAnsi="Arial"/>
          <w:sz w:val="17"/>
          <w:szCs w:val="17"/>
          <w:color w:val="auto"/>
        </w:rPr>
        <w:t>”) to the Professional Securities Market of the LSE, as well as to permit certain changes to the terms of the Notes so that Sky can make certain calculations pursuant to United States Generally Accepted Accounting Principles rather than International Financial Reporting Standards. If each of the Consent Solicitations relating to the Main Market Notes succeeds and the transfer of the listing of each of the three series of Main Market Notes is approved, then Comcast will provide a full, irrevocable and unconditional guarantee of each series of Notes for which the respective Consent Solicitation is successful within 90 days from the date of transfer of the listing of the Main Market Notes.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12, 2019, Sky announced that the Requisite Consents were obtained for all series of Dollar Notes (as defined below), and for the 6.000% Guaranteed Notes due 2027, 4.000% Guaranteed Notes due 2029 and 2.750% Guaranteed Notes due 2029.</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While substantially all of the consents received as of the expiration deadline for each of the remaining series of Notes were in favor of the proposed amendments, the quorum requirement of 50% of the outstanding principal amount of each such series of Notes was not achieved when the relevant meeting was convened on April 12, 2019, thereby necessitating an adjourned meeting in respect of such Notes. Accordingly, on April 12, 2019, Sky announced that the noteholder meetings for the remaining series of Notes will be adjourned until April 26, 2019. At the adjourned meetings, two or more holders representing in the aggregate any proportion of the relevant series of Notes will constitute a quorum for that series of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Dollar Notes</w:t>
      </w:r>
      <w:r>
        <w:rPr>
          <w:rFonts w:ascii="Arial" w:cs="Arial" w:eastAsia="Arial" w:hAnsi="Arial"/>
          <w:sz w:val="18"/>
          <w:szCs w:val="18"/>
          <w:color w:val="auto"/>
        </w:rPr>
        <w:t>” are as follows:</w:t>
      </w:r>
    </w:p>
    <w:p>
      <w:pPr>
        <w:spacing w:after="0" w:line="27" w:lineRule="exact"/>
        <w:rPr>
          <w:sz w:val="20"/>
          <w:szCs w:val="20"/>
          <w:color w:val="auto"/>
        </w:rPr>
      </w:pPr>
    </w:p>
    <w:p>
      <w:pPr>
        <w:ind w:left="780" w:hanging="448"/>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$750,000,000 2.625% Notes due 2019 (ISIN: USG15632AQ89/US111013AM04);</w:t>
      </w:r>
    </w:p>
    <w:p>
      <w:pPr>
        <w:spacing w:after="0" w:line="9" w:lineRule="exact"/>
        <w:rPr>
          <w:rFonts w:ascii="Arial" w:cs="Arial" w:eastAsia="Arial" w:hAnsi="Arial"/>
          <w:sz w:val="18"/>
          <w:szCs w:val="18"/>
          <w:color w:val="auto"/>
        </w:rPr>
      </w:pPr>
    </w:p>
    <w:p>
      <w:pPr>
        <w:ind w:left="780" w:hanging="448"/>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$800,000,000 3.125% Notes due 2022 (ISIN: USG15632AN58/US111013AK48);</w:t>
      </w:r>
    </w:p>
    <w:p>
      <w:pPr>
        <w:spacing w:after="0" w:line="9" w:lineRule="exact"/>
        <w:rPr>
          <w:rFonts w:ascii="Arial" w:cs="Arial" w:eastAsia="Arial" w:hAnsi="Arial"/>
          <w:sz w:val="18"/>
          <w:szCs w:val="18"/>
          <w:color w:val="auto"/>
        </w:rPr>
      </w:pPr>
    </w:p>
    <w:p>
      <w:pPr>
        <w:ind w:left="780" w:hanging="448"/>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$1,250,000,000 3.750 Notes due 2024 (ISIN: USG15632AP07/US111013AL21); and</w:t>
      </w:r>
    </w:p>
    <w:p>
      <w:pPr>
        <w:spacing w:after="0" w:line="9" w:lineRule="exact"/>
        <w:rPr>
          <w:rFonts w:ascii="Arial" w:cs="Arial" w:eastAsia="Arial" w:hAnsi="Arial"/>
          <w:sz w:val="18"/>
          <w:szCs w:val="18"/>
          <w:color w:val="auto"/>
        </w:rPr>
      </w:pPr>
    </w:p>
    <w:p>
      <w:pPr>
        <w:ind w:left="780" w:hanging="448"/>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$350,000,000 6.500% Notes due 2035 (ISIN: USG1658KAB73/US11778BAB80).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Main Market Notes</w:t>
      </w:r>
      <w:r>
        <w:rPr>
          <w:rFonts w:ascii="Arial" w:cs="Arial" w:eastAsia="Arial" w:hAnsi="Arial"/>
          <w:sz w:val="18"/>
          <w:szCs w:val="18"/>
          <w:color w:val="auto"/>
        </w:rPr>
        <w:t>” are as follows:</w:t>
      </w:r>
    </w:p>
    <w:p>
      <w:pPr>
        <w:spacing w:after="0" w:line="27" w:lineRule="exact"/>
        <w:rPr>
          <w:sz w:val="20"/>
          <w:szCs w:val="20"/>
          <w:color w:val="auto"/>
        </w:rPr>
      </w:pPr>
    </w:p>
    <w:p>
      <w:pPr>
        <w:ind w:left="780" w:hanging="448"/>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€1,500,000,000 1.500% Guaranteed Notes due 2021 (ISIN: XS1109741246);</w:t>
      </w:r>
    </w:p>
    <w:p>
      <w:pPr>
        <w:spacing w:after="0" w:line="9" w:lineRule="exact"/>
        <w:rPr>
          <w:rFonts w:ascii="Arial" w:cs="Arial" w:eastAsia="Arial" w:hAnsi="Arial"/>
          <w:sz w:val="18"/>
          <w:szCs w:val="18"/>
          <w:color w:val="auto"/>
        </w:rPr>
      </w:pPr>
    </w:p>
    <w:p>
      <w:pPr>
        <w:ind w:left="780" w:hanging="448"/>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€1,000,000,000 2.500% Guaranteed Notes due 2026 (ISIN: XS1109741329); and</w:t>
      </w:r>
    </w:p>
    <w:p>
      <w:pPr>
        <w:spacing w:after="0" w:line="9" w:lineRule="exact"/>
        <w:rPr>
          <w:rFonts w:ascii="Arial" w:cs="Arial" w:eastAsia="Arial" w:hAnsi="Arial"/>
          <w:sz w:val="18"/>
          <w:szCs w:val="18"/>
          <w:color w:val="auto"/>
        </w:rPr>
      </w:pPr>
    </w:p>
    <w:p>
      <w:pPr>
        <w:ind w:left="780" w:hanging="448"/>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£300,000,000 6.000% Guaranteed Notes due 2027 (ISIN: XS0301676861).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Notes</w:t>
      </w:r>
      <w:r>
        <w:rPr>
          <w:rFonts w:ascii="Arial" w:cs="Arial" w:eastAsia="Arial" w:hAnsi="Arial"/>
          <w:sz w:val="18"/>
          <w:szCs w:val="18"/>
          <w:color w:val="auto"/>
        </w:rPr>
        <w:t>” include the Dollar Notes and the Main Market Notes together with the following additional series of Notes:</w:t>
      </w:r>
    </w:p>
    <w:p>
      <w:pPr>
        <w:spacing w:after="0" w:line="27" w:lineRule="exact"/>
        <w:rPr>
          <w:sz w:val="20"/>
          <w:szCs w:val="20"/>
          <w:color w:val="auto"/>
        </w:rPr>
      </w:pPr>
    </w:p>
    <w:p>
      <w:pPr>
        <w:ind w:left="780" w:hanging="44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£450,000,000 2.875% Guaranteed Notes due 2020 (ISIN: XS1141970092);</w:t>
      </w:r>
    </w:p>
    <w:p>
      <w:pPr>
        <w:spacing w:after="0" w:line="9" w:lineRule="exact"/>
        <w:rPr>
          <w:rFonts w:ascii="Arial" w:cs="Arial" w:eastAsia="Arial" w:hAnsi="Arial"/>
          <w:sz w:val="18"/>
          <w:szCs w:val="18"/>
          <w:color w:val="auto"/>
        </w:rPr>
      </w:pPr>
    </w:p>
    <w:p>
      <w:pPr>
        <w:ind w:left="780" w:hanging="44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€600,000,000 Guaranteed Floating Rate Notes due 2020 (ISIN XS1212467911);</w:t>
      </w:r>
    </w:p>
    <w:p>
      <w:pPr>
        <w:spacing w:after="0" w:line="9" w:lineRule="exact"/>
        <w:rPr>
          <w:rFonts w:ascii="Arial" w:cs="Arial" w:eastAsia="Arial" w:hAnsi="Arial"/>
          <w:sz w:val="18"/>
          <w:szCs w:val="18"/>
          <w:color w:val="auto"/>
        </w:rPr>
      </w:pPr>
    </w:p>
    <w:p>
      <w:pPr>
        <w:ind w:left="780" w:hanging="44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€850,000,000 1.875% Notes due 2023 (ISIN: XS1141969912);</w:t>
      </w:r>
    </w:p>
    <w:p>
      <w:pPr>
        <w:spacing w:after="0" w:line="9" w:lineRule="exact"/>
        <w:rPr>
          <w:rFonts w:ascii="Arial" w:cs="Arial" w:eastAsia="Arial" w:hAnsi="Arial"/>
          <w:sz w:val="18"/>
          <w:szCs w:val="18"/>
          <w:color w:val="auto"/>
        </w:rPr>
      </w:pPr>
    </w:p>
    <w:p>
      <w:pPr>
        <w:ind w:left="780" w:hanging="44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€500,000,000 2.250% Guaranteed Notes due 2025 (ISIN: XS1321424670);</w:t>
      </w:r>
    </w:p>
    <w:p>
      <w:pPr>
        <w:spacing w:after="0" w:line="9" w:lineRule="exact"/>
        <w:rPr>
          <w:rFonts w:ascii="Arial" w:cs="Arial" w:eastAsia="Arial" w:hAnsi="Arial"/>
          <w:sz w:val="18"/>
          <w:szCs w:val="18"/>
          <w:color w:val="auto"/>
        </w:rPr>
      </w:pPr>
    </w:p>
    <w:p>
      <w:pPr>
        <w:ind w:left="780" w:hanging="44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£300,000,000 4.000% Guaranteed Notes due 2029 (ISIN: XS1141970175); and</w:t>
      </w:r>
    </w:p>
    <w:p>
      <w:pPr>
        <w:spacing w:after="0" w:line="9" w:lineRule="exact"/>
        <w:rPr>
          <w:rFonts w:ascii="Arial" w:cs="Arial" w:eastAsia="Arial" w:hAnsi="Arial"/>
          <w:sz w:val="18"/>
          <w:szCs w:val="18"/>
          <w:color w:val="auto"/>
        </w:rPr>
      </w:pPr>
    </w:p>
    <w:p>
      <w:pPr>
        <w:ind w:left="780" w:hanging="44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€400,000,000 2.750% Guaranteed Notes due 2029 (ISIN: XS1143502901).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Only Eligible Holders can vote in the Consent Solicitations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Consent Solicitations are made solely pursuant to the terms of Consent Solicitation Memoranda that have been made available to Eligible Holders (as defined below) of the Notes. The implementation of each Consent Solicitation and the related resolutions will be conditional on the quorum required for, and the requisite majority of votes cast at, the relevant meeting being satisfied solely by the participation of Eligible Holders. In order to be an Eligible Holder, a holder must be (1) (a) located outside the United States and not a U.S. person (as defined in Regulation S under the Securities Act of 1933, as amended (the “Securities Act”)) or (b) if a U.S. person or located in the United States, a Qualified Institutional Buyer (within the meaning of Rule 144A under the Securities Act) (a “QIB”) and (2) a person to whom the Consent Solicitation can be lawfully made and that may lawfully participate in the Consent Solicitation (each, an “Eligible Holder”).</w:t>
      </w:r>
    </w:p>
    <w:p>
      <w:pPr>
        <w:spacing w:after="0" w:line="18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Consent Solicitations are not an offer of securities for sale, including in the United States. The Notes have not been, and will not be, registered under the Securities Act, or the securities laws of any state or other jurisdiction of the United States, and may not be offered, sold or delivered, directly or indirectly, within the United States or to, or for the account or benefit of, U.S. persons (as defined in Regulation S under the Securities Act), except pursuant to an exemption from, or in transactions not subject to, the registration requirements of the Securities Act and the applicable state or local securities laws.</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Comcast does not intend for this Item 7.01 to be treated as “filed” under the Securities Exchange Act of 1934, as amended, or incorporated by reference into its filings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spacing w:after="0"/>
        <w:tabs>
          <w:tab w:leader="none" w:pos="5360" w:val="left"/>
          <w:tab w:leader="none" w:pos="5800" w:val="left"/>
        </w:tabs>
        <w:rPr>
          <w:sz w:val="20"/>
          <w:szCs w:val="20"/>
          <w:color w:val="auto"/>
        </w:rPr>
      </w:pPr>
      <w:r>
        <w:rPr>
          <w:rFonts w:ascii="Arial" w:cs="Arial" w:eastAsia="Arial" w:hAnsi="Arial"/>
          <w:sz w:val="18"/>
          <w:szCs w:val="18"/>
          <w:color w:val="auto"/>
        </w:rPr>
        <w:t>Date:  April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19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-130175</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2019-12-03T11:36:06Z</dcterms:created>
  <dcterms:modified xsi:type="dcterms:W3CDTF">2019-12-03T11:36:06Z</dcterms:modified>
</cp:coreProperties>
</file>