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 , PA 19103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There have been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developments in federal and state legislation and regulation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international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accords regarding climate change. Please tailor the general disclosure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about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environmental-related regulatory matters to identify material pending 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climate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change-related legislation, regulations, and international accords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impact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business, financial condition, and results of operations.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the extent material,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indirect consequences of climate-related regulation 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trends, such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following: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decreased demand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goods or services that produce significant greenhouse gas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emissions or 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carbon-based energy sources, including energy use across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network,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production studios and theme parks;</w:t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demand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320" w:right="265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goods or services that result in lower emissions than competing products or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services;</w:t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 w:right="211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competition to develop innovative new products or services that result in lower emissions;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anticipated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25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reputational risks resulting from operations, products, or services that Brian L. Roberts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produce material greenhouse gas emissions.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severe weather events such as hurricanes and wildfires have impacted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products, services and properties, and could lead to large expenditures. In addition,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CSR report outlines projects and initiatives you will undertake to meet your goal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becoming carbon neutral by 2035. Please revise your disclosure to identify any material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past and/or future capital expenditures for climate-related projects. If material,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these expenditures. In addition, discuss the significant physical effects of climate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on your operations and results, if material. This disclosure may include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severity of weather from climate change, such as floods, hurricanes, sea levels,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700" w:right="233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wildfires, and water availability and quality; quantification of material weather-related damages to your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or operations;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5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for indirect weather-related impacts that have affected or may affect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 customers or suppliers; and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weather-related impacts on the cost or availability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effects of transition risks related to climate change that may affect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business, financial condition, and results of operations, such as policy and regulatory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that could impose operational and compliance burdens, market trends that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 business opportunities, credit risks, or technological changes. In this regard, we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your CSR report about your goal to become carbon neutral by 2035 and steps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plan to take to meet that goal.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any material increased compliance costs related to climate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Mitchell Austin, Staff Attorney, at (202) 551-3574 or Anna Abramson,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551-4969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3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LastNameBrian L. Roberts Comapany NameComcast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42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14,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2022-03-21T23:15:09Z</dcterms:created>
  <dcterms:modified xsi:type="dcterms:W3CDTF">2022-03-21T23:15:09Z</dcterms:modified>
</cp:coreProperties>
</file>