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500"/>
        <w:spacing w:after="0"/>
        <w:rPr>
          <w:sz w:val="20"/>
          <w:szCs w:val="20"/>
          <w:color w:val="auto"/>
        </w:rPr>
      </w:pPr>
      <w:r>
        <w:rPr>
          <w:rFonts w:ascii="Arial" w:cs="Arial" w:eastAsia="Arial" w:hAnsi="Arial"/>
          <w:sz w:val="25"/>
          <w:szCs w:val="25"/>
          <w:color w:val="auto"/>
        </w:rPr>
        <w:t>__________________</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7,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805" w:right="339" w:bottom="321" w:gutter="0" w:footer="0" w:header="0"/>
        </w:sectPr>
      </w:pPr>
    </w:p>
    <w:p>
      <w:pPr>
        <w:spacing w:after="0" w:line="9" w:lineRule="exact"/>
        <w:rPr>
          <w:sz w:val="24"/>
          <w:szCs w:val="24"/>
          <w:color w:val="auto"/>
        </w:rPr>
      </w:pPr>
    </w:p>
    <w:p>
      <w:pPr>
        <w:jc w:val="center"/>
        <w:ind w:right="376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360" w:space="720"/>
            <w:col w:w="3160"/>
          </w:cols>
          <w:pgMar w:left="320" w:top="805" w:right="339" w:bottom="321" w:gutter="0" w:footer="0" w:header="0"/>
          <w:type w:val="continuous"/>
        </w:sectPr>
      </w:pPr>
    </w:p>
    <w:p>
      <w:pPr>
        <w:spacing w:after="0" w:line="30" w:lineRule="exact"/>
        <w:rPr>
          <w:sz w:val="24"/>
          <w:szCs w:val="24"/>
          <w:color w:val="auto"/>
        </w:rPr>
      </w:pPr>
    </w:p>
    <w:p>
      <w:pPr>
        <w:jc w:val="center"/>
        <w:ind w:right="464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64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6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(Zip Code)</w:t>
      </w:r>
    </w:p>
    <w:p>
      <w:pPr>
        <w:spacing w:after="0" w:line="404" w:lineRule="exact"/>
        <w:rPr>
          <w:sz w:val="24"/>
          <w:szCs w:val="24"/>
          <w:color w:val="auto"/>
        </w:rPr>
      </w:pPr>
    </w:p>
    <w:p>
      <w:pPr>
        <w:sectPr>
          <w:pgSz w:w="11900" w:h="16838" w:orient="portrait"/>
          <w:cols w:equalWidth="0" w:num="2">
            <w:col w:w="8240" w:space="720"/>
            <w:col w:w="2280"/>
          </w:cols>
          <w:pgMar w:left="320" w:top="805" w:right="339" w:bottom="321"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25"/>
          <w:szCs w:val="25"/>
          <w:color w:val="auto"/>
        </w:rPr>
        <w:t>__________________</w:t>
      </w:r>
    </w:p>
    <w:p>
      <w:pPr>
        <w:spacing w:after="0" w:line="211"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60" w:firstLine="332"/>
        <w:spacing w:after="0" w:line="509"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 Notes due 2026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CMCS26</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CMCS29A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05" w:right="339" w:bottom="32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At our annual meeting of shareholders held on June 7, 2023 (the “annual meeting”), the shareholders of Comcast Corporation (the “Company”) approved</w:t>
      </w:r>
    </w:p>
    <w:p>
      <w:pPr>
        <w:spacing w:after="0" w:line="46" w:lineRule="exact"/>
        <w:rPr>
          <w:sz w:val="20"/>
          <w:szCs w:val="20"/>
          <w:color w:val="auto"/>
        </w:rPr>
      </w:pPr>
    </w:p>
    <w:p>
      <w:pPr>
        <w:ind w:right="120" w:firstLine="8"/>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adoption of the Comcast Corporation 2023 Omnibus Equity Incentive Plan (the “Omnibus Plan”) and (ii) amendments to the Comcast Corporation 2002 Employee Stock Purchase Plan (the “Comcast ESPP” and, together with the Omnibus Plan, the “Plans”), which were both unanimously approved by the Company’s Board of Directors on March 1, 2023, subject to shareholder approval at the annual meeting.</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effective date of the Omnibus Plan is June 7, 2023. The Omnibus Plan will replace the 2002 Restricted Stock Plan and the 2003 Stock Option Plan (collectively, the “Prior Plans”) and provide for the issuance of up to 275 million shares, minus the number of shares subject to any award granted under the Prior Plans after March 31, 2023. Awards granted under the Omnibus Plan may consist of stock options, stock appreciation rights, restricted stock, restricted stock units, performance awards and other stock-based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amendment to the Comcast ESPP increased the number of shares available for issuance from 101,000,000 to 201,000,000.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above descriptions are qualified in their entirety by reference to the full text of the Plans, which are attached as Exhibits 10.1 and 10.2 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annual meeting on June 7, 2023, our shareholders approved, or did not approve, the following proposals.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as described in detail in the Company’s definitive proxy statement dated April 28, 2023, are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All of the director nominees named in the proxy statement were elected to serve as directors for one-year terms.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w:t>
            </w:r>
          </w:p>
        </w:tc>
        <w:tc>
          <w:tcPr>
            <w:tcW w:w="3280" w:type="dxa"/>
            <w:vAlign w:val="bottom"/>
            <w:tcBorders>
              <w:bottom w:val="single" w:sz="8" w:color="auto"/>
            </w:tcBorders>
          </w:tcPr>
          <w:p>
            <w:pPr>
              <w:jc w:val="center"/>
              <w:ind w:left="2110"/>
              <w:spacing w:after="0"/>
              <w:rPr>
                <w:sz w:val="20"/>
                <w:szCs w:val="20"/>
                <w:color w:val="auto"/>
              </w:rPr>
            </w:pPr>
            <w:r>
              <w:rPr>
                <w:rFonts w:ascii="Arial" w:cs="Arial" w:eastAsia="Arial" w:hAnsi="Arial"/>
                <w:sz w:val="18"/>
                <w:szCs w:val="18"/>
                <w:b w:val="1"/>
                <w:bCs w:val="1"/>
                <w:color w:val="auto"/>
                <w:w w:val="96"/>
              </w:rPr>
              <w:t>For</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Withheld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5"/>
        </w:trPr>
        <w:tc>
          <w:tcPr>
            <w:tcW w:w="4060" w:type="dxa"/>
            <w:vAlign w:val="bottom"/>
          </w:tcPr>
          <w:p>
            <w:pPr>
              <w:spacing w:after="0" w:line="195" w:lineRule="exact"/>
              <w:rPr>
                <w:sz w:val="20"/>
                <w:szCs w:val="20"/>
                <w:color w:val="auto"/>
              </w:rPr>
            </w:pPr>
            <w:r>
              <w:rPr>
                <w:rFonts w:ascii="Arial" w:cs="Arial" w:eastAsia="Arial" w:hAnsi="Arial"/>
                <w:sz w:val="18"/>
                <w:szCs w:val="18"/>
                <w:color w:val="auto"/>
              </w:rPr>
              <w:t>Kenneth J. Bacon</w:t>
            </w:r>
          </w:p>
        </w:tc>
        <w:tc>
          <w:tcPr>
            <w:tcW w:w="3280" w:type="dxa"/>
            <w:vAlign w:val="bottom"/>
          </w:tcPr>
          <w:p>
            <w:pPr>
              <w:jc w:val="center"/>
              <w:ind w:left="2090"/>
              <w:spacing w:after="0" w:line="195" w:lineRule="exact"/>
              <w:rPr>
                <w:sz w:val="20"/>
                <w:szCs w:val="20"/>
                <w:color w:val="auto"/>
              </w:rPr>
            </w:pPr>
            <w:r>
              <w:rPr>
                <w:rFonts w:ascii="Arial" w:cs="Arial" w:eastAsia="Arial" w:hAnsi="Arial"/>
                <w:sz w:val="18"/>
                <w:szCs w:val="18"/>
                <w:color w:val="auto"/>
                <w:w w:val="89"/>
              </w:rPr>
              <w:t>282,091,104</w:t>
            </w:r>
          </w:p>
        </w:tc>
        <w:tc>
          <w:tcPr>
            <w:tcW w:w="114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95"/>
              </w:rPr>
              <w:t>91,199,441</w:t>
            </w:r>
          </w:p>
        </w:tc>
        <w:tc>
          <w:tcPr>
            <w:tcW w:w="162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Thomas J. Baltimore, Jr.</w:t>
            </w:r>
          </w:p>
        </w:tc>
        <w:tc>
          <w:tcPr>
            <w:tcW w:w="3280" w:type="dxa"/>
            <w:vAlign w:val="bottom"/>
          </w:tcPr>
          <w:p>
            <w:pPr>
              <w:jc w:val="center"/>
              <w:ind w:left="2110"/>
              <w:spacing w:after="0"/>
              <w:rPr>
                <w:sz w:val="20"/>
                <w:szCs w:val="20"/>
                <w:color w:val="auto"/>
              </w:rPr>
            </w:pPr>
            <w:r>
              <w:rPr>
                <w:rFonts w:ascii="Arial" w:cs="Arial" w:eastAsia="Arial" w:hAnsi="Arial"/>
                <w:sz w:val="18"/>
                <w:szCs w:val="18"/>
                <w:color w:val="auto"/>
                <w:w w:val="87"/>
              </w:rPr>
              <w:t>290,958,113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5"/>
              </w:rPr>
              <w:t>82,332,432</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Madeline S. Bell</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316,074,003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5"/>
              </w:rPr>
              <w:t>57,216,542</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Edward D. Breen</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365,064,930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8,225,615</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Gerald L. Hassell</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365,380,458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7,910,087</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Jeffrey A. Honickman</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306,544,660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5"/>
              </w:rPr>
              <w:t>66,745,885</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Maritza G. Montiel</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365,998,297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7,292,248</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Asuka Nakahara</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371,159,630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2,130,915</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David C. Novak</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368,812,438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4,478,107</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Brian L. Roberts</w:t>
            </w:r>
          </w:p>
        </w:tc>
        <w:tc>
          <w:tcPr>
            <w:tcW w:w="3280" w:type="dxa"/>
            <w:vAlign w:val="bottom"/>
          </w:tcPr>
          <w:p>
            <w:pPr>
              <w:jc w:val="center"/>
              <w:ind w:left="2090"/>
              <w:spacing w:after="0"/>
              <w:rPr>
                <w:sz w:val="20"/>
                <w:szCs w:val="20"/>
                <w:color w:val="auto"/>
              </w:rPr>
            </w:pPr>
            <w:r>
              <w:rPr>
                <w:rFonts w:ascii="Arial" w:cs="Arial" w:eastAsia="Arial" w:hAnsi="Arial"/>
                <w:sz w:val="18"/>
                <w:szCs w:val="18"/>
                <w:color w:val="auto"/>
                <w:w w:val="89"/>
              </w:rPr>
              <w:t>356,053,931</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5"/>
              </w:rPr>
              <w:t>17,236,614</w:t>
            </w:r>
          </w:p>
        </w:tc>
        <w:tc>
          <w:tcPr>
            <w:tcW w:w="1620" w:type="dxa"/>
            <w:vAlign w:val="bottom"/>
          </w:tcPr>
          <w:p>
            <w:pPr>
              <w:jc w:val="center"/>
              <w:ind w:left="10"/>
              <w:spacing w:after="0"/>
              <w:rPr>
                <w:sz w:val="20"/>
                <w:szCs w:val="20"/>
                <w:color w:val="auto"/>
              </w:rPr>
            </w:pPr>
            <w:r>
              <w:rPr>
                <w:rFonts w:ascii="Arial" w:cs="Arial" w:eastAsia="Arial" w:hAnsi="Arial"/>
                <w:sz w:val="18"/>
                <w:szCs w:val="18"/>
                <w:color w:val="auto"/>
                <w:w w:val="88"/>
              </w:rPr>
              <w:t>22,189,580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2023 fiscal year, as described in the proxy statement, was ratified.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6"/>
              </w:rPr>
              <w:t>For</w:t>
            </w:r>
          </w:p>
        </w:tc>
        <w:tc>
          <w:tcPr>
            <w:tcW w:w="2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Against</w:t>
            </w:r>
          </w:p>
        </w:tc>
        <w:tc>
          <w:tcPr>
            <w:tcW w:w="26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Abstain</w:t>
            </w:r>
          </w:p>
        </w:tc>
        <w:tc>
          <w:tcPr>
            <w:tcW w:w="24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640" w:type="dxa"/>
            <w:vAlign w:val="bottom"/>
          </w:tcPr>
          <w:p>
            <w:pPr>
              <w:jc w:val="right"/>
              <w:ind w:right="890"/>
              <w:spacing w:after="0"/>
              <w:rPr>
                <w:sz w:val="20"/>
                <w:szCs w:val="20"/>
                <w:color w:val="auto"/>
              </w:rPr>
            </w:pPr>
            <w:r>
              <w:rPr>
                <w:rFonts w:ascii="Arial" w:cs="Arial" w:eastAsia="Arial" w:hAnsi="Arial"/>
                <w:sz w:val="18"/>
                <w:szCs w:val="18"/>
                <w:color w:val="auto"/>
              </w:rPr>
              <w:t>386,363,118</w:t>
            </w:r>
          </w:p>
        </w:tc>
        <w:tc>
          <w:tcPr>
            <w:tcW w:w="2960" w:type="dxa"/>
            <w:vAlign w:val="bottom"/>
          </w:tcPr>
          <w:p>
            <w:pPr>
              <w:jc w:val="right"/>
              <w:ind w:right="1150"/>
              <w:spacing w:after="0"/>
              <w:rPr>
                <w:sz w:val="20"/>
                <w:szCs w:val="20"/>
                <w:color w:val="auto"/>
              </w:rPr>
            </w:pPr>
            <w:r>
              <w:rPr>
                <w:rFonts w:ascii="Arial" w:cs="Arial" w:eastAsia="Arial" w:hAnsi="Arial"/>
                <w:sz w:val="18"/>
                <w:szCs w:val="18"/>
                <w:color w:val="auto"/>
              </w:rPr>
              <w:t>8,647,839</w:t>
            </w:r>
          </w:p>
        </w:tc>
        <w:tc>
          <w:tcPr>
            <w:tcW w:w="2660" w:type="dxa"/>
            <w:vAlign w:val="bottom"/>
          </w:tcPr>
          <w:p>
            <w:pPr>
              <w:ind w:left="1240"/>
              <w:spacing w:after="0"/>
              <w:rPr>
                <w:sz w:val="20"/>
                <w:szCs w:val="20"/>
                <w:color w:val="auto"/>
              </w:rPr>
            </w:pPr>
            <w:r>
              <w:rPr>
                <w:rFonts w:ascii="Arial" w:cs="Arial" w:eastAsia="Arial" w:hAnsi="Arial"/>
                <w:sz w:val="18"/>
                <w:szCs w:val="18"/>
                <w:color w:val="auto"/>
              </w:rPr>
              <w:t>469,168</w:t>
            </w:r>
          </w:p>
        </w:tc>
        <w:tc>
          <w:tcPr>
            <w:tcW w:w="2400" w:type="dxa"/>
            <w:vAlign w:val="bottom"/>
          </w:tcPr>
          <w:p>
            <w:pPr>
              <w:jc w:val="center"/>
              <w:ind w:left="490"/>
              <w:spacing w:after="0"/>
              <w:rPr>
                <w:sz w:val="20"/>
                <w:szCs w:val="20"/>
                <w:color w:val="auto"/>
              </w:rPr>
            </w:pPr>
            <w:r>
              <w:rPr>
                <w:rFonts w:ascii="Arial" w:cs="Arial" w:eastAsia="Arial" w:hAnsi="Arial"/>
                <w:sz w:val="18"/>
                <w:szCs w:val="18"/>
                <w:color w:val="auto"/>
                <w:w w:val="99"/>
              </w:rPr>
              <w:t>N/A</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(3) The Comcast Corporation 2023 Omnibus Equity Incentive Plan, as described in the proxy statement, was approved.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Against</w:t>
            </w:r>
          </w:p>
        </w:tc>
        <w:tc>
          <w:tcPr>
            <w:tcW w:w="264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Abstain</w:t>
            </w:r>
          </w:p>
        </w:tc>
        <w:tc>
          <w:tcPr>
            <w:tcW w:w="24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620" w:type="dxa"/>
            <w:vAlign w:val="bottom"/>
          </w:tcPr>
          <w:p>
            <w:pPr>
              <w:jc w:val="right"/>
              <w:ind w:right="870"/>
              <w:spacing w:after="0"/>
              <w:rPr>
                <w:sz w:val="20"/>
                <w:szCs w:val="20"/>
                <w:color w:val="auto"/>
              </w:rPr>
            </w:pPr>
            <w:r>
              <w:rPr>
                <w:rFonts w:ascii="Arial" w:cs="Arial" w:eastAsia="Arial" w:hAnsi="Arial"/>
                <w:sz w:val="18"/>
                <w:szCs w:val="18"/>
                <w:color w:val="auto"/>
              </w:rPr>
              <w:t>344,081,315</w:t>
            </w:r>
          </w:p>
        </w:tc>
        <w:tc>
          <w:tcPr>
            <w:tcW w:w="3000" w:type="dxa"/>
            <w:vAlign w:val="bottom"/>
          </w:tcPr>
          <w:p>
            <w:pPr>
              <w:jc w:val="right"/>
              <w:ind w:right="1130"/>
              <w:spacing w:after="0"/>
              <w:rPr>
                <w:sz w:val="20"/>
                <w:szCs w:val="20"/>
                <w:color w:val="auto"/>
              </w:rPr>
            </w:pPr>
            <w:r>
              <w:rPr>
                <w:rFonts w:ascii="Arial" w:cs="Arial" w:eastAsia="Arial" w:hAnsi="Arial"/>
                <w:sz w:val="18"/>
                <w:szCs w:val="18"/>
                <w:color w:val="auto"/>
              </w:rPr>
              <w:t>28,601,133</w:t>
            </w:r>
          </w:p>
        </w:tc>
        <w:tc>
          <w:tcPr>
            <w:tcW w:w="2640" w:type="dxa"/>
            <w:vAlign w:val="bottom"/>
          </w:tcPr>
          <w:p>
            <w:pPr>
              <w:ind w:left="1220"/>
              <w:spacing w:after="0"/>
              <w:rPr>
                <w:sz w:val="20"/>
                <w:szCs w:val="20"/>
                <w:color w:val="auto"/>
              </w:rPr>
            </w:pPr>
            <w:r>
              <w:rPr>
                <w:rFonts w:ascii="Arial" w:cs="Arial" w:eastAsia="Arial" w:hAnsi="Arial"/>
                <w:sz w:val="18"/>
                <w:szCs w:val="18"/>
                <w:color w:val="auto"/>
              </w:rPr>
              <w:t>608,097</w:t>
            </w:r>
          </w:p>
        </w:tc>
        <w:tc>
          <w:tcPr>
            <w:tcW w:w="240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(4) The Amended and Restated Comcast Corporation 2002 Employee Stock Purchase Plan, as described in the proxy statement, was approved.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For</w:t>
            </w:r>
          </w:p>
        </w:tc>
        <w:tc>
          <w:tcPr>
            <w:tcW w:w="29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Against</w:t>
            </w:r>
          </w:p>
        </w:tc>
        <w:tc>
          <w:tcPr>
            <w:tcW w:w="26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Abstain</w:t>
            </w:r>
          </w:p>
        </w:tc>
        <w:tc>
          <w:tcPr>
            <w:tcW w:w="24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660" w:type="dxa"/>
            <w:vAlign w:val="bottom"/>
          </w:tcPr>
          <w:p>
            <w:pPr>
              <w:jc w:val="right"/>
              <w:ind w:right="910"/>
              <w:spacing w:after="0"/>
              <w:rPr>
                <w:sz w:val="20"/>
                <w:szCs w:val="20"/>
                <w:color w:val="auto"/>
              </w:rPr>
            </w:pPr>
            <w:r>
              <w:rPr>
                <w:rFonts w:ascii="Arial" w:cs="Arial" w:eastAsia="Arial" w:hAnsi="Arial"/>
                <w:sz w:val="18"/>
                <w:szCs w:val="18"/>
                <w:color w:val="auto"/>
              </w:rPr>
              <w:t>366,225,462</w:t>
            </w:r>
          </w:p>
        </w:tc>
        <w:tc>
          <w:tcPr>
            <w:tcW w:w="2940" w:type="dxa"/>
            <w:vAlign w:val="bottom"/>
          </w:tcPr>
          <w:p>
            <w:pPr>
              <w:jc w:val="right"/>
              <w:ind w:right="1150"/>
              <w:spacing w:after="0"/>
              <w:rPr>
                <w:sz w:val="20"/>
                <w:szCs w:val="20"/>
                <w:color w:val="auto"/>
              </w:rPr>
            </w:pPr>
            <w:r>
              <w:rPr>
                <w:rFonts w:ascii="Arial" w:cs="Arial" w:eastAsia="Arial" w:hAnsi="Arial"/>
                <w:sz w:val="18"/>
                <w:szCs w:val="18"/>
                <w:color w:val="auto"/>
              </w:rPr>
              <w:t>6,536,953</w:t>
            </w:r>
          </w:p>
        </w:tc>
        <w:tc>
          <w:tcPr>
            <w:tcW w:w="2660" w:type="dxa"/>
            <w:vAlign w:val="bottom"/>
          </w:tcPr>
          <w:p>
            <w:pPr>
              <w:ind w:left="1240"/>
              <w:spacing w:after="0"/>
              <w:rPr>
                <w:sz w:val="20"/>
                <w:szCs w:val="20"/>
                <w:color w:val="auto"/>
              </w:rPr>
            </w:pPr>
            <w:r>
              <w:rPr>
                <w:rFonts w:ascii="Arial" w:cs="Arial" w:eastAsia="Arial" w:hAnsi="Arial"/>
                <w:sz w:val="18"/>
                <w:szCs w:val="18"/>
                <w:color w:val="auto"/>
              </w:rPr>
              <w:t>528,130</w:t>
            </w:r>
          </w:p>
        </w:tc>
        <w:tc>
          <w:tcPr>
            <w:tcW w:w="240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(5) The advisory vote on our executive compensation, as described in the proxy statement, was approved.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Against</w:t>
            </w:r>
          </w:p>
        </w:tc>
        <w:tc>
          <w:tcPr>
            <w:tcW w:w="264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Abstain</w:t>
            </w:r>
          </w:p>
        </w:tc>
        <w:tc>
          <w:tcPr>
            <w:tcW w:w="24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0"/>
              </w:rPr>
              <w:t>Broker Non-Votes</w:t>
            </w:r>
          </w:p>
        </w:tc>
        <w:tc>
          <w:tcPr>
            <w:tcW w:w="24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2620" w:type="dxa"/>
            <w:vAlign w:val="bottom"/>
          </w:tcPr>
          <w:p>
            <w:pPr>
              <w:jc w:val="right"/>
              <w:ind w:right="870"/>
              <w:spacing w:after="0"/>
              <w:rPr>
                <w:sz w:val="20"/>
                <w:szCs w:val="20"/>
                <w:color w:val="auto"/>
              </w:rPr>
            </w:pPr>
            <w:r>
              <w:rPr>
                <w:rFonts w:ascii="Arial" w:cs="Arial" w:eastAsia="Arial" w:hAnsi="Arial"/>
                <w:sz w:val="18"/>
                <w:szCs w:val="18"/>
                <w:color w:val="auto"/>
              </w:rPr>
              <w:t>342,982,385</w:t>
            </w:r>
          </w:p>
        </w:tc>
        <w:tc>
          <w:tcPr>
            <w:tcW w:w="3000" w:type="dxa"/>
            <w:vAlign w:val="bottom"/>
          </w:tcPr>
          <w:p>
            <w:pPr>
              <w:jc w:val="right"/>
              <w:ind w:right="1130"/>
              <w:spacing w:after="0"/>
              <w:rPr>
                <w:sz w:val="20"/>
                <w:szCs w:val="20"/>
                <w:color w:val="auto"/>
              </w:rPr>
            </w:pPr>
            <w:r>
              <w:rPr>
                <w:rFonts w:ascii="Arial" w:cs="Arial" w:eastAsia="Arial" w:hAnsi="Arial"/>
                <w:sz w:val="18"/>
                <w:szCs w:val="18"/>
                <w:color w:val="auto"/>
              </w:rPr>
              <w:t>29,639,388</w:t>
            </w:r>
          </w:p>
        </w:tc>
        <w:tc>
          <w:tcPr>
            <w:tcW w:w="2640" w:type="dxa"/>
            <w:vAlign w:val="bottom"/>
          </w:tcPr>
          <w:p>
            <w:pPr>
              <w:ind w:left="1220"/>
              <w:spacing w:after="0"/>
              <w:rPr>
                <w:sz w:val="20"/>
                <w:szCs w:val="20"/>
                <w:color w:val="auto"/>
              </w:rPr>
            </w:pPr>
            <w:r>
              <w:rPr>
                <w:rFonts w:ascii="Arial" w:cs="Arial" w:eastAsia="Arial" w:hAnsi="Arial"/>
                <w:sz w:val="18"/>
                <w:szCs w:val="18"/>
                <w:color w:val="auto"/>
              </w:rPr>
              <w:t>668,772</w:t>
            </w:r>
          </w:p>
        </w:tc>
        <w:tc>
          <w:tcPr>
            <w:tcW w:w="2400" w:type="dxa"/>
            <w:vAlign w:val="bottom"/>
          </w:tcPr>
          <w:p>
            <w:pPr>
              <w:jc w:val="right"/>
              <w:ind w:right="410"/>
              <w:spacing w:after="0"/>
              <w:rPr>
                <w:sz w:val="20"/>
                <w:szCs w:val="20"/>
                <w:color w:val="auto"/>
              </w:rPr>
            </w:pPr>
            <w:r>
              <w:rPr>
                <w:rFonts w:ascii="Arial" w:cs="Arial" w:eastAsia="Arial" w:hAnsi="Arial"/>
                <w:sz w:val="18"/>
                <w:szCs w:val="18"/>
                <w:color w:val="auto"/>
              </w:rPr>
              <w:t>22,189,580</w:t>
            </w:r>
          </w:p>
        </w:tc>
        <w:tc>
          <w:tcPr>
            <w:tcW w:w="240" w:type="dxa"/>
            <w:vAlign w:val="bottom"/>
          </w:tcPr>
          <w:p>
            <w:pPr>
              <w:spacing w:after="0"/>
              <w:rPr>
                <w:sz w:val="19"/>
                <w:szCs w:val="19"/>
                <w:color w:val="auto"/>
              </w:rPr>
            </w:pPr>
          </w:p>
        </w:tc>
      </w:tr>
      <w:tr>
        <w:trPr>
          <w:trHeight w:val="337"/>
        </w:trPr>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advisory vote on the frequency of our advisory vote on executive compensation, as described in the proxy statement, was voted to be held every year.</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One Year</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Two Years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Three Years</w:t>
            </w:r>
          </w:p>
        </w:tc>
        <w:tc>
          <w:tcPr>
            <w:tcW w:w="18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Abstain</w:t>
            </w:r>
          </w:p>
        </w:tc>
        <w:tc>
          <w:tcPr>
            <w:tcW w:w="23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120" w:type="dxa"/>
            <w:vAlign w:val="bottom"/>
          </w:tcPr>
          <w:p>
            <w:pPr>
              <w:jc w:val="right"/>
              <w:ind w:right="570"/>
              <w:spacing w:after="0"/>
              <w:rPr>
                <w:sz w:val="20"/>
                <w:szCs w:val="20"/>
                <w:color w:val="auto"/>
              </w:rPr>
            </w:pPr>
            <w:r>
              <w:rPr>
                <w:rFonts w:ascii="Arial" w:cs="Arial" w:eastAsia="Arial" w:hAnsi="Arial"/>
                <w:sz w:val="18"/>
                <w:szCs w:val="18"/>
                <w:color w:val="auto"/>
              </w:rPr>
              <w:t>368,550,285</w:t>
            </w:r>
          </w:p>
        </w:tc>
        <w:tc>
          <w:tcPr>
            <w:tcW w:w="2140" w:type="dxa"/>
            <w:vAlign w:val="bottom"/>
          </w:tcPr>
          <w:p>
            <w:pPr>
              <w:jc w:val="right"/>
              <w:ind w:right="690"/>
              <w:spacing w:after="0"/>
              <w:rPr>
                <w:sz w:val="20"/>
                <w:szCs w:val="20"/>
                <w:color w:val="auto"/>
              </w:rPr>
            </w:pPr>
            <w:r>
              <w:rPr>
                <w:rFonts w:ascii="Arial" w:cs="Arial" w:eastAsia="Arial" w:hAnsi="Arial"/>
                <w:sz w:val="18"/>
                <w:szCs w:val="18"/>
                <w:color w:val="auto"/>
              </w:rPr>
              <w:t>185,222</w:t>
            </w:r>
          </w:p>
        </w:tc>
        <w:tc>
          <w:tcPr>
            <w:tcW w:w="2240" w:type="dxa"/>
            <w:vAlign w:val="bottom"/>
          </w:tcPr>
          <w:p>
            <w:pPr>
              <w:jc w:val="right"/>
              <w:ind w:right="670"/>
              <w:spacing w:after="0"/>
              <w:rPr>
                <w:sz w:val="20"/>
                <w:szCs w:val="20"/>
                <w:color w:val="auto"/>
              </w:rPr>
            </w:pPr>
            <w:r>
              <w:rPr>
                <w:rFonts w:ascii="Arial" w:cs="Arial" w:eastAsia="Arial" w:hAnsi="Arial"/>
                <w:sz w:val="18"/>
                <w:szCs w:val="18"/>
                <w:color w:val="auto"/>
              </w:rPr>
              <w:t>4,045,508</w:t>
            </w:r>
          </w:p>
        </w:tc>
        <w:tc>
          <w:tcPr>
            <w:tcW w:w="1860" w:type="dxa"/>
            <w:vAlign w:val="bottom"/>
          </w:tcPr>
          <w:p>
            <w:pPr>
              <w:ind w:left="660"/>
              <w:spacing w:after="0"/>
              <w:rPr>
                <w:sz w:val="20"/>
                <w:szCs w:val="20"/>
                <w:color w:val="auto"/>
              </w:rPr>
            </w:pPr>
            <w:r>
              <w:rPr>
                <w:rFonts w:ascii="Arial" w:cs="Arial" w:eastAsia="Arial" w:hAnsi="Arial"/>
                <w:sz w:val="18"/>
                <w:szCs w:val="18"/>
                <w:color w:val="auto"/>
              </w:rPr>
              <w:t>509,530</w:t>
            </w:r>
          </w:p>
        </w:tc>
        <w:tc>
          <w:tcPr>
            <w:tcW w:w="2300" w:type="dxa"/>
            <w:vAlign w:val="bottom"/>
          </w:tcPr>
          <w:p>
            <w:pPr>
              <w:jc w:val="right"/>
              <w:ind w:right="5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(7) A shareholder proposal to perform an independent racial equity audit, as described in the proxy statement, was not approved.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Against</w:t>
            </w:r>
          </w:p>
        </w:tc>
        <w:tc>
          <w:tcPr>
            <w:tcW w:w="26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23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80" w:type="dxa"/>
            <w:vAlign w:val="bottom"/>
          </w:tcPr>
          <w:p>
            <w:pPr>
              <w:jc w:val="right"/>
              <w:ind w:right="870"/>
              <w:spacing w:after="0"/>
              <w:rPr>
                <w:sz w:val="20"/>
                <w:szCs w:val="20"/>
                <w:color w:val="auto"/>
              </w:rPr>
            </w:pPr>
            <w:r>
              <w:rPr>
                <w:rFonts w:ascii="Arial" w:cs="Arial" w:eastAsia="Arial" w:hAnsi="Arial"/>
                <w:sz w:val="18"/>
                <w:szCs w:val="18"/>
                <w:color w:val="auto"/>
              </w:rPr>
              <w:t>40,167,111</w:t>
            </w:r>
          </w:p>
        </w:tc>
        <w:tc>
          <w:tcPr>
            <w:tcW w:w="3040" w:type="dxa"/>
            <w:vAlign w:val="bottom"/>
          </w:tcPr>
          <w:p>
            <w:pPr>
              <w:jc w:val="right"/>
              <w:ind w:right="1090"/>
              <w:spacing w:after="0"/>
              <w:rPr>
                <w:sz w:val="20"/>
                <w:szCs w:val="20"/>
                <w:color w:val="auto"/>
              </w:rPr>
            </w:pPr>
            <w:r>
              <w:rPr>
                <w:rFonts w:ascii="Arial" w:cs="Arial" w:eastAsia="Arial" w:hAnsi="Arial"/>
                <w:sz w:val="18"/>
                <w:szCs w:val="18"/>
                <w:color w:val="auto"/>
              </w:rPr>
              <w:t>330,524,067</w:t>
            </w:r>
          </w:p>
        </w:tc>
        <w:tc>
          <w:tcPr>
            <w:tcW w:w="2660" w:type="dxa"/>
            <w:vAlign w:val="bottom"/>
          </w:tcPr>
          <w:p>
            <w:pPr>
              <w:jc w:val="right"/>
              <w:ind w:right="690"/>
              <w:spacing w:after="0"/>
              <w:rPr>
                <w:sz w:val="20"/>
                <w:szCs w:val="20"/>
                <w:color w:val="auto"/>
              </w:rPr>
            </w:pPr>
            <w:r>
              <w:rPr>
                <w:rFonts w:ascii="Arial" w:cs="Arial" w:eastAsia="Arial" w:hAnsi="Arial"/>
                <w:sz w:val="18"/>
                <w:szCs w:val="18"/>
                <w:color w:val="auto"/>
              </w:rPr>
              <w:t>2,599,367</w:t>
            </w: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(8) A shareholder proposal to report on climate risk in default retirement plan options, as described in the proxy statement, was not approved.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Against</w:t>
            </w:r>
          </w:p>
        </w:tc>
        <w:tc>
          <w:tcPr>
            <w:tcW w:w="27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0"/>
              </w:rPr>
              <w:t>Abstain</w:t>
            </w:r>
          </w:p>
        </w:tc>
        <w:tc>
          <w:tcPr>
            <w:tcW w:w="236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80" w:type="dxa"/>
            <w:vAlign w:val="bottom"/>
          </w:tcPr>
          <w:p>
            <w:pPr>
              <w:jc w:val="right"/>
              <w:ind w:right="870"/>
              <w:spacing w:after="0"/>
              <w:rPr>
                <w:sz w:val="20"/>
                <w:szCs w:val="20"/>
                <w:color w:val="auto"/>
              </w:rPr>
            </w:pPr>
            <w:r>
              <w:rPr>
                <w:rFonts w:ascii="Arial" w:cs="Arial" w:eastAsia="Arial" w:hAnsi="Arial"/>
                <w:sz w:val="18"/>
                <w:szCs w:val="18"/>
                <w:color w:val="auto"/>
              </w:rPr>
              <w:t>22,271,039</w:t>
            </w:r>
          </w:p>
        </w:tc>
        <w:tc>
          <w:tcPr>
            <w:tcW w:w="3000" w:type="dxa"/>
            <w:vAlign w:val="bottom"/>
          </w:tcPr>
          <w:p>
            <w:pPr>
              <w:jc w:val="right"/>
              <w:ind w:right="1050"/>
              <w:spacing w:after="0"/>
              <w:rPr>
                <w:sz w:val="20"/>
                <w:szCs w:val="20"/>
                <w:color w:val="auto"/>
              </w:rPr>
            </w:pPr>
            <w:r>
              <w:rPr>
                <w:rFonts w:ascii="Arial" w:cs="Arial" w:eastAsia="Arial" w:hAnsi="Arial"/>
                <w:sz w:val="18"/>
                <w:szCs w:val="18"/>
                <w:color w:val="auto"/>
              </w:rPr>
              <w:t>338,427,314</w:t>
            </w:r>
          </w:p>
        </w:tc>
        <w:tc>
          <w:tcPr>
            <w:tcW w:w="2720" w:type="dxa"/>
            <w:vAlign w:val="bottom"/>
          </w:tcPr>
          <w:p>
            <w:pPr>
              <w:jc w:val="right"/>
              <w:ind w:right="670"/>
              <w:spacing w:after="0"/>
              <w:rPr>
                <w:sz w:val="20"/>
                <w:szCs w:val="20"/>
                <w:color w:val="auto"/>
              </w:rPr>
            </w:pPr>
            <w:r>
              <w:rPr>
                <w:rFonts w:ascii="Arial" w:cs="Arial" w:eastAsia="Arial" w:hAnsi="Arial"/>
                <w:sz w:val="18"/>
                <w:szCs w:val="18"/>
                <w:color w:val="auto"/>
              </w:rPr>
              <w:t>12,592,192</w:t>
            </w:r>
          </w:p>
        </w:tc>
        <w:tc>
          <w:tcPr>
            <w:tcW w:w="236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(9) A shareholder proposal to set different greenhouse gas emissions reduction targets, as described in the proxy statement, was not approved.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Against</w:t>
            </w:r>
          </w:p>
        </w:tc>
        <w:tc>
          <w:tcPr>
            <w:tcW w:w="26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23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80" w:type="dxa"/>
            <w:vAlign w:val="bottom"/>
          </w:tcPr>
          <w:p>
            <w:pPr>
              <w:jc w:val="right"/>
              <w:ind w:right="870"/>
              <w:spacing w:after="0"/>
              <w:rPr>
                <w:sz w:val="20"/>
                <w:szCs w:val="20"/>
                <w:color w:val="auto"/>
              </w:rPr>
            </w:pPr>
            <w:r>
              <w:rPr>
                <w:rFonts w:ascii="Arial" w:cs="Arial" w:eastAsia="Arial" w:hAnsi="Arial"/>
                <w:sz w:val="18"/>
                <w:szCs w:val="18"/>
                <w:color w:val="auto"/>
              </w:rPr>
              <w:t>36,250,908</w:t>
            </w:r>
          </w:p>
        </w:tc>
        <w:tc>
          <w:tcPr>
            <w:tcW w:w="3040" w:type="dxa"/>
            <w:vAlign w:val="bottom"/>
          </w:tcPr>
          <w:p>
            <w:pPr>
              <w:jc w:val="right"/>
              <w:ind w:right="1090"/>
              <w:spacing w:after="0"/>
              <w:rPr>
                <w:sz w:val="20"/>
                <w:szCs w:val="20"/>
                <w:color w:val="auto"/>
              </w:rPr>
            </w:pPr>
            <w:r>
              <w:rPr>
                <w:rFonts w:ascii="Arial" w:cs="Arial" w:eastAsia="Arial" w:hAnsi="Arial"/>
                <w:sz w:val="18"/>
                <w:szCs w:val="18"/>
                <w:color w:val="auto"/>
              </w:rPr>
              <w:t>334,508,532</w:t>
            </w:r>
          </w:p>
        </w:tc>
        <w:tc>
          <w:tcPr>
            <w:tcW w:w="2660" w:type="dxa"/>
            <w:vAlign w:val="bottom"/>
          </w:tcPr>
          <w:p>
            <w:pPr>
              <w:jc w:val="right"/>
              <w:ind w:right="690"/>
              <w:spacing w:after="0"/>
              <w:rPr>
                <w:sz w:val="20"/>
                <w:szCs w:val="20"/>
                <w:color w:val="auto"/>
              </w:rPr>
            </w:pPr>
            <w:r>
              <w:rPr>
                <w:rFonts w:ascii="Arial" w:cs="Arial" w:eastAsia="Arial" w:hAnsi="Arial"/>
                <w:sz w:val="18"/>
                <w:szCs w:val="18"/>
                <w:color w:val="auto"/>
              </w:rPr>
              <w:t>2,531,105</w:t>
            </w: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(10) A shareholder proposal to report on political contributions and company values alignment, as described in the proxy statement, was not approved.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3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Against</w:t>
            </w:r>
          </w:p>
        </w:tc>
        <w:tc>
          <w:tcPr>
            <w:tcW w:w="26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23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80" w:type="dxa"/>
            <w:vAlign w:val="bottom"/>
          </w:tcPr>
          <w:p>
            <w:pPr>
              <w:jc w:val="right"/>
              <w:ind w:right="870"/>
              <w:spacing w:after="0"/>
              <w:rPr>
                <w:sz w:val="20"/>
                <w:szCs w:val="20"/>
                <w:color w:val="auto"/>
              </w:rPr>
            </w:pPr>
            <w:r>
              <w:rPr>
                <w:rFonts w:ascii="Arial" w:cs="Arial" w:eastAsia="Arial" w:hAnsi="Arial"/>
                <w:sz w:val="18"/>
                <w:szCs w:val="18"/>
                <w:color w:val="auto"/>
              </w:rPr>
              <w:t>70,473,275</w:t>
            </w:r>
          </w:p>
        </w:tc>
        <w:tc>
          <w:tcPr>
            <w:tcW w:w="3040" w:type="dxa"/>
            <w:vAlign w:val="bottom"/>
          </w:tcPr>
          <w:p>
            <w:pPr>
              <w:jc w:val="right"/>
              <w:ind w:right="1090"/>
              <w:spacing w:after="0"/>
              <w:rPr>
                <w:sz w:val="20"/>
                <w:szCs w:val="20"/>
                <w:color w:val="auto"/>
              </w:rPr>
            </w:pPr>
            <w:r>
              <w:rPr>
                <w:rFonts w:ascii="Arial" w:cs="Arial" w:eastAsia="Arial" w:hAnsi="Arial"/>
                <w:sz w:val="18"/>
                <w:szCs w:val="18"/>
                <w:color w:val="auto"/>
              </w:rPr>
              <w:t>300,501,812</w:t>
            </w:r>
          </w:p>
        </w:tc>
        <w:tc>
          <w:tcPr>
            <w:tcW w:w="2660" w:type="dxa"/>
            <w:vAlign w:val="bottom"/>
          </w:tcPr>
          <w:p>
            <w:pPr>
              <w:jc w:val="right"/>
              <w:ind w:right="690"/>
              <w:spacing w:after="0"/>
              <w:rPr>
                <w:sz w:val="20"/>
                <w:szCs w:val="20"/>
                <w:color w:val="auto"/>
              </w:rPr>
            </w:pPr>
            <w:r>
              <w:rPr>
                <w:rFonts w:ascii="Arial" w:cs="Arial" w:eastAsia="Arial" w:hAnsi="Arial"/>
                <w:sz w:val="18"/>
                <w:szCs w:val="18"/>
                <w:color w:val="auto"/>
              </w:rPr>
              <w:t>2,315,458</w:t>
            </w: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 A shareholder proposal to report on business in China, as described in the proxy statement, was not approved.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3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Against</w:t>
            </w:r>
          </w:p>
        </w:tc>
        <w:tc>
          <w:tcPr>
            <w:tcW w:w="26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0"/>
              </w:rPr>
              <w:t>Abstain</w:t>
            </w:r>
          </w:p>
        </w:tc>
        <w:tc>
          <w:tcPr>
            <w:tcW w:w="238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60" w:type="dxa"/>
            <w:vAlign w:val="bottom"/>
          </w:tcPr>
          <w:p>
            <w:pPr>
              <w:jc w:val="right"/>
              <w:ind w:right="890"/>
              <w:spacing w:after="0"/>
              <w:rPr>
                <w:sz w:val="20"/>
                <w:szCs w:val="20"/>
                <w:color w:val="auto"/>
              </w:rPr>
            </w:pPr>
            <w:r>
              <w:rPr>
                <w:rFonts w:ascii="Arial" w:cs="Arial" w:eastAsia="Arial" w:hAnsi="Arial"/>
                <w:sz w:val="18"/>
                <w:szCs w:val="18"/>
                <w:color w:val="auto"/>
              </w:rPr>
              <w:t>6,405,976</w:t>
            </w:r>
          </w:p>
        </w:tc>
        <w:tc>
          <w:tcPr>
            <w:tcW w:w="3060" w:type="dxa"/>
            <w:vAlign w:val="bottom"/>
          </w:tcPr>
          <w:p>
            <w:pPr>
              <w:jc w:val="right"/>
              <w:ind w:right="1090"/>
              <w:spacing w:after="0"/>
              <w:rPr>
                <w:sz w:val="20"/>
                <w:szCs w:val="20"/>
                <w:color w:val="auto"/>
              </w:rPr>
            </w:pPr>
            <w:r>
              <w:rPr>
                <w:rFonts w:ascii="Arial" w:cs="Arial" w:eastAsia="Arial" w:hAnsi="Arial"/>
                <w:sz w:val="18"/>
                <w:szCs w:val="18"/>
                <w:color w:val="auto"/>
              </w:rPr>
              <w:t>363,173,972</w:t>
            </w:r>
          </w:p>
        </w:tc>
        <w:tc>
          <w:tcPr>
            <w:tcW w:w="2660" w:type="dxa"/>
            <w:vAlign w:val="bottom"/>
          </w:tcPr>
          <w:p>
            <w:pPr>
              <w:jc w:val="right"/>
              <w:ind w:right="690"/>
              <w:spacing w:after="0"/>
              <w:rPr>
                <w:sz w:val="20"/>
                <w:szCs w:val="20"/>
                <w:color w:val="auto"/>
              </w:rPr>
            </w:pPr>
            <w:r>
              <w:rPr>
                <w:rFonts w:ascii="Arial" w:cs="Arial" w:eastAsia="Arial" w:hAnsi="Arial"/>
                <w:sz w:val="18"/>
                <w:szCs w:val="18"/>
                <w:color w:val="auto"/>
              </w:rPr>
              <w:t>3,710,597</w:t>
            </w:r>
          </w:p>
        </w:tc>
        <w:tc>
          <w:tcPr>
            <w:tcW w:w="2380" w:type="dxa"/>
            <w:vAlign w:val="bottom"/>
          </w:tcPr>
          <w:p>
            <w:pPr>
              <w:jc w:val="right"/>
              <w:ind w:right="410"/>
              <w:spacing w:after="0"/>
              <w:rPr>
                <w:sz w:val="20"/>
                <w:szCs w:val="20"/>
                <w:color w:val="auto"/>
              </w:rPr>
            </w:pPr>
            <w:r>
              <w:rPr>
                <w:rFonts w:ascii="Arial" w:cs="Arial" w:eastAsia="Arial" w:hAnsi="Arial"/>
                <w:sz w:val="18"/>
                <w:szCs w:val="18"/>
                <w:color w:val="auto"/>
              </w:rPr>
              <w:t>22,189,580</w:t>
            </w:r>
          </w:p>
        </w:tc>
      </w:tr>
    </w:tbl>
    <w:p>
      <w:pPr>
        <w:spacing w:after="0" w:line="214" w:lineRule="exact"/>
        <w:rPr>
          <w:sz w:val="20"/>
          <w:szCs w:val="20"/>
          <w:color w:val="auto"/>
        </w:rPr>
      </w:pPr>
    </w:p>
    <w:p>
      <w:pPr>
        <w:jc w:val="both"/>
        <w:ind w:firstLine="8"/>
        <w:spacing w:after="0" w:line="263" w:lineRule="auto"/>
        <w:tabs>
          <w:tab w:leader="none" w:pos="359"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noted above, over a majority of the votes cast by shareholders voted to hold our advisory vote on executive compensation every year. As such, the Board of Directors has decided that it will include an advisory vote on executive compensation in our proxy statements every year until the next required advisory vote on the frequency of the executive compensation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94"/>
        </w:trPr>
        <w:tc>
          <w:tcPr>
            <w:tcW w:w="8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Number</w:t>
            </w:r>
          </w:p>
        </w:tc>
        <w:tc>
          <w:tcPr>
            <w:tcW w:w="2200" w:type="dxa"/>
            <w:vAlign w:val="bottom"/>
            <w:gridSpan w:val="3"/>
          </w:tcPr>
          <w:p>
            <w:pPr>
              <w:ind w:left="220"/>
              <w:spacing w:after="0" w:line="194" w:lineRule="exact"/>
              <w:rPr>
                <w:sz w:val="20"/>
                <w:szCs w:val="20"/>
                <w:color w:val="auto"/>
              </w:rPr>
            </w:pPr>
            <w:r>
              <w:rPr>
                <w:rFonts w:ascii="Arial" w:cs="Arial" w:eastAsia="Arial" w:hAnsi="Arial"/>
                <w:sz w:val="18"/>
                <w:szCs w:val="18"/>
                <w:b w:val="1"/>
                <w:bCs w:val="1"/>
                <w:color w:val="auto"/>
              </w:rPr>
              <w:t>Description</w:t>
            </w:r>
          </w:p>
        </w:tc>
        <w:tc>
          <w:tcPr>
            <w:tcW w:w="3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EE"/>
                <w:w w:val="91"/>
              </w:rPr>
              <w:t>Comcast Corporation 2023</w:t>
            </w:r>
          </w:p>
        </w:tc>
        <w:tc>
          <w:tcPr>
            <w:tcW w:w="8160" w:type="dxa"/>
            <w:vAlign w:val="bottom"/>
            <w:gridSpan w:val="3"/>
          </w:tcPr>
          <w:p>
            <w:pPr>
              <w:ind w:left="20"/>
              <w:spacing w:after="0"/>
              <w:rPr>
                <w:sz w:val="20"/>
                <w:szCs w:val="20"/>
                <w:color w:val="auto"/>
              </w:rPr>
            </w:pPr>
            <w:r>
              <w:rPr>
                <w:rFonts w:ascii="Arial" w:cs="Arial" w:eastAsia="Arial" w:hAnsi="Arial"/>
                <w:sz w:val="18"/>
                <w:szCs w:val="18"/>
                <w:color w:val="0000EE"/>
              </w:rPr>
              <w:t>Omnibus Equity Incentive Plan, effective June 7, 2023</w:t>
            </w:r>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EE"/>
                <w:w w:val="91"/>
              </w:rPr>
              <w:t>Comcast Corporation 2002</w:t>
            </w:r>
          </w:p>
        </w:tc>
        <w:tc>
          <w:tcPr>
            <w:tcW w:w="8160" w:type="dxa"/>
            <w:vAlign w:val="bottom"/>
            <w:gridSpan w:val="3"/>
          </w:tcPr>
          <w:p>
            <w:pPr>
              <w:ind w:left="20"/>
              <w:spacing w:after="0"/>
              <w:rPr>
                <w:sz w:val="20"/>
                <w:szCs w:val="20"/>
                <w:color w:val="auto"/>
              </w:rPr>
            </w:pPr>
            <w:r>
              <w:rPr>
                <w:rFonts w:ascii="Arial" w:cs="Arial" w:eastAsia="Arial" w:hAnsi="Arial"/>
                <w:sz w:val="18"/>
                <w:szCs w:val="18"/>
                <w:color w:val="0000EE"/>
              </w:rPr>
              <w:t>Employee Stock Purchase Plan, as amended and restated effective June 7, 2023</w:t>
            </w:r>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420" w:type="dxa"/>
            <w:vAlign w:val="bottom"/>
          </w:tcPr>
          <w:p>
            <w:pPr>
              <w:spacing w:after="0"/>
              <w:rPr>
                <w:sz w:val="24"/>
                <w:szCs w:val="24"/>
                <w:color w:val="auto"/>
              </w:rPr>
            </w:pPr>
          </w:p>
        </w:tc>
      </w:tr>
      <w:tr>
        <w:trPr>
          <w:trHeight w:val="351"/>
        </w:trPr>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120" w:type="dxa"/>
            <w:vAlign w:val="bottom"/>
            <w:gridSpan w:val="2"/>
          </w:tcPr>
          <w:p>
            <w:pPr>
              <w:ind w:left="262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Date:  June 9, 2023</w:t>
            </w:r>
          </w:p>
        </w:tc>
        <w:tc>
          <w:tcPr>
            <w:tcW w:w="3300" w:type="dxa"/>
            <w:vAlign w:val="bottom"/>
          </w:tcPr>
          <w:p>
            <w:pPr>
              <w:ind w:left="262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Reid</w:t>
            </w:r>
          </w:p>
        </w:tc>
      </w:tr>
      <w:tr>
        <w:trPr>
          <w:trHeight w:val="195"/>
        </w:trPr>
        <w:tc>
          <w:tcPr>
            <w:tcW w:w="4120" w:type="dxa"/>
            <w:vAlign w:val="bottom"/>
          </w:tcPr>
          <w:p>
            <w:pPr>
              <w:spacing w:after="0"/>
              <w:rPr>
                <w:sz w:val="16"/>
                <w:szCs w:val="16"/>
                <w:color w:val="auto"/>
              </w:rPr>
            </w:pPr>
          </w:p>
        </w:tc>
        <w:tc>
          <w:tcPr>
            <w:tcW w:w="3300" w:type="dxa"/>
            <w:vAlign w:val="bottom"/>
          </w:tcPr>
          <w:p>
            <w:pPr>
              <w:ind w:left="2620"/>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Thomas J. Reid</w:t>
            </w:r>
          </w:p>
        </w:tc>
      </w:tr>
      <w:tr>
        <w:trPr>
          <w:trHeight w:val="230"/>
        </w:trPr>
        <w:tc>
          <w:tcPr>
            <w:tcW w:w="4120" w:type="dxa"/>
            <w:vAlign w:val="bottom"/>
          </w:tcPr>
          <w:p>
            <w:pPr>
              <w:spacing w:after="0"/>
              <w:rPr>
                <w:sz w:val="20"/>
                <w:szCs w:val="20"/>
                <w:color w:val="auto"/>
              </w:rPr>
            </w:pPr>
          </w:p>
        </w:tc>
        <w:tc>
          <w:tcPr>
            <w:tcW w:w="3300" w:type="dxa"/>
            <w:vAlign w:val="bottom"/>
          </w:tcPr>
          <w:p>
            <w:pPr>
              <w:ind w:left="2620"/>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Legal Officer and Secretary</w:t>
            </w:r>
          </w:p>
        </w:tc>
      </w:tr>
      <w:tr>
        <w:trPr>
          <w:trHeight w:val="1080"/>
        </w:trPr>
        <w:tc>
          <w:tcPr>
            <w:tcW w:w="4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ind w:left="9664"/>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ind w:left="3764"/>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2023 OMNIBUS EQUITY INCENTIVE PLAN</w:t>
      </w:r>
    </w:p>
    <w:p>
      <w:pPr>
        <w:spacing w:after="0" w:line="207" w:lineRule="exact"/>
        <w:rPr>
          <w:sz w:val="20"/>
          <w:szCs w:val="20"/>
          <w:color w:val="auto"/>
        </w:rPr>
      </w:pPr>
    </w:p>
    <w:p>
      <w:pPr>
        <w:ind w:left="444" w:hanging="444"/>
        <w:spacing w:after="0"/>
        <w:tabs>
          <w:tab w:leader="none" w:pos="44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PURPOSE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56" w:firstLine="656"/>
        <w:spacing w:after="0" w:line="259"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establishes this Comcast Corporation 2023 Omnibus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The Plan shall, effective as of the Effective Date, supersede and replace (i) the Comcast Corporation 2002 Restricted Stock Plan (the “</w:t>
      </w:r>
      <w:r>
        <w:rPr>
          <w:rFonts w:ascii="Arial" w:cs="Arial" w:eastAsia="Arial" w:hAnsi="Arial"/>
          <w:sz w:val="18"/>
          <w:szCs w:val="18"/>
          <w:u w:val="single" w:color="auto"/>
          <w:color w:val="auto"/>
        </w:rPr>
        <w:t>RS Plan</w:t>
      </w:r>
      <w:r>
        <w:rPr>
          <w:rFonts w:ascii="Arial" w:cs="Arial" w:eastAsia="Arial" w:hAnsi="Arial"/>
          <w:sz w:val="18"/>
          <w:szCs w:val="18"/>
          <w:color w:val="auto"/>
        </w:rPr>
        <w:t>”) and (ii) the Comcast Corporation 2003 Stock Option Plan (the “</w:t>
      </w:r>
      <w:r>
        <w:rPr>
          <w:rFonts w:ascii="Arial" w:cs="Arial" w:eastAsia="Arial" w:hAnsi="Arial"/>
          <w:sz w:val="18"/>
          <w:szCs w:val="18"/>
          <w:u w:val="single" w:color="auto"/>
          <w:color w:val="auto"/>
        </w:rPr>
        <w:t>Stock Option Plan</w:t>
      </w:r>
      <w:r>
        <w:rPr>
          <w:rFonts w:ascii="Arial" w:cs="Arial" w:eastAsia="Arial" w:hAnsi="Arial"/>
          <w:sz w:val="18"/>
          <w:szCs w:val="18"/>
          <w:color w:val="auto"/>
        </w:rPr>
        <w:t>”), and shall apply to Awards granted on and after the Effective Date.</w:t>
      </w:r>
    </w:p>
    <w:p>
      <w:pPr>
        <w:spacing w:after="0" w:line="186" w:lineRule="exact"/>
        <w:rPr>
          <w:rFonts w:ascii="Arial" w:cs="Arial" w:eastAsia="Arial" w:hAnsi="Arial"/>
          <w:sz w:val="18"/>
          <w:szCs w:val="18"/>
          <w:color w:val="auto"/>
        </w:rPr>
      </w:pPr>
    </w:p>
    <w:p>
      <w:pPr>
        <w:jc w:val="both"/>
        <w:ind w:left="-656" w:firstLine="656"/>
        <w:spacing w:after="0" w:line="263" w:lineRule="auto"/>
        <w:tabs>
          <w:tab w:leader="none" w:pos="60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promote the ability of the Company to recruit and retain employees and other eligible service providers and enhance the growth and profitability of the Company by providing the incentive of long-term awards for continued employment or other service and the attainment of performance objectives.</w:t>
      </w:r>
    </w:p>
    <w:p>
      <w:pPr>
        <w:spacing w:after="0" w:line="183" w:lineRule="exact"/>
        <w:rPr>
          <w:rFonts w:ascii="Arial" w:cs="Arial" w:eastAsia="Arial" w:hAnsi="Arial"/>
          <w:sz w:val="18"/>
          <w:szCs w:val="18"/>
          <w:color w:val="auto"/>
        </w:rPr>
      </w:pPr>
    </w:p>
    <w:p>
      <w:pPr>
        <w:jc w:val="both"/>
        <w:ind w:left="-656" w:firstLine="656"/>
        <w:spacing w:after="0" w:line="25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Grant Documentation</w:t>
      </w:r>
      <w:r>
        <w:rPr>
          <w:rFonts w:ascii="Arial" w:cs="Arial" w:eastAsia="Arial" w:hAnsi="Arial"/>
          <w:sz w:val="18"/>
          <w:szCs w:val="18"/>
          <w:color w:val="auto"/>
        </w:rPr>
        <w:t>. Each Award shall be evidenced by a written instrument containing such terms and conditions not inconsistent with the Plan as the Committee may determine (an “</w:t>
      </w:r>
      <w:r>
        <w:rPr>
          <w:rFonts w:ascii="Arial" w:cs="Arial" w:eastAsia="Arial" w:hAnsi="Arial"/>
          <w:sz w:val="18"/>
          <w:szCs w:val="18"/>
          <w:u w:val="single" w:color="auto"/>
          <w:color w:val="auto"/>
        </w:rPr>
        <w:t>Award Agreement</w:t>
      </w:r>
      <w:r>
        <w:rPr>
          <w:rFonts w:ascii="Arial" w:cs="Arial" w:eastAsia="Arial" w:hAnsi="Arial"/>
          <w:sz w:val="18"/>
          <w:szCs w:val="18"/>
          <w:color w:val="auto"/>
        </w:rPr>
        <w:t>”). The issuance of Shares under the Plan shall be subject to all of the applicable requirements of the Plan, the applicable Award Agreement, the corporation law of the Company’s state of incorporation and other applicable laws, including applicable securities laws, and all Shares issued under the Plan shall be subject to the terms and restrictions contained in the Articles of Incorporation and Bylaws of the Company, as amended from time to time.</w:t>
      </w:r>
    </w:p>
    <w:p>
      <w:pPr>
        <w:spacing w:after="0" w:line="187" w:lineRule="exact"/>
        <w:rPr>
          <w:rFonts w:ascii="Arial" w:cs="Arial" w:eastAsia="Arial" w:hAnsi="Arial"/>
          <w:sz w:val="18"/>
          <w:szCs w:val="18"/>
          <w:color w:val="auto"/>
        </w:rPr>
      </w:pPr>
    </w:p>
    <w:p>
      <w:pPr>
        <w:ind w:left="-656" w:firstLine="656"/>
        <w:spacing w:after="0" w:line="277" w:lineRule="auto"/>
        <w:tabs>
          <w:tab w:leader="none" w:pos="49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w:t>
      </w:r>
    </w:p>
    <w:p>
      <w:pPr>
        <w:spacing w:after="0" w:line="166" w:lineRule="exact"/>
        <w:rPr>
          <w:sz w:val="20"/>
          <w:szCs w:val="20"/>
          <w:color w:val="auto"/>
        </w:rPr>
      </w:pPr>
    </w:p>
    <w:p>
      <w:pPr>
        <w:ind w:left="444" w:hanging="444"/>
        <w:spacing w:after="0"/>
        <w:tabs>
          <w:tab w:leader="none" w:pos="4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56" w:firstLine="656"/>
        <w:spacing w:after="0" w:line="259" w:lineRule="auto"/>
        <w:tabs>
          <w:tab w:leader="none" w:pos="563"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484" w:hanging="484"/>
        <w:spacing w:after="0"/>
        <w:tabs>
          <w:tab w:leader="none" w:pos="4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 award of Restricted Stock Units, Restricted Stock, Options, SAR, or Other Share-Based Award granted under the Plan.</w:t>
      </w:r>
    </w:p>
    <w:p>
      <w:pPr>
        <w:spacing w:after="0" w:line="248" w:lineRule="exact"/>
        <w:rPr>
          <w:rFonts w:ascii="Arial" w:cs="Arial" w:eastAsia="Arial" w:hAnsi="Arial"/>
          <w:sz w:val="16"/>
          <w:szCs w:val="16"/>
          <w:color w:val="auto"/>
        </w:rPr>
      </w:pPr>
    </w:p>
    <w:p>
      <w:pPr>
        <w:ind w:left="464" w:hanging="464"/>
        <w:spacing w:after="0"/>
        <w:tabs>
          <w:tab w:leader="none" w:pos="464"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left="-656" w:firstLine="656"/>
        <w:spacing w:after="0" w:line="259"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set forth in the Participant’s applicable employment, severance, consulting or similar agreement with any applicable Participating Company, if any, or if no such definition exists, means (i) fraud; (ii) misappropriation; (iii) embezzlement; (iv) gross negligence in the performance of duties; (v) self-dealing; (vi) dishonesty; (vii) misrepresentation; (viii) conviction of a crime of a felony; (ix) material violation of any Company policy; (x)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350520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violation of the Company’s Code of Conduct or, (xi) in the case of an employee of a Company who is a party to an employment agreement with a Company, material breach of such agreement.</w:t>
      </w:r>
    </w:p>
    <w:p>
      <w:pPr>
        <w:spacing w:after="0" w:line="170" w:lineRule="exact"/>
        <w:rPr>
          <w:sz w:val="20"/>
          <w:szCs w:val="20"/>
          <w:color w:val="auto"/>
        </w:rPr>
      </w:pPr>
    </w:p>
    <w:p>
      <w:pPr>
        <w:ind w:left="1120" w:hanging="464"/>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Except as provided in Section 2(e)(ii),‎ “Change in Control” means the occurrence of any one or more of the following events:</w:t>
      </w:r>
    </w:p>
    <w:p>
      <w:pPr>
        <w:spacing w:after="0" w:line="236" w:lineRule="exact"/>
        <w:rPr>
          <w:rFonts w:ascii="Arial" w:cs="Arial" w:eastAsia="Arial" w:hAnsi="Arial"/>
          <w:sz w:val="17"/>
          <w:szCs w:val="17"/>
          <w:color w:val="auto"/>
        </w:rPr>
      </w:pPr>
    </w:p>
    <w:p>
      <w:pPr>
        <w:jc w:val="both"/>
        <w:ind w:left="1300" w:firstLine="652"/>
        <w:spacing w:after="0" w:line="255" w:lineRule="auto"/>
        <w:tabs>
          <w:tab w:leader="none" w:pos="25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192" w:lineRule="exact"/>
        <w:rPr>
          <w:rFonts w:ascii="Arial" w:cs="Arial" w:eastAsia="Arial" w:hAnsi="Arial"/>
          <w:sz w:val="18"/>
          <w:szCs w:val="18"/>
          <w:color w:val="auto"/>
        </w:rPr>
      </w:pPr>
    </w:p>
    <w:p>
      <w:pPr>
        <w:jc w:val="both"/>
        <w:ind w:left="1300" w:firstLine="652"/>
        <w:spacing w:after="0" w:line="259" w:lineRule="auto"/>
        <w:tabs>
          <w:tab w:leader="none" w:pos="249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86" w:lineRule="exact"/>
        <w:rPr>
          <w:rFonts w:ascii="Arial" w:cs="Arial" w:eastAsia="Arial" w:hAnsi="Arial"/>
          <w:sz w:val="18"/>
          <w:szCs w:val="18"/>
          <w:color w:val="auto"/>
        </w:rPr>
      </w:pPr>
    </w:p>
    <w:p>
      <w:pPr>
        <w:jc w:val="both"/>
        <w:ind w:left="1300" w:firstLine="652"/>
        <w:spacing w:after="0" w:line="293" w:lineRule="auto"/>
        <w:tabs>
          <w:tab w:leader="none" w:pos="2483"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p>
      <w:pPr>
        <w:spacing w:after="0" w:line="164" w:lineRule="exact"/>
        <w:rPr>
          <w:rFonts w:ascii="Arial" w:cs="Arial" w:eastAsia="Arial" w:hAnsi="Arial"/>
          <w:sz w:val="16"/>
          <w:szCs w:val="16"/>
          <w:color w:val="auto"/>
        </w:rPr>
      </w:pPr>
    </w:p>
    <w:p>
      <w:pPr>
        <w:ind w:left="1300" w:firstLine="652"/>
        <w:spacing w:after="0" w:line="277" w:lineRule="auto"/>
        <w:tabs>
          <w:tab w:leader="none" w:pos="243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consummation of any sale, lease, exchange or other transfer to any Person of all or substantially all of the assets of the Company, in one transaction or a series of related transactions; or</w:t>
      </w:r>
    </w:p>
    <w:p>
      <w:pPr>
        <w:spacing w:after="0" w:line="170" w:lineRule="exact"/>
        <w:rPr>
          <w:rFonts w:ascii="Arial" w:cs="Arial" w:eastAsia="Arial" w:hAnsi="Arial"/>
          <w:sz w:val="18"/>
          <w:szCs w:val="18"/>
          <w:color w:val="auto"/>
        </w:rPr>
      </w:pPr>
    </w:p>
    <w:p>
      <w:pPr>
        <w:ind w:left="2400" w:hanging="448"/>
        <w:spacing w:after="0"/>
        <w:tabs>
          <w:tab w:leader="none" w:pos="24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liquidation or dissolution of the Company.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With respect to the distribution of amounts subject to an Award that constitute “deferred compensation” (within the meaning of Section 409A of the Code), the term “Change in Control” shall mean any transaction or series of transactions that constitutes a change in the ownership or effective control or a change in the ownership 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a substantial portion of the assets of the Company, within the meaning of Section 409A of the Code.</w:t>
      </w:r>
    </w:p>
    <w:p>
      <w:pPr>
        <w:spacing w:after="0" w:line="225" w:lineRule="exact"/>
        <w:rPr>
          <w:sz w:val="20"/>
          <w:szCs w:val="20"/>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Compensation and Human Capital Committee of the Board or any other committee or subcommittee designated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references to the Committee shall be treated as references to the Committee’s delegates with respect to any Award granted within the scope of the delegate’s authority pursuant to Section 5(c)‎.</w:t>
      </w:r>
    </w:p>
    <w:p>
      <w:pPr>
        <w:spacing w:after="0" w:line="183"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Class A Common Stock, par value, $0.01.</w:t>
      </w:r>
    </w:p>
    <w:p>
      <w:pPr>
        <w:spacing w:after="0" w:line="225" w:lineRule="exact"/>
        <w:rPr>
          <w:rFonts w:ascii="Arial" w:cs="Arial" w:eastAsia="Arial" w:hAnsi="Arial"/>
          <w:sz w:val="18"/>
          <w:szCs w:val="18"/>
          <w:color w:val="auto"/>
        </w:rPr>
      </w:pPr>
    </w:p>
    <w:p>
      <w:pPr>
        <w:ind w:firstLine="656"/>
        <w:spacing w:after="0" w:line="277" w:lineRule="auto"/>
        <w:tabs>
          <w:tab w:leader="none" w:pos="14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amalgamation, acquisition of all or substantially all the assets thereof, or otherwise.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DCP</w:t>
      </w:r>
      <w:r>
        <w:rPr>
          <w:rFonts w:ascii="Arial" w:cs="Arial" w:eastAsia="Arial" w:hAnsi="Arial"/>
          <w:sz w:val="18"/>
          <w:szCs w:val="18"/>
          <w:color w:val="auto"/>
        </w:rPr>
        <w:t>” means the Comcast Corporation 2005 Deferred Compensation Plan, and any successor plan thereof.</w:t>
      </w:r>
    </w:p>
    <w:p>
      <w:pPr>
        <w:spacing w:after="0" w:line="225" w:lineRule="exact"/>
        <w:rPr>
          <w:rFonts w:ascii="Arial" w:cs="Arial" w:eastAsia="Arial" w:hAnsi="Arial"/>
          <w:sz w:val="18"/>
          <w:szCs w:val="18"/>
          <w:color w:val="auto"/>
        </w:rPr>
      </w:pPr>
    </w:p>
    <w:p>
      <w:pPr>
        <w:ind w:firstLine="656"/>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set forth in the Participant’s applicable employment, severance, consulting or similar agreement with any applicable Participating Company, if any, or if no such definition exists, means: (i) a Participant’s substantial inability to perform Participant’s employment duties due to partial or total disability or incapacity resulting from a mental or physical illness, injury or other health-related cause for a period of 12 consecutive months or for a cumulative period of 52 weeks in any two-calendar year period; or (ii) for any Incentive Stock Option, a disability within the meaning of section 22(e)(3) of the Code.</w:t>
      </w:r>
    </w:p>
    <w:p>
      <w:pPr>
        <w:spacing w:after="0" w:line="187"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June 7, 2023, subject to approval by the shareholders of the Company.</w:t>
      </w:r>
    </w:p>
    <w:p>
      <w:pPr>
        <w:spacing w:after="0" w:line="225" w:lineRule="exact"/>
        <w:rPr>
          <w:rFonts w:ascii="Arial" w:cs="Arial" w:eastAsia="Arial" w:hAnsi="Arial"/>
          <w:sz w:val="18"/>
          <w:szCs w:val="18"/>
          <w:color w:val="auto"/>
        </w:rPr>
      </w:pPr>
    </w:p>
    <w:p>
      <w:pPr>
        <w:ind w:firstLine="656"/>
        <w:spacing w:after="0" w:line="277" w:lineRule="auto"/>
        <w:tabs>
          <w:tab w:leader="none" w:pos="13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or any prospective employee who has accepted an offer of employment from any Participating Company, in each case as determined by the Committee.</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(i) if Shares are listed on a stock exchange, Fair Market Value shall be determined based on the last reported sale price of a share on the principal exchange on which shares are listed on the date of determination, or if such date is not a trading day, the next trading date and (ii) if Shares are not so listed nor trades of Shares so reported, Fair Market Value shall be determined by the Committee in good faith and in a manner consistent with the requirements of Section 409A of the Code. For purposes of Section 9(b)‎ and Section 11‎ (except to the extent that the Participant pays the full option price and all applicable withholding taxes in cash, by certified check, surrender or attestation to ownership of Shares or via cashless exercise,</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as described in Section 9(b)(i),‎ (ii),‎ (iii),‎ and (iv)‎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84" w:lineRule="exact"/>
        <w:rPr>
          <w:sz w:val="20"/>
          <w:szCs w:val="20"/>
          <w:color w:val="auto"/>
        </w:rPr>
      </w:pPr>
    </w:p>
    <w:p>
      <w:pPr>
        <w:ind w:firstLine="656"/>
        <w:spacing w:after="0" w:line="277" w:lineRule="auto"/>
        <w:tabs>
          <w:tab w:leader="none" w:pos="11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1933 Act, and any successor registration statement thereunder.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Full-Value Award</w:t>
      </w:r>
      <w:r>
        <w:rPr>
          <w:rFonts w:ascii="Arial" w:cs="Arial" w:eastAsia="Arial" w:hAnsi="Arial"/>
          <w:sz w:val="18"/>
          <w:szCs w:val="18"/>
          <w:color w:val="auto"/>
        </w:rPr>
        <w:t>” means an Award of Restricted Stock, Restricted Stock Units or Other Share-Based Award.</w:t>
      </w:r>
    </w:p>
    <w:p>
      <w:pPr>
        <w:spacing w:after="0" w:line="225" w:lineRule="exact"/>
        <w:rPr>
          <w:rFonts w:ascii="Arial" w:cs="Arial" w:eastAsia="Arial" w:hAnsi="Arial"/>
          <w:sz w:val="18"/>
          <w:szCs w:val="18"/>
          <w:color w:val="auto"/>
        </w:rPr>
      </w:pPr>
    </w:p>
    <w:p>
      <w:pPr>
        <w:jc w:val="both"/>
        <w:ind w:firstLine="656"/>
        <w:spacing w:after="0" w:line="301" w:lineRule="auto"/>
        <w:tabs>
          <w:tab w:leader="none" w:pos="11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57" w:lineRule="exact"/>
        <w:rPr>
          <w:rFonts w:ascii="Arial" w:cs="Arial" w:eastAsia="Arial" w:hAnsi="Arial"/>
          <w:sz w:val="16"/>
          <w:szCs w:val="16"/>
          <w:color w:val="auto"/>
        </w:rPr>
      </w:pPr>
    </w:p>
    <w:p>
      <w:pPr>
        <w:ind w:firstLine="656"/>
        <w:spacing w:after="0" w:line="308" w:lineRule="auto"/>
        <w:tabs>
          <w:tab w:leader="none" w:pos="1243"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Intrinsic Value</w:t>
      </w:r>
      <w:r>
        <w:rPr>
          <w:rFonts w:ascii="Arial" w:cs="Arial" w:eastAsia="Arial" w:hAnsi="Arial"/>
          <w:sz w:val="17"/>
          <w:szCs w:val="17"/>
          <w:color w:val="auto"/>
        </w:rPr>
        <w:t>” with respect to an Option or SAR means (i) the excess, if any, of the price or implied price per Share in a Change in Control or other event over (ii) the exercise or hurdle price of such Award multiplied by (iii) the number of Shares covered by such Award.</w:t>
      </w:r>
    </w:p>
    <w:p>
      <w:pPr>
        <w:spacing w:after="0" w:line="146" w:lineRule="exact"/>
        <w:rPr>
          <w:rFonts w:ascii="Arial" w:cs="Arial" w:eastAsia="Arial" w:hAnsi="Arial"/>
          <w:sz w:val="17"/>
          <w:szCs w:val="17"/>
          <w:color w:val="auto"/>
        </w:rPr>
      </w:pPr>
    </w:p>
    <w:p>
      <w:pPr>
        <w:jc w:val="both"/>
        <w:ind w:firstLine="656"/>
        <w:spacing w:after="0" w:line="342" w:lineRule="auto"/>
        <w:tabs>
          <w:tab w:leader="none" w:pos="1198"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Participating Company, including an individual who is a member of the Board and who previously was, but at the time of reference is not, an employee of a Participating Company.</w:t>
      </w:r>
    </w:p>
    <w:p>
      <w:pPr>
        <w:spacing w:after="0" w:line="123" w:lineRule="exact"/>
        <w:rPr>
          <w:rFonts w:ascii="Arial" w:cs="Arial" w:eastAsia="Arial" w:hAnsi="Arial"/>
          <w:sz w:val="16"/>
          <w:szCs w:val="16"/>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660" w:firstLine="644"/>
        <w:spacing w:after="0" w:line="277" w:lineRule="auto"/>
        <w:tabs>
          <w:tab w:leader="none" w:pos="179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Section 3(c)‎ or Section 3(d)‎.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Eligible Service Provider</w:t>
      </w:r>
      <w:r>
        <w:rPr>
          <w:rFonts w:ascii="Arial" w:cs="Arial" w:eastAsia="Arial" w:hAnsi="Arial"/>
          <w:sz w:val="18"/>
          <w:szCs w:val="18"/>
          <w:color w:val="auto"/>
        </w:rPr>
        <w:t>” means (x) any individual, including an advisor, who is providing services to any Participating Company or who has accepted an offer of service or consultancy from any Participating Company and (y) any other service provider eligible to receive grants under a plan that is eligible for registration with the Securities and Exchange Commission on Form S-8.</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both"/>
        <w:ind w:firstLine="656"/>
        <w:spacing w:after="0" w:line="301" w:lineRule="auto"/>
        <w:tabs>
          <w:tab w:leader="none" w:pos="11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Share-Based Award</w:t>
      </w:r>
      <w:r>
        <w:rPr>
          <w:rFonts w:ascii="Arial" w:cs="Arial" w:eastAsia="Arial" w:hAnsi="Arial"/>
          <w:sz w:val="16"/>
          <w:szCs w:val="16"/>
          <w:color w:val="auto"/>
        </w:rPr>
        <w:t>” means an Award granted pursuant to Section‎ 10‎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pacing w:after="0" w:line="157" w:lineRule="exact"/>
        <w:rPr>
          <w:rFonts w:ascii="Arial" w:cs="Arial" w:eastAsia="Arial" w:hAnsi="Arial"/>
          <w:sz w:val="16"/>
          <w:szCs w:val="16"/>
          <w:color w:val="auto"/>
        </w:rPr>
      </w:pPr>
    </w:p>
    <w:p>
      <w:pPr>
        <w:ind w:left="1160" w:hanging="504"/>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Employee, Non-Employee Director or Other Eligible Service Provider who is granted an Award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1" w:lineRule="exact"/>
        <w:rPr>
          <w:sz w:val="20"/>
          <w:szCs w:val="20"/>
          <w:color w:val="auto"/>
        </w:rPr>
      </w:pPr>
    </w:p>
    <w:p>
      <w:pPr>
        <w:ind w:left="1160" w:hanging="50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unit that entitles the Participant, upon the Vesting Date set forth in an Award, to receive one Share.</w:t>
      </w:r>
    </w:p>
    <w:p>
      <w:pPr>
        <w:spacing w:after="0" w:line="236" w:lineRule="exact"/>
        <w:rPr>
          <w:rFonts w:ascii="Arial" w:cs="Arial" w:eastAsia="Arial" w:hAnsi="Arial"/>
          <w:sz w:val="17"/>
          <w:szCs w:val="17"/>
          <w:color w:val="auto"/>
        </w:rPr>
      </w:pPr>
    </w:p>
    <w:p>
      <w:pPr>
        <w:ind w:left="1160" w:hanging="50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under the 1934 Act.</w:t>
      </w:r>
    </w:p>
    <w:p>
      <w:pPr>
        <w:spacing w:after="0" w:line="225" w:lineRule="exact"/>
        <w:rPr>
          <w:rFonts w:ascii="Arial" w:cs="Arial" w:eastAsia="Arial" w:hAnsi="Arial"/>
          <w:sz w:val="18"/>
          <w:szCs w:val="18"/>
          <w:color w:val="auto"/>
        </w:rPr>
      </w:pPr>
    </w:p>
    <w:p>
      <w:pPr>
        <w:ind w:right="240" w:firstLine="656"/>
        <w:spacing w:after="0" w:line="263" w:lineRule="auto"/>
        <w:tabs>
          <w:tab w:leader="none" w:pos="11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SAR</w:t>
      </w:r>
      <w:r>
        <w:rPr>
          <w:rFonts w:ascii="Arial" w:cs="Arial" w:eastAsia="Arial" w:hAnsi="Arial"/>
          <w:sz w:val="18"/>
          <w:szCs w:val="18"/>
          <w:color w:val="auto"/>
        </w:rPr>
        <w:t>” means any right granted pursuant to Section 3(e)‎ to receive upon exercise by the Participant or settlement, in cash, Shares or a combination thereof, the excess of (i) the Fair Market Value of one Share on the date of exercise or settlement over (ii) the exercise or hurdle price of the right on the date of grant.</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 Officer</w:t>
      </w:r>
      <w:r>
        <w:rPr>
          <w:rFonts w:ascii="Arial" w:cs="Arial" w:eastAsia="Arial" w:hAnsi="Arial"/>
          <w:sz w:val="18"/>
          <w:szCs w:val="18"/>
          <w:color w:val="auto"/>
        </w:rPr>
        <w:t>” means an “officer” of the Company, as defined pursuant to Rule 16a-1(f) under the 1934 Act.</w:t>
      </w:r>
    </w:p>
    <w:p>
      <w:pPr>
        <w:spacing w:after="0" w:line="225" w:lineRule="exact"/>
        <w:rPr>
          <w:rFonts w:ascii="Arial" w:cs="Arial" w:eastAsia="Arial" w:hAnsi="Arial"/>
          <w:sz w:val="18"/>
          <w:szCs w:val="18"/>
          <w:color w:val="auto"/>
        </w:rPr>
      </w:pPr>
    </w:p>
    <w:p>
      <w:pPr>
        <w:ind w:right="260" w:firstLine="656"/>
        <w:spacing w:after="0" w:line="308" w:lineRule="auto"/>
        <w:tabs>
          <w:tab w:leader="none" w:pos="11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or “</w:t>
      </w:r>
      <w:r>
        <w:rPr>
          <w:rFonts w:ascii="Arial" w:cs="Arial" w:eastAsia="Arial" w:hAnsi="Arial"/>
          <w:sz w:val="17"/>
          <w:szCs w:val="17"/>
          <w:u w:val="single" w:color="auto"/>
          <w:color w:val="auto"/>
        </w:rPr>
        <w:t>Shares</w:t>
      </w:r>
      <w:r>
        <w:rPr>
          <w:rFonts w:ascii="Arial" w:cs="Arial" w:eastAsia="Arial" w:hAnsi="Arial"/>
          <w:sz w:val="17"/>
          <w:szCs w:val="17"/>
          <w:color w:val="auto"/>
        </w:rPr>
        <w:t>” means a share or shares of Common Stock, except as otherwise provided in this Section 2(hh)‎. The term “Share” or “Shares” also means such other securities issued by the Company as may be the subject of an adjustment under Section 12‎.</w:t>
      </w:r>
    </w:p>
    <w:p>
      <w:pPr>
        <w:spacing w:after="0" w:line="146" w:lineRule="exact"/>
        <w:rPr>
          <w:rFonts w:ascii="Arial" w:cs="Arial" w:eastAsia="Arial" w:hAnsi="Arial"/>
          <w:sz w:val="17"/>
          <w:szCs w:val="17"/>
          <w:color w:val="auto"/>
        </w:rPr>
      </w:pPr>
    </w:p>
    <w:p>
      <w:pPr>
        <w:ind w:right="420" w:firstLine="656"/>
        <w:spacing w:after="0" w:line="301" w:lineRule="auto"/>
        <w:tabs>
          <w:tab w:leader="none" w:pos="10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6"/>
          <w:szCs w:val="16"/>
          <w:u w:val="single" w:color="auto"/>
          <w:color w:val="auto"/>
        </w:rPr>
        <w:t>Subsidiary Companies</w:t>
      </w:r>
      <w:r>
        <w:rPr>
          <w:rFonts w:ascii="Arial" w:cs="Arial" w:eastAsia="Arial" w:hAnsi="Arial"/>
          <w:sz w:val="16"/>
          <w:szCs w:val="16"/>
          <w:color w:val="auto"/>
        </w:rPr>
        <w:t>” means all trades or businesses, whether or not incorporated, that, at the time in question, either (i) are in an unbroken chain of trades or businesses beginning with the Company if, each of the trades or businesses other than the Company in the unbroken chain owns equity interests possessing 50 percent or more of the total combined voting power of all classes of equity interests in one of the other trades or businesses in such chain, or (ii) the accounts of which are otherwise consolidated on the financial statements of the Company.</w:t>
      </w:r>
    </w:p>
    <w:p>
      <w:pPr>
        <w:spacing w:after="0" w:line="157" w:lineRule="exact"/>
        <w:rPr>
          <w:rFonts w:ascii="Arial" w:cs="Arial" w:eastAsia="Arial" w:hAnsi="Arial"/>
          <w:sz w:val="16"/>
          <w:szCs w:val="16"/>
          <w:color w:val="auto"/>
        </w:rPr>
      </w:pPr>
    </w:p>
    <w:p>
      <w:pPr>
        <w:ind w:right="20" w:firstLine="656"/>
        <w:spacing w:after="0" w:line="277" w:lineRule="auto"/>
        <w:tabs>
          <w:tab w:leader="none" w:pos="10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Substitute Award</w:t>
      </w:r>
      <w:r>
        <w:rPr>
          <w:rFonts w:ascii="Arial" w:cs="Arial" w:eastAsia="Arial" w:hAnsi="Arial"/>
          <w:sz w:val="18"/>
          <w:szCs w:val="18"/>
          <w:color w:val="auto"/>
        </w:rPr>
        <w:t>” means an Award granted in assumption of, or in substitution for, an outstanding award previously granted by a company or other business acquired by a Participating Company or with which a Participating Company combines.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right="160" w:firstLine="656"/>
        <w:spacing w:after="0" w:line="277" w:lineRule="auto"/>
        <w:tabs>
          <w:tab w:leader="none" w:pos="11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70" w:lineRule="exact"/>
        <w:rPr>
          <w:rFonts w:ascii="Arial" w:cs="Arial" w:eastAsia="Arial" w:hAnsi="Arial"/>
          <w:sz w:val="18"/>
          <w:szCs w:val="18"/>
          <w:color w:val="auto"/>
        </w:rPr>
      </w:pPr>
    </w:p>
    <w:p>
      <w:pPr>
        <w:ind w:right="380" w:firstLine="656"/>
        <w:spacing w:after="0" w:line="259" w:lineRule="auto"/>
        <w:tabs>
          <w:tab w:leader="none" w:pos="10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employer corporation is the Company or a Subsidiary Company.</w:t>
      </w:r>
    </w:p>
    <w:p>
      <w:pPr>
        <w:spacing w:after="0" w:line="186" w:lineRule="exact"/>
        <w:rPr>
          <w:rFonts w:ascii="Arial" w:cs="Arial" w:eastAsia="Arial" w:hAnsi="Arial"/>
          <w:sz w:val="18"/>
          <w:szCs w:val="18"/>
          <w:color w:val="auto"/>
        </w:rPr>
      </w:pPr>
    </w:p>
    <w:p>
      <w:pPr>
        <w:ind w:left="1200" w:hanging="544"/>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660" w:right="80" w:firstLine="644"/>
        <w:spacing w:after="0" w:line="279" w:lineRule="auto"/>
        <w:tabs>
          <w:tab w:leader="none" w:pos="1748"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case of a Participant who is an Eligible Employee, the cessation of the employment relationship such that the Participant is no longer an employee of any Participating Company (without regard to whether such Participant continues on the Company’s payroll for regular, severance or other pay or continues to participate in one or more health and welfare plans maintained by any Participating Company on the same basis as active employees), as determined in the discretion of the Committee; or</w:t>
      </w:r>
    </w:p>
    <w:p>
      <w:pPr>
        <w:spacing w:after="0" w:line="171" w:lineRule="exact"/>
        <w:rPr>
          <w:rFonts w:ascii="Arial" w:cs="Arial" w:eastAsia="Arial" w:hAnsi="Arial"/>
          <w:sz w:val="17"/>
          <w:szCs w:val="17"/>
          <w:color w:val="auto"/>
        </w:rPr>
      </w:pPr>
    </w:p>
    <w:p>
      <w:pPr>
        <w:ind w:left="660" w:right="580" w:firstLine="644"/>
        <w:spacing w:after="0" w:line="308" w:lineRule="auto"/>
        <w:tabs>
          <w:tab w:leader="none" w:pos="1753"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case of a Participant who is a Non-Employee Director or Other Eligible Service Provider, the date the performance of services for any Participating Company has ended, in each case as determined in the discretion of the Committee;</w:t>
      </w:r>
    </w:p>
    <w:p>
      <w:pPr>
        <w:spacing w:after="0" w:line="146"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Notwithstanding the foregoing, (A) in the case of a Participant who is an Eligible Employee, (1) the transfer of employment between two employers, each of which is a Participating Company, or, unless the Committee determines otherwise, the cessation of employee status but the continuation of the performance of services for a Participating Company as a Non-Employee Director or Other Eligible Service Provider shall not be deemed a cessation of service that would constitute a Termination of Service and (2) a Termination of Service shall be deemed to occur for such Participant if such Participant is employed by, or performing services for, a Subsidiary Company when such Subsidiary Company ceases to be a Subsidiary Company unless otherwise determined in the discretion of the Committee, (B) in the case of a Participant who is a Non-Employee Director, if such a Participant is designated as a Director Emeritus upon cessation of the performance of service as a Non-Employee Director, such Participant shall not be treated as having had a Termination of Service until the Participant’s termination of service as a Director Emeritus, and (C) with respect to any Award subject to Section 409A of the Code (and not exempt therefrom), a Termination of Service occurs when a Participant experiences a “separation of service” (as such term is defined under Section 409A of the Code).</w:t>
      </w:r>
    </w:p>
    <w:p>
      <w:pPr>
        <w:spacing w:after="0" w:line="168" w:lineRule="exact"/>
        <w:rPr>
          <w:sz w:val="20"/>
          <w:szCs w:val="20"/>
          <w:color w:val="auto"/>
        </w:rPr>
      </w:pPr>
    </w:p>
    <w:p>
      <w:pPr>
        <w:ind w:firstLine="656"/>
        <w:spacing w:after="0" w:line="277" w:lineRule="auto"/>
        <w:tabs>
          <w:tab w:leader="none" w:pos="1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Person, together with such Person’s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“Third Party” shall not include the Company or an Affiliate of the Company.</w:t>
      </w:r>
    </w:p>
    <w:p>
      <w:pPr>
        <w:spacing w:after="0" w:line="170" w:lineRule="exact"/>
        <w:rPr>
          <w:rFonts w:ascii="Arial" w:cs="Arial" w:eastAsia="Arial" w:hAnsi="Arial"/>
          <w:sz w:val="18"/>
          <w:szCs w:val="18"/>
          <w:color w:val="auto"/>
        </w:rPr>
      </w:pPr>
    </w:p>
    <w:p>
      <w:pPr>
        <w:ind w:right="520" w:firstLine="656"/>
        <w:spacing w:after="0" w:line="308" w:lineRule="auto"/>
        <w:tabs>
          <w:tab w:leader="none" w:pos="11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Vesting Date</w:t>
      </w:r>
      <w:r>
        <w:rPr>
          <w:rFonts w:ascii="Arial" w:cs="Arial" w:eastAsia="Arial" w:hAnsi="Arial"/>
          <w:sz w:val="17"/>
          <w:szCs w:val="17"/>
          <w:color w:val="auto"/>
        </w:rPr>
        <w:t>” means, as applicable: (i) the date on which the Participant vests in a Restricted Stock Unit, (ii) the date on which the restrictions imposed on a Share of Restricted Stock lapse or (iii) the date on which the Participant vests in an Option or SAR.</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left="1180" w:hanging="524"/>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1" w:lineRule="exact"/>
        <w:rPr>
          <w:sz w:val="20"/>
          <w:szCs w:val="20"/>
          <w:color w:val="auto"/>
        </w:rPr>
      </w:pPr>
    </w:p>
    <w:p>
      <w:pPr>
        <w:ind w:left="1100" w:hanging="444"/>
        <w:spacing w:after="0"/>
        <w:tabs>
          <w:tab w:leader="none" w:pos="11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TO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that may be granted under the Plan are:</w:t>
      </w:r>
    </w:p>
    <w:p>
      <w:pPr>
        <w:spacing w:after="0" w:line="229" w:lineRule="exact"/>
        <w:rPr>
          <w:sz w:val="20"/>
          <w:szCs w:val="20"/>
          <w:color w:val="auto"/>
        </w:rPr>
      </w:pPr>
    </w:p>
    <w:p>
      <w:pPr>
        <w:ind w:left="1120" w:hanging="464"/>
        <w:spacing w:after="0"/>
        <w:tabs>
          <w:tab w:leader="none" w:pos="11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Rights to Restricted Stock Units, which give the Participant the right to receive Shares upon a Vesting Date, as set forth in Section 8;‎</w:t>
      </w:r>
    </w:p>
    <w:p>
      <w:pPr>
        <w:spacing w:after="0" w:line="236" w:lineRule="exact"/>
        <w:rPr>
          <w:rFonts w:ascii="Arial" w:cs="Arial" w:eastAsia="Arial" w:hAnsi="Arial"/>
          <w:sz w:val="17"/>
          <w:szCs w:val="17"/>
          <w:color w:val="auto"/>
        </w:rPr>
      </w:pPr>
    </w:p>
    <w:p>
      <w:pPr>
        <w:ind w:right="280" w:firstLine="656"/>
        <w:spacing w:after="0" w:line="277" w:lineRule="auto"/>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Rights to Restricted Stock, which give the Participant ownership rights in the Shares subject to the Award, subject to a substantial risk of forfeiture, as set forth in Section 8;‎</w:t>
      </w:r>
    </w:p>
    <w:p>
      <w:pPr>
        <w:spacing w:after="0" w:line="170" w:lineRule="exact"/>
        <w:rPr>
          <w:rFonts w:ascii="Arial" w:cs="Arial" w:eastAsia="Arial" w:hAnsi="Arial"/>
          <w:sz w:val="18"/>
          <w:szCs w:val="18"/>
          <w:color w:val="auto"/>
        </w:rPr>
      </w:pPr>
    </w:p>
    <w:p>
      <w:pPr>
        <w:ind w:right="120" w:firstLine="656"/>
        <w:spacing w:after="0" w:line="263" w:lineRule="auto"/>
        <w:tabs>
          <w:tab w:leader="none" w:pos="11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Incentive Stock Options, which give the Participant who is an employee of a Participating Company the right for a specified time period to purchase a specified number of Shares (to the extent of clause (i) of the definition thereof) for a price, except in the case of Substitute Awards that constitute incentive stock options, not less than the Fair Market Value on the Date of Grant;</w:t>
      </w:r>
    </w:p>
    <w:p>
      <w:pPr>
        <w:spacing w:after="0" w:line="183" w:lineRule="exact"/>
        <w:rPr>
          <w:rFonts w:ascii="Arial" w:cs="Arial" w:eastAsia="Arial" w:hAnsi="Arial"/>
          <w:sz w:val="18"/>
          <w:szCs w:val="18"/>
          <w:color w:val="auto"/>
        </w:rPr>
      </w:pPr>
    </w:p>
    <w:p>
      <w:pPr>
        <w:ind w:right="40" w:firstLine="656"/>
        <w:spacing w:after="0" w:line="277" w:lineRule="auto"/>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Non-Qualified Options, which give the Participant the right for a specified time period to purchase a specified number of Shares for a price, except in the case of Substitute Awards, not less than the Fair Market Value on the Date of Grant;</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SARs, which give the Participant the right upon exercise or settlement, to receive in cash, Shares or a combination thereof, the excess of</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Fair Market Value of one Share on the date of exercise or settlement over (y) the exercise or hurdle price of the right on the date of grant; and</w:t>
      </w:r>
    </w:p>
    <w:p>
      <w:pPr>
        <w:spacing w:after="0" w:line="222" w:lineRule="exact"/>
        <w:rPr>
          <w:rFonts w:ascii="Arial" w:cs="Arial" w:eastAsia="Arial" w:hAnsi="Arial"/>
          <w:sz w:val="17"/>
          <w:szCs w:val="17"/>
          <w:color w:val="auto"/>
        </w:rPr>
      </w:pPr>
    </w:p>
    <w:p>
      <w:pPr>
        <w:ind w:left="1100" w:hanging="444"/>
        <w:spacing w:after="0"/>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Share-Based Awards as set forth in Section 10‎.</w:t>
      </w:r>
    </w:p>
    <w:p>
      <w:pPr>
        <w:spacing w:after="0" w:line="221"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229" w:lineRule="exact"/>
        <w:rPr>
          <w:sz w:val="20"/>
          <w:szCs w:val="20"/>
          <w:color w:val="auto"/>
        </w:rPr>
      </w:pPr>
    </w:p>
    <w:p>
      <w:pPr>
        <w:ind w:left="1120" w:hanging="464"/>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4"/>
        <w:spacing w:after="0" w:line="287" w:lineRule="auto"/>
        <w:tabs>
          <w:tab w:leader="none" w:pos="1748"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Shares Available for Issuance</w:t>
      </w:r>
      <w:r>
        <w:rPr>
          <w:rFonts w:ascii="Arial" w:cs="Arial" w:eastAsia="Arial" w:hAnsi="Arial"/>
          <w:sz w:val="16"/>
          <w:szCs w:val="16"/>
          <w:color w:val="auto"/>
        </w:rPr>
        <w:t>. Subject to adjustment as provided in Section 12‎ and except for Substitute Awards, not more than 275 million Shares, minus the number of Shares subject to any award granted under the RS Plan or the Stock Option Plan after March 31, 2023 and prior to the Effective Date, in the aggregate may be issued under the Plan pursuant to Awards, which shall also be the maximum number of Shares</w:t>
      </w:r>
    </w:p>
    <w:p>
      <w:pPr>
        <w:spacing w:after="0" w:line="2"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available for issuance pursuant to Incentive Stock Options. Subject to Section 4(a)(ii)‎ and (iii),‎ Shares subject to an Award shall be counted as used only to the extent that they are actually issued; provided that (A) any Shares withheld to satisfy the Participant’s applicable tax withholding obligations or the option price of an Award pursuant to a cashless exercise and (B) any Shares subject to a SAR that are not issued in connection with the settlement of the SAR upon its exercise, shall be considered actually issued for purposes of this Section 4(a)(i) and will not again become available for issuance under the Plan.</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660" w:right="340" w:firstLine="644"/>
        <w:spacing w:after="0" w:line="291" w:lineRule="auto"/>
        <w:tabs>
          <w:tab w:leader="none" w:pos="175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Shares Returned to the Reserve</w:t>
      </w:r>
      <w:r>
        <w:rPr>
          <w:rFonts w:ascii="Arial" w:cs="Arial" w:eastAsia="Arial" w:hAnsi="Arial"/>
          <w:sz w:val="16"/>
          <w:szCs w:val="16"/>
          <w:color w:val="auto"/>
        </w:rPr>
        <w:t>. If an Award is forfeited, canceled, terminates or expires (including an Option that has not been exercised in full), the Shares underlying such forfeited, canceled, terminated or expired Award shall return to the pool of Shares available for</w:t>
      </w:r>
    </w:p>
    <w:p>
      <w:pPr>
        <w:ind w:left="660"/>
        <w:spacing w:after="0"/>
        <w:rPr>
          <w:rFonts w:ascii="Arial" w:cs="Arial" w:eastAsia="Arial" w:hAnsi="Arial"/>
          <w:sz w:val="16"/>
          <w:szCs w:val="16"/>
          <w:color w:val="auto"/>
        </w:rPr>
      </w:pPr>
      <w:r>
        <w:rPr>
          <w:rFonts w:ascii="Arial" w:cs="Arial" w:eastAsia="Arial" w:hAnsi="Arial"/>
          <w:sz w:val="18"/>
          <w:szCs w:val="18"/>
          <w:color w:val="auto"/>
        </w:rPr>
        <w:t>issuance under Section 4(a)(i)‎.</w:t>
      </w:r>
    </w:p>
    <w:p>
      <w:pPr>
        <w:spacing w:after="0" w:line="210" w:lineRule="exact"/>
        <w:rPr>
          <w:rFonts w:ascii="Arial" w:cs="Arial" w:eastAsia="Arial" w:hAnsi="Arial"/>
          <w:sz w:val="16"/>
          <w:szCs w:val="16"/>
          <w:color w:val="auto"/>
        </w:rPr>
      </w:pPr>
    </w:p>
    <w:p>
      <w:pPr>
        <w:ind w:left="660" w:right="280" w:firstLine="644"/>
        <w:spacing w:after="0" w:line="291" w:lineRule="auto"/>
        <w:tabs>
          <w:tab w:leader="none" w:pos="175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Share Recycling Prohibitions</w:t>
      </w:r>
      <w:r>
        <w:rPr>
          <w:rFonts w:ascii="Arial" w:cs="Arial" w:eastAsia="Arial" w:hAnsi="Arial"/>
          <w:sz w:val="16"/>
          <w:szCs w:val="16"/>
          <w:color w:val="auto"/>
        </w:rPr>
        <w:t>. If (A) the Company withholds Shares to satisfy the Participant’s applicable tax withholding obligations in accordance with Section 11‎ or (B) an Option or SAR covering Shares is exercised pursuant to the cashless exercise provisions of</w:t>
      </w:r>
    </w:p>
    <w:p>
      <w:pPr>
        <w:ind w:left="660" w:right="120"/>
        <w:spacing w:after="0" w:line="253" w:lineRule="auto"/>
        <w:rPr>
          <w:rFonts w:ascii="Arial" w:cs="Arial" w:eastAsia="Arial" w:hAnsi="Arial"/>
          <w:sz w:val="16"/>
          <w:szCs w:val="16"/>
          <w:color w:val="auto"/>
        </w:rPr>
      </w:pPr>
      <w:r>
        <w:rPr>
          <w:rFonts w:ascii="Arial" w:cs="Arial" w:eastAsia="Arial" w:hAnsi="Arial"/>
          <w:sz w:val="18"/>
          <w:szCs w:val="18"/>
          <w:color w:val="auto"/>
        </w:rPr>
        <w:t>Section 9(b)(iv),‎ such withheld Shares described in clauses (A) and (B), shall not again become available for issuance under the Plan or increase the number of Shares available for issuance under the Plan. In addition, for the avoidance of doubt, no Options or SARs may be granted covering Shares repurchased by the Company on the open market with proceeds, if any, received by the Company on account of payment of the option price for an Option or SAR by Participants.</w:t>
      </w:r>
    </w:p>
    <w:p>
      <w:pPr>
        <w:spacing w:after="0" w:line="193" w:lineRule="exact"/>
        <w:rPr>
          <w:sz w:val="20"/>
          <w:szCs w:val="20"/>
          <w:color w:val="auto"/>
        </w:rPr>
      </w:pPr>
    </w:p>
    <w:p>
      <w:pPr>
        <w:ind w:right="60" w:firstLine="656"/>
        <w:spacing w:after="0" w:line="257"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Source of Shares</w:t>
      </w:r>
      <w:r>
        <w:rPr>
          <w:rFonts w:ascii="Arial" w:cs="Arial" w:eastAsia="Arial" w:hAnsi="Arial"/>
          <w:sz w:val="18"/>
          <w:szCs w:val="18"/>
          <w:color w:val="auto"/>
        </w:rPr>
        <w:t>. The Shares issued under the Plan may, at the Company’s option, be either Shares held in treasury or Shares originally issued for such purpose. Shares underlying Substitute Awards and Shares remaining available for grant under a plan of an acquired company or of a company with which a Participating Company combines (whether by way of amalgamation, merger, sale and purchase of shares or other securities or otherwise), appropriately adjusted to reflect the acquisition or combination transaction, shall not reduce the number of Shares remaining available for grant under this Section 4‎.</w:t>
      </w:r>
    </w:p>
    <w:p>
      <w:pPr>
        <w:spacing w:after="0" w:line="184" w:lineRule="exact"/>
        <w:rPr>
          <w:sz w:val="20"/>
          <w:szCs w:val="20"/>
          <w:color w:val="auto"/>
        </w:rPr>
      </w:pPr>
    </w:p>
    <w:p>
      <w:pPr>
        <w:ind w:left="1100" w:hanging="444"/>
        <w:spacing w:after="0"/>
        <w:tabs>
          <w:tab w:leader="none" w:pos="11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AND INTERPRETATION OF THE PLAN</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77" w:lineRule="auto"/>
        <w:tabs>
          <w:tab w:leader="none" w:pos="110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The Plan shall be administered by the Committee; </w:t>
      </w:r>
      <w:r>
        <w:rPr>
          <w:rFonts w:ascii="Arial" w:cs="Arial" w:eastAsia="Arial" w:hAnsi="Arial"/>
          <w:sz w:val="18"/>
          <w:szCs w:val="18"/>
          <w:u w:val="single" w:color="auto"/>
          <w:color w:val="auto"/>
        </w:rPr>
        <w:t>provided that</w:t>
      </w:r>
      <w:r>
        <w:rPr>
          <w:rFonts w:ascii="Arial" w:cs="Arial" w:eastAsia="Arial" w:hAnsi="Arial"/>
          <w:sz w:val="18"/>
          <w:szCs w:val="18"/>
          <w:color w:val="auto"/>
        </w:rPr>
        <w:t>, the rules of the Plan shall apply so that all references in the Plan to the Committee shall be treated as references to either the Board or the Committee acting alone.</w:t>
      </w:r>
    </w:p>
    <w:p>
      <w:pPr>
        <w:spacing w:after="0" w:line="170" w:lineRule="exact"/>
        <w:rPr>
          <w:rFonts w:ascii="Arial" w:cs="Arial" w:eastAsia="Arial" w:hAnsi="Arial"/>
          <w:sz w:val="18"/>
          <w:szCs w:val="18"/>
          <w:color w:val="auto"/>
        </w:rPr>
      </w:pPr>
    </w:p>
    <w:p>
      <w:pPr>
        <w:ind w:right="280" w:firstLine="656"/>
        <w:spacing w:after="0" w:line="277" w:lineRule="auto"/>
        <w:tabs>
          <w:tab w:leader="none" w:pos="111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Subject to the express terms and conditions set forth in the Plan and applicable law, the Committee (or its delegate) shall have full power, authority and discretion to, from time to time:</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select those Employees, Non-Employee Directors and Other Service Providers to whom Awards shall be granted under the Plan;</w:t>
      </w:r>
    </w:p>
    <w:p>
      <w:pPr>
        <w:spacing w:after="0" w:line="248" w:lineRule="exact"/>
        <w:rPr>
          <w:rFonts w:ascii="Arial" w:cs="Arial" w:eastAsia="Arial" w:hAnsi="Arial"/>
          <w:sz w:val="16"/>
          <w:szCs w:val="16"/>
          <w:color w:val="auto"/>
        </w:rPr>
      </w:pPr>
    </w:p>
    <w:p>
      <w:pPr>
        <w:ind w:left="1740" w:hanging="436"/>
        <w:spacing w:after="0"/>
        <w:tabs>
          <w:tab w:leader="none" w:pos="17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determine the type or types of Awards (including Substitute Awards) to be granted to each Participant under the Plan;</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determine the number of Shares to be covered by Awards;</w:t>
      </w:r>
    </w:p>
    <w:p>
      <w:pPr>
        <w:spacing w:after="0" w:line="225" w:lineRule="exact"/>
        <w:rPr>
          <w:rFonts w:ascii="Arial" w:cs="Arial" w:eastAsia="Arial" w:hAnsi="Arial"/>
          <w:sz w:val="18"/>
          <w:szCs w:val="18"/>
          <w:color w:val="auto"/>
        </w:rPr>
      </w:pPr>
    </w:p>
    <w:p>
      <w:pPr>
        <w:ind w:left="660" w:right="200" w:firstLine="644"/>
        <w:spacing w:after="0" w:line="263" w:lineRule="auto"/>
        <w:tabs>
          <w:tab w:leader="none" w:pos="17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determine the terms and conditions of any Award (including the restrictions applicable to such Award and the conditions upon which a Vesting Date shall occur or upon which any Options shall become exercisable) and prescribe the form of each Award Agreement, which need not be identical for each Participant;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left="620" w:right="140" w:firstLine="644"/>
        <w:spacing w:after="0" w:line="308" w:lineRule="auto"/>
        <w:tabs>
          <w:tab w:leader="none" w:pos="17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determine whether, to what extent, under what circumstances and by which methods Awards may be settled or exercised in cash, Shares, other Awards, other property, net settlement, or any combination thereof, or canceled, forfeited or suspended;</w:t>
      </w:r>
    </w:p>
    <w:p>
      <w:pPr>
        <w:spacing w:after="0" w:line="146" w:lineRule="exact"/>
        <w:rPr>
          <w:rFonts w:ascii="Arial" w:cs="Arial" w:eastAsia="Arial" w:hAnsi="Arial"/>
          <w:sz w:val="17"/>
          <w:szCs w:val="17"/>
          <w:color w:val="auto"/>
        </w:rPr>
      </w:pPr>
    </w:p>
    <w:p>
      <w:pPr>
        <w:ind w:left="1740" w:hanging="476"/>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 terms or conditions of any outstanding Awards;</w:t>
      </w:r>
    </w:p>
    <w:p>
      <w:pPr>
        <w:spacing w:after="0" w:line="225" w:lineRule="exact"/>
        <w:rPr>
          <w:rFonts w:ascii="Arial" w:cs="Arial" w:eastAsia="Arial" w:hAnsi="Arial"/>
          <w:sz w:val="18"/>
          <w:szCs w:val="18"/>
          <w:color w:val="auto"/>
        </w:rPr>
      </w:pPr>
    </w:p>
    <w:p>
      <w:pPr>
        <w:ind w:left="620" w:right="40" w:firstLine="644"/>
        <w:spacing w:after="0" w:line="277" w:lineRule="auto"/>
        <w:tabs>
          <w:tab w:leader="none" w:pos="17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Plan or any Award, in the manner and to the extent it shall deem desirable to carry the Plan into effect;</w:t>
      </w:r>
    </w:p>
    <w:p>
      <w:pPr>
        <w:spacing w:after="0" w:line="170" w:lineRule="exact"/>
        <w:rPr>
          <w:rFonts w:ascii="Arial" w:cs="Arial" w:eastAsia="Arial" w:hAnsi="Arial"/>
          <w:sz w:val="18"/>
          <w:szCs w:val="18"/>
          <w:color w:val="auto"/>
        </w:rPr>
      </w:pPr>
    </w:p>
    <w:p>
      <w:pPr>
        <w:ind w:left="1760" w:hanging="496"/>
        <w:spacing w:after="0"/>
        <w:tabs>
          <w:tab w:leader="none" w:pos="1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interpret and administer the Plan and any instrument or agreement relating to, or Award made under, the Plan;</w:t>
      </w:r>
    </w:p>
    <w:p>
      <w:pPr>
        <w:spacing w:after="0" w:line="225" w:lineRule="exact"/>
        <w:rPr>
          <w:rFonts w:ascii="Arial" w:cs="Arial" w:eastAsia="Arial" w:hAnsi="Arial"/>
          <w:sz w:val="18"/>
          <w:szCs w:val="18"/>
          <w:color w:val="auto"/>
        </w:rPr>
      </w:pPr>
    </w:p>
    <w:p>
      <w:pPr>
        <w:ind w:left="620" w:right="180" w:firstLine="644"/>
        <w:spacing w:after="0" w:line="311" w:lineRule="auto"/>
        <w:tabs>
          <w:tab w:leader="none" w:pos="175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prescribe,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p>
      <w:pPr>
        <w:spacing w:after="0" w:line="148" w:lineRule="exact"/>
        <w:rPr>
          <w:rFonts w:ascii="Arial" w:cs="Arial" w:eastAsia="Arial" w:hAnsi="Arial"/>
          <w:sz w:val="16"/>
          <w:szCs w:val="16"/>
          <w:color w:val="auto"/>
        </w:rPr>
      </w:pPr>
    </w:p>
    <w:p>
      <w:pPr>
        <w:ind w:left="620" w:right="20" w:firstLine="644"/>
        <w:spacing w:after="0" w:line="342" w:lineRule="auto"/>
        <w:tabs>
          <w:tab w:leader="none" w:pos="17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the administration of the Plan and due compliance with applicable law, stock market or exchange rules and regulations or accounting or tax rules and regulations.</w:t>
      </w:r>
    </w:p>
    <w:p>
      <w:pPr>
        <w:spacing w:after="0" w:line="124" w:lineRule="exact"/>
        <w:rPr>
          <w:sz w:val="20"/>
          <w:szCs w:val="20"/>
          <w:color w:val="auto"/>
        </w:rPr>
      </w:pPr>
    </w:p>
    <w:p>
      <w:pPr>
        <w:ind w:left="620"/>
        <w:spacing w:after="0" w:line="263" w:lineRule="auto"/>
        <w:rPr>
          <w:sz w:val="20"/>
          <w:szCs w:val="20"/>
          <w:color w:val="auto"/>
        </w:rPr>
      </w:pPr>
      <w:r>
        <w:rPr>
          <w:rFonts w:ascii="Arial" w:cs="Arial" w:eastAsia="Arial" w:hAnsi="Arial"/>
          <w:sz w:val="18"/>
          <w:szCs w:val="18"/>
          <w:color w:val="auto"/>
        </w:rPr>
        <w:t>All determinations by the Committee shall be final, conclusive and binding on all Persons, including the Participants and their beneficiaries. For the avoidance of doubt, the Board may, in its sole discretion, at any time and from time to time, grant Awards and administer the Plan. In any such case, the Board shall have all of the authority and responsibility granted to the Committee herein.</w:t>
      </w:r>
    </w:p>
    <w:p>
      <w:pPr>
        <w:spacing w:after="0" w:line="184" w:lineRule="exact"/>
        <w:rPr>
          <w:sz w:val="20"/>
          <w:szCs w:val="20"/>
          <w:color w:val="auto"/>
        </w:rPr>
      </w:pPr>
    </w:p>
    <w:p>
      <w:pPr>
        <w:ind w:left="-40" w:right="60" w:firstLine="656"/>
        <w:spacing w:after="0" w:line="259" w:lineRule="auto"/>
        <w:tabs>
          <w:tab w:leader="none" w:pos="107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To the extent permitted by applicable law, the Committee may delegate its authority with respect to the grant, amendment, interpretation and administration of Awards to a person, persons or committee, in its sole and absolute discretion. Actions taken by the Committee’s duly-authorized delegate shall have the same force and effect as actions taken by the Committee. Any delegation of authority pursuant to this Section 5(c)‎ shall continue in effect until the earliest of:</w:t>
      </w:r>
    </w:p>
    <w:p>
      <w:pPr>
        <w:spacing w:after="0" w:line="186" w:lineRule="exact"/>
        <w:rPr>
          <w:rFonts w:ascii="Arial" w:cs="Arial" w:eastAsia="Arial" w:hAnsi="Arial"/>
          <w:sz w:val="18"/>
          <w:szCs w:val="18"/>
          <w:color w:val="auto"/>
        </w:rPr>
      </w:pPr>
    </w:p>
    <w:p>
      <w:pPr>
        <w:ind w:left="1700" w:hanging="436"/>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25" w:lineRule="exact"/>
        <w:rPr>
          <w:rFonts w:ascii="Arial" w:cs="Arial" w:eastAsia="Arial" w:hAnsi="Arial"/>
          <w:sz w:val="18"/>
          <w:szCs w:val="18"/>
          <w:color w:val="auto"/>
        </w:rPr>
      </w:pPr>
    </w:p>
    <w:p>
      <w:pPr>
        <w:ind w:left="620" w:right="40" w:firstLine="644"/>
        <w:spacing w:after="0" w:line="277" w:lineRule="auto"/>
        <w:tabs>
          <w:tab w:leader="none" w:pos="17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70" w:lineRule="exact"/>
        <w:rPr>
          <w:rFonts w:ascii="Arial" w:cs="Arial" w:eastAsia="Arial" w:hAnsi="Arial"/>
          <w:sz w:val="18"/>
          <w:szCs w:val="18"/>
          <w:color w:val="auto"/>
        </w:rPr>
      </w:pPr>
    </w:p>
    <w:p>
      <w:pPr>
        <w:ind w:left="1720" w:hanging="456"/>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60" w:top="584" w:right="399" w:bottom="1440" w:gutter="0" w:footer="0" w:header="0"/>
        </w:sectPr>
      </w:pPr>
    </w:p>
    <w:bookmarkStart w:id="14" w:name="page15"/>
    <w:bookmarkEnd w:id="14"/>
    <w:p>
      <w:pPr>
        <w:ind w:left="660" w:right="60"/>
        <w:spacing w:after="0" w:line="308" w:lineRule="auto"/>
        <w:rPr>
          <w:sz w:val="20"/>
          <w:szCs w:val="20"/>
          <w:color w:val="auto"/>
        </w:rPr>
      </w:pPr>
      <w:r>
        <w:rPr>
          <w:rFonts w:ascii="Arial" w:cs="Arial" w:eastAsia="Arial" w:hAnsi="Arial"/>
          <w:sz w:val="17"/>
          <w:szCs w:val="17"/>
          <w:color w:val="auto"/>
        </w:rPr>
        <w:t>Notwithstanding anything to the contrary herein, the Committee may not delegate to any Person or committee (other than the Board) the authority to grant Awards or amend the terms of any Awards to any Participant then covered by Section 16 of the 1934 Act.</w:t>
      </w:r>
    </w:p>
    <w:p>
      <w:pPr>
        <w:spacing w:after="0" w:line="142" w:lineRule="exact"/>
        <w:rPr>
          <w:sz w:val="20"/>
          <w:szCs w:val="20"/>
          <w:color w:val="auto"/>
        </w:rPr>
      </w:pPr>
    </w:p>
    <w:p>
      <w:pPr>
        <w:ind w:left="1100" w:hanging="444"/>
        <w:spacing w:after="0"/>
        <w:tabs>
          <w:tab w:leader="none" w:pos="11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FOR AWARDS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59"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Except as set forth under Section 6(b),‎ Awards may be granted to Eligible Employees, Other Eligible Service Providers and Non-Employee Directors who are selected by the Committee for the grant of Awards in its sole discretion. The terms and conditions of (i) Restricted Stock and Restricted Stock Units, (ii) Options and SARs, and (iii) Other Share-Based Awards shall be determined by the Committee, subject to Sections 8,‎ 9‎ and 10,‎ respectively.</w:t>
      </w:r>
    </w:p>
    <w:p>
      <w:pPr>
        <w:spacing w:after="0" w:line="186" w:lineRule="exact"/>
        <w:rPr>
          <w:rFonts w:ascii="Arial" w:cs="Arial" w:eastAsia="Arial" w:hAnsi="Arial"/>
          <w:sz w:val="18"/>
          <w:szCs w:val="18"/>
          <w:color w:val="auto"/>
        </w:rPr>
      </w:pPr>
    </w:p>
    <w:p>
      <w:pPr>
        <w:ind w:right="20" w:firstLine="656"/>
        <w:spacing w:after="0" w:line="255" w:lineRule="auto"/>
        <w:tabs>
          <w:tab w:leader="none" w:pos="112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Incentive Stock Option may be granted only to an Eligible Employee of the Company or of a parent or subsidiary corporation (as defined in Section 424 of the Code). An Incentive Stock Option shall not be granted to a Ten Percent Shareholder except on such terms concerning the option price and term as are provided in Section 9(a)‎ and Section 9(e)‎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Participant is not an employee of a Company on the Date of Grant.</w:t>
      </w:r>
    </w:p>
    <w:p>
      <w:pPr>
        <w:spacing w:after="0" w:line="192" w:lineRule="exact"/>
        <w:rPr>
          <w:rFonts w:ascii="Arial" w:cs="Arial" w:eastAsia="Arial" w:hAnsi="Arial"/>
          <w:sz w:val="18"/>
          <w:szCs w:val="18"/>
          <w:color w:val="auto"/>
        </w:rPr>
      </w:pPr>
    </w:p>
    <w:p>
      <w:pPr>
        <w:jc w:val="both"/>
        <w:ind w:right="200" w:firstLine="656"/>
        <w:spacing w:after="0" w:line="286" w:lineRule="auto"/>
        <w:tabs>
          <w:tab w:leader="none" w:pos="111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Holders of equity compensation awards granted by a company that is acquired by a Participating Company (or whose business is acquired by a Participating Company) or with which a Participating Company combines are eligible for grants of Substitute Awards under the Plan to the extent permitted under applicable regulations of any stock exchange on which the Company is listed.</w:t>
      </w:r>
    </w:p>
    <w:p>
      <w:pPr>
        <w:spacing w:after="0" w:line="161" w:lineRule="exact"/>
        <w:rPr>
          <w:sz w:val="20"/>
          <w:szCs w:val="20"/>
          <w:color w:val="auto"/>
        </w:rPr>
      </w:pPr>
    </w:p>
    <w:p>
      <w:pPr>
        <w:ind w:left="1100" w:hanging="444"/>
        <w:spacing w:after="0"/>
        <w:tabs>
          <w:tab w:leader="none" w:pos="11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AWARDS—IN GENERAL</w:t>
      </w:r>
      <w:r>
        <w:rPr>
          <w:rFonts w:ascii="Arial" w:cs="Arial" w:eastAsia="Arial" w:hAnsi="Arial"/>
          <w:sz w:val="18"/>
          <w:szCs w:val="18"/>
          <w:b w:val="1"/>
          <w:bCs w:val="1"/>
          <w:color w:val="auto"/>
        </w:rPr>
        <w:t>.</w:t>
      </w:r>
    </w:p>
    <w:p>
      <w:pPr>
        <w:spacing w:after="0" w:line="227" w:lineRule="exact"/>
        <w:rPr>
          <w:sz w:val="20"/>
          <w:szCs w:val="20"/>
          <w:color w:val="auto"/>
        </w:rPr>
      </w:pPr>
    </w:p>
    <w:p>
      <w:pPr>
        <w:ind w:right="100" w:firstLine="656"/>
        <w:spacing w:after="0" w:line="231" w:lineRule="auto"/>
        <w:tabs>
          <w:tab w:leader="none" w:pos="111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Committee to amend the Plan, shall extend beyond such date.</w:t>
      </w:r>
    </w:p>
    <w:p>
      <w:pPr>
        <w:spacing w:after="0" w:line="204" w:lineRule="exact"/>
        <w:rPr>
          <w:rFonts w:ascii="Arial" w:cs="Arial" w:eastAsia="Arial" w:hAnsi="Arial"/>
          <w:sz w:val="18"/>
          <w:szCs w:val="18"/>
          <w:color w:val="auto"/>
        </w:rPr>
      </w:pPr>
    </w:p>
    <w:p>
      <w:pPr>
        <w:ind w:right="80" w:firstLine="656"/>
        <w:spacing w:after="0" w:line="273" w:lineRule="auto"/>
        <w:tabs>
          <w:tab w:leader="none" w:pos="112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Terms of Awards</w:t>
      </w:r>
      <w:r>
        <w:rPr>
          <w:rFonts w:ascii="Arial" w:cs="Arial" w:eastAsia="Arial" w:hAnsi="Arial"/>
          <w:sz w:val="17"/>
          <w:szCs w:val="17"/>
          <w:color w:val="auto"/>
        </w:rPr>
        <w:t xml:space="preserve">. Each Participant shall be provided with an Award Agreement specifying the terms of such Award, which such terms shall be determined in the discretion of the Committee and in no case inconsistent with the provisions of the Plan. The provisions of Awards need not be the same with respect to each Participant. The Committee shall determine in its discretion and specify in an applicable Award Agreement the vesting schedule (including any service and/or performance-vesting conditions applicable to any Award). Awards shall be granted for such cash or other consideration, if any, as the Committee determines;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Awards be issued for less than such minimal consideration as may be required by applicable law. The Committee may impose restrictions on any Award with respect to non-</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right="80"/>
        <w:spacing w:after="0" w:line="308" w:lineRule="auto"/>
        <w:rPr>
          <w:sz w:val="20"/>
          <w:szCs w:val="20"/>
          <w:color w:val="auto"/>
        </w:rPr>
      </w:pPr>
      <w:r>
        <w:rPr>
          <w:rFonts w:ascii="Arial" w:cs="Arial" w:eastAsia="Arial" w:hAnsi="Arial"/>
          <w:sz w:val="17"/>
          <w:szCs w:val="17"/>
          <w:color w:val="auto"/>
        </w:rPr>
        <w:t>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w:t>
      </w:r>
    </w:p>
    <w:p>
      <w:pPr>
        <w:spacing w:after="0" w:line="146" w:lineRule="exact"/>
        <w:rPr>
          <w:sz w:val="20"/>
          <w:szCs w:val="20"/>
          <w:color w:val="auto"/>
        </w:rPr>
      </w:pPr>
    </w:p>
    <w:p>
      <w:pPr>
        <w:ind w:right="220" w:firstLine="656"/>
        <w:spacing w:after="0" w:line="269" w:lineRule="auto"/>
        <w:tabs>
          <w:tab w:leader="none" w:pos="111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Restrictions on Transferability</w:t>
      </w:r>
      <w:r>
        <w:rPr>
          <w:rFonts w:ascii="Arial" w:cs="Arial" w:eastAsia="Arial" w:hAnsi="Arial"/>
          <w:sz w:val="17"/>
          <w:szCs w:val="17"/>
          <w:color w:val="auto"/>
        </w:rPr>
        <w:t xml:space="preserve">. No Award shall be transferable other than by will or the laws of descent and distribution and, during the lifetime of the Participant, shall be exercisable only by him or for his benefit by his attorney-in-fact or guardian;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Committee may, in its discretion, at the time of grant of an Award or by amendment of an Award Agreement, provide that the Award granted to or held by a Participant may be transferred, in whole or in part, to one or more transferees and exercised by any such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 any such transfer is without consideration and (ii) each transferee is a Family Member with respect to the Participant;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any Incentive Stock Option granted pursuant to an Award Agreement which is amended to permit transfers during the lifetime of the Participant shall, upon the effectiveness of such amendment, be treated thereafter as a Non-Qualified Option. No transfer of an Award shall be effective unless the Committee is notified of the terms and conditions of the transfer and the Committee determines that the transfer complies with the requirements for transfers of Awards under the Plan and the Award Agreement. Any person to whom an Award is transferred shall be subject to the terms and conditions of the Plan and the applicable Award Agreement and, in the case of Options, such Person may exercise any such Options only in accordance with the provisions of Section 9(f)‎ and this Section 7‎(c)‎.</w:t>
      </w:r>
    </w:p>
    <w:p>
      <w:pPr>
        <w:spacing w:after="0" w:line="181" w:lineRule="exact"/>
        <w:rPr>
          <w:rFonts w:ascii="Arial" w:cs="Arial" w:eastAsia="Arial" w:hAnsi="Arial"/>
          <w:sz w:val="17"/>
          <w:szCs w:val="17"/>
          <w:color w:val="auto"/>
        </w:rPr>
      </w:pPr>
    </w:p>
    <w:p>
      <w:pPr>
        <w:ind w:right="500" w:firstLine="656"/>
        <w:spacing w:after="0" w:line="263" w:lineRule="auto"/>
        <w:tabs>
          <w:tab w:leader="none" w:pos="112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83" w:lineRule="exact"/>
        <w:rPr>
          <w:rFonts w:ascii="Arial" w:cs="Arial" w:eastAsia="Arial" w:hAnsi="Arial"/>
          <w:sz w:val="18"/>
          <w:szCs w:val="18"/>
          <w:color w:val="auto"/>
        </w:rPr>
      </w:pPr>
    </w:p>
    <w:p>
      <w:pPr>
        <w:ind w:firstLine="656"/>
        <w:spacing w:after="0" w:line="269" w:lineRule="auto"/>
        <w:tabs>
          <w:tab w:leader="none" w:pos="111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Rights as Shareholders</w:t>
      </w:r>
      <w:r>
        <w:rPr>
          <w:rFonts w:ascii="Arial" w:cs="Arial" w:eastAsia="Arial" w:hAnsi="Arial"/>
          <w:sz w:val="17"/>
          <w:szCs w:val="17"/>
          <w:color w:val="auto"/>
        </w:rPr>
        <w:t>. A Participant shall not have any rights as a shareholder with respect to any Shares subject to such Participant’s Awards until (i) the applicable Award shall have been vested or exercised, as applicable, in accordance with the terms of the Plan and the applicable Award Agreement, (ii) as determined by the Committee, all other legal matters regarding the issuance and delivery of such Shares have been satisfied, including any applicable securities laws, stock market or exchange rules and regulations or accounting or tax rules and regulations, (iii) the Participant has executed and delivered to the Company such representations or agreements as the Committee deems necessary or appropriate to satisfy any applicable laws, (iv) in the case of Options, the Participant shall have paid the full purchase price for the number of Shares in respect of which the Option was exercised and (v) the Participant shall have made arrangements acceptable to the Company for the payment of applicable taxes consistent with Section 11‎. The inability of either the Company or a Participant, as applicable,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spacing w:after="0" w:line="185" w:lineRule="exact"/>
        <w:rPr>
          <w:rFonts w:ascii="Arial" w:cs="Arial" w:eastAsia="Arial" w:hAnsi="Arial"/>
          <w:sz w:val="17"/>
          <w:szCs w:val="17"/>
          <w:color w:val="auto"/>
        </w:rPr>
      </w:pPr>
    </w:p>
    <w:p>
      <w:pPr>
        <w:ind w:right="40" w:firstLine="656"/>
        <w:spacing w:after="0" w:line="275" w:lineRule="auto"/>
        <w:tabs>
          <w:tab w:leader="none" w:pos="108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Additional Restrictions</w:t>
      </w:r>
      <w:r>
        <w:rPr>
          <w:rFonts w:ascii="Arial" w:cs="Arial" w:eastAsia="Arial" w:hAnsi="Arial"/>
          <w:sz w:val="17"/>
          <w:szCs w:val="17"/>
          <w:color w:val="auto"/>
        </w:rPr>
        <w:t>. 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(including as set forth in Section 15),‎ and the Committee may cause a legend or legends to be put on any such certificates to make appropriate reference to such restrictions.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right="160" w:firstLine="656"/>
        <w:spacing w:after="0" w:line="258" w:lineRule="auto"/>
        <w:tabs>
          <w:tab w:leader="none" w:pos="109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AND RESTRICTED STOCK UNIT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grant Awards of Restricted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in accordance with the Plan; provided that the Committee may also grant Awards of Restricted Stock and Restricted Stock Units to Non-Employee Directors authorized by the Comcast Corporation Non-Employee Director Compensation Plan, or otherwise. The terms and conditions of Awards of Restricted Stock and Restricted Stock Units shall be set forth in an Award Agreement as determined from time to time by the Committee, consistent, however, with the following and Section 8:‎</w:t>
      </w:r>
    </w:p>
    <w:p>
      <w:pPr>
        <w:spacing w:after="0" w:line="187" w:lineRule="exact"/>
        <w:rPr>
          <w:sz w:val="20"/>
          <w:szCs w:val="20"/>
          <w:color w:val="auto"/>
        </w:rPr>
      </w:pPr>
    </w:p>
    <w:p>
      <w:pPr>
        <w:ind w:firstLine="656"/>
        <w:spacing w:after="0" w:line="269" w:lineRule="auto"/>
        <w:tabs>
          <w:tab w:leader="none" w:pos="111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Vesting/Lapse of Restrictions</w:t>
      </w:r>
      <w:r>
        <w:rPr>
          <w:rFonts w:ascii="Arial" w:cs="Arial" w:eastAsia="Arial" w:hAnsi="Arial"/>
          <w:sz w:val="17"/>
          <w:szCs w:val="17"/>
          <w:color w:val="auto"/>
        </w:rPr>
        <w:t xml:space="preserve">. Subject to the provisions of the Plan and the applicable Award Agreement, (i) an Award of Restricted Stock or Restricted Stock Units shall be subject to such vesting terms and conditions (including service and/or performance-related vesting conditions) as determined in the discretion of the Committee and (ii) a Vesting Date for Restricted Stock or Restricted Stock Units subject to an Award shall occur at such time or times and on such terms and conditions as the Committee may determine and as are set forth in an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except as otherwise provided by the Committee, a Vesting Date shall occur only if the Participant is an employee of the Participating Company as of such Vesting Date and has been an employee of a Participating Company continuously from the Date of Grant. The Award may provide for Restricted Stock or Restricted Stock Units to vest in installments, as determined by the Committee. Unless otherwise determined in the discretion of the Committee or provided in an applicable Award Agreement, in the event of a Participant’s Termination of Service, all Restricted Shares and/or Restricted Stock Units as to which a Vesting Date has not occurred shall be forfeited by the Participant and deemed canceled by the Company. The Committee may, in its sole discretion, waive, in whole or in part, any remaining conditions to vesting with respect to such Participant’s Restricted Stock or Restricted Stock Units.</w:t>
      </w:r>
    </w:p>
    <w:p>
      <w:pPr>
        <w:spacing w:after="0" w:line="181" w:lineRule="exact"/>
        <w:rPr>
          <w:rFonts w:ascii="Arial" w:cs="Arial" w:eastAsia="Arial" w:hAnsi="Arial"/>
          <w:sz w:val="17"/>
          <w:szCs w:val="17"/>
          <w:color w:val="auto"/>
        </w:rPr>
      </w:pPr>
    </w:p>
    <w:p>
      <w:pPr>
        <w:ind w:right="220" w:firstLine="656"/>
        <w:spacing w:after="0" w:line="257" w:lineRule="auto"/>
        <w:tabs>
          <w:tab w:leader="none" w:pos="112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Rights of the Participant</w:t>
      </w:r>
      <w:r>
        <w:rPr>
          <w:rFonts w:ascii="Arial" w:cs="Arial" w:eastAsia="Arial" w:hAnsi="Arial"/>
          <w:sz w:val="18"/>
          <w:szCs w:val="18"/>
          <w:color w:val="auto"/>
        </w:rPr>
        <w:t>. Participants may have such rights with respect to Shares of Restricted Stock subject to an Award as may be determined by the Committee and set forth in the applicable Award Agreement, including the right to vote such Shares, and the right to receive dividends paid with respect to such Shares. A Participant whose Award consists of Restricted Stock Units shall not have the right to vote with respect to such Restricted Stock Units. An Award of Restricted Stock Units may provide that the Participant shall have the right to defer the receipt of Restricted Stock Units granted under such Award pursuant to the DCP, and as provided in the DCP.</w:t>
      </w:r>
    </w:p>
    <w:p>
      <w:pPr>
        <w:spacing w:after="0" w:line="187" w:lineRule="exact"/>
        <w:rPr>
          <w:rFonts w:ascii="Arial" w:cs="Arial" w:eastAsia="Arial" w:hAnsi="Arial"/>
          <w:sz w:val="18"/>
          <w:szCs w:val="18"/>
          <w:color w:val="auto"/>
        </w:rPr>
      </w:pPr>
    </w:p>
    <w:p>
      <w:pPr>
        <w:ind w:right="200" w:firstLine="656"/>
        <w:spacing w:after="0" w:line="308" w:lineRule="auto"/>
        <w:tabs>
          <w:tab w:leader="none" w:pos="111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The Committee may, in its discretion, provide for the payment of dividends or dividend equivalents with respect to Shares of Restricted Stock or Restricted Stock Units, which may be paid directly to the Participant, accrued and paid</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line="301" w:lineRule="auto"/>
        <w:rPr>
          <w:sz w:val="20"/>
          <w:szCs w:val="20"/>
          <w:color w:val="auto"/>
        </w:rPr>
      </w:pPr>
      <w:r>
        <w:rPr>
          <w:rFonts w:ascii="Arial" w:cs="Arial" w:eastAsia="Arial" w:hAnsi="Arial"/>
          <w:sz w:val="16"/>
          <w:szCs w:val="16"/>
          <w:color w:val="auto"/>
        </w:rPr>
        <w:t xml:space="preserve">by the Company at such time or times specified in the applicable agreement specifying the terms of an Award, or treated as reinvested in additional Shares of Restricted Stock or additional Restricted Stock Units, or a combination thereof, as determined by the Committee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dividends or dividend equivalents shall be subject to any performance or other vesting conditions that apply to the underlying Award, and Participants shall not be paid dividends or dividend equivalents with respect to any Shares of Restricted Stock or any Restricted Stock Units that have not vested.</w:t>
      </w:r>
    </w:p>
    <w:p>
      <w:pPr>
        <w:spacing w:after="0" w:line="157" w:lineRule="exact"/>
        <w:rPr>
          <w:sz w:val="20"/>
          <w:szCs w:val="20"/>
          <w:color w:val="auto"/>
        </w:rPr>
      </w:pPr>
    </w:p>
    <w:p>
      <w:pPr>
        <w:ind w:right="180" w:firstLine="656"/>
        <w:spacing w:after="0" w:line="290" w:lineRule="auto"/>
        <w:tabs>
          <w:tab w:leader="none" w:pos="112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an Award of Restricted Stock or Restricted Stock Units, the Company may satisfy its obligation to deliver Shares issuable under such Award by arranging for the recording of the Participant’s ownership of Shares issuable under such Award on a book entry recordkeeping system maintained on behalf of the Company. When a Vesting Date occurs with respect to all or a portion of an Award of Restricted Stock or Restricted Stock Units, the Company shall notify the Participant that a Vesting Date has occurred, and shall deliver to the Participant (or the Participant’s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Sections 7(f)‎ or 15)‎. The right to payment of any fractional Shares that may have accrued shall be satisfied in cash, measured by the product of the fractional amount times the Fair Market Value of a Share at the Vesting Date, as determined by the Committee.</w:t>
      </w:r>
    </w:p>
    <w:p>
      <w:pPr>
        <w:spacing w:after="0" w:line="161" w:lineRule="exact"/>
        <w:rPr>
          <w:sz w:val="20"/>
          <w:szCs w:val="20"/>
          <w:color w:val="auto"/>
        </w:rPr>
      </w:pPr>
    </w:p>
    <w:p>
      <w:pPr>
        <w:ind w:right="60" w:firstLine="656"/>
        <w:spacing w:after="0" w:line="266" w:lineRule="auto"/>
        <w:tabs>
          <w:tab w:leader="none" w:pos="109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 AND SARS</w:t>
      </w:r>
      <w:r>
        <w:rPr>
          <w:rFonts w:ascii="Arial" w:cs="Arial" w:eastAsia="Arial" w:hAnsi="Arial"/>
          <w:sz w:val="18"/>
          <w:szCs w:val="18"/>
          <w:b w:val="1"/>
          <w:bCs w:val="1"/>
          <w:color w:val="auto"/>
        </w:rPr>
        <w:t xml:space="preserve">. </w:t>
      </w:r>
      <w:r>
        <w:rPr>
          <w:rFonts w:ascii="Arial" w:cs="Arial" w:eastAsia="Arial" w:hAnsi="Arial"/>
          <w:sz w:val="18"/>
          <w:szCs w:val="18"/>
          <w:color w:val="auto"/>
        </w:rPr>
        <w:t>All Options and SARs granted to Participants shall be evidenced by an applicable Award Agreement.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such Award Agreement for any Participant shall be determined from time to time by the Committee, consistent, however, with the following and Section 7:‎</w:t>
      </w:r>
    </w:p>
    <w:p>
      <w:pPr>
        <w:spacing w:after="0" w:line="180" w:lineRule="exact"/>
        <w:rPr>
          <w:sz w:val="20"/>
          <w:szCs w:val="20"/>
          <w:color w:val="auto"/>
        </w:rPr>
      </w:pPr>
    </w:p>
    <w:p>
      <w:pPr>
        <w:ind w:right="60" w:firstLine="656"/>
        <w:spacing w:after="0" w:line="301" w:lineRule="auto"/>
        <w:tabs>
          <w:tab w:leader="none" w:pos="111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16(c),‎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Options, except in the case of Substitute Awards,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57" w:lineRule="exact"/>
        <w:rPr>
          <w:rFonts w:ascii="Arial" w:cs="Arial" w:eastAsia="Arial" w:hAnsi="Arial"/>
          <w:sz w:val="16"/>
          <w:szCs w:val="16"/>
          <w:color w:val="auto"/>
        </w:rPr>
      </w:pPr>
    </w:p>
    <w:p>
      <w:pPr>
        <w:ind w:right="300" w:firstLine="656"/>
        <w:spacing w:after="0" w:line="277" w:lineRule="auto"/>
        <w:tabs>
          <w:tab w:leader="none" w:pos="112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 Full payment for Shares purchased upon the exercise of an Option shall be made pursuant to one or more of the following methods as determined by the Committee and set forth in the applicable Award Agreement:</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By certified check payable to the order of the Company;</w:t>
      </w:r>
    </w:p>
    <w:p>
      <w:pPr>
        <w:spacing w:after="0" w:line="225" w:lineRule="exact"/>
        <w:rPr>
          <w:rFonts w:ascii="Arial" w:cs="Arial" w:eastAsia="Arial" w:hAnsi="Arial"/>
          <w:sz w:val="18"/>
          <w:szCs w:val="18"/>
          <w:color w:val="auto"/>
        </w:rPr>
      </w:pPr>
    </w:p>
    <w:p>
      <w:pPr>
        <w:ind w:left="660" w:right="120" w:firstLine="644"/>
        <w:spacing w:after="0" w:line="263" w:lineRule="auto"/>
        <w:tabs>
          <w:tab w:leader="none" w:pos="1758"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By surrendering or attesting to ownership of Shares with an aggregate Fair Market Value equal to the aggregate option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option price may not be paid in Shares if the Committee determines that such method of payment would result in liability under Section 16(b) of the 1934 Act to a Participant. Except as otherwise</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ind w:left="660" w:right="40"/>
        <w:spacing w:after="0" w:line="269" w:lineRule="auto"/>
        <w:rPr>
          <w:sz w:val="20"/>
          <w:szCs w:val="20"/>
          <w:color w:val="auto"/>
        </w:rPr>
      </w:pPr>
      <w:r>
        <w:rPr>
          <w:rFonts w:ascii="Arial" w:cs="Arial" w:eastAsia="Arial" w:hAnsi="Arial"/>
          <w:sz w:val="17"/>
          <w:szCs w:val="17"/>
          <w:color w:val="auto"/>
        </w:rPr>
        <w:t>provided by the Committee, if payment is made in whole or in part by surrendering Shares, the Participant shall deliver to the Company certificates registered in the name of such Participant (or record the equivalent thereof on a book entry recordkeeping system maintained by the Company) representing Shares legally and beneficially owned by such Participant, free of all liens, claims and encumbrances of every kind and having a Fair Market Value on the date of delivery that is equal to or greater than the aggregate option price for the applicable Shares underlying the Option subject to payment by the surrender of Shares, accompanied by any necessary stock powers duly endorsed in blank by the record holder of such Shares; and if payment is made in whole or in part by attestation of ownership, the Participant shall attest to ownership of Shares representing Shares legally and beneficially owned by such Participant, free of all liens, claims and encumbrances of every kind and having a Fair Market Value on the date of attestation that is equal to or greater than the aggregate option price for the Shares underlying the Option subject to payment by attestation of Share ownership. The Committee may impose such limitations and prohibitions on attestation of ownership of Shares and the use of Shares to exercise an Option as it deems appropriate; or</w:t>
      </w:r>
    </w:p>
    <w:p>
      <w:pPr>
        <w:spacing w:after="0" w:line="185" w:lineRule="exact"/>
        <w:rPr>
          <w:sz w:val="20"/>
          <w:szCs w:val="20"/>
          <w:color w:val="auto"/>
        </w:rPr>
      </w:pPr>
    </w:p>
    <w:p>
      <w:pPr>
        <w:ind w:left="660" w:firstLine="644"/>
        <w:spacing w:after="0" w:line="254" w:lineRule="auto"/>
        <w:tabs>
          <w:tab w:leader="none" w:pos="17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Via cashless exercise, such that, subject to the other terms and conditions of the Plan, following the date of exercise, the Company shall deliver to the Participant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Section 11)‎ for such exercise;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such cashless exercise that would not result in the issuance of a whole number of Shares, the Company shall withhold cash that would otherwise be payable to the Participant from its regular payroll or the Participant shall deliver cash or a certified check payable to the order of the Company for the balance of the option price for a whole Share to the extent necessary to avoid the issuance of a fractional Share or the payment of cash by the Company (as provided in Section 9(c))‎.</w:t>
      </w:r>
    </w:p>
    <w:p>
      <w:pPr>
        <w:spacing w:after="0" w:line="191" w:lineRule="exact"/>
        <w:rPr>
          <w:rFonts w:ascii="Arial" w:cs="Arial" w:eastAsia="Arial" w:hAnsi="Arial"/>
          <w:sz w:val="18"/>
          <w:szCs w:val="18"/>
          <w:color w:val="auto"/>
        </w:rPr>
      </w:pPr>
    </w:p>
    <w:p>
      <w:pPr>
        <w:ind w:right="60" w:firstLine="656"/>
        <w:spacing w:after="0" w:line="257" w:lineRule="auto"/>
        <w:tabs>
          <w:tab w:leader="none" w:pos="111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Recording of Shares Upon Exercise of Options; Payment of Cash</w:t>
      </w:r>
      <w:r>
        <w:rPr>
          <w:rFonts w:ascii="Arial" w:cs="Arial" w:eastAsia="Arial" w:hAnsi="Arial"/>
          <w:sz w:val="18"/>
          <w:szCs w:val="18"/>
          <w:color w:val="auto"/>
        </w:rPr>
        <w:t>. For purposes of the Plan, the Company may satisfy its obligation to deliver Shares following the exercise of Options by arranging for the recording of Participant’s ownership of Shares issuable on the exercise of Options on a book entry recordkeeping system maintained by the Company. Following the exercise of an Option and the satisfaction of the conditions thereof, the Company shall deliver to the Participant the number of whole Shares issuable on the exercise of an Option and a check for the Fair Market Value on the date of exercise of any fractional Share to which the Participant is entitled.</w:t>
      </w:r>
    </w:p>
    <w:p>
      <w:pPr>
        <w:spacing w:after="0" w:line="187"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Periods of Exercise of Options</w:t>
      </w:r>
      <w:r>
        <w:rPr>
          <w:rFonts w:ascii="Arial" w:cs="Arial" w:eastAsia="Arial" w:hAnsi="Arial"/>
          <w:sz w:val="17"/>
          <w:szCs w:val="17"/>
          <w:color w:val="auto"/>
        </w:rPr>
        <w:t>. An Option shall be exercisable in whole or in part at such time or times as may be determined by the</w:t>
      </w:r>
    </w:p>
    <w:p>
      <w:pPr>
        <w:spacing w:after="0" w:line="34" w:lineRule="exact"/>
        <w:rPr>
          <w:rFonts w:ascii="Arial" w:cs="Arial" w:eastAsia="Arial" w:hAnsi="Arial"/>
          <w:sz w:val="17"/>
          <w:szCs w:val="17"/>
          <w:color w:val="auto"/>
        </w:rPr>
      </w:pPr>
    </w:p>
    <w:p>
      <w:pPr>
        <w:ind w:right="18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Committee and stated in the Award Agreement or as described in Section 9(g)(v)(B)‎. Except as otherwise provided by the Committee in its discretion, no Option shall first become exercisable following a Participant’s Termination of Service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9" w:name="page20"/>
    <w:bookmarkEnd w:id="19"/>
    <w:p>
      <w:pPr>
        <w:jc w:val="both"/>
        <w:ind w:left="4" w:right="120" w:firstLine="644"/>
        <w:spacing w:after="0" w:line="286" w:lineRule="auto"/>
        <w:tabs>
          <w:tab w:leader="none" w:pos="11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of a Participant’s Termination of Service for any reason other than (x) due to death or Disability or (y) for Cause, any Option held by such Participant and which is then exercisable shall be exercisable for a period of 90 days following the date of such Participant’s Termination of Service (unless a longer period is established by the Committee or set forth in an Award Agreement);</w:t>
      </w:r>
    </w:p>
    <w:p>
      <w:pPr>
        <w:spacing w:after="0" w:line="165" w:lineRule="exact"/>
        <w:rPr>
          <w:rFonts w:ascii="Arial" w:cs="Arial" w:eastAsia="Arial" w:hAnsi="Arial"/>
          <w:sz w:val="17"/>
          <w:szCs w:val="17"/>
          <w:color w:val="auto"/>
        </w:rPr>
      </w:pPr>
    </w:p>
    <w:p>
      <w:pPr>
        <w:ind w:left="4" w:right="160" w:firstLine="644"/>
        <w:spacing w:after="0" w:line="263" w:lineRule="auto"/>
        <w:tabs>
          <w:tab w:leader="none" w:pos="10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 Participant’s Termination of Service due to Disability, any Option held by such Participant and which is then exercisable shall be exercisable for a period of one year following the date of such Participant’s Termination of Service (unless a longer period is established by the Committee or set forth in an Award Agreement);</w:t>
      </w:r>
    </w:p>
    <w:p>
      <w:pPr>
        <w:spacing w:after="0" w:line="183" w:lineRule="exact"/>
        <w:rPr>
          <w:rFonts w:ascii="Arial" w:cs="Arial" w:eastAsia="Arial" w:hAnsi="Arial"/>
          <w:sz w:val="18"/>
          <w:szCs w:val="18"/>
          <w:color w:val="auto"/>
        </w:rPr>
      </w:pPr>
    </w:p>
    <w:p>
      <w:pPr>
        <w:ind w:left="4" w:right="80" w:firstLine="644"/>
        <w:spacing w:after="0" w:line="259"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 Participant’s Termination of Service by reason of such Participant’s death, any Option held at death by such Participant which is then exercisable shall be exercisable for a period of one year from the date of death (unless a longer period is established by the Committee or set forth in an Award Agreement) by the person to whom the rights of the Participant shall have passed by will or by the laws of descent and distribution.</w:t>
      </w:r>
    </w:p>
    <w:p>
      <w:pPr>
        <w:spacing w:after="0" w:line="186" w:lineRule="exact"/>
        <w:rPr>
          <w:rFonts w:ascii="Arial" w:cs="Arial" w:eastAsia="Arial" w:hAnsi="Arial"/>
          <w:sz w:val="18"/>
          <w:szCs w:val="18"/>
          <w:color w:val="auto"/>
        </w:rPr>
      </w:pPr>
    </w:p>
    <w:p>
      <w:pPr>
        <w:ind w:left="4" w:right="60" w:firstLine="644"/>
        <w:spacing w:after="0" w:line="257" w:lineRule="auto"/>
        <w:tabs>
          <w:tab w:leader="none" w:pos="11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 the event that a Participant’s Termination of Service for Cause, each unexercised Option held by such Participant shall automatically terminate and cease to be exercisable as of immediately prior to such Termination of Service;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Participant, upon a determination by the Committee, shall automatically forfeit all Shares otherwise subject to delivery upon exercise of an Option but for which the Company has not yet delivered such Shares, upon refund by the Company of the applicable option price.</w:t>
      </w:r>
    </w:p>
    <w:p>
      <w:pPr>
        <w:spacing w:after="0" w:line="188" w:lineRule="exact"/>
        <w:rPr>
          <w:sz w:val="20"/>
          <w:szCs w:val="20"/>
          <w:color w:val="auto"/>
        </w:rPr>
      </w:pPr>
    </w:p>
    <w:p>
      <w:pPr>
        <w:jc w:val="both"/>
        <w:ind w:left="4" w:right="100"/>
        <w:spacing w:after="0" w:line="342" w:lineRule="auto"/>
        <w:rPr>
          <w:sz w:val="20"/>
          <w:szCs w:val="20"/>
          <w:color w:val="auto"/>
        </w:rPr>
      </w:pPr>
      <w:r>
        <w:rPr>
          <w:rFonts w:ascii="Arial" w:cs="Arial" w:eastAsia="Arial" w:hAnsi="Arial"/>
          <w:sz w:val="16"/>
          <w:szCs w:val="16"/>
          <w:color w:val="auto"/>
        </w:rPr>
        <w:t>Notwithstanding anything to the contrary in this Section 9(d),‎ in no event shall an Incentive Stock Option be exercisable after five years from the Date of Grant in the case of a grant to a Ten Percent Shareholder, nor shall any other Option be exercisable after ten years from the Date of Grant.</w:t>
      </w:r>
    </w:p>
    <w:p>
      <w:pPr>
        <w:spacing w:after="0" w:line="124" w:lineRule="exact"/>
        <w:rPr>
          <w:sz w:val="20"/>
          <w:szCs w:val="20"/>
          <w:color w:val="auto"/>
        </w:rPr>
      </w:pPr>
    </w:p>
    <w:p>
      <w:pPr>
        <w:ind w:left="464" w:hanging="464"/>
        <w:spacing w:after="0"/>
        <w:tabs>
          <w:tab w:leader="none" w:pos="4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4"/>
        <w:spacing w:after="0" w:line="279" w:lineRule="auto"/>
        <w:tabs>
          <w:tab w:leader="none" w:pos="1137"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The date of exercise of an Option shall be the date on which notice of exercise is delivered to the Company, in the form and in such manner as provided by the Committee from time to time;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not be obligated to deliver any Shares pursuant to the exercise of an Option until the Participant shall have made payment in full of the option price for such Shares. Each such exercise shall be irrevocable when given. Each notice of exercise shall also comply with the requirements of Section 11‎.</w:t>
      </w:r>
    </w:p>
    <w:p>
      <w:pPr>
        <w:spacing w:after="0" w:line="171" w:lineRule="exact"/>
        <w:rPr>
          <w:rFonts w:ascii="Arial" w:cs="Arial" w:eastAsia="Arial" w:hAnsi="Arial"/>
          <w:sz w:val="17"/>
          <w:szCs w:val="17"/>
          <w:color w:val="auto"/>
        </w:rPr>
      </w:pPr>
    </w:p>
    <w:p>
      <w:pPr>
        <w:jc w:val="both"/>
        <w:ind w:left="4" w:right="40" w:firstLine="644"/>
        <w:spacing w:after="0" w:line="263" w:lineRule="auto"/>
        <w:tabs>
          <w:tab w:leader="none" w:pos="108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Immediately before the time at which any such Option is scheduled to expire in accordance with the terms and conditions of the Plan and the applicable Award Agreement, such Option shall be deemed automatically exercised, if such Option satisfies each of the following conditions:</w:t>
      </w:r>
    </w:p>
    <w:p>
      <w:pPr>
        <w:spacing w:after="0" w:line="292"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800" w:right="339" w:bottom="1440" w:gutter="0" w:footer="0" w:header="0"/>
        </w:sectPr>
      </w:pPr>
    </w:p>
    <w:bookmarkStart w:id="20" w:name="page21"/>
    <w:bookmarkEnd w:id="20"/>
    <w:p>
      <w:pPr>
        <w:ind w:left="2420" w:hanging="468"/>
        <w:spacing w:after="0"/>
        <w:tabs>
          <w:tab w:leader="none" w:pos="2420" w:val="left"/>
        </w:tabs>
        <w:numPr>
          <w:ilvl w:val="2"/>
          <w:numId w:val="43"/>
        </w:numPr>
        <w:rPr>
          <w:rFonts w:ascii="Arial" w:cs="Arial" w:eastAsia="Arial" w:hAnsi="Arial"/>
          <w:sz w:val="16"/>
          <w:szCs w:val="16"/>
          <w:color w:val="auto"/>
        </w:rPr>
      </w:pPr>
      <w:r>
        <w:rPr>
          <w:rFonts w:ascii="Arial" w:cs="Arial" w:eastAsia="Arial" w:hAnsi="Arial"/>
          <w:sz w:val="16"/>
          <w:szCs w:val="16"/>
          <w:color w:val="auto"/>
        </w:rPr>
        <w:t>such Option is covered by a then current registration statement or a Notification under Regulation A under the 1933 Act,</w:t>
      </w:r>
    </w:p>
    <w:p>
      <w:pPr>
        <w:spacing w:after="0" w:line="248" w:lineRule="exact"/>
        <w:rPr>
          <w:rFonts w:ascii="Arial" w:cs="Arial" w:eastAsia="Arial" w:hAnsi="Arial"/>
          <w:sz w:val="16"/>
          <w:szCs w:val="16"/>
          <w:color w:val="auto"/>
        </w:rPr>
      </w:pPr>
    </w:p>
    <w:p>
      <w:pPr>
        <w:ind w:left="1300" w:firstLine="652"/>
        <w:spacing w:after="0" w:line="311" w:lineRule="auto"/>
        <w:tabs>
          <w:tab w:leader="none" w:pos="2413"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p>
      <w:pPr>
        <w:spacing w:after="0" w:line="148" w:lineRule="exact"/>
        <w:rPr>
          <w:rFonts w:ascii="Arial" w:cs="Arial" w:eastAsia="Arial" w:hAnsi="Arial"/>
          <w:sz w:val="16"/>
          <w:szCs w:val="16"/>
          <w:color w:val="auto"/>
        </w:rPr>
      </w:pPr>
    </w:p>
    <w:p>
      <w:pPr>
        <w:ind w:left="1300" w:right="20" w:firstLine="652"/>
        <w:spacing w:after="0" w:line="291" w:lineRule="auto"/>
        <w:tabs>
          <w:tab w:leader="none" w:pos="2413" w:val="left"/>
        </w:tabs>
        <w:numPr>
          <w:ilvl w:val="2"/>
          <w:numId w:val="43"/>
        </w:numPr>
        <w:rPr>
          <w:rFonts w:ascii="Arial" w:cs="Arial" w:eastAsia="Arial" w:hAnsi="Arial"/>
          <w:sz w:val="16"/>
          <w:szCs w:val="16"/>
          <w:color w:val="auto"/>
        </w:rPr>
      </w:pPr>
      <w:r>
        <w:rPr>
          <w:rFonts w:ascii="Arial" w:cs="Arial" w:eastAsia="Arial" w:hAnsi="Arial"/>
          <w:sz w:val="16"/>
          <w:szCs w:val="16"/>
          <w:color w:val="auto"/>
        </w:rPr>
        <w:t>an Option subject to this Section 9(e)(ii)</w:t>
      </w:r>
      <w:r>
        <w:rPr>
          <w:rFonts w:ascii="Arial" w:cs="Arial" w:eastAsia="Arial" w:hAnsi="Arial"/>
          <w:sz w:val="16"/>
          <w:szCs w:val="16"/>
          <w:i w:val="1"/>
          <w:iCs w:val="1"/>
          <w:color w:val="auto"/>
        </w:rPr>
        <w:t>‎</w:t>
      </w:r>
      <w:r>
        <w:rPr>
          <w:rFonts w:ascii="Arial" w:cs="Arial" w:eastAsia="Arial" w:hAnsi="Arial"/>
          <w:sz w:val="16"/>
          <w:szCs w:val="16"/>
          <w:color w:val="auto"/>
        </w:rPr>
        <w:t xml:space="preserve"> shall be exercised via cashless exercise, such that subject to the other terms and conditions of the Plan, following the date of exercise, the Company shall deliver to the Participant the number of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Section 11)</w:t>
      </w:r>
      <w:r>
        <w:rPr>
          <w:rFonts w:ascii="Arial" w:cs="Arial" w:eastAsia="Arial" w:hAnsi="Arial"/>
          <w:sz w:val="16"/>
          <w:szCs w:val="16"/>
          <w:i w:val="1"/>
          <w:iCs w:val="1"/>
          <w:color w:val="auto"/>
        </w:rPr>
        <w:t>‎</w:t>
      </w:r>
      <w:r>
        <w:rPr>
          <w:rFonts w:ascii="Arial" w:cs="Arial" w:eastAsia="Arial" w:hAnsi="Arial"/>
          <w:sz w:val="16"/>
          <w:szCs w:val="16"/>
          <w:color w:val="auto"/>
        </w:rPr>
        <w:t xml:space="preserve"> for such exercise;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such cashless exercise that would not result in the issuance of a whole number of Shares, the Company shall pay cash in lieu of any fractional Share.</w:t>
      </w:r>
    </w:p>
    <w:p>
      <w:pPr>
        <w:spacing w:after="0" w:line="166" w:lineRule="exact"/>
        <w:rPr>
          <w:rFonts w:ascii="Arial" w:cs="Arial" w:eastAsia="Arial" w:hAnsi="Arial"/>
          <w:sz w:val="16"/>
          <w:szCs w:val="16"/>
          <w:color w:val="auto"/>
        </w:rPr>
      </w:pPr>
    </w:p>
    <w:p>
      <w:pPr>
        <w:ind w:right="40" w:firstLine="656"/>
        <w:spacing w:after="0" w:line="271" w:lineRule="auto"/>
        <w:tabs>
          <w:tab w:leader="none" w:pos="109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Limitation on Exercise of Incentive Stock Options</w:t>
      </w:r>
      <w:r>
        <w:rPr>
          <w:rFonts w:ascii="Arial" w:cs="Arial" w:eastAsia="Arial" w:hAnsi="Arial"/>
          <w:sz w:val="17"/>
          <w:szCs w:val="17"/>
          <w:color w:val="auto"/>
        </w:rPr>
        <w:t>. The aggregate Fair Market Value (determined as of the time Options are granted) of the Shares with respect to which Incentive Stock Options may first become exercisable by a Participant in any one calendar year under the Plan and any other plan of the Company shall not exceed $100,000. The limitations imposed by this Section 9(f)‎ shall apply only to Incentive Stock Options granted under the Plan, and not to any other Options. In the event an Eligible Employee receives an Option intended to be an Incentive Stock Option which is subsequently determined to have exceeded the limitation set forth above, or if an Eligible Employee receives Options that first become exercisable in a calendar year (whether pursuant to the terms of an Award Agreement,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8" w:lineRule="exact"/>
        <w:rPr>
          <w:rFonts w:ascii="Arial" w:cs="Arial" w:eastAsia="Arial" w:hAnsi="Arial"/>
          <w:sz w:val="17"/>
          <w:szCs w:val="17"/>
          <w:color w:val="auto"/>
        </w:rPr>
      </w:pPr>
    </w:p>
    <w:p>
      <w:pPr>
        <w:ind w:left="1140" w:hanging="484"/>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644"/>
        <w:spacing w:after="0" w:line="277" w:lineRule="auto"/>
        <w:tabs>
          <w:tab w:leader="none" w:pos="17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SARs may be granted under the Plan to Participants either alone (“freestanding”) or in addition to other Awards granted under the Plan (“tandem”) and may, but need not, relate to a specific Option granted under Section 9‎.</w:t>
      </w:r>
    </w:p>
    <w:p>
      <w:pPr>
        <w:spacing w:after="0" w:line="170" w:lineRule="exact"/>
        <w:rPr>
          <w:rFonts w:ascii="Arial" w:cs="Arial" w:eastAsia="Arial" w:hAnsi="Arial"/>
          <w:sz w:val="18"/>
          <w:szCs w:val="18"/>
          <w:color w:val="auto"/>
        </w:rPr>
      </w:pPr>
    </w:p>
    <w:p>
      <w:pPr>
        <w:jc w:val="both"/>
        <w:ind w:left="660" w:right="160" w:firstLine="644"/>
        <w:spacing w:after="0" w:line="263" w:lineRule="auto"/>
        <w:tabs>
          <w:tab w:leader="none" w:pos="175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The exercise or hurdle price per Share under a SAR shall be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except in the case of Substitute Awards, such exercise or hurdle price shall not be less than the Fair Market Value of a Share on the date of grant of such SAR. The term of each SAR shall be fixed by the Committee but</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ind w:left="660" w:right="100"/>
        <w:spacing w:after="0" w:line="277" w:lineRule="auto"/>
        <w:rPr>
          <w:sz w:val="20"/>
          <w:szCs w:val="20"/>
          <w:color w:val="auto"/>
        </w:rPr>
      </w:pPr>
      <w:r>
        <w:rPr>
          <w:rFonts w:ascii="Arial" w:cs="Arial" w:eastAsia="Arial" w:hAnsi="Arial"/>
          <w:sz w:val="18"/>
          <w:szCs w:val="18"/>
          <w:color w:val="auto"/>
        </w:rPr>
        <w:t>shall not exceed 10 years from the date of grant of such SAR. The Committee shall determine the time or times at which a SAR may be exercised or settled in whole or in part.</w:t>
      </w:r>
    </w:p>
    <w:p>
      <w:pPr>
        <w:spacing w:after="0" w:line="170" w:lineRule="exact"/>
        <w:rPr>
          <w:sz w:val="20"/>
          <w:szCs w:val="20"/>
          <w:color w:val="auto"/>
        </w:rPr>
      </w:pPr>
    </w:p>
    <w:p>
      <w:pPr>
        <w:ind w:left="660" w:right="20" w:firstLine="644"/>
        <w:spacing w:after="0" w:line="311" w:lineRule="auto"/>
        <w:tabs>
          <w:tab w:leader="none" w:pos="1803"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148" w:lineRule="exact"/>
        <w:rPr>
          <w:rFonts w:ascii="Arial" w:cs="Arial" w:eastAsia="Arial" w:hAnsi="Arial"/>
          <w:sz w:val="16"/>
          <w:szCs w:val="16"/>
          <w:color w:val="auto"/>
        </w:rPr>
      </w:pPr>
    </w:p>
    <w:p>
      <w:pPr>
        <w:ind w:left="660" w:right="120" w:firstLine="644"/>
        <w:spacing w:after="0" w:line="263" w:lineRule="auto"/>
        <w:tabs>
          <w:tab w:leader="none" w:pos="178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Immediately before the time at which any SAR is scheduled to expire in accordance with the terms and conditions of the Plan and the applicable Award Agreement, such SAR shall be deemed automatically exercised, if such SAR satisfies each of the following conditions:</w:t>
      </w:r>
    </w:p>
    <w:p>
      <w:pPr>
        <w:spacing w:after="0" w:line="183" w:lineRule="exact"/>
        <w:rPr>
          <w:rFonts w:ascii="Arial" w:cs="Arial" w:eastAsia="Arial" w:hAnsi="Arial"/>
          <w:sz w:val="18"/>
          <w:szCs w:val="18"/>
          <w:color w:val="auto"/>
        </w:rPr>
      </w:pPr>
    </w:p>
    <w:p>
      <w:pPr>
        <w:ind w:left="2420" w:hanging="468"/>
        <w:spacing w:after="0"/>
        <w:tabs>
          <w:tab w:leader="none" w:pos="24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such SAR is covered by a then current registration statement or a Notification under Regulation A under the 1933 Act, and</w:t>
      </w:r>
    </w:p>
    <w:p>
      <w:pPr>
        <w:spacing w:after="0" w:line="248" w:lineRule="exact"/>
        <w:rPr>
          <w:rFonts w:ascii="Arial" w:cs="Arial" w:eastAsia="Arial" w:hAnsi="Arial"/>
          <w:sz w:val="16"/>
          <w:szCs w:val="16"/>
          <w:color w:val="auto"/>
        </w:rPr>
      </w:pPr>
    </w:p>
    <w:p>
      <w:pPr>
        <w:ind w:left="1300" w:right="20" w:firstLine="652"/>
        <w:spacing w:after="0" w:line="311" w:lineRule="auto"/>
        <w:tabs>
          <w:tab w:leader="none" w:pos="241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last reported sale price of a Share on the principal exchange on which Shares are listed on the date of determination, or if such date is not a trading day, the last preceding trading day, exceeds the exercise price per Share by such amount as may be determined by the Committee or its delegate from time to time. Absent a contrary determination, such excess per Share shall be $0.01.</w:t>
      </w:r>
    </w:p>
    <w:p>
      <w:pPr>
        <w:spacing w:after="0" w:line="148" w:lineRule="exact"/>
        <w:rPr>
          <w:rFonts w:ascii="Arial" w:cs="Arial" w:eastAsia="Arial" w:hAnsi="Arial"/>
          <w:sz w:val="16"/>
          <w:szCs w:val="16"/>
          <w:color w:val="auto"/>
        </w:rPr>
      </w:pPr>
    </w:p>
    <w:p>
      <w:pPr>
        <w:ind w:left="660" w:right="320" w:firstLine="644"/>
        <w:spacing w:after="0" w:line="277" w:lineRule="auto"/>
        <w:tabs>
          <w:tab w:leader="none" w:pos="17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SARs that are attached to Non-Qualified Options (“tandem”) shall be subject to the same terms and restrictions as the Non-Qualified Option to which it is attached.</w:t>
      </w:r>
    </w:p>
    <w:p>
      <w:pPr>
        <w:spacing w:after="0" w:line="170" w:lineRule="exact"/>
        <w:rPr>
          <w:sz w:val="20"/>
          <w:szCs w:val="20"/>
          <w:color w:val="auto"/>
        </w:rPr>
      </w:pPr>
    </w:p>
    <w:p>
      <w:pPr>
        <w:ind w:right="320" w:firstLine="656"/>
        <w:spacing w:after="0" w:line="277" w:lineRule="auto"/>
        <w:tabs>
          <w:tab w:leader="none" w:pos="117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No grant of Options or SARs may be accompanied by a tandem award of dividend equivalents or provide for dividends, dividend equivalents or other distributions to be paid on such Award.</w:t>
      </w:r>
    </w:p>
    <w:p>
      <w:pPr>
        <w:spacing w:after="0" w:line="166" w:lineRule="exact"/>
        <w:rPr>
          <w:sz w:val="20"/>
          <w:szCs w:val="20"/>
          <w:color w:val="auto"/>
        </w:rPr>
      </w:pPr>
    </w:p>
    <w:p>
      <w:pPr>
        <w:ind w:left="1100" w:hanging="444"/>
        <w:spacing w:after="0"/>
        <w:tabs>
          <w:tab w:leader="none" w:pos="11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p>
    <w:p>
      <w:pPr>
        <w:spacing w:after="0" w:line="229" w:lineRule="exact"/>
        <w:rPr>
          <w:rFonts w:ascii="Arial" w:cs="Arial" w:eastAsia="Arial" w:hAnsi="Arial"/>
          <w:sz w:val="18"/>
          <w:szCs w:val="18"/>
          <w:b w:val="1"/>
          <w:bCs w:val="1"/>
          <w:color w:val="auto"/>
        </w:rPr>
      </w:pPr>
    </w:p>
    <w:p>
      <w:pPr>
        <w:ind w:left="660" w:right="20" w:firstLine="644"/>
        <w:spacing w:after="0" w:line="296" w:lineRule="auto"/>
        <w:tabs>
          <w:tab w:leader="none" w:pos="1775"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Committee is authorized, subject to limitations under applicable law, to grant Other Share-Based Awards. The Committee shall determine the terms and conditions of such Awards. Shares delivered pursuant to an Award in the nature of a purchase right granted under this Section 10‎ shall be purchased for such consideration, and paid for at such times, by such methods and in such forms, including cash, Shares, other Awards, other property, net settlement, broker-assisted cashless exercise or any combination thereof, as the Committee shall determine; provided that the purchase price therefor shall not be less than the Fair Market Value of such Shares on the date of grant of such right.</w:t>
      </w:r>
    </w:p>
    <w:p>
      <w:pPr>
        <w:spacing w:after="0" w:line="161" w:lineRule="exact"/>
        <w:rPr>
          <w:rFonts w:ascii="Arial" w:cs="Arial" w:eastAsia="Arial" w:hAnsi="Arial"/>
          <w:sz w:val="16"/>
          <w:szCs w:val="16"/>
          <w:color w:val="auto"/>
        </w:rPr>
      </w:pPr>
    </w:p>
    <w:p>
      <w:pPr>
        <w:ind w:left="660" w:right="40" w:firstLine="644"/>
        <w:spacing w:after="0" w:line="277" w:lineRule="auto"/>
        <w:tabs>
          <w:tab w:leader="none" w:pos="178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grant of Other Share-Based Awards may be accompanied by a tandem award of dividend equivalents or provide for dividends, dividend equivalents or other distributions to be paid on such Award; provided that such dividends, dividend</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660" w:right="80"/>
        <w:spacing w:after="0" w:line="263" w:lineRule="auto"/>
        <w:rPr>
          <w:sz w:val="20"/>
          <w:szCs w:val="20"/>
          <w:color w:val="auto"/>
        </w:rPr>
      </w:pPr>
      <w:r>
        <w:rPr>
          <w:rFonts w:ascii="Arial" w:cs="Arial" w:eastAsia="Arial" w:hAnsi="Arial"/>
          <w:sz w:val="18"/>
          <w:szCs w:val="18"/>
          <w:color w:val="auto"/>
        </w:rPr>
        <w:t>equivalents or other distributions shall be subject to any performance or other vesting conditions that apply to the underlying Award, and Participants shall not be paid dividends or dividend equivalents or any other distributions with respect to any Other Share-Based Awards that have not vested.</w:t>
      </w:r>
    </w:p>
    <w:p>
      <w:pPr>
        <w:spacing w:after="0" w:line="180" w:lineRule="exact"/>
        <w:rPr>
          <w:sz w:val="20"/>
          <w:szCs w:val="20"/>
          <w:color w:val="auto"/>
        </w:rPr>
      </w:pPr>
    </w:p>
    <w:p>
      <w:pPr>
        <w:ind w:left="1100" w:hanging="444"/>
        <w:spacing w:after="0"/>
        <w:tabs>
          <w:tab w:leader="none" w:pos="11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63" w:lineRule="auto"/>
        <w:tabs>
          <w:tab w:leader="none" w:pos="11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be entitled, if necessary or desirable, to withhold the amount of any tax, charge or assessment attributable to the grant of any Award, the occurrence of a Vesting Date with respect to any Award or the exercise of any Option. The Company shall not be required to deliver Shares pursuant to any Award until it has been indemnified to its satisfaction for any such tax, charge or assessment.</w:t>
      </w:r>
    </w:p>
    <w:p>
      <w:pPr>
        <w:spacing w:after="0" w:line="183" w:lineRule="exact"/>
        <w:rPr>
          <w:rFonts w:ascii="Arial" w:cs="Arial" w:eastAsia="Arial" w:hAnsi="Arial"/>
          <w:sz w:val="18"/>
          <w:szCs w:val="18"/>
          <w:color w:val="auto"/>
        </w:rPr>
      </w:pPr>
    </w:p>
    <w:p>
      <w:pPr>
        <w:ind w:right="60" w:firstLine="656"/>
        <w:spacing w:after="0" w:line="269" w:lineRule="auto"/>
        <w:tabs>
          <w:tab w:leader="none" w:pos="1128"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connection with the grant of any Award, the occurrence of a Vesting Date with respect to any Award, the exercise of any Option,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(i) require the Participant to remit to the Company an amount sufficient to satisfy any federal, state and/or local withholding tax requirements prior to the delivery or transfer of any Shares, or (ii) take any action that it deems necessary, in its discretion, to protect its interests with respect to tax liabilities or withholding obligations. The Company’s obligation to make any delivery or transfer of Shares shall be conditioned on the Participant’s compliance, to the Company’s satisfaction, with any withholding requirement. In addition, if the Committee grants Awards or amends any Award Agreement to permit any Award to be transferred during the life of the Participant, the Committee may include in such applicable Award Agreement such provisions as it determines are necessary or appropriate to permit the Company to deduct compensation expenses recognized upon the vesting, settlement or exercise of such Award for federal, state or local income tax purposes.</w:t>
      </w:r>
    </w:p>
    <w:p>
      <w:pPr>
        <w:spacing w:after="0" w:line="185" w:lineRule="exact"/>
        <w:rPr>
          <w:rFonts w:ascii="Arial" w:cs="Arial" w:eastAsia="Arial" w:hAnsi="Arial"/>
          <w:sz w:val="17"/>
          <w:szCs w:val="17"/>
          <w:color w:val="auto"/>
        </w:rPr>
      </w:pPr>
    </w:p>
    <w:p>
      <w:pPr>
        <w:ind w:firstLine="656"/>
        <w:spacing w:after="0" w:line="275" w:lineRule="auto"/>
        <w:tabs>
          <w:tab w:leader="none" w:pos="11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otherwise provided in this Section 11(c),‎ any tax withholding obligations or liabilities incurred in connection with the grant of any Award, the occurrence of a Vesting Date applicable to an Award, the settlement of any Award or the exercise of any Option shall be satisfied by the Company’s withholding of a portion of the Shares subject to such Award having a Fair Market Value approximately equal to the minimum amount of taxes required to be withheld by the Company under applicable law, unless otherwise determined by the Committee with respect to any Participant or any Award. Notwithstanding the foregoing, the Committee may, in its discretion, permit a Participant to elect one or more of the following:</w:t>
      </w:r>
    </w:p>
    <w:p>
      <w:pPr>
        <w:spacing w:after="0" w:line="176" w:lineRule="exact"/>
        <w:rPr>
          <w:rFonts w:ascii="Arial" w:cs="Arial" w:eastAsia="Arial" w:hAnsi="Arial"/>
          <w:sz w:val="17"/>
          <w:szCs w:val="17"/>
          <w:color w:val="auto"/>
        </w:rPr>
      </w:pPr>
    </w:p>
    <w:p>
      <w:pPr>
        <w:ind w:left="660" w:right="80" w:firstLine="644"/>
        <w:spacing w:after="0" w:line="259" w:lineRule="auto"/>
        <w:tabs>
          <w:tab w:leader="none" w:pos="17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to have taxes withheld in excess of the minimum amount required to be withheld by the Company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certifies in writing to the Company at the time of such election that the Participant owns Other Available Shares having a Fair Market Value that is at least equal to the Fair Market Value of the Shares to be withheld by the Company in payment of withholding taxes in excess of such minimum amount;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1740" w:hanging="436"/>
        <w:spacing w:after="0"/>
        <w:tabs>
          <w:tab w:leader="none" w:pos="1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have Shares otherwise deliverable to the Participant after the application of the other provisions of this Section 11(c)(ii)‎</w:t>
      </w:r>
    </w:p>
    <w:p>
      <w:pPr>
        <w:spacing w:after="0" w:line="35"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 xml:space="preserve">redeemed by the Company for the Fair Market Value of such Shares on the date vesting, settlement, exercise or other time of delivery of Shares, as applicable, and have the cash proceeds of such redemption remitted by the Company to the Participant to facilitate one or more estimated tax payments to the Internal Revenue Service or other taxing authority for the taxable year in which such vesting, settlement, exercise or other delivery of Shares, as applicable,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certifies in writing to the Company at the time of such election that the Participant owns Other Available Shares having a Fair Market Value that is at least equal to the Fair Market Value of such Shares to be redeemed by the Company; and</w:t>
      </w:r>
    </w:p>
    <w:p>
      <w:pPr>
        <w:spacing w:after="0" w:line="194" w:lineRule="exact"/>
        <w:rPr>
          <w:sz w:val="20"/>
          <w:szCs w:val="20"/>
          <w:color w:val="auto"/>
        </w:rPr>
      </w:pPr>
    </w:p>
    <w:p>
      <w:pPr>
        <w:ind w:left="660" w:right="140" w:firstLine="644"/>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pay to the Company in cash all or a portion of the taxes to be withheld in connection with such grant, Vesting Date, settlement or exercise, as applicable.</w:t>
      </w:r>
    </w:p>
    <w:p>
      <w:pPr>
        <w:spacing w:after="0" w:line="170"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In all cases, the Shares so withheld or redeemed by the Company, as applicable, shall have a Fair Market Value that does not exceed the amount of taxes to be withheld or remitted via estimated tax payments minus the cash payment, if any, made by the Participant. To the extent permitted by</w:t>
      </w:r>
    </w:p>
    <w:p>
      <w:pPr>
        <w:ind w:left="660" w:right="40"/>
        <w:spacing w:after="0" w:line="281" w:lineRule="auto"/>
        <w:rPr>
          <w:sz w:val="20"/>
          <w:szCs w:val="20"/>
          <w:color w:val="auto"/>
        </w:rPr>
      </w:pPr>
      <w:r>
        <w:rPr>
          <w:rFonts w:ascii="Arial" w:cs="Arial" w:eastAsia="Arial" w:hAnsi="Arial"/>
          <w:sz w:val="16"/>
          <w:szCs w:val="16"/>
          <w:color w:val="auto"/>
        </w:rPr>
        <w:t>the Committee in its discretion, any election pursuant to Sections 11(c)(i)‎-(iii)‎ must be in writing made prior to the date specified by the Committee, and in any event prior to the date the amount of tax to be withheld or paid is determined. An election pursuant to Sections ‎11(c)(i)-‎(iii) may be made only by a Participant or, in the event of the Participant’s death, by the Participant’s legal representative. Shares withheld or</w:t>
      </w:r>
    </w:p>
    <w:p>
      <w:pPr>
        <w:spacing w:after="0" w:line="2" w:lineRule="exact"/>
        <w:rPr>
          <w:sz w:val="20"/>
          <w:szCs w:val="20"/>
          <w:color w:val="auto"/>
        </w:rPr>
      </w:pPr>
    </w:p>
    <w:p>
      <w:pPr>
        <w:ind w:left="660" w:right="280"/>
        <w:spacing w:after="0" w:line="290" w:lineRule="auto"/>
        <w:rPr>
          <w:sz w:val="20"/>
          <w:szCs w:val="20"/>
          <w:color w:val="auto"/>
        </w:rPr>
      </w:pPr>
      <w:r>
        <w:rPr>
          <w:rFonts w:ascii="Arial" w:cs="Arial" w:eastAsia="Arial" w:hAnsi="Arial"/>
          <w:sz w:val="17"/>
          <w:szCs w:val="17"/>
          <w:color w:val="auto"/>
        </w:rPr>
        <w:t>redeemed, as applicable, pursuant to Sections 11(c)(i)‎-(iii)‎ shall not be available for subsequent grants under the Plan. The Committee may add such other requirements and limitations regarding elections pursuant to Sections ‎11(c)(i)-‎(iii) as it deems appropriate.</w:t>
      </w:r>
    </w:p>
    <w:p>
      <w:pPr>
        <w:spacing w:after="0" w:line="161" w:lineRule="exact"/>
        <w:rPr>
          <w:sz w:val="20"/>
          <w:szCs w:val="20"/>
          <w:color w:val="auto"/>
        </w:rPr>
      </w:pPr>
    </w:p>
    <w:p>
      <w:pPr>
        <w:ind w:left="1140" w:hanging="484"/>
        <w:spacing w:after="0"/>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Except as otherwise provided in this Section 11(d),‎ any tax liabilities incurred in connection with the exercise of an Incentive Stock Option</w:t>
      </w:r>
    </w:p>
    <w:p>
      <w:pPr>
        <w:spacing w:after="0" w:line="46" w:lineRule="exact"/>
        <w:rPr>
          <w:rFonts w:ascii="Arial" w:cs="Arial" w:eastAsia="Arial" w:hAnsi="Arial"/>
          <w:sz w:val="16"/>
          <w:szCs w:val="16"/>
          <w:color w:val="auto"/>
        </w:rPr>
      </w:pPr>
    </w:p>
    <w:p>
      <w:pPr>
        <w:ind w:right="100"/>
        <w:spacing w:after="0" w:line="281" w:lineRule="auto"/>
        <w:rPr>
          <w:rFonts w:ascii="Arial" w:cs="Arial" w:eastAsia="Arial" w:hAnsi="Arial"/>
          <w:sz w:val="16"/>
          <w:szCs w:val="16"/>
          <w:color w:val="auto"/>
        </w:rPr>
      </w:pPr>
      <w:r>
        <w:rPr>
          <w:rFonts w:ascii="Arial" w:cs="Arial" w:eastAsia="Arial" w:hAnsi="Arial"/>
          <w:sz w:val="16"/>
          <w:szCs w:val="16"/>
          <w:color w:val="auto"/>
        </w:rPr>
        <w:t>under the Plan (other than an Incentive Stock Option that is subject to the automatic exercise provisions described in Section 9(e)(ii)),‎ shall be satisfied by the Participant’s payment to the Company in cash all of the taxes to be withheld upon exercise of the Incentive Stock Option. Notwithstanding the foregoing, the Committee may permit a Participant to elect to have the Company withhold a portion of the Shares underlying the Incentive Stock Option exercised having a Fair Market Value approximately equal to the minimum amount of taxes required to be withheld by the Company under applicable law. Any tax liabilities incurred in connection with the automatic exercise of an Incentive Stock Option that is subject to the automatic exercise provisions</w:t>
      </w:r>
    </w:p>
    <w:p>
      <w:pPr>
        <w:spacing w:after="0" w:line="2" w:lineRule="exact"/>
        <w:rPr>
          <w:rFonts w:ascii="Arial" w:cs="Arial" w:eastAsia="Arial" w:hAnsi="Arial"/>
          <w:sz w:val="16"/>
          <w:szCs w:val="16"/>
          <w:color w:val="auto"/>
        </w:rPr>
      </w:pPr>
    </w:p>
    <w:p>
      <w:pPr>
        <w:ind w:right="300"/>
        <w:spacing w:after="0" w:line="281" w:lineRule="auto"/>
        <w:rPr>
          <w:rFonts w:ascii="Arial" w:cs="Arial" w:eastAsia="Arial" w:hAnsi="Arial"/>
          <w:sz w:val="16"/>
          <w:szCs w:val="16"/>
          <w:color w:val="auto"/>
        </w:rPr>
      </w:pPr>
      <w:r>
        <w:rPr>
          <w:rFonts w:ascii="Arial" w:cs="Arial" w:eastAsia="Arial" w:hAnsi="Arial"/>
          <w:sz w:val="16"/>
          <w:szCs w:val="16"/>
          <w:color w:val="auto"/>
        </w:rPr>
        <w:t>described in Section 9(e)(ii)‎ shall be satisfied by the Company’s withholding of a portion of the Shares underlying the Incentive Stock Option exercised having a Fair Market Value approximately equal to the minimum amount of taxes required to be withheld by the Company under applicable law. Any</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election pursuant to this Section 11(d)‎ must be in writing made prior to the date specified by the Committee, and in any event prior to the date the amount</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of tax to be withheld or paid is determined. An election pursuant to this Section 11(d)‎ may be made only by a Participant or, in the event of the death, by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Participant’s legal representative. Shares withheld pursuant to this Section 11(d)‎ shall not continue to be available for subsequent grants under the Plan. The</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Committee may add such other requirements and limitations regarding elections pursuant to this Section 11(d)‎ as it deems appropriate.</w:t>
      </w:r>
    </w:p>
    <w:p>
      <w:pPr>
        <w:spacing w:after="0" w:line="225" w:lineRule="exact"/>
        <w:rPr>
          <w:sz w:val="20"/>
          <w:szCs w:val="20"/>
          <w:color w:val="auto"/>
        </w:rPr>
      </w:pPr>
    </w:p>
    <w:p>
      <w:pPr>
        <w:jc w:val="both"/>
        <w:ind w:right="200" w:firstLine="656"/>
        <w:spacing w:after="0" w:line="259" w:lineRule="auto"/>
        <w:tabs>
          <w:tab w:leader="none" w:pos="111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3" w:lineRule="exact"/>
        <w:rPr>
          <w:sz w:val="20"/>
          <w:szCs w:val="20"/>
          <w:color w:val="auto"/>
        </w:rPr>
      </w:pPr>
    </w:p>
    <w:p>
      <w:pPr>
        <w:ind w:right="40" w:firstLine="656"/>
        <w:spacing w:after="0" w:line="272" w:lineRule="auto"/>
        <w:tabs>
          <w:tab w:leader="none" w:pos="1098"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CHANGES IN 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the Committee determines that, as a result of any dividend or other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an ordinary dividend or distribution), recapitalization, stock split, reverse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the‎ requirements of Section 409A of the Code and applicable law, appropriately and equitably adjust so as to ensure no undue enrichment or harm (including by payment of cash), any or all of:</w:t>
      </w:r>
    </w:p>
    <w:p>
      <w:pPr>
        <w:spacing w:after="0" w:line="176" w:lineRule="exact"/>
        <w:rPr>
          <w:sz w:val="20"/>
          <w:szCs w:val="20"/>
          <w:color w:val="auto"/>
        </w:rPr>
      </w:pPr>
    </w:p>
    <w:p>
      <w:pPr>
        <w:ind w:right="240" w:firstLine="656"/>
        <w:spacing w:after="0" w:line="277" w:lineRule="auto"/>
        <w:tabs>
          <w:tab w:leader="none" w:pos="11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which thereafter may be made the subject of Awards, including the limits specified in Sections 4(a)‎ and 4(b);</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subject to outstanding Awards;</w:t>
      </w:r>
    </w:p>
    <w:p>
      <w:pPr>
        <w:spacing w:after="0" w:line="225" w:lineRule="exact"/>
        <w:rPr>
          <w:rFonts w:ascii="Arial" w:cs="Arial" w:eastAsia="Arial" w:hAnsi="Arial"/>
          <w:sz w:val="18"/>
          <w:szCs w:val="18"/>
          <w:color w:val="auto"/>
        </w:rPr>
      </w:pPr>
    </w:p>
    <w:p>
      <w:pPr>
        <w:ind w:right="280" w:firstLine="656"/>
        <w:spacing w:after="0" w:line="277" w:lineRule="auto"/>
        <w:tabs>
          <w:tab w:leader="none" w:pos="11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option price with respect to any Option or, if deemed appropriate, make provision for a cash payment to the holder of an outstanding Award, and the amounts payable pursuant to any SARs;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terms and conditions of any outstanding Awards, including any applicable performance conditions applicable to any Awards.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shall have authority to determine the adjustments to be made under this Section 12‎ and any such determination by the Committee shall be final, binding and conclusive. Following any such adjustment under this Section 12,‎ any reference to the term “Shares” or option price, as applicable, in the Plan and in any applicable Award Agreement shall be a reference to the appropriate number and class of shares of stock available for issuance under the Plan, as adjusted pursuant to this Section 12‎.</w:t>
      </w:r>
    </w:p>
    <w:p>
      <w:pPr>
        <w:spacing w:after="0" w:line="183" w:lineRule="exact"/>
        <w:rPr>
          <w:sz w:val="20"/>
          <w:szCs w:val="20"/>
          <w:color w:val="auto"/>
        </w:rPr>
      </w:pPr>
    </w:p>
    <w:p>
      <w:pPr>
        <w:ind w:right="180" w:firstLine="656"/>
        <w:spacing w:after="0" w:line="266" w:lineRule="auto"/>
        <w:tabs>
          <w:tab w:leader="none" w:pos="109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Change in Control, the Committee may, in its sole discretion, and on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it deems appropriate, take any one or more of the following actions with respect to any outstanding Award, which need not be uniform with respect to all Participants and/or Awards: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5" w:name="page26"/>
    <w:bookmarkEnd w:id="25"/>
    <w:p>
      <w:pPr>
        <w:ind w:left="1120" w:hanging="464"/>
        <w:spacing w:after="0"/>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continuation or assumption of such Award by the Company (if it is the surviving corporation) or by the successor or surviving entity or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11" w:lineRule="exact"/>
        <w:rPr>
          <w:sz w:val="20"/>
          <w:szCs w:val="20"/>
          <w:color w:val="auto"/>
        </w:rPr>
      </w:pPr>
    </w:p>
    <w:p>
      <w:pPr>
        <w:ind w:right="60" w:firstLine="656"/>
        <w:spacing w:after="0" w:line="263" w:lineRule="auto"/>
        <w:tabs>
          <w:tab w:leader="none" w:pos="11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183" w:lineRule="exact"/>
        <w:rPr>
          <w:rFonts w:ascii="Arial" w:cs="Arial" w:eastAsia="Arial" w:hAnsi="Arial"/>
          <w:sz w:val="18"/>
          <w:szCs w:val="18"/>
          <w:color w:val="auto"/>
        </w:rPr>
      </w:pPr>
    </w:p>
    <w:p>
      <w:pPr>
        <w:ind w:right="80" w:firstLine="656"/>
        <w:spacing w:after="0" w:line="254" w:lineRule="auto"/>
        <w:tabs>
          <w:tab w:leader="none" w:pos="11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acceleration of the vesting of such Award and the lapse of any restrictions thereon and, in the case of an Option or SAR, acceleration of the right to exercise such Award during a specified period (and the termination of such Option or SAR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a Participating Company (or a successor corporation or its parent) without Cause, by a Participant for “good reason” and/or due to a Participant’s death or “disability”, as such terms may be defined in the applicable Award Agreement and/or a Participant’s applicable employment, severance, consulting or similar agreement, as the case may be) on or within a specified period following the Change in Control or (C) upon the failure of the successor or surviving entity (or its parent) to continue or assume such Award;</w:t>
      </w:r>
    </w:p>
    <w:p>
      <w:pPr>
        <w:spacing w:after="0" w:line="191" w:lineRule="exact"/>
        <w:rPr>
          <w:rFonts w:ascii="Arial" w:cs="Arial" w:eastAsia="Arial" w:hAnsi="Arial"/>
          <w:sz w:val="18"/>
          <w:szCs w:val="18"/>
          <w:color w:val="auto"/>
        </w:rPr>
      </w:pPr>
    </w:p>
    <w:p>
      <w:pPr>
        <w:ind w:right="640" w:firstLine="656"/>
        <w:spacing w:after="0" w:line="277" w:lineRule="auto"/>
        <w:tabs>
          <w:tab w:leader="none" w:pos="11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an Award subject to performance-related vesting conditions, determination of the level of attainment of the applicable performance condition(s); and</w:t>
      </w:r>
    </w:p>
    <w:p>
      <w:pPr>
        <w:spacing w:after="0" w:line="170" w:lineRule="exact"/>
        <w:rPr>
          <w:rFonts w:ascii="Arial" w:cs="Arial" w:eastAsia="Arial" w:hAnsi="Arial"/>
          <w:sz w:val="18"/>
          <w:szCs w:val="18"/>
          <w:color w:val="auto"/>
        </w:rPr>
      </w:pPr>
    </w:p>
    <w:p>
      <w:pPr>
        <w:ind w:right="40" w:firstLine="656"/>
        <w:spacing w:after="0" w:line="289" w:lineRule="auto"/>
        <w:tabs>
          <w:tab w:leader="none" w:pos="111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 Option or SAR, if such value equals the Intrinsic Value of such Award, such value shall be deemed to be 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the Intrinsic Value of an Option or SAR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timing of such payment shall comply with Section 409A of the Code.</w:t>
      </w:r>
    </w:p>
    <w:p>
      <w:pPr>
        <w:spacing w:after="0" w:line="162" w:lineRule="exact"/>
        <w:rPr>
          <w:sz w:val="20"/>
          <w:szCs w:val="20"/>
          <w:color w:val="auto"/>
        </w:rPr>
      </w:pPr>
    </w:p>
    <w:p>
      <w:pPr>
        <w:ind w:firstLine="656"/>
        <w:spacing w:after="0" w:line="261" w:lineRule="auto"/>
        <w:tabs>
          <w:tab w:leader="none" w:pos="109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herein, any Awards granted under the Plan (including any amounts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arising therefrom)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or shall, to the extent required, by applicable law and stock exchange rules or by any applicable Company policy or arrangement, cancel or require reimbursement of such Award or any Shares issued or cash received upon vesting, exercise or settlement of the Award or sale of Shares underlying the Award. In addition, to the extent that the receipt of an Award subject to repayment under this Section 14‎ has been deferred (including pursuant to any other plan, program or arrangement that permits the deferral of receipt of an Award) such Award (and any earnings credited with respect thereto) shall be forfeited in lieu of repayment.</w:t>
      </w:r>
    </w:p>
    <w:p>
      <w:pPr>
        <w:spacing w:after="0" w:line="184" w:lineRule="exact"/>
        <w:rPr>
          <w:sz w:val="20"/>
          <w:szCs w:val="20"/>
          <w:color w:val="auto"/>
        </w:rPr>
      </w:pPr>
    </w:p>
    <w:p>
      <w:pPr>
        <w:ind w:right="260" w:firstLine="656"/>
        <w:spacing w:after="0" w:line="347" w:lineRule="auto"/>
        <w:tabs>
          <w:tab w:leader="none" w:pos="1098"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have the power to make each grant of Awards under the Plan subject to such conditions as it</w:t>
      </w:r>
      <w:r>
        <w:rPr>
          <w:rFonts w:ascii="Arial" w:cs="Arial" w:eastAsia="Arial" w:hAnsi="Arial"/>
          <w:sz w:val="16"/>
          <w:szCs w:val="16"/>
          <w:b w:val="1"/>
          <w:bCs w:val="1"/>
          <w:color w:val="auto"/>
        </w:rPr>
        <w:t xml:space="preserve"> </w:t>
      </w:r>
      <w:r>
        <w:rPr>
          <w:rFonts w:ascii="Arial" w:cs="Arial" w:eastAsia="Arial" w:hAnsi="Arial"/>
          <w:sz w:val="16"/>
          <w:szCs w:val="16"/>
          <w:color w:val="auto"/>
        </w:rPr>
        <w:t>deems necessary or appropriate to comply with the then-existing requirements of the 1933 Act and the 1934 Act. Such conditions may include:</w:t>
      </w:r>
    </w:p>
    <w:p>
      <w:pPr>
        <w:spacing w:after="0" w:line="120" w:lineRule="exact"/>
        <w:rPr>
          <w:sz w:val="20"/>
          <w:szCs w:val="20"/>
          <w:color w:val="auto"/>
        </w:rPr>
      </w:pPr>
    </w:p>
    <w:p>
      <w:pPr>
        <w:ind w:right="60" w:firstLine="656"/>
        <w:spacing w:after="0" w:line="342" w:lineRule="auto"/>
        <w:tabs>
          <w:tab w:leader="none" w:pos="111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delivery by the Participant of an investment representation to the Company in connection with the occurrence of a Vesting Date (in the case of Restricted Stock and Restricted Stock Units) or exercise (in the case of an Option) occurring with respect to Shares subject to such Award; and</w:t>
      </w:r>
    </w:p>
    <w:p>
      <w:pPr>
        <w:spacing w:after="0" w:line="123" w:lineRule="exact"/>
        <w:rPr>
          <w:rFonts w:ascii="Arial" w:cs="Arial" w:eastAsia="Arial" w:hAnsi="Arial"/>
          <w:sz w:val="16"/>
          <w:szCs w:val="16"/>
          <w:color w:val="auto"/>
        </w:rPr>
      </w:pPr>
    </w:p>
    <w:p>
      <w:pPr>
        <w:ind w:right="300" w:firstLine="656"/>
        <w:spacing w:after="0" w:line="277" w:lineRule="auto"/>
        <w:tabs>
          <w:tab w:leader="none" w:pos="11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execution of an agreement by the Participant to refrain from selling or otherwise disposing of the Shares received upon the vesting, settlement or exercise, as applicable, of such Award for a specified period of time or on specified terms.</w:t>
      </w:r>
    </w:p>
    <w:p>
      <w:pPr>
        <w:spacing w:after="0" w:line="170" w:lineRule="exact"/>
        <w:rPr>
          <w:rFonts w:ascii="Arial" w:cs="Arial" w:eastAsia="Arial" w:hAnsi="Arial"/>
          <w:sz w:val="18"/>
          <w:szCs w:val="18"/>
          <w:color w:val="auto"/>
        </w:rPr>
      </w:pPr>
    </w:p>
    <w:p>
      <w:pPr>
        <w:ind w:right="340" w:firstLine="656"/>
        <w:spacing w:after="0" w:line="263" w:lineRule="auto"/>
        <w:tabs>
          <w:tab w:leader="none" w:pos="11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Options, to the extent required by the Committee, unless the Shares subject to the Option are covered by a then current registration statement or a Notification under Regulation A under the 1933 Act, each notice of exercise of an Option shall contain the Participant’s acknowledgment in form and substance satisfactory to the Committee that:</w:t>
      </w:r>
    </w:p>
    <w:p>
      <w:pPr>
        <w:spacing w:after="0" w:line="183" w:lineRule="exact"/>
        <w:rPr>
          <w:rFonts w:ascii="Arial" w:cs="Arial" w:eastAsia="Arial" w:hAnsi="Arial"/>
          <w:sz w:val="18"/>
          <w:szCs w:val="18"/>
          <w:color w:val="auto"/>
        </w:rPr>
      </w:pPr>
    </w:p>
    <w:p>
      <w:pPr>
        <w:ind w:left="660" w:right="220" w:firstLine="644"/>
        <w:spacing w:after="0" w:line="342" w:lineRule="auto"/>
        <w:tabs>
          <w:tab w:leader="none" w:pos="1658"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Company, may be made without violating the registration provisions of the Act);</w:t>
      </w:r>
    </w:p>
    <w:p>
      <w:pPr>
        <w:spacing w:after="0" w:line="123" w:lineRule="exact"/>
        <w:rPr>
          <w:rFonts w:ascii="Arial" w:cs="Arial" w:eastAsia="Arial" w:hAnsi="Arial"/>
          <w:sz w:val="16"/>
          <w:szCs w:val="16"/>
          <w:color w:val="auto"/>
        </w:rPr>
      </w:pPr>
    </w:p>
    <w:p>
      <w:pPr>
        <w:ind w:left="660" w:right="20" w:firstLine="644"/>
        <w:spacing w:after="0" w:line="259" w:lineRule="auto"/>
        <w:tabs>
          <w:tab w:leader="none" w:pos="17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Participant has been advised and understands that (A) the Shares subject to the Option have not been registered under the 1933 Act and are “restricted securities” within the meaning of Rule 144 under the 1933 Act and are subject to restrictions on transfer and (B) the Company is under no obligation to register the Shares subject to the Option under the 1933 Act or to take any action which would make available to the Participant any exemption from such registration;</w:t>
      </w:r>
    </w:p>
    <w:p>
      <w:pPr>
        <w:spacing w:after="0" w:line="186" w:lineRule="exact"/>
        <w:rPr>
          <w:rFonts w:ascii="Arial" w:cs="Arial" w:eastAsia="Arial" w:hAnsi="Arial"/>
          <w:sz w:val="18"/>
          <w:szCs w:val="18"/>
          <w:color w:val="auto"/>
        </w:rPr>
      </w:pPr>
    </w:p>
    <w:p>
      <w:pPr>
        <w:ind w:left="1800" w:hanging="496"/>
        <w:spacing w:after="0"/>
        <w:tabs>
          <w:tab w:leader="none" w:pos="18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book entry recordkeeping system maintained by the Company evidencing the Shares may bear a restrictive legend; and</w:t>
      </w:r>
    </w:p>
    <w:p>
      <w:pPr>
        <w:spacing w:after="0" w:line="236" w:lineRule="exact"/>
        <w:rPr>
          <w:rFonts w:ascii="Arial" w:cs="Arial" w:eastAsia="Arial" w:hAnsi="Arial"/>
          <w:sz w:val="17"/>
          <w:szCs w:val="17"/>
          <w:color w:val="auto"/>
        </w:rPr>
      </w:pPr>
    </w:p>
    <w:p>
      <w:pPr>
        <w:ind w:left="1740" w:hanging="436"/>
        <w:spacing w:after="0"/>
        <w:tabs>
          <w:tab w:leader="none" w:pos="17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248" w:lineRule="exact"/>
        <w:rPr>
          <w:rFonts w:ascii="Arial" w:cs="Arial" w:eastAsia="Arial" w:hAnsi="Arial"/>
          <w:sz w:val="16"/>
          <w:szCs w:val="16"/>
          <w:color w:val="auto"/>
        </w:rPr>
      </w:pPr>
    </w:p>
    <w:p>
      <w:pPr>
        <w:ind w:right="80" w:firstLine="656"/>
        <w:spacing w:after="0" w:line="277" w:lineRule="auto"/>
        <w:tabs>
          <w:tab w:leader="none" w:pos="112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applicable Award Agreement to the contrary, if the Committee</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7" w:name="page28"/>
    <w:bookmarkEnd w:id="27"/>
    <w:p>
      <w:pPr>
        <w:ind w:right="20"/>
        <w:spacing w:after="0" w:line="279" w:lineRule="auto"/>
        <w:rPr>
          <w:sz w:val="20"/>
          <w:szCs w:val="20"/>
          <w:color w:val="auto"/>
        </w:rPr>
      </w:pPr>
      <w:r>
        <w:rPr>
          <w:rFonts w:ascii="Arial" w:cs="Arial" w:eastAsia="Arial" w:hAnsi="Arial"/>
          <w:sz w:val="17"/>
          <w:szCs w:val="17"/>
          <w:color w:val="auto"/>
        </w:rPr>
        <w:t>determines, in its sole discretion, that issuance of Shares pursuant to the settlement of Restricted Stock Units or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the settlement of any Restricted Stock Units and/or exercise of any Option until such Shares are appropriately registered or qualified or an appropriate legal opinion has been received, as applicable.</w:t>
      </w:r>
    </w:p>
    <w:p>
      <w:pPr>
        <w:spacing w:after="0" w:line="167" w:lineRule="exact"/>
        <w:rPr>
          <w:sz w:val="20"/>
          <w:szCs w:val="20"/>
          <w:color w:val="auto"/>
        </w:rPr>
      </w:pPr>
    </w:p>
    <w:p>
      <w:pPr>
        <w:ind w:left="1100" w:hanging="444"/>
        <w:spacing w:after="0"/>
        <w:tabs>
          <w:tab w:leader="none" w:pos="11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56"/>
        <w:spacing w:after="0" w:line="286" w:lineRule="auto"/>
        <w:tabs>
          <w:tab w:leader="none" w:pos="111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Termination or Amendment of the Plan</w:t>
      </w:r>
      <w:r>
        <w:rPr>
          <w:rFonts w:ascii="Arial" w:cs="Arial" w:eastAsia="Arial" w:hAnsi="Arial"/>
          <w:sz w:val="16"/>
          <w:szCs w:val="16"/>
          <w:color w:val="auto"/>
        </w:rPr>
        <w:t xml:space="preserve">. Except to the extent prohibited by applicable law or otherwise expressly provided in the Plan or an Award Agreement, the Committee may amend, alter, or suspend, and the Board may discontinue or terminate, the Plan or any portion thereof at any time;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w:t>
      </w:r>
    </w:p>
    <w:p>
      <w:pPr>
        <w:spacing w:after="0" w:line="1" w:lineRule="exact"/>
        <w:rPr>
          <w:rFonts w:ascii="Arial" w:cs="Arial" w:eastAsia="Arial" w:hAnsi="Arial"/>
          <w:sz w:val="16"/>
          <w:szCs w:val="16"/>
          <w:color w:val="auto"/>
        </w:rPr>
      </w:pPr>
    </w:p>
    <w:p>
      <w:pPr>
        <w:ind w:right="220" w:firstLine="8"/>
        <w:spacing w:after="0" w:line="290" w:lineRule="auto"/>
        <w:tabs>
          <w:tab w:leader="none" w:pos="2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subject to Section 12‎ and Section 13,‎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14‎.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163" w:lineRule="exact"/>
        <w:rPr>
          <w:rFonts w:ascii="Arial" w:cs="Arial" w:eastAsia="Arial" w:hAnsi="Arial"/>
          <w:sz w:val="16"/>
          <w:szCs w:val="16"/>
          <w:color w:val="auto"/>
        </w:rPr>
      </w:pPr>
    </w:p>
    <w:p>
      <w:pPr>
        <w:ind w:firstLine="656"/>
        <w:spacing w:after="0" w:line="269" w:lineRule="auto"/>
        <w:tabs>
          <w:tab w:leader="none" w:pos="1125"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Terms of Awards</w:t>
      </w:r>
      <w:r>
        <w:rPr>
          <w:rFonts w:ascii="Arial" w:cs="Arial" w:eastAsia="Arial" w:hAnsi="Arial"/>
          <w:sz w:val="17"/>
          <w:szCs w:val="17"/>
          <w:color w:val="auto"/>
        </w:rPr>
        <w:t xml:space="preserve">. The Committee may waive any conditions or rights under, amend any terms of, or amend, alter, suspend, discontinue or terminate any Award (including by substituting another Award of the same or a different type), prospectively or retroactively, without the consent of any relevant Participant or holder or beneficiary of an Award;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subject to Section 12‎ and Section 13,‎ no such action shall materially adversely affect the rights of any affected Participant or holder or beneficiary under any Award,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Section 14‎. The Committee shall be authorized to make adjustments in the terms and conditions of, and the criteria included in, Awards in recognition of events (including the events described in Section 12)‎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20" w:firstLine="656"/>
        <w:spacing w:after="0" w:line="286" w:lineRule="auto"/>
        <w:tabs>
          <w:tab w:leader="none" w:pos="111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 Repricing of Options and SARs</w:t>
      </w:r>
      <w:r>
        <w:rPr>
          <w:rFonts w:ascii="Arial" w:cs="Arial" w:eastAsia="Arial" w:hAnsi="Arial"/>
          <w:sz w:val="16"/>
          <w:szCs w:val="16"/>
          <w:color w:val="auto"/>
        </w:rPr>
        <w:t>. Notwithstanding any provision in the Plan to the contrary, neither the Board nor the Committee may, without obtaining prior approval by the Company’s shareholders, reduce the option or exercise price of any issued and outstanding Option or SAR granted under the Plan, including through cancellation and regrant or any other method (including the repurchase of an Option or SAR that is “out of the money” in exchange for an Option, SAR, cash and/or other property), at any time during the term of such Option or SAR (other than by adjustment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12)‎. This Section 16(c)‎ may not be repealed, modified or amended without the prior approval of the Company’s shareholders.</w:t>
      </w:r>
    </w:p>
    <w:p>
      <w:pPr>
        <w:spacing w:after="0" w:line="207" w:lineRule="exact"/>
        <w:rPr>
          <w:sz w:val="20"/>
          <w:szCs w:val="20"/>
          <w:color w:val="auto"/>
        </w:rPr>
      </w:pPr>
    </w:p>
    <w:p>
      <w:pPr>
        <w:ind w:left="1100" w:hanging="444"/>
        <w:spacing w:after="0"/>
        <w:tabs>
          <w:tab w:leader="none" w:pos="11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20" w:firstLine="656"/>
        <w:spacing w:after="0" w:line="259"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Participant, or other Person shall have any claim to be granted any Award under the Plan, and there is no obligation for uniformity of treatment of Participants or holders or beneficiaries of Awards under the Plan. The terms and conditions of Awards need not be the same with respect to each recipient. Any Award granted under the Plan shall be a one-time grant that does not constitute a promise of future grants. The Committee, in its sole discretion, maintains the right to make available future grants under the Plan.</w:t>
      </w:r>
    </w:p>
    <w:p>
      <w:pPr>
        <w:spacing w:after="0" w:line="186" w:lineRule="exact"/>
        <w:rPr>
          <w:rFonts w:ascii="Arial" w:cs="Arial" w:eastAsia="Arial" w:hAnsi="Arial"/>
          <w:sz w:val="18"/>
          <w:szCs w:val="18"/>
          <w:color w:val="auto"/>
        </w:rPr>
      </w:pPr>
    </w:p>
    <w:p>
      <w:pPr>
        <w:ind w:firstLine="656"/>
        <w:spacing w:after="0" w:line="257" w:lineRule="auto"/>
        <w:tabs>
          <w:tab w:leader="none" w:pos="11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a under the Plan is not intended to confer any rights on the receiving Participant except as set forth in the applicable Award Agreement and the Plan.</w:t>
      </w:r>
    </w:p>
    <w:p>
      <w:pPr>
        <w:spacing w:after="0" w:line="187" w:lineRule="exact"/>
        <w:rPr>
          <w:rFonts w:ascii="Arial" w:cs="Arial" w:eastAsia="Arial" w:hAnsi="Arial"/>
          <w:sz w:val="18"/>
          <w:szCs w:val="18"/>
          <w:color w:val="auto"/>
        </w:rPr>
      </w:pPr>
    </w:p>
    <w:p>
      <w:pPr>
        <w:jc w:val="both"/>
        <w:ind w:right="80" w:firstLine="656"/>
        <w:spacing w:after="0" w:line="263" w:lineRule="auto"/>
        <w:tabs>
          <w:tab w:leader="none" w:pos="11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183" w:lineRule="exact"/>
        <w:rPr>
          <w:rFonts w:ascii="Arial" w:cs="Arial" w:eastAsia="Arial" w:hAnsi="Arial"/>
          <w:sz w:val="18"/>
          <w:szCs w:val="18"/>
          <w:color w:val="auto"/>
        </w:rPr>
      </w:pPr>
    </w:p>
    <w:p>
      <w:pPr>
        <w:ind w:right="820" w:firstLine="656"/>
        <w:spacing w:after="0" w:line="277" w:lineRule="auto"/>
        <w:tabs>
          <w:tab w:leader="none" w:pos="11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70" w:lineRule="exact"/>
        <w:rPr>
          <w:rFonts w:ascii="Arial" w:cs="Arial" w:eastAsia="Arial" w:hAnsi="Arial"/>
          <w:sz w:val="18"/>
          <w:szCs w:val="18"/>
          <w:color w:val="auto"/>
        </w:rPr>
      </w:pPr>
    </w:p>
    <w:p>
      <w:pPr>
        <w:ind w:right="40" w:firstLine="656"/>
        <w:spacing w:after="0" w:line="275" w:lineRule="auto"/>
        <w:tabs>
          <w:tab w:leader="none" w:pos="111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176" w:lineRule="exact"/>
        <w:rPr>
          <w:rFonts w:ascii="Arial" w:cs="Arial" w:eastAsia="Arial" w:hAnsi="Arial"/>
          <w:sz w:val="17"/>
          <w:szCs w:val="17"/>
          <w:color w:val="auto"/>
        </w:rPr>
      </w:pPr>
    </w:p>
    <w:p>
      <w:pPr>
        <w:ind w:right="60" w:firstLine="656"/>
        <w:spacing w:after="0" w:line="308" w:lineRule="auto"/>
        <w:tabs>
          <w:tab w:leader="none" w:pos="1098" w:val="left"/>
        </w:tabs>
        <w:numPr>
          <w:ilvl w:val="0"/>
          <w:numId w:val="67"/>
        </w:numPr>
        <w:rPr>
          <w:rFonts w:ascii="Arial" w:cs="Arial" w:eastAsia="Arial" w:hAnsi="Arial"/>
          <w:sz w:val="17"/>
          <w:szCs w:val="17"/>
          <w:color w:val="auto"/>
        </w:rPr>
      </w:pPr>
      <w:r>
        <w:rPr>
          <w:rFonts w:ascii="Arial" w:cs="Arial" w:eastAsia="Arial" w:hAnsi="Arial"/>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Company pursuant to an Award, such right shall be no greater than the right of any unsecured general creditor of the Company.</w:t>
      </w:r>
    </w:p>
    <w:p>
      <w:pPr>
        <w:spacing w:after="0" w:line="225" w:lineRule="exact"/>
        <w:rPr>
          <w:sz w:val="20"/>
          <w:szCs w:val="20"/>
          <w:color w:val="auto"/>
        </w:rPr>
      </w:pPr>
    </w:p>
    <w:p>
      <w:pPr>
        <w:ind w:firstLine="656"/>
        <w:spacing w:after="0" w:line="257" w:lineRule="auto"/>
        <w:tabs>
          <w:tab w:leader="none" w:pos="10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84" w:lineRule="exact"/>
        <w:rPr>
          <w:sz w:val="20"/>
          <w:szCs w:val="20"/>
          <w:color w:val="auto"/>
        </w:rPr>
      </w:pPr>
    </w:p>
    <w:p>
      <w:pPr>
        <w:ind w:firstLine="656"/>
        <w:spacing w:after="0" w:line="286" w:lineRule="auto"/>
        <w:tabs>
          <w:tab w:leader="none" w:pos="1053"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Awards subject to Section 409A of the Code, the Plan is intended to comply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Committee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Treasury Regulations § 1.409A-2(b)(2)(iii)), a Participant’s right to such series of installment payments shall be treated as a right to a series of separate payments and not as a right to a single payment, and if an Award includes “dividend equivalents” (within the meaning of Treasury Regulations § 1.409A-3(e)), a Participant’s right to such dividend equivalents shall be treated separately from the right to other amounts under the Award.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67" w:lineRule="exact"/>
        <w:rPr>
          <w:rFonts w:ascii="Arial" w:cs="Arial" w:eastAsia="Arial" w:hAnsi="Arial"/>
          <w:sz w:val="16"/>
          <w:szCs w:val="16"/>
          <w:b w:val="1"/>
          <w:bCs w:val="1"/>
          <w:color w:val="auto"/>
        </w:rPr>
      </w:pPr>
    </w:p>
    <w:p>
      <w:pPr>
        <w:ind w:right="280" w:firstLine="656"/>
        <w:spacing w:after="0" w:line="282" w:lineRule="auto"/>
        <w:tabs>
          <w:tab w:leader="none" w:pos="105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become effective on the Effective Date and shall expire on the tenth anniversary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sooner terminated by the Committee.</w:t>
      </w:r>
    </w:p>
    <w:p>
      <w:pPr>
        <w:spacing w:after="0" w:line="161" w:lineRule="exact"/>
        <w:rPr>
          <w:rFonts w:ascii="Arial" w:cs="Arial" w:eastAsia="Arial" w:hAnsi="Arial"/>
          <w:sz w:val="18"/>
          <w:szCs w:val="18"/>
          <w:b w:val="1"/>
          <w:bCs w:val="1"/>
          <w:color w:val="auto"/>
        </w:rPr>
      </w:pPr>
    </w:p>
    <w:p>
      <w:pPr>
        <w:ind w:right="280" w:firstLine="656"/>
        <w:spacing w:after="0" w:line="282" w:lineRule="auto"/>
        <w:tabs>
          <w:tab w:leader="none" w:pos="1053"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determinations made and actions taken pursuant to the Plan shall be governed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law.</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22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Employee Stock Purchase Plan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84"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220" w:hanging="564"/>
        <w:spacing w:after="0"/>
        <w:tabs>
          <w:tab w:leader="none" w:pos="12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225" w:lineRule="exact"/>
        <w:rPr>
          <w:rFonts w:ascii="Arial" w:cs="Arial" w:eastAsia="Arial" w:hAnsi="Arial"/>
          <w:sz w:val="18"/>
          <w:szCs w:val="18"/>
          <w:color w:val="auto"/>
        </w:rPr>
      </w:pPr>
    </w:p>
    <w:p>
      <w:pPr>
        <w:ind w:right="140" w:firstLine="656"/>
        <w:spacing w:after="0" w:line="259" w:lineRule="auto"/>
        <w:tabs>
          <w:tab w:leader="none" w:pos="12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1220" w:hanging="564"/>
        <w:spacing w:after="0"/>
        <w:tabs>
          <w:tab w:leader="none" w:pos="12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460" w:firstLine="656"/>
        <w:spacing w:after="0" w:line="277" w:lineRule="auto"/>
        <w:tabs>
          <w:tab w:leader="none" w:pos="12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70" w:lineRule="exact"/>
        <w:rPr>
          <w:rFonts w:ascii="Arial" w:cs="Arial" w:eastAsia="Arial" w:hAnsi="Arial"/>
          <w:sz w:val="18"/>
          <w:szCs w:val="18"/>
          <w:color w:val="auto"/>
        </w:rPr>
      </w:pPr>
    </w:p>
    <w:p>
      <w:pPr>
        <w:ind w:right="220" w:firstLine="656"/>
        <w:spacing w:after="0" w:line="279" w:lineRule="auto"/>
        <w:tabs>
          <w:tab w:leader="none" w:pos="1208" w:val="left"/>
        </w:tabs>
        <w:numPr>
          <w:ilvl w:val="1"/>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71" w:lineRule="exact"/>
        <w:rPr>
          <w:rFonts w:ascii="Arial" w:cs="Arial" w:eastAsia="Arial" w:hAnsi="Arial"/>
          <w:sz w:val="17"/>
          <w:szCs w:val="17"/>
          <w:color w:val="auto"/>
        </w:rPr>
      </w:pPr>
    </w:p>
    <w:p>
      <w:pPr>
        <w:ind w:left="1200" w:hanging="544"/>
        <w:spacing w:after="0"/>
        <w:tabs>
          <w:tab w:leader="none" w:pos="12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color w:val="auto"/>
        </w:rPr>
      </w:pPr>
    </w:p>
    <w:p>
      <w:pPr>
        <w:ind w:right="780" w:firstLine="656"/>
        <w:spacing w:after="0" w:line="277" w:lineRule="auto"/>
        <w:tabs>
          <w:tab w:leader="none" w:pos="12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firstLine="656"/>
        <w:spacing w:after="0" w:line="257" w:lineRule="auto"/>
        <w:tabs>
          <w:tab w:leader="none" w:pos="12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87" w:lineRule="exact"/>
        <w:rPr>
          <w:rFonts w:ascii="Arial" w:cs="Arial" w:eastAsia="Arial" w:hAnsi="Arial"/>
          <w:sz w:val="18"/>
          <w:szCs w:val="18"/>
          <w:color w:val="auto"/>
        </w:rPr>
      </w:pPr>
    </w:p>
    <w:p>
      <w:pPr>
        <w:ind w:left="1240" w:hanging="584"/>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Group</w:t>
      </w:r>
      <w:r>
        <w:rPr>
          <w:rFonts w:ascii="Arial" w:cs="Arial" w:eastAsia="Arial" w:hAnsi="Arial"/>
          <w:sz w:val="18"/>
          <w:szCs w:val="18"/>
          <w:color w:val="auto"/>
        </w:rPr>
        <w:t>” means the Company and any Affiliate of the Company.</w:t>
      </w:r>
    </w:p>
    <w:p>
      <w:pPr>
        <w:spacing w:after="0" w:line="225" w:lineRule="exact"/>
        <w:rPr>
          <w:rFonts w:ascii="Arial" w:cs="Arial" w:eastAsia="Arial" w:hAnsi="Arial"/>
          <w:sz w:val="18"/>
          <w:szCs w:val="18"/>
          <w:color w:val="auto"/>
        </w:rPr>
      </w:pPr>
    </w:p>
    <w:p>
      <w:pPr>
        <w:ind w:right="400" w:firstLine="656"/>
        <w:spacing w:after="0" w:line="277" w:lineRule="auto"/>
        <w:tabs>
          <w:tab w:leader="none" w:pos="12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Employer</w:t>
      </w:r>
      <w:r>
        <w:rPr>
          <w:rFonts w:ascii="Arial" w:cs="Arial" w:eastAsia="Arial" w:hAnsi="Arial"/>
          <w:sz w:val="17"/>
          <w:szCs w:val="17"/>
          <w:color w:val="auto"/>
        </w:rPr>
        <w:t>” means the Company and any subsidiary of the Company, within the meaning of section 424(f) of the Code.</w:t>
      </w:r>
    </w:p>
    <w:p>
      <w:pPr>
        <w:spacing w:after="0" w:line="236" w:lineRule="exact"/>
        <w:rPr>
          <w:rFonts w:ascii="Arial" w:cs="Arial" w:eastAsia="Arial" w:hAnsi="Arial"/>
          <w:sz w:val="17"/>
          <w:szCs w:val="17"/>
          <w:color w:val="auto"/>
        </w:rPr>
      </w:pPr>
    </w:p>
    <w:p>
      <w:pPr>
        <w:ind w:left="1220" w:hanging="564"/>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225" w:lineRule="exact"/>
        <w:rPr>
          <w:rFonts w:ascii="Arial" w:cs="Arial" w:eastAsia="Arial" w:hAnsi="Arial"/>
          <w:sz w:val="18"/>
          <w:szCs w:val="18"/>
          <w:color w:val="auto"/>
        </w:rPr>
      </w:pPr>
    </w:p>
    <w:p>
      <w:pPr>
        <w:ind w:right="120" w:firstLine="656"/>
        <w:spacing w:after="0" w:line="259" w:lineRule="auto"/>
        <w:tabs>
          <w:tab w:leader="none" w:pos="12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86" w:lineRule="exact"/>
        <w:rPr>
          <w:rFonts w:ascii="Arial" w:cs="Arial" w:eastAsia="Arial" w:hAnsi="Arial"/>
          <w:sz w:val="18"/>
          <w:szCs w:val="18"/>
          <w:color w:val="auto"/>
        </w:rPr>
      </w:pPr>
    </w:p>
    <w:p>
      <w:pPr>
        <w:ind w:left="1220" w:hanging="564"/>
        <w:spacing w:after="0"/>
        <w:tabs>
          <w:tab w:leader="none" w:pos="12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248" w:lineRule="exact"/>
        <w:rPr>
          <w:rFonts w:ascii="Arial" w:cs="Arial" w:eastAsia="Arial" w:hAnsi="Arial"/>
          <w:sz w:val="16"/>
          <w:szCs w:val="16"/>
          <w:color w:val="auto"/>
        </w:rPr>
      </w:pPr>
    </w:p>
    <w:p>
      <w:pPr>
        <w:ind w:left="1220" w:hanging="564"/>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 or</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purposes of this Paragraph 2(q), an Employee is employed on a part-time basis if the Employee customarily works less than 20 hours per week. For purposes of this Paragraph 2(q),</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an Employee is employed on a full-time basis if the Employee customarily works 20 or more hours per week.</w:t>
      </w:r>
    </w:p>
    <w:p>
      <w:pPr>
        <w:spacing w:after="0" w:line="225" w:lineRule="exact"/>
        <w:rPr>
          <w:sz w:val="20"/>
          <w:szCs w:val="20"/>
          <w:color w:val="auto"/>
        </w:rPr>
      </w:pPr>
    </w:p>
    <w:p>
      <w:pPr>
        <w:ind w:left="1200" w:hanging="544"/>
        <w:spacing w:after="0"/>
        <w:tabs>
          <w:tab w:leader="none" w:pos="1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225" w:lineRule="exact"/>
        <w:rPr>
          <w:rFonts w:ascii="Arial" w:cs="Arial" w:eastAsia="Arial" w:hAnsi="Arial"/>
          <w:sz w:val="18"/>
          <w:szCs w:val="18"/>
          <w:color w:val="auto"/>
        </w:rPr>
      </w:pPr>
    </w:p>
    <w:p>
      <w:pPr>
        <w:jc w:val="both"/>
        <w:ind w:right="40" w:firstLine="656"/>
        <w:spacing w:after="0" w:line="263" w:lineRule="auto"/>
        <w:tabs>
          <w:tab w:leader="none" w:pos="11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183" w:lineRule="exact"/>
        <w:rPr>
          <w:rFonts w:ascii="Arial" w:cs="Arial" w:eastAsia="Arial" w:hAnsi="Arial"/>
          <w:sz w:val="18"/>
          <w:szCs w:val="18"/>
          <w:color w:val="auto"/>
        </w:rPr>
      </w:pPr>
    </w:p>
    <w:p>
      <w:pPr>
        <w:ind w:left="1240" w:hanging="584"/>
        <w:spacing w:after="0"/>
        <w:tabs>
          <w:tab w:leader="none" w:pos="12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the period extending from an Offering Commencement Date through the following Offering Termination Date.</w:t>
      </w:r>
    </w:p>
    <w:p>
      <w:pPr>
        <w:spacing w:after="0" w:line="248" w:lineRule="exact"/>
        <w:rPr>
          <w:rFonts w:ascii="Arial" w:cs="Arial" w:eastAsia="Arial" w:hAnsi="Arial"/>
          <w:sz w:val="16"/>
          <w:szCs w:val="16"/>
          <w:color w:val="auto"/>
        </w:rPr>
      </w:pPr>
    </w:p>
    <w:p>
      <w:pPr>
        <w:ind w:right="160" w:firstLine="656"/>
        <w:spacing w:after="0" w:line="277" w:lineRule="auto"/>
        <w:tabs>
          <w:tab w:leader="none" w:pos="12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70" w:lineRule="exact"/>
        <w:rPr>
          <w:rFonts w:ascii="Arial" w:cs="Arial" w:eastAsia="Arial" w:hAnsi="Arial"/>
          <w:sz w:val="18"/>
          <w:szCs w:val="18"/>
          <w:color w:val="auto"/>
        </w:rPr>
      </w:pPr>
    </w:p>
    <w:p>
      <w:pPr>
        <w:ind w:right="180" w:firstLine="656"/>
        <w:spacing w:after="0" w:line="277" w:lineRule="auto"/>
        <w:tabs>
          <w:tab w:leader="none" w:pos="12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70" w:lineRule="exact"/>
        <w:rPr>
          <w:rFonts w:ascii="Arial" w:cs="Arial" w:eastAsia="Arial" w:hAnsi="Arial"/>
          <w:sz w:val="18"/>
          <w:szCs w:val="18"/>
          <w:color w:val="auto"/>
        </w:rPr>
      </w:pPr>
    </w:p>
    <w:p>
      <w:pPr>
        <w:ind w:firstLine="656"/>
        <w:spacing w:after="0" w:line="255" w:lineRule="auto"/>
        <w:tabs>
          <w:tab w:leader="none" w:pos="121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2(w) to an officer of the Company or committee of two or more officers of the Company.</w:t>
      </w:r>
    </w:p>
    <w:p>
      <w:pPr>
        <w:spacing w:after="0" w:line="192" w:lineRule="exact"/>
        <w:rPr>
          <w:rFonts w:ascii="Arial" w:cs="Arial" w:eastAsia="Arial" w:hAnsi="Arial"/>
          <w:sz w:val="18"/>
          <w:szCs w:val="18"/>
          <w:color w:val="auto"/>
        </w:rPr>
      </w:pPr>
    </w:p>
    <w:p>
      <w:pPr>
        <w:ind w:left="1220" w:hanging="564"/>
        <w:spacing w:after="0"/>
        <w:tabs>
          <w:tab w:leader="none" w:pos="1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Payroll Deductions</w:t>
      </w:r>
      <w:r>
        <w:rPr>
          <w:rFonts w:ascii="Arial" w:cs="Arial" w:eastAsia="Arial" w:hAnsi="Arial"/>
          <w:sz w:val="16"/>
          <w:szCs w:val="16"/>
          <w:color w:val="auto"/>
        </w:rPr>
        <w:t>” means amounts withheld from a Participant’s Compensation pursuant to the Plan, as described in Paragraph 5.</w:t>
      </w:r>
    </w:p>
    <w:p>
      <w:pPr>
        <w:spacing w:after="0" w:line="248" w:lineRule="exact"/>
        <w:rPr>
          <w:rFonts w:ascii="Arial" w:cs="Arial" w:eastAsia="Arial" w:hAnsi="Arial"/>
          <w:sz w:val="16"/>
          <w:szCs w:val="16"/>
          <w:color w:val="auto"/>
        </w:rPr>
      </w:pPr>
    </w:p>
    <w:p>
      <w:pPr>
        <w:ind w:left="1220" w:hanging="564"/>
        <w:spacing w:after="0"/>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Employee Stock Purchase Plan, as set forth in this document, and as may be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left="1260" w:hanging="604"/>
        <w:spacing w:after="0"/>
        <w:tabs>
          <w:tab w:leader="none" w:pos="1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225" w:lineRule="exact"/>
        <w:rPr>
          <w:rFonts w:ascii="Arial" w:cs="Arial" w:eastAsia="Arial" w:hAnsi="Arial"/>
          <w:sz w:val="18"/>
          <w:szCs w:val="18"/>
          <w:color w:val="auto"/>
        </w:rPr>
      </w:pPr>
    </w:p>
    <w:p>
      <w:pPr>
        <w:ind w:right="320" w:firstLine="1304"/>
        <w:spacing w:after="0" w:line="277" w:lineRule="auto"/>
        <w:tabs>
          <w:tab w:leader="none" w:pos="186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333" w:lineRule="exact"/>
        <w:rPr>
          <w:rFonts w:ascii="Arial" w:cs="Arial" w:eastAsia="Arial" w:hAnsi="Arial"/>
          <w:sz w:val="18"/>
          <w:szCs w:val="18"/>
          <w:color w:val="auto"/>
        </w:rPr>
      </w:pPr>
    </w:p>
    <w:p>
      <w:pPr>
        <w:ind w:left="5580" w:hanging="106"/>
        <w:spacing w:after="0"/>
        <w:tabs>
          <w:tab w:leader="none" w:pos="55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33" w:name="page34"/>
    <w:bookmarkEnd w:id="33"/>
    <w:p>
      <w:pPr>
        <w:jc w:val="both"/>
        <w:ind w:right="120" w:firstLine="656"/>
        <w:spacing w:after="0" w:line="263" w:lineRule="auto"/>
        <w:tabs>
          <w:tab w:leader="none" w:pos="12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83" w:lineRule="exact"/>
        <w:rPr>
          <w:rFonts w:ascii="Arial" w:cs="Arial" w:eastAsia="Arial" w:hAnsi="Arial"/>
          <w:sz w:val="18"/>
          <w:szCs w:val="18"/>
          <w:color w:val="auto"/>
        </w:rPr>
      </w:pPr>
    </w:p>
    <w:p>
      <w:pPr>
        <w:ind w:left="1260" w:hanging="604"/>
        <w:spacing w:after="0"/>
        <w:tabs>
          <w:tab w:leader="none" w:pos="1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225" w:lineRule="exact"/>
        <w:rPr>
          <w:rFonts w:ascii="Arial" w:cs="Arial" w:eastAsia="Arial" w:hAnsi="Arial"/>
          <w:sz w:val="18"/>
          <w:szCs w:val="18"/>
          <w:color w:val="auto"/>
        </w:rPr>
      </w:pPr>
    </w:p>
    <w:p>
      <w:pPr>
        <w:ind w:right="200" w:firstLine="656"/>
        <w:spacing w:after="0" w:line="277" w:lineRule="auto"/>
        <w:tabs>
          <w:tab w:leader="none" w:pos="12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right="660" w:firstLine="656"/>
        <w:spacing w:after="0" w:line="277" w:lineRule="auto"/>
        <w:tabs>
          <w:tab w:leader="none" w:pos="1199"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0" w:lineRule="exact"/>
        <w:rPr>
          <w:rFonts w:ascii="Arial" w:cs="Arial" w:eastAsia="Arial" w:hAnsi="Arial"/>
          <w:sz w:val="18"/>
          <w:szCs w:val="18"/>
          <w:color w:val="auto"/>
        </w:rPr>
      </w:pPr>
    </w:p>
    <w:p>
      <w:pPr>
        <w:ind w:right="540" w:firstLine="656"/>
        <w:spacing w:after="0" w:line="277" w:lineRule="auto"/>
        <w:tabs>
          <w:tab w:leader="none" w:pos="1218"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220" w:hanging="564"/>
        <w:spacing w:after="0"/>
        <w:tabs>
          <w:tab w:leader="none" w:pos="1220"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10" w:lineRule="exact"/>
        <w:rPr>
          <w:rFonts w:ascii="Arial" w:cs="Arial" w:eastAsia="Arial" w:hAnsi="Arial"/>
          <w:sz w:val="16"/>
          <w:szCs w:val="16"/>
          <w:color w:val="auto"/>
        </w:rPr>
      </w:pPr>
    </w:p>
    <w:p>
      <w:pPr>
        <w:ind w:firstLine="656"/>
        <w:spacing w:after="0" w:line="277" w:lineRule="auto"/>
        <w:tabs>
          <w:tab w:leader="none" w:pos="121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225" w:lineRule="exact"/>
        <w:rPr>
          <w:rFonts w:ascii="Arial" w:cs="Arial" w:eastAsia="Arial" w:hAnsi="Arial"/>
          <w:sz w:val="18"/>
          <w:szCs w:val="18"/>
          <w:color w:val="auto"/>
        </w:rPr>
      </w:pPr>
    </w:p>
    <w:p>
      <w:pPr>
        <w:jc w:val="both"/>
        <w:ind w:right="380" w:firstLine="1304"/>
        <w:spacing w:after="0" w:line="311" w:lineRule="auto"/>
        <w:tabs>
          <w:tab w:leader="none" w:pos="1866" w:val="left"/>
        </w:tabs>
        <w:numPr>
          <w:ilvl w:val="2"/>
          <w:numId w:val="76"/>
        </w:numPr>
        <w:rPr>
          <w:rFonts w:ascii="Arial" w:cs="Arial" w:eastAsia="Arial" w:hAnsi="Arial"/>
          <w:sz w:val="16"/>
          <w:szCs w:val="16"/>
          <w:color w:val="auto"/>
        </w:rPr>
      </w:pPr>
      <w:r>
        <w:rPr>
          <w:rFonts w:ascii="Arial" w:cs="Arial" w:eastAsia="Arial" w:hAnsi="Arial"/>
          <w:sz w:val="16"/>
          <w:szCs w:val="16"/>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48" w:lineRule="exact"/>
        <w:rPr>
          <w:rFonts w:ascii="Arial" w:cs="Arial" w:eastAsia="Arial" w:hAnsi="Arial"/>
          <w:sz w:val="16"/>
          <w:szCs w:val="16"/>
          <w:color w:val="auto"/>
        </w:rPr>
      </w:pPr>
    </w:p>
    <w:p>
      <w:pPr>
        <w:jc w:val="both"/>
        <w:ind w:right="140" w:firstLine="656"/>
        <w:spacing w:after="0" w:line="311" w:lineRule="auto"/>
        <w:tabs>
          <w:tab w:leader="none" w:pos="1208"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w:t>
      </w:r>
    </w:p>
    <w:p>
      <w:pPr>
        <w:spacing w:after="0" w:line="256" w:lineRule="exact"/>
        <w:rPr>
          <w:rFonts w:ascii="Arial" w:cs="Arial" w:eastAsia="Arial" w:hAnsi="Arial"/>
          <w:sz w:val="16"/>
          <w:szCs w:val="16"/>
          <w:color w:val="auto"/>
        </w:rPr>
      </w:pPr>
    </w:p>
    <w:p>
      <w:pPr>
        <w:ind w:left="5580" w:hanging="106"/>
        <w:spacing w:after="0"/>
        <w:tabs>
          <w:tab w:leader="none" w:pos="5580" w:val="left"/>
        </w:tabs>
        <w:numPr>
          <w:ilvl w:val="3"/>
          <w:numId w:val="76"/>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4" w:name="page35"/>
    <w:bookmarkEnd w:id="34"/>
    <w:p>
      <w:pPr>
        <w:ind w:right="480"/>
        <w:spacing w:after="0" w:line="277" w:lineRule="auto"/>
        <w:rPr>
          <w:sz w:val="20"/>
          <w:szCs w:val="20"/>
          <w:color w:val="auto"/>
        </w:rPr>
      </w:pPr>
      <w:r>
        <w:rPr>
          <w:rFonts w:ascii="Arial" w:cs="Arial" w:eastAsia="Arial" w:hAnsi="Arial"/>
          <w:sz w:val="18"/>
          <w:szCs w:val="18"/>
          <w:color w:val="auto"/>
        </w:rPr>
        <w:t>when his or her authorization for Payroll Deductions becomes effective, and shall end on the Plan Termination Date, unless sooner terminated by the Participant pursuant to Paragraph 7(b).</w:t>
      </w:r>
    </w:p>
    <w:p>
      <w:pPr>
        <w:spacing w:after="0" w:line="166"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81"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200" w:firstLine="656"/>
        <w:spacing w:after="0" w:line="259" w:lineRule="auto"/>
        <w:tabs>
          <w:tab w:leader="none" w:pos="1198"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$21,250. The rules established by the Committee regarding Payroll Deductions, as reflected on the Election Form, shall be consistent with section 423(b)(5) of the Code.</w:t>
      </w:r>
    </w:p>
    <w:p>
      <w:pPr>
        <w:spacing w:after="0" w:line="186" w:lineRule="exact"/>
        <w:rPr>
          <w:rFonts w:ascii="Arial" w:cs="Arial" w:eastAsia="Arial" w:hAnsi="Arial"/>
          <w:sz w:val="18"/>
          <w:szCs w:val="18"/>
          <w:color w:val="auto"/>
        </w:rPr>
      </w:pPr>
    </w:p>
    <w:p>
      <w:pPr>
        <w:ind w:firstLine="656"/>
        <w:spacing w:after="0" w:line="277" w:lineRule="auto"/>
        <w:tabs>
          <w:tab w:leader="none" w:pos="1218"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70" w:lineRule="exact"/>
        <w:rPr>
          <w:rFonts w:ascii="Arial" w:cs="Arial" w:eastAsia="Arial" w:hAnsi="Arial"/>
          <w:sz w:val="18"/>
          <w:szCs w:val="18"/>
          <w:color w:val="auto"/>
        </w:rPr>
      </w:pPr>
    </w:p>
    <w:p>
      <w:pPr>
        <w:ind w:right="140" w:firstLine="656"/>
        <w:spacing w:after="0" w:line="255" w:lineRule="auto"/>
        <w:tabs>
          <w:tab w:leader="none" w:pos="1208"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Changes in Payroll Deductions</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300" w:lineRule="exact"/>
        <w:rPr>
          <w:rFonts w:ascii="Arial" w:cs="Arial" w:eastAsia="Arial" w:hAnsi="Arial"/>
          <w:sz w:val="18"/>
          <w:szCs w:val="18"/>
          <w:color w:val="auto"/>
        </w:rPr>
      </w:pPr>
    </w:p>
    <w:p>
      <w:pPr>
        <w:ind w:left="5580" w:hanging="106"/>
        <w:spacing w:after="0"/>
        <w:tabs>
          <w:tab w:leader="none" w:pos="55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5" w:name="page36"/>
    <w:bookmarkEnd w:id="35"/>
    <w:p>
      <w:pPr>
        <w:ind w:left="652" w:hanging="652"/>
        <w:spacing w:after="0"/>
        <w:tabs>
          <w:tab w:leader="none" w:pos="6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 w:firstLine="656"/>
        <w:spacing w:after="0" w:line="259" w:lineRule="auto"/>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86" w:lineRule="exact"/>
        <w:rPr>
          <w:rFonts w:ascii="Arial" w:cs="Arial" w:eastAsia="Arial" w:hAnsi="Arial"/>
          <w:sz w:val="18"/>
          <w:szCs w:val="18"/>
          <w:color w:val="auto"/>
        </w:rPr>
      </w:pPr>
    </w:p>
    <w:p>
      <w:pPr>
        <w:ind w:left="-8" w:firstLine="656"/>
        <w:spacing w:after="0" w:line="259" w:lineRule="auto"/>
        <w:tabs>
          <w:tab w:leader="none" w:pos="120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r>
        <w:rPr>
          <w:rFonts w:ascii="Arial" w:cs="Arial" w:eastAsia="Arial" w:hAnsi="Arial"/>
          <w:sz w:val="18"/>
          <w:szCs w:val="18"/>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86" w:lineRule="exact"/>
        <w:rPr>
          <w:rFonts w:ascii="Arial" w:cs="Arial" w:eastAsia="Arial" w:hAnsi="Arial"/>
          <w:sz w:val="18"/>
          <w:szCs w:val="18"/>
          <w:color w:val="auto"/>
        </w:rPr>
      </w:pPr>
    </w:p>
    <w:p>
      <w:pPr>
        <w:ind w:left="-8" w:firstLine="656"/>
        <w:spacing w:after="0" w:line="263" w:lineRule="auto"/>
        <w:tabs>
          <w:tab w:leader="none" w:pos="12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Fractional Shares and Participant Refunds</w:t>
      </w:r>
      <w:r>
        <w:rPr>
          <w:rFonts w:ascii="Arial" w:cs="Arial" w:eastAsia="Arial" w:hAnsi="Arial"/>
          <w:sz w:val="18"/>
          <w:szCs w:val="18"/>
          <w:color w:val="auto"/>
        </w:rPr>
        <w:t>. Fractional Shares shall not be issued under the Plan. Amounts credited to an Account remaining after the application of such Account to the purchase of Shares for any Offering Period, including amounts that remain credited to an Account after the application of Paragraph 3(b)(2), shall be:</w:t>
      </w:r>
    </w:p>
    <w:p>
      <w:pPr>
        <w:spacing w:after="0" w:line="183" w:lineRule="exact"/>
        <w:rPr>
          <w:rFonts w:ascii="Arial" w:cs="Arial" w:eastAsia="Arial" w:hAnsi="Arial"/>
          <w:sz w:val="18"/>
          <w:szCs w:val="18"/>
          <w:color w:val="auto"/>
        </w:rPr>
      </w:pPr>
    </w:p>
    <w:p>
      <w:pPr>
        <w:ind w:left="-8" w:right="260" w:firstLine="1304"/>
        <w:spacing w:after="0" w:line="277" w:lineRule="auto"/>
        <w:tabs>
          <w:tab w:leader="none" w:pos="1858" w:val="left"/>
        </w:tabs>
        <w:numPr>
          <w:ilvl w:val="2"/>
          <w:numId w:val="79"/>
        </w:numPr>
        <w:rPr>
          <w:rFonts w:ascii="Arial" w:cs="Arial" w:eastAsia="Arial" w:hAnsi="Arial"/>
          <w:sz w:val="18"/>
          <w:szCs w:val="18"/>
          <w:color w:val="auto"/>
        </w:rPr>
      </w:pPr>
      <w:r>
        <w:rPr>
          <w:rFonts w:ascii="Arial" w:cs="Arial" w:eastAsia="Arial" w:hAnsi="Arial"/>
          <w:sz w:val="18"/>
          <w:szCs w:val="18"/>
          <w:color w:val="auto"/>
        </w:rPr>
        <w:t>credited to the Participant’s Account for the next succeeding Offering, provided that the Participant continues to be an Eligible Employee and elects to participate in such next succeeding Offering; or</w:t>
      </w:r>
    </w:p>
    <w:p>
      <w:pPr>
        <w:spacing w:after="0" w:line="170" w:lineRule="exact"/>
        <w:rPr>
          <w:rFonts w:ascii="Arial" w:cs="Arial" w:eastAsia="Arial" w:hAnsi="Arial"/>
          <w:sz w:val="18"/>
          <w:szCs w:val="18"/>
          <w:color w:val="auto"/>
        </w:rPr>
      </w:pPr>
    </w:p>
    <w:p>
      <w:pPr>
        <w:ind w:left="-8" w:right="220" w:firstLine="1304"/>
        <w:spacing w:after="0" w:line="342" w:lineRule="auto"/>
        <w:tabs>
          <w:tab w:leader="none" w:pos="1858" w:val="left"/>
        </w:tabs>
        <w:numPr>
          <w:ilvl w:val="2"/>
          <w:numId w:val="79"/>
        </w:numPr>
        <w:rPr>
          <w:rFonts w:ascii="Arial" w:cs="Arial" w:eastAsia="Arial" w:hAnsi="Arial"/>
          <w:sz w:val="16"/>
          <w:szCs w:val="16"/>
          <w:color w:val="auto"/>
        </w:rPr>
      </w:pPr>
      <w:r>
        <w:rPr>
          <w:rFonts w:ascii="Arial" w:cs="Arial" w:eastAsia="Arial" w:hAnsi="Arial"/>
          <w:sz w:val="16"/>
          <w:szCs w:val="16"/>
          <w:color w:val="auto"/>
        </w:rPr>
        <w:t>returned to the Participant as soon as practicable following the Offering Termination Date, without interest, if the Participant is not an Eligible Employee for the next succeeding Offering, or if the Participant fails to elect to participate in such next succeeding Offering.</w:t>
      </w:r>
    </w:p>
    <w:p>
      <w:pPr>
        <w:spacing w:after="0" w:line="123" w:lineRule="exact"/>
        <w:rPr>
          <w:rFonts w:ascii="Arial" w:cs="Arial" w:eastAsia="Arial" w:hAnsi="Arial"/>
          <w:sz w:val="16"/>
          <w:szCs w:val="16"/>
          <w:color w:val="auto"/>
        </w:rPr>
      </w:pPr>
    </w:p>
    <w:p>
      <w:pPr>
        <w:ind w:left="-8" w:right="20" w:firstLine="656"/>
        <w:spacing w:after="0" w:line="263" w:lineRule="auto"/>
        <w:tabs>
          <w:tab w:leader="none" w:pos="120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9" w:lineRule="exact"/>
        <w:rPr>
          <w:rFonts w:ascii="Arial" w:cs="Arial" w:eastAsia="Arial" w:hAnsi="Arial"/>
          <w:sz w:val="18"/>
          <w:szCs w:val="18"/>
          <w:color w:val="auto"/>
        </w:rPr>
      </w:pPr>
    </w:p>
    <w:p>
      <w:pPr>
        <w:ind w:left="652" w:hanging="652"/>
        <w:spacing w:after="0"/>
        <w:tabs>
          <w:tab w:leader="none" w:pos="6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172" w:hanging="524"/>
        <w:spacing w:after="0"/>
        <w:tabs>
          <w:tab w:leader="none" w:pos="1172"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Except as provided in Paragraph 7(c), no amounts shall be distributed from Participants’ Accounts during an Offering Period.</w:t>
      </w:r>
    </w:p>
    <w:p>
      <w:pPr>
        <w:spacing w:after="0" w:line="248" w:lineRule="exact"/>
        <w:rPr>
          <w:rFonts w:ascii="Arial" w:cs="Arial" w:eastAsia="Arial" w:hAnsi="Arial"/>
          <w:sz w:val="16"/>
          <w:szCs w:val="16"/>
          <w:color w:val="auto"/>
        </w:rPr>
      </w:pPr>
    </w:p>
    <w:p>
      <w:pPr>
        <w:ind w:left="-8" w:right="20" w:firstLine="656"/>
        <w:spacing w:after="0" w:line="257" w:lineRule="auto"/>
        <w:tabs>
          <w:tab w:leader="none" w:pos="1165"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Suspension of Participation</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w:t>
      </w:r>
    </w:p>
    <w:p>
      <w:pPr>
        <w:spacing w:after="0" w:line="295" w:lineRule="exact"/>
        <w:rPr>
          <w:rFonts w:ascii="Arial" w:cs="Arial" w:eastAsia="Arial" w:hAnsi="Arial"/>
          <w:sz w:val="18"/>
          <w:szCs w:val="18"/>
          <w:color w:val="auto"/>
        </w:rPr>
      </w:pPr>
    </w:p>
    <w:p>
      <w:pPr>
        <w:ind w:left="5572" w:hanging="106"/>
        <w:spacing w:after="0"/>
        <w:tabs>
          <w:tab w:leader="none" w:pos="5572" w:val="left"/>
        </w:tabs>
        <w:numPr>
          <w:ilvl w:val="3"/>
          <w:numId w:val="79"/>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36" w:name="page37"/>
    <w:bookmarkEnd w:id="36"/>
    <w:p>
      <w:pPr>
        <w:ind w:left="-8" w:right="360" w:firstLine="656"/>
        <w:spacing w:after="0" w:line="277" w:lineRule="auto"/>
        <w:tabs>
          <w:tab w:leader="none" w:pos="110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21" w:lineRule="exact"/>
        <w:rPr>
          <w:rFonts w:ascii="Arial" w:cs="Arial" w:eastAsia="Arial" w:hAnsi="Arial"/>
          <w:sz w:val="18"/>
          <w:szCs w:val="18"/>
          <w:b w:val="1"/>
          <w:bCs w:val="1"/>
          <w:color w:val="auto"/>
        </w:rPr>
      </w:pPr>
    </w:p>
    <w:p>
      <w:pPr>
        <w:ind w:left="652" w:hanging="652"/>
        <w:spacing w:after="0"/>
        <w:tabs>
          <w:tab w:leader="none" w:pos="6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 w:firstLine="656"/>
        <w:spacing w:after="0" w:line="268" w:lineRule="auto"/>
        <w:tabs>
          <w:tab w:leader="none" w:pos="111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Maximum Number of Shares; Adjustments</w:t>
      </w:r>
      <w:r>
        <w:rPr>
          <w:rFonts w:ascii="Arial" w:cs="Arial" w:eastAsia="Arial" w:hAnsi="Arial"/>
          <w:sz w:val="17"/>
          <w:szCs w:val="17"/>
          <w:color w:val="auto"/>
        </w:rPr>
        <w:t>. Subject to adjustment as provided in this Paragraph 9, not more than 101 million Shares in the aggregate may be issued pursuant to the Plan pursuant to Offerings under the Plan, including Offerings commenced since the Plan first became effective as the Comcast Corporation 2001 Employee Stock Purchase Plan; provided that, subject to the approval of the Company’s shareholders at the Company’s Annual Meeting of Shareholders to be held in 2023, the number of Shares in the aggregate that may be issued under the Plan pursuant to the grant of Awards shall be increased from 101 million to 201 million, subject to adjustment in accordance with this Paragraph 9.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84" w:lineRule="exact"/>
        <w:rPr>
          <w:rFonts w:ascii="Arial" w:cs="Arial" w:eastAsia="Arial" w:hAnsi="Arial"/>
          <w:sz w:val="17"/>
          <w:szCs w:val="17"/>
          <w:color w:val="auto"/>
        </w:rPr>
      </w:pPr>
    </w:p>
    <w:p>
      <w:pPr>
        <w:ind w:left="-8" w:right="700" w:firstLine="656"/>
        <w:spacing w:after="0" w:line="277" w:lineRule="auto"/>
        <w:tabs>
          <w:tab w:leader="none" w:pos="112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70" w:lineRule="exact"/>
        <w:rPr>
          <w:rFonts w:ascii="Arial" w:cs="Arial" w:eastAsia="Arial" w:hAnsi="Arial"/>
          <w:sz w:val="18"/>
          <w:szCs w:val="18"/>
          <w:color w:val="auto"/>
        </w:rPr>
      </w:pPr>
    </w:p>
    <w:p>
      <w:pPr>
        <w:ind w:left="-8" w:firstLine="656"/>
        <w:spacing w:after="0" w:line="277" w:lineRule="auto"/>
        <w:tabs>
          <w:tab w:leader="none" w:pos="111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70" w:lineRule="exact"/>
        <w:rPr>
          <w:rFonts w:ascii="Arial" w:cs="Arial" w:eastAsia="Arial" w:hAnsi="Arial"/>
          <w:sz w:val="18"/>
          <w:szCs w:val="18"/>
          <w:color w:val="auto"/>
        </w:rPr>
      </w:pPr>
    </w:p>
    <w:p>
      <w:pPr>
        <w:ind w:left="-8" w:right="140" w:firstLine="656"/>
        <w:spacing w:after="0" w:line="308" w:lineRule="auto"/>
        <w:tabs>
          <w:tab w:leader="none" w:pos="112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Restrictions on Purchase</w:t>
      </w:r>
      <w:r>
        <w:rPr>
          <w:rFonts w:ascii="Arial" w:cs="Arial" w:eastAsia="Arial" w:hAnsi="Arial"/>
          <w:sz w:val="17"/>
          <w:szCs w:val="17"/>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146" w:lineRule="exact"/>
        <w:rPr>
          <w:rFonts w:ascii="Arial" w:cs="Arial" w:eastAsia="Arial" w:hAnsi="Arial"/>
          <w:sz w:val="17"/>
          <w:szCs w:val="17"/>
          <w:color w:val="auto"/>
        </w:rPr>
      </w:pPr>
    </w:p>
    <w:p>
      <w:pPr>
        <w:ind w:left="-8" w:right="40" w:firstLine="656"/>
        <w:spacing w:after="0" w:line="277" w:lineRule="auto"/>
        <w:tabs>
          <w:tab w:leader="none" w:pos="111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w:t>
      </w:r>
    </w:p>
    <w:p>
      <w:pPr>
        <w:spacing w:after="0" w:line="278" w:lineRule="exact"/>
        <w:rPr>
          <w:rFonts w:ascii="Arial" w:cs="Arial" w:eastAsia="Arial" w:hAnsi="Arial"/>
          <w:sz w:val="18"/>
          <w:szCs w:val="18"/>
          <w:color w:val="auto"/>
        </w:rPr>
      </w:pPr>
    </w:p>
    <w:p>
      <w:pPr>
        <w:ind w:left="5572" w:hanging="106"/>
        <w:spacing w:after="0"/>
        <w:tabs>
          <w:tab w:leader="none" w:pos="5572" w:val="left"/>
        </w:tabs>
        <w:numPr>
          <w:ilvl w:val="2"/>
          <w:numId w:val="81"/>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584"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Accounts under the Plan (i) such conditions as it may deem necessary to assure that such sale of Shares is in compliance with applicable securities laws and</w:t>
      </w:r>
    </w:p>
    <w:p>
      <w:pPr>
        <w:spacing w:after="0" w:line="46" w:lineRule="exact"/>
        <w:rPr>
          <w:sz w:val="20"/>
          <w:szCs w:val="20"/>
          <w:color w:val="auto"/>
        </w:rPr>
      </w:pPr>
    </w:p>
    <w:p>
      <w:pPr>
        <w:ind w:right="60" w:firstLine="8"/>
        <w:spacing w:after="0" w:line="255" w:lineRule="auto"/>
        <w:tabs>
          <w:tab w:leader="none" w:pos="2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186"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8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67"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84"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229"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ind w:right="60"/>
        <w:spacing w:after="0" w:line="263" w:lineRule="auto"/>
        <w:rPr>
          <w:sz w:val="20"/>
          <w:szCs w:val="20"/>
          <w:color w:val="auto"/>
        </w:rPr>
      </w:pPr>
      <w:r>
        <w:rPr>
          <w:rFonts w:ascii="Arial" w:cs="Arial" w:eastAsia="Arial" w:hAnsi="Arial"/>
          <w:sz w:val="18"/>
          <w:szCs w:val="18"/>
          <w:color w:val="auto"/>
        </w:rPr>
        <w:t>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80"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original effective date of the Plan was December 20, 2000. The effective date of this amendment and restatement of the Plan is June 7, 2023, subject to approval by the shareholders of the Company.</w:t>
      </w:r>
    </w:p>
    <w:p>
      <w:pPr>
        <w:spacing w:after="0" w:line="166"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240" w:firstLine="656"/>
        <w:spacing w:after="0" w:line="277" w:lineRule="auto"/>
        <w:tabs>
          <w:tab w:leader="none" w:pos="1118"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70" w:lineRule="exact"/>
        <w:rPr>
          <w:rFonts w:ascii="Arial" w:cs="Arial" w:eastAsia="Arial" w:hAnsi="Arial"/>
          <w:sz w:val="18"/>
          <w:szCs w:val="18"/>
          <w:color w:val="auto"/>
        </w:rPr>
      </w:pPr>
    </w:p>
    <w:p>
      <w:pPr>
        <w:ind w:firstLine="656"/>
        <w:spacing w:after="0" w:line="286" w:lineRule="auto"/>
        <w:tabs>
          <w:tab w:leader="none" w:pos="1128"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Securities Law</w:t>
      </w:r>
      <w:r>
        <w:rPr>
          <w:rFonts w:ascii="Arial" w:cs="Arial" w:eastAsia="Arial" w:hAnsi="Arial"/>
          <w:sz w:val="17"/>
          <w:szCs w:val="17"/>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8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9" w:name="page40"/>
    <w:bookmarkEnd w:id="39"/>
    <w:p>
      <w:pPr>
        <w:ind w:left="130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252" w:lineRule="exact"/>
        <w:rPr>
          <w:sz w:val="20"/>
          <w:szCs w:val="20"/>
          <w:color w:val="auto"/>
        </w:rPr>
      </w:pPr>
    </w:p>
    <w:p>
      <w:pPr>
        <w:ind w:left="1300" w:right="1540"/>
        <w:spacing w:after="0" w:line="263" w:lineRule="auto"/>
        <w:rPr>
          <w:sz w:val="20"/>
          <w:szCs w:val="20"/>
          <w:color w:val="auto"/>
        </w:rPr>
      </w:pPr>
      <w:r>
        <w:rPr>
          <w:rFonts w:ascii="Arial" w:cs="Arial" w:eastAsia="Arial" w:hAnsi="Arial"/>
          <w:sz w:val="18"/>
          <w:szCs w:val="18"/>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80"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66"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66"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Plan shall be construed in accordance with the laws of the Commonwealth of Pennsylvania, to the extent not preempted by applicable Federal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1)"/>
      <w:numFmt w:val="lowerRoman"/>
      <w:start w:val="1"/>
    </w:lvl>
  </w:abstractNum>
  <w:abstractNum w:abstractNumId="2">
    <w:nsid w:val="38437FDB"/>
    <w:multiLevelType w:val="hybridMultilevel"/>
    <w:lvl w:ilvl="0">
      <w:lvlJc w:val="left"/>
      <w:lvlText w:val="(%1)"/>
      <w:numFmt w:val="lowerLetter"/>
      <w:start w:val="1"/>
    </w:lvl>
  </w:abstractNum>
  <w:abstractNum w:abstractNumId="3">
    <w:nsid w:val="7644A45C"/>
    <w:multiLevelType w:val="hybridMultilevel"/>
    <w:lvl w:ilvl="0">
      <w:lvlJc w:val="left"/>
      <w:lvlText w:val="(%1)"/>
      <w:numFmt w:val="decimal"/>
      <w:start w:val="6"/>
    </w:lvl>
  </w:abstractNum>
  <w:abstractNum w:abstractNumId="4">
    <w:nsid w:val="32FFF902"/>
    <w:multiLevelType w:val="hybridMultilevel"/>
    <w:lvl w:ilvl="0">
      <w:lvlJc w:val="left"/>
      <w:lvlText w:val="(%1)"/>
      <w:numFmt w:val="lowerLetter"/>
      <w:start w:val="4"/>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lowerLetter"/>
      <w:start w:val="1"/>
    </w:lvl>
  </w:abstractNum>
  <w:abstractNum w:abstractNumId="7">
    <w:nsid w:val="749ABB43"/>
    <w:multiLevelType w:val="hybridMultilevel"/>
    <w:lvl w:ilvl="0">
      <w:lvlJc w:val="left"/>
      <w:lvlText w:val="%1."/>
      <w:numFmt w:val="decimal"/>
      <w:start w:val="2"/>
    </w:lvl>
  </w:abstractNum>
  <w:abstractNum w:abstractNumId="8">
    <w:nsid w:val="3DC240FB"/>
    <w:multiLevelType w:val="hybridMultilevel"/>
    <w:lvl w:ilvl="0">
      <w:lvlJc w:val="left"/>
      <w:lvlText w:val="(%1)"/>
      <w:numFmt w:val="lowerLetter"/>
      <w:start w:val="1"/>
    </w:lvl>
  </w:abstractNum>
  <w:abstractNum w:abstractNumId="9">
    <w:nsid w:val="1BA026F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0">
    <w:nsid w:val="79A1DEAA"/>
    <w:multiLevelType w:val="hybridMultilevel"/>
    <w:lvl w:ilvl="0">
      <w:lvlJc w:val="left"/>
      <w:lvlText w:val="(%1)"/>
      <w:numFmt w:val="lowerLetter"/>
      <w:start w:val="6"/>
    </w:lvl>
  </w:abstractNum>
  <w:abstractNum w:abstractNumId="11">
    <w:nsid w:val="75C6C33A"/>
    <w:multiLevelType w:val="hybridMultilevel"/>
    <w:lvl w:ilvl="0">
      <w:lvlJc w:val="left"/>
      <w:lvlText w:val="(%1)"/>
      <w:numFmt w:val="lowerLetter"/>
      <w:start w:val="17"/>
    </w:lvl>
    <w:lvl w:ilvl="1">
      <w:lvlJc w:val="left"/>
      <w:lvlText w:val="(%2)"/>
      <w:numFmt w:val="lowerRoman"/>
      <w:start w:val="1"/>
    </w:lvl>
  </w:abstractNum>
  <w:abstractNum w:abstractNumId="12">
    <w:nsid w:val="12E685FB"/>
    <w:multiLevelType w:val="hybridMultilevel"/>
    <w:lvl w:ilvl="0">
      <w:lvlJc w:val="left"/>
      <w:lvlText w:val="(%1)"/>
      <w:numFmt w:val="lowerLetter"/>
      <w:start w:val="25"/>
    </w:lvl>
  </w:abstractNum>
  <w:abstractNum w:abstractNumId="13">
    <w:nsid w:val="70C6A529"/>
    <w:multiLevelType w:val="hybridMultilevel"/>
    <w:lvl w:ilvl="0">
      <w:lvlJc w:val="left"/>
      <w:lvlText w:val="(%1)"/>
      <w:numFmt w:val="lowerLetter"/>
      <w:start w:val="27"/>
    </w:lvl>
  </w:abstractNum>
  <w:abstractNum w:abstractNumId="14">
    <w:nsid w:val="520EEDD1"/>
    <w:multiLevelType w:val="hybridMultilevel"/>
    <w:lvl w:ilvl="0">
      <w:lvlJc w:val="left"/>
      <w:lvlText w:val="(%1)"/>
      <w:numFmt w:val="lowerLetter"/>
      <w:start w:val="37"/>
    </w:lvl>
    <w:lvl w:ilvl="1">
      <w:lvlJc w:val="left"/>
      <w:lvlText w:val="(%2)"/>
      <w:numFmt w:val="lowerRoman"/>
      <w:start w:val="1"/>
    </w:lvl>
  </w:abstractNum>
  <w:abstractNum w:abstractNumId="15">
    <w:nsid w:val="374A3FE6"/>
    <w:multiLevelType w:val="hybridMultilevel"/>
    <w:lvl w:ilvl="0">
      <w:lvlJc w:val="left"/>
      <w:lvlText w:val="(%1)"/>
      <w:numFmt w:val="lowerLetter"/>
      <w:start w:val="40"/>
    </w:lvl>
  </w:abstractNum>
  <w:abstractNum w:abstractNumId="16">
    <w:nsid w:val="4F4EF005"/>
    <w:multiLevelType w:val="hybridMultilevel"/>
    <w:lvl w:ilvl="0">
      <w:lvlJc w:val="left"/>
      <w:lvlText w:val="(%1)"/>
      <w:numFmt w:val="lowerLetter"/>
      <w:start w:val="42"/>
    </w:lvl>
  </w:abstractNum>
  <w:abstractNum w:abstractNumId="17">
    <w:nsid w:val="23F9C13C"/>
    <w:multiLevelType w:val="hybridMultilevel"/>
    <w:lvl w:ilvl="0">
      <w:lvlJc w:val="left"/>
      <w:lvlText w:val="%1."/>
      <w:numFmt w:val="decimal"/>
      <w:start w:val="3"/>
    </w:lvl>
  </w:abstractNum>
  <w:abstractNum w:abstractNumId="18">
    <w:nsid w:val="649BB77C"/>
    <w:multiLevelType w:val="hybridMultilevel"/>
    <w:lvl w:ilvl="0">
      <w:lvlJc w:val="left"/>
      <w:lvlText w:val="%1"/>
      <w:numFmt w:val="lowerLetter"/>
      <w:start w:val="1"/>
    </w:lvl>
    <w:lvl w:ilvl="1">
      <w:lvlJc w:val="left"/>
      <w:lvlText w:val="(%2)"/>
      <w:numFmt w:val="lowerLetter"/>
      <w:start w:val="1"/>
    </w:lvl>
  </w:abstractNum>
  <w:abstractNum w:abstractNumId="19">
    <w:nsid w:val="275AC794"/>
    <w:multiLevelType w:val="hybridMultilevel"/>
    <w:lvl w:ilvl="0">
      <w:lvlJc w:val="left"/>
      <w:lvlText w:val="(%1)"/>
      <w:numFmt w:val="lowerLetter"/>
      <w:start w:val="24"/>
    </w:lvl>
    <w:lvl w:ilvl="1">
      <w:lvlJc w:val="left"/>
      <w:lvlText w:val="(%2)"/>
      <w:numFmt w:val="lowerLetter"/>
      <w:start w:val="6"/>
    </w:lvl>
  </w:abstractNum>
  <w:abstractNum w:abstractNumId="20">
    <w:nsid w:val="39386575"/>
    <w:multiLevelType w:val="hybridMultilevel"/>
    <w:lvl w:ilvl="0">
      <w:lvlJc w:val="left"/>
      <w:lvlText w:val="%1."/>
      <w:numFmt w:val="decimal"/>
      <w:start w:val="4"/>
    </w:lvl>
  </w:abstractNum>
  <w:abstractNum w:abstractNumId="21">
    <w:nsid w:val="1CF10FD8"/>
    <w:multiLevelType w:val="hybridMultilevel"/>
    <w:lvl w:ilvl="0">
      <w:lvlJc w:val="left"/>
      <w:lvlText w:val="(%1)"/>
      <w:numFmt w:val="lowerLetter"/>
      <w:start w:val="1"/>
    </w:lvl>
    <w:lvl w:ilvl="1">
      <w:lvlJc w:val="left"/>
      <w:lvlText w:val="(%2)"/>
      <w:numFmt w:val="lowerLetter"/>
      <w:start w:val="9"/>
    </w:lvl>
  </w:abstractNum>
  <w:abstractNum w:abstractNumId="22">
    <w:nsid w:val="180115BE"/>
    <w:multiLevelType w:val="hybridMultilevel"/>
    <w:lvl w:ilvl="0">
      <w:lvlJc w:val="left"/>
      <w:lvlText w:val="(%1)"/>
      <w:numFmt w:val="lowerRoman"/>
      <w:start w:val="2"/>
    </w:lvl>
  </w:abstractNum>
  <w:abstractNum w:abstractNumId="23">
    <w:nsid w:val="235BA861"/>
    <w:multiLevelType w:val="hybridMultilevel"/>
    <w:lvl w:ilvl="0">
      <w:lvlJc w:val="left"/>
      <w:lvlText w:val="(%1)"/>
      <w:numFmt w:val="lowerLetter"/>
      <w:start w:val="2"/>
    </w:lvl>
  </w:abstractNum>
  <w:abstractNum w:abstractNumId="24">
    <w:nsid w:val="47398C89"/>
    <w:multiLevelType w:val="hybridMultilevel"/>
    <w:lvl w:ilvl="0">
      <w:lvlJc w:val="left"/>
      <w:lvlText w:val="%1."/>
      <w:numFmt w:val="decimal"/>
      <w:start w:val="5"/>
    </w:lvl>
  </w:abstractNum>
  <w:abstractNum w:abstractNumId="25">
    <w:nsid w:val="354FE9F9"/>
    <w:multiLevelType w:val="hybridMultilevel"/>
    <w:lvl w:ilvl="0">
      <w:lvlJc w:val="left"/>
      <w:lvlText w:val="(%1)"/>
      <w:numFmt w:val="lowerLetter"/>
      <w:start w:val="1"/>
    </w:lvl>
    <w:lvl w:ilvl="1">
      <w:lvlJc w:val="left"/>
      <w:lvlText w:val="(%2)"/>
      <w:numFmt w:val="lowerRoman"/>
      <w:start w:val="1"/>
    </w:lvl>
  </w:abstractNum>
  <w:abstractNum w:abstractNumId="26">
    <w:nsid w:val="15B5AF5C"/>
    <w:multiLevelType w:val="hybridMultilevel"/>
    <w:lvl w:ilvl="0">
      <w:lvlJc w:val="left"/>
      <w:lvlText w:val="(%1)"/>
      <w:numFmt w:val="lowerRoman"/>
      <w:start w:val="5"/>
    </w:lvl>
  </w:abstractNum>
  <w:abstractNum w:abstractNumId="27">
    <w:nsid w:val="741226BB"/>
    <w:multiLevelType w:val="hybridMultilevel"/>
    <w:lvl w:ilvl="0">
      <w:lvlJc w:val="left"/>
      <w:lvlText w:val="(%1)"/>
      <w:numFmt w:val="lowerLetter"/>
      <w:start w:val="3"/>
    </w:lvl>
    <w:lvl w:ilvl="1">
      <w:lvlJc w:val="left"/>
      <w:lvlText w:val="(%2)"/>
      <w:numFmt w:val="lowerRoman"/>
      <w:start w:val="1"/>
    </w:lvl>
  </w:abstractNum>
  <w:abstractNum w:abstractNumId="28">
    <w:nsid w:val="D34B6A8"/>
    <w:multiLevelType w:val="hybridMultilevel"/>
    <w:lvl w:ilvl="0">
      <w:lvlJc w:val="left"/>
      <w:lvlText w:val="%1."/>
      <w:numFmt w:val="decimal"/>
      <w:start w:val="6"/>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decimal"/>
      <w:start w:val="7"/>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1)"/>
      <w:numFmt w:val="lowerLetter"/>
      <w:start w:val="3"/>
    </w:lvl>
  </w:abstractNum>
  <w:abstractNum w:abstractNumId="33">
    <w:nsid w:val="77AE35EB"/>
    <w:multiLevelType w:val="hybridMultilevel"/>
    <w:lvl w:ilvl="0">
      <w:lvlJc w:val="left"/>
      <w:lvlText w:val="%1."/>
      <w:numFmt w:val="decimal"/>
      <w:start w:val="8"/>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1)"/>
      <w:numFmt w:val="lowerLetter"/>
      <w:start w:val="4"/>
    </w:lvl>
  </w:abstractNum>
  <w:abstractNum w:abstractNumId="36">
    <w:nsid w:val="5FF87E05"/>
    <w:multiLevelType w:val="hybridMultilevel"/>
    <w:lvl w:ilvl="0">
      <w:lvlJc w:val="left"/>
      <w:lvlText w:val="%1."/>
      <w:numFmt w:val="decimal"/>
      <w:start w:val="9"/>
    </w:lvl>
  </w:abstractNum>
  <w:abstractNum w:abstractNumId="37">
    <w:nsid w:val="2F305DEF"/>
    <w:multiLevelType w:val="hybridMultilevel"/>
    <w:lvl w:ilvl="0">
      <w:lvlJc w:val="left"/>
      <w:lvlText w:val="(%1)"/>
      <w:numFmt w:val="lowerLetter"/>
      <w:start w:val="1"/>
    </w:lvl>
    <w:lvl w:ilvl="1">
      <w:lvlJc w:val="left"/>
      <w:lvlText w:val="(%2)"/>
      <w:numFmt w:val="lowerRoman"/>
      <w:start w:val="1"/>
    </w:lvl>
  </w:abstractNum>
  <w:abstractNum w:abstractNumId="38">
    <w:nsid w:val="25A70BF7"/>
    <w:multiLevelType w:val="hybridMultilevel"/>
    <w:lvl w:ilvl="0">
      <w:lvlJc w:val="left"/>
      <w:lvlText w:val="%1"/>
      <w:numFmt w:val="lowerLetter"/>
      <w:start w:val="1"/>
    </w:lvl>
    <w:lvl w:ilvl="1">
      <w:lvlJc w:val="left"/>
      <w:lvlText w:val="(%2)"/>
      <w:numFmt w:val="lowerRoman"/>
      <w:start w:val="4"/>
    </w:lvl>
  </w:abstractNum>
  <w:abstractNum w:abstractNumId="39">
    <w:nsid w:val="1DBABF00"/>
    <w:multiLevelType w:val="hybridMultilevel"/>
    <w:lvl w:ilvl="0">
      <w:lvlJc w:val="left"/>
      <w:lvlText w:val="(%1)"/>
      <w:numFmt w:val="lowerLetter"/>
      <w:start w:val="3"/>
    </w:lvl>
    <w:lvl w:ilvl="1">
      <w:lvlJc w:val="left"/>
      <w:lvlText w:val="%2"/>
      <w:numFmt w:val="lowerRoman"/>
      <w:start w:val="1"/>
    </w:lvl>
  </w:abstractNum>
  <w:abstractNum w:abstractNumId="40">
    <w:nsid w:val="4AD084E9"/>
    <w:multiLevelType w:val="hybridMultilevel"/>
    <w:lvl w:ilvl="0">
      <w:lvlJc w:val="left"/>
      <w:lvlText w:val="(%1)"/>
      <w:numFmt w:val="lowerRoman"/>
      <w:start w:val="1"/>
    </w:lvl>
  </w:abstractNum>
  <w:abstractNum w:abstractNumId="41">
    <w:nsid w:val="1F48EAA1"/>
    <w:multiLevelType w:val="hybridMultilevel"/>
    <w:lvl w:ilvl="0">
      <w:lvlJc w:val="left"/>
      <w:lvlText w:val="(%1)"/>
      <w:numFmt w:val="lowerLetter"/>
      <w:start w:val="5"/>
    </w:lvl>
    <w:lvl w:ilvl="1">
      <w:lvlJc w:val="left"/>
      <w:lvlText w:val="(%2)"/>
      <w:numFmt w:val="lowerRoman"/>
      <w:start w:val="1"/>
    </w:lvl>
  </w:abstractNum>
  <w:abstractNum w:abstractNumId="42">
    <w:nsid w:val="138182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
    <w:nsid w:val="5DB70AE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4">
    <w:nsid w:val="100F8FCA"/>
    <w:multiLevelType w:val="hybridMultilevel"/>
    <w:lvl w:ilvl="0">
      <w:lvlJc w:val="left"/>
      <w:lvlText w:val="(%1)"/>
      <w:numFmt w:val="lowerRoman"/>
      <w:start w:val="3"/>
    </w:lvl>
    <w:lvl w:ilvl="1">
      <w:lvlJc w:val="left"/>
      <w:lvlText w:val="(%2)"/>
      <w:numFmt w:val="upperLetter"/>
      <w:start w:val="1"/>
    </w:lvl>
  </w:abstractNum>
  <w:abstractNum w:abstractNumId="45">
    <w:nsid w:val="6590700B"/>
    <w:multiLevelType w:val="hybridMultilevel"/>
    <w:lvl w:ilvl="0">
      <w:lvlJc w:val="left"/>
      <w:lvlText w:val="(%1)"/>
      <w:numFmt w:val="lowerLetter"/>
      <w:start w:val="8"/>
    </w:lvl>
  </w:abstractNum>
  <w:abstractNum w:abstractNumId="46">
    <w:nsid w:val="15014ACB"/>
    <w:multiLevelType w:val="hybridMultilevel"/>
    <w:lvl w:ilvl="0">
      <w:lvlJc w:val="left"/>
      <w:lvlText w:val="%1."/>
      <w:numFmt w:val="decimal"/>
      <w:start w:val="10"/>
    </w:lvl>
    <w:lvl w:ilvl="1">
      <w:lvlJc w:val="left"/>
      <w:lvlText w:val="(%2)"/>
      <w:numFmt w:val="lowerLetter"/>
      <w:start w:val="1"/>
    </w:lvl>
  </w:abstractNum>
  <w:abstractNum w:abstractNumId="47">
    <w:nsid w:val="5F5E7FD0"/>
    <w:multiLevelType w:val="hybridMultilevel"/>
    <w:lvl w:ilvl="0">
      <w:lvlJc w:val="left"/>
      <w:lvlText w:val="%1."/>
      <w:numFmt w:val="decimal"/>
      <w:start w:val="11"/>
    </w:lvl>
  </w:abstractNum>
  <w:abstractNum w:abstractNumId="48">
    <w:nsid w:val="98A3148"/>
    <w:multiLevelType w:val="hybridMultilevel"/>
    <w:lvl w:ilvl="0">
      <w:lvlJc w:val="left"/>
      <w:lvlText w:val="(%1)"/>
      <w:numFmt w:val="lowerLetter"/>
      <w:start w:val="1"/>
    </w:lvl>
    <w:lvl w:ilvl="1">
      <w:lvlJc w:val="left"/>
      <w:lvlText w:val="(%2)"/>
      <w:numFmt w:val="lowerLetter"/>
      <w:start w:val="9"/>
    </w:lvl>
  </w:abstractNum>
  <w:abstractNum w:abstractNumId="49">
    <w:nsid w:val="799D0247"/>
    <w:multiLevelType w:val="hybridMultilevel"/>
    <w:lvl w:ilvl="0">
      <w:lvlJc w:val="left"/>
      <w:lvlText w:val="(%1)"/>
      <w:numFmt w:val="lowerRoman"/>
      <w:start w:val="2"/>
    </w:lvl>
  </w:abstractNum>
  <w:abstractNum w:abstractNumId="50">
    <w:nsid w:val="6B94764"/>
    <w:multiLevelType w:val="hybridMultilevel"/>
    <w:lvl w:ilvl="0">
      <w:lvlJc w:val="left"/>
      <w:lvlText w:val="(%1)"/>
      <w:numFmt w:val="lowerRoman"/>
      <w:start w:val="3"/>
    </w:lvl>
  </w:abstractNum>
  <w:abstractNum w:abstractNumId="51">
    <w:nsid w:val="42C296BD"/>
    <w:multiLevelType w:val="hybridMultilevel"/>
    <w:lvl w:ilvl="0">
      <w:lvlJc w:val="left"/>
      <w:lvlText w:val="(%1)"/>
      <w:numFmt w:val="lowerLetter"/>
      <w:start w:val="4"/>
    </w:lvl>
  </w:abstractNum>
  <w:abstractNum w:abstractNumId="52">
    <w:nsid w:val="168E121F"/>
    <w:multiLevelType w:val="hybridMultilevel"/>
    <w:lvl w:ilvl="0">
      <w:lvlJc w:val="left"/>
      <w:lvlText w:val="(%1)"/>
      <w:numFmt w:val="lowerLetter"/>
      <w:start w:val="5"/>
    </w:lvl>
  </w:abstractNum>
  <w:abstractNum w:abstractNumId="53">
    <w:nsid w:val="1EBA5D23"/>
    <w:multiLevelType w:val="hybridMultilevel"/>
    <w:lvl w:ilvl="0">
      <w:lvlJc w:val="left"/>
      <w:lvlText w:val="%1."/>
      <w:numFmt w:val="decimal"/>
      <w:start w:val="12"/>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decimal"/>
      <w:start w:val="13"/>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decimal"/>
      <w:start w:val="14"/>
    </w:lvl>
  </w:abstractNum>
  <w:abstractNum w:abstractNumId="59">
    <w:nsid w:val="613EFDC5"/>
    <w:multiLevelType w:val="hybridMultilevel"/>
    <w:lvl w:ilvl="0">
      <w:lvlJc w:val="left"/>
      <w:lvlText w:val="%1."/>
      <w:numFmt w:val="decimal"/>
      <w:start w:val="15"/>
    </w:lvl>
  </w:abstractNum>
  <w:abstractNum w:abstractNumId="60">
    <w:nsid w:val="BF72B14"/>
    <w:multiLevelType w:val="hybridMultilevel"/>
    <w:lvl w:ilvl="0">
      <w:lvlJc w:val="left"/>
      <w:lvlText w:val="(%1)"/>
      <w:numFmt w:val="lowerLetter"/>
      <w:start w:val="1"/>
    </w:lvl>
    <w:lvl w:ilvl="1">
      <w:lvlJc w:val="left"/>
      <w:lvlText w:val="(%2)"/>
      <w:numFmt w:val="lowerRoman"/>
      <w:start w:val="1"/>
    </w:lvl>
  </w:abstractNum>
  <w:abstractNum w:abstractNumId="61">
    <w:nsid w:val="11447B73"/>
    <w:multiLevelType w:val="hybridMultilevel"/>
    <w:lvl w:ilvl="0">
      <w:lvlJc w:val="left"/>
      <w:lvlText w:val="%1."/>
      <w:numFmt w:val="decimal"/>
      <w:start w:val="16"/>
    </w:lvl>
  </w:abstractNum>
  <w:abstractNum w:abstractNumId="62">
    <w:nsid w:val="42963E5A"/>
    <w:multiLevelType w:val="hybridMultilevel"/>
    <w:lvl w:ilvl="0">
      <w:lvlJc w:val="left"/>
      <w:lvlText w:val="%1"/>
      <w:numFmt w:val="lowerLetter"/>
      <w:start w:val="1"/>
    </w:lvl>
    <w:lvl w:ilvl="1">
      <w:lvlJc w:val="left"/>
      <w:lvlText w:val="(%2)"/>
      <w:numFmt w:val="lowerLetter"/>
      <w:start w:val="1"/>
    </w:lvl>
  </w:abstractNum>
  <w:abstractNum w:abstractNumId="63">
    <w:nsid w:val="A0382C5"/>
    <w:multiLevelType w:val="hybridMultilevel"/>
    <w:lvl w:ilvl="0">
      <w:lvlJc w:val="left"/>
      <w:lvlText w:val="(%1)"/>
      <w:numFmt w:val="lowerLetter"/>
      <w:start w:val="35"/>
    </w:lvl>
    <w:lvl w:ilvl="1">
      <w:lvlJc w:val="left"/>
      <w:lvlText w:val="(%2)"/>
      <w:numFmt w:val="lowerLetter"/>
      <w:start w:val="2"/>
    </w:lvl>
  </w:abstractNum>
  <w:abstractNum w:abstractNumId="64">
    <w:nsid w:val="8F2B15E"/>
    <w:multiLevelType w:val="hybridMultilevel"/>
    <w:lvl w:ilvl="0">
      <w:lvlJc w:val="left"/>
      <w:lvlText w:val="(%1)"/>
      <w:numFmt w:val="lowerLetter"/>
      <w:start w:val="3"/>
    </w:lvl>
  </w:abstractNum>
  <w:abstractNum w:abstractNumId="65">
    <w:nsid w:val="1A32234B"/>
    <w:multiLevelType w:val="hybridMultilevel"/>
    <w:lvl w:ilvl="0">
      <w:lvlJc w:val="left"/>
      <w:lvlText w:val="%1."/>
      <w:numFmt w:val="decimal"/>
      <w:start w:val="17"/>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7"/>
    </w:lvl>
  </w:abstractNum>
  <w:abstractNum w:abstractNumId="68">
    <w:nsid w:val="4962813B"/>
    <w:multiLevelType w:val="hybridMultilevel"/>
    <w:lvl w:ilvl="0">
      <w:lvlJc w:val="left"/>
      <w:lvlText w:val="%1."/>
      <w:numFmt w:val="decimal"/>
      <w:start w:val="18"/>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2"/>
    </w:lvl>
    <w:lvl w:ilvl="1">
      <w:lvlJc w:val="left"/>
      <w:lvlText w:val="(%2)"/>
      <w:numFmt w:val="lowerLetter"/>
      <w:start w:val="1"/>
    </w:lvl>
  </w:abstractNum>
  <w:abstractNum w:abstractNumId="71">
    <w:nsid w:val="14330624"/>
    <w:multiLevelType w:val="hybridMultilevel"/>
    <w:lvl w:ilvl="0">
      <w:lvlJc w:val="left"/>
      <w:lvlText w:val="(%1)"/>
      <w:numFmt w:val="lowerLetter"/>
      <w:start w:val="9"/>
    </w:lvl>
    <w:lvl w:ilvl="1">
      <w:lvlJc w:val="left"/>
      <w:lvlText w:val="(%2)"/>
      <w:numFmt w:val="decimal"/>
      <w:start w:val="1"/>
    </w:lvl>
  </w:abstractNum>
  <w:abstractNum w:abstractNumId="72">
    <w:nsid w:val="7FFFCA11"/>
    <w:multiLevelType w:val="hybridMultilevel"/>
    <w:lvl w:ilvl="0">
      <w:lvlJc w:val="left"/>
      <w:lvlText w:val="(%1)"/>
      <w:numFmt w:val="lowerLetter"/>
      <w:start w:val="18"/>
    </w:lvl>
  </w:abstractNum>
  <w:abstractNum w:abstractNumId="73">
    <w:nsid w:val="1A27709E"/>
    <w:multiLevelType w:val="hybridMultilevel"/>
    <w:lvl w:ilvl="0">
      <w:lvlJc w:val="left"/>
      <w:lvlText w:val="(%1)"/>
      <w:numFmt w:val="lowerLetter"/>
      <w:start w:val="27"/>
    </w:lvl>
    <w:lvl w:ilvl="1">
      <w:lvlJc w:val="left"/>
      <w:lvlText w:val="(%2)"/>
      <w:numFmt w:val="decimal"/>
      <w:start w:val="1"/>
    </w:lvl>
    <w:lvl w:ilvl="2">
      <w:lvlJc w:val="left"/>
      <w:lvlText w:val="-"/>
      <w:numFmt w:val="bullet"/>
      <w:start w:val="1"/>
    </w:lvl>
  </w:abstractNum>
  <w:abstractNum w:abstractNumId="74">
    <w:nsid w:val="71EA1109"/>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lvl w:ilvl="3">
      <w:lvlJc w:val="left"/>
      <w:lvlText w:val="-"/>
      <w:numFmt w:val="bullet"/>
      <w:start w:val="1"/>
    </w:lvl>
  </w:abstractNum>
  <w:abstractNum w:abstractNumId="75">
    <w:nsid w:val="100F59D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76">
    <w:nsid w:val="7FB7E0AA"/>
    <w:multiLevelType w:val="hybridMultilevel"/>
    <w:lvl w:ilvl="0">
      <w:lvlJc w:val="left"/>
      <w:lvlText w:val="%1."/>
      <w:numFmt w:val="decimal"/>
      <w:start w:val="4"/>
    </w:lvl>
  </w:abstractNum>
  <w:abstractNum w:abstractNumId="77">
    <w:nsid w:val="6EB5BD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78">
    <w:nsid w:val="6F6DD9A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79">
    <w:nsid w:val="94211F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80">
    <w:nsid w:val="885E1B"/>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81">
    <w:nsid w:val="76272110"/>
    <w:multiLevelType w:val="hybridMultilevel"/>
    <w:lvl w:ilvl="0">
      <w:lvlJc w:val="left"/>
      <w:lvlText w:val="(%1)"/>
      <w:numFmt w:val="lowerRoman"/>
      <w:start w:val="2"/>
    </w:lvl>
  </w:abstractNum>
  <w:abstractNum w:abstractNumId="82">
    <w:nsid w:val="4C04A8AF"/>
    <w:multiLevelType w:val="hybridMultilevel"/>
    <w:lvl w:ilvl="0">
      <w:lvlJc w:val="left"/>
      <w:lvlText w:val="%1."/>
      <w:numFmt w:val="decimal"/>
      <w:start w:val="10"/>
    </w:lvl>
  </w:abstractNum>
  <w:abstractNum w:abstractNumId="83">
    <w:nsid w:val="1716703B"/>
    <w:multiLevelType w:val="hybridMultilevel"/>
    <w:lvl w:ilvl="0">
      <w:lvlJc w:val="left"/>
      <w:lvlText w:val="%1."/>
      <w:numFmt w:val="decimal"/>
      <w:start w:val="11"/>
    </w:lvl>
  </w:abstractNum>
  <w:abstractNum w:abstractNumId="84">
    <w:nsid w:val="14E17E33"/>
    <w:multiLevelType w:val="hybridMultilevel"/>
    <w:lvl w:ilvl="0">
      <w:lvlJc w:val="left"/>
      <w:lvlText w:val="%1."/>
      <w:numFmt w:val="decimal"/>
      <w:start w:val="12"/>
    </w:lvl>
  </w:abstractNum>
  <w:abstractNum w:abstractNumId="85">
    <w:nsid w:val="3222E7CD"/>
    <w:multiLevelType w:val="hybridMultilevel"/>
    <w:lvl w:ilvl="0">
      <w:lvlJc w:val="left"/>
      <w:lvlText w:val="%1."/>
      <w:numFmt w:val="decimal"/>
      <w:start w:val="14"/>
    </w:lvl>
  </w:abstractNum>
  <w:abstractNum w:abstractNumId="86">
    <w:nsid w:val="74DE0EE3"/>
    <w:multiLevelType w:val="hybridMultilevel"/>
    <w:lvl w:ilvl="0">
      <w:lvlJc w:val="left"/>
      <w:lvlText w:val="%1."/>
      <w:numFmt w:val="decimal"/>
      <w:start w:val="15"/>
    </w:lvl>
  </w:abstractNum>
  <w:abstractNum w:abstractNumId="87">
    <w:nsid w:val="68EBC550"/>
    <w:multiLevelType w:val="hybridMultilevel"/>
    <w:lvl w:ilvl="0">
      <w:lvlJc w:val="left"/>
      <w:lvlText w:val="%1."/>
      <w:numFmt w:val="decimal"/>
      <w:start w:val="16"/>
    </w:lvl>
    <w:lvl w:ilvl="1">
      <w:lvlJc w:val="left"/>
      <w:lvlText w:val="(%2)"/>
      <w:numFmt w:val="lowerLetter"/>
      <w:start w:val="1"/>
    </w:lvl>
  </w:abstractNum>
  <w:abstractNum w:abstractNumId="88">
    <w:nsid w:val="2DF6D648"/>
    <w:multiLevelType w:val="hybridMultilevel"/>
    <w:lvl w:ilvl="0">
      <w:lvlJc w:val="left"/>
      <w:lvlText w:val="%1."/>
      <w:numFmt w:val="decimal"/>
      <w:start w:val="18"/>
    </w:lvl>
  </w:abstractNum>
  <w:abstractNum w:abstractNumId="89">
    <w:nsid w:val="46B7D447"/>
    <w:multiLevelType w:val="hybridMultilevel"/>
    <w:lvl w:ilvl="0">
      <w:lvlJc w:val="left"/>
      <w:lvlText w:val="%1."/>
      <w:numFmt w:val="decimal"/>
      <w:start w:val="19"/>
    </w:lvl>
  </w:abstractNum>
  <w:abstractNum w:abstractNumId="90">
    <w:nsid w:val="4A2AC315"/>
    <w:multiLevelType w:val="hybridMultilevel"/>
    <w:lvl w:ilvl="0">
      <w:lvlJc w:val="left"/>
      <w:lvlText w:val="%1."/>
      <w:numFmt w:val="decimal"/>
      <w:start w:val="21"/>
    </w:lvl>
  </w:abstractNum>
  <w:abstractNum w:abstractNumId="91">
    <w:nsid w:val="39EE015C"/>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2023-06-09T14:33:53Z</dcterms:created>
  <dcterms:modified xsi:type="dcterms:W3CDTF">2023-06-09T14:33:53Z</dcterms:modified>
</cp:coreProperties>
</file>