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9"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99"/>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80" w:hanging="432"/>
        <w:spacing w:after="0" w:line="246"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7"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120" w:right="20" w:hanging="4"/>
        <w:spacing w:after="0" w:line="261" w:lineRule="auto"/>
        <w:tabs>
          <w:tab w:leader="none" w:pos="43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80" w:hanging="432"/>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-3250565</wp:posOffset>
            </wp:positionV>
            <wp:extent cx="6437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-2924810</wp:posOffset>
            </wp:positionV>
            <wp:extent cx="6437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-2470785</wp:posOffset>
            </wp:positionV>
            <wp:extent cx="643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-2153285</wp:posOffset>
            </wp:positionV>
            <wp:extent cx="643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-1827530</wp:posOffset>
            </wp:positionV>
            <wp:extent cx="643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-1450340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-807720</wp:posOffset>
            </wp:positionV>
            <wp:extent cx="6437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-490220</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-164465</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160655</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205740</wp:posOffset>
            </wp:positionV>
            <wp:extent cx="96012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01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0A33A5"/>
        </w:rPr>
        <w:t>Notice of 2020 Annual Meeting of Shareholders of Comcast Corporation</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June 3, 2020</w:t>
            </w:r>
          </w:p>
        </w:tc>
        <w:tc>
          <w:tcPr>
            <w:tcW w:w="4520" w:type="dxa"/>
            <w:vAlign w:val="bottom"/>
          </w:tcPr>
          <w:p>
            <w:pPr>
              <w:spacing w:after="0"/>
              <w:rPr>
                <w:sz w:val="18"/>
                <w:szCs w:val="18"/>
                <w:color w:val="auto"/>
              </w:rPr>
            </w:pPr>
          </w:p>
        </w:tc>
      </w:tr>
      <w:tr>
        <w:trPr>
          <w:trHeight w:val="296"/>
        </w:trPr>
        <w:tc>
          <w:tcPr>
            <w:tcW w:w="1000" w:type="dxa"/>
            <w:vAlign w:val="bottom"/>
          </w:tcPr>
          <w:p>
            <w:pPr>
              <w:spacing w:after="0"/>
              <w:rPr>
                <w:sz w:val="20"/>
                <w:szCs w:val="20"/>
                <w:color w:val="auto"/>
              </w:rPr>
            </w:pPr>
            <w:r>
              <w:rPr>
                <w:rFonts w:ascii="Arial" w:cs="Arial" w:eastAsia="Arial" w:hAnsi="Arial"/>
                <w:sz w:val="18"/>
                <w:szCs w:val="18"/>
                <w:color w:val="auto"/>
              </w:rPr>
              <w:t>Time:</w:t>
            </w: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Online check-in begins:</w:t>
            </w:r>
          </w:p>
        </w:tc>
        <w:tc>
          <w:tcPr>
            <w:tcW w:w="4520" w:type="dxa"/>
            <w:vAlign w:val="bottom"/>
          </w:tcPr>
          <w:p>
            <w:pPr>
              <w:ind w:left="180"/>
              <w:spacing w:after="0"/>
              <w:rPr>
                <w:sz w:val="20"/>
                <w:szCs w:val="20"/>
                <w:color w:val="auto"/>
              </w:rPr>
            </w:pPr>
            <w:r>
              <w:rPr>
                <w:rFonts w:ascii="Arial" w:cs="Arial" w:eastAsia="Arial" w:hAnsi="Arial"/>
                <w:sz w:val="18"/>
                <w:szCs w:val="18"/>
                <w:color w:val="auto"/>
              </w:rPr>
              <w:t>8:45 a.m. Eastern Time</w:t>
            </w:r>
          </w:p>
        </w:tc>
      </w:tr>
      <w:tr>
        <w:trPr>
          <w:trHeight w:val="217"/>
        </w:trPr>
        <w:tc>
          <w:tcPr>
            <w:tcW w:w="1000" w:type="dxa"/>
            <w:vAlign w:val="bottom"/>
          </w:tcPr>
          <w:p>
            <w:pPr>
              <w:spacing w:after="0"/>
              <w:rPr>
                <w:sz w:val="18"/>
                <w:szCs w:val="18"/>
                <w:color w:val="auto"/>
              </w:rPr>
            </w:pPr>
          </w:p>
        </w:tc>
        <w:tc>
          <w:tcPr>
            <w:tcW w:w="2240" w:type="dxa"/>
            <w:vAlign w:val="bottom"/>
            <w:gridSpan w:val="2"/>
          </w:tcPr>
          <w:p>
            <w:pPr>
              <w:ind w:left="220"/>
              <w:spacing w:after="0"/>
              <w:rPr>
                <w:sz w:val="20"/>
                <w:szCs w:val="20"/>
                <w:color w:val="auto"/>
              </w:rPr>
            </w:pPr>
            <w:r>
              <w:rPr>
                <w:rFonts w:ascii="Arial" w:cs="Arial" w:eastAsia="Arial" w:hAnsi="Arial"/>
                <w:sz w:val="18"/>
                <w:szCs w:val="18"/>
                <w:color w:val="auto"/>
              </w:rPr>
              <w:t>Meeting begins:</w:t>
            </w:r>
          </w:p>
        </w:tc>
        <w:tc>
          <w:tcPr>
            <w:tcW w:w="4520" w:type="dxa"/>
            <w:vAlign w:val="bottom"/>
          </w:tcPr>
          <w:p>
            <w:pPr>
              <w:ind w:left="180"/>
              <w:spacing w:after="0"/>
              <w:rPr>
                <w:sz w:val="20"/>
                <w:szCs w:val="20"/>
                <w:color w:val="auto"/>
              </w:rPr>
            </w:pPr>
            <w:r>
              <w:rPr>
                <w:rFonts w:ascii="Arial" w:cs="Arial" w:eastAsia="Arial" w:hAnsi="Arial"/>
                <w:sz w:val="18"/>
                <w:szCs w:val="18"/>
                <w:color w:val="auto"/>
              </w:rPr>
              <w:t>9:00 a.m. Eastern Time</w:t>
            </w: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Place:</w:t>
            </w:r>
          </w:p>
        </w:tc>
        <w:tc>
          <w:tcPr>
            <w:tcW w:w="6760" w:type="dxa"/>
            <w:vAlign w:val="bottom"/>
            <w:gridSpan w:val="3"/>
          </w:tcPr>
          <w:p>
            <w:pPr>
              <w:ind w:left="220"/>
              <w:spacing w:after="0"/>
              <w:rPr>
                <w:sz w:val="20"/>
                <w:szCs w:val="20"/>
                <w:color w:val="auto"/>
              </w:rPr>
            </w:pPr>
            <w:r>
              <w:rPr>
                <w:rFonts w:ascii="Arial" w:cs="Arial" w:eastAsia="Arial" w:hAnsi="Arial"/>
                <w:sz w:val="18"/>
                <w:szCs w:val="18"/>
                <w:color w:val="auto"/>
                <w:w w:val="99"/>
              </w:rPr>
              <w:t xml:space="preserve">Meeting live via the Internet—please visit: </w:t>
            </w:r>
            <w:r>
              <w:rPr>
                <w:rFonts w:ascii="Arial" w:cs="Arial" w:eastAsia="Arial" w:hAnsi="Arial"/>
                <w:sz w:val="18"/>
                <w:szCs w:val="18"/>
                <w:i w:val="1"/>
                <w:iCs w:val="1"/>
                <w:color w:val="auto"/>
                <w:w w:val="99"/>
              </w:rPr>
              <w:t>comcast.onlineshareholdermeeting.com</w:t>
            </w:r>
          </w:p>
        </w:tc>
      </w:tr>
      <w:tr>
        <w:trPr>
          <w:trHeight w:val="311"/>
        </w:trPr>
        <w:tc>
          <w:tcPr>
            <w:tcW w:w="1000" w:type="dxa"/>
            <w:vAlign w:val="bottom"/>
          </w:tcPr>
          <w:p>
            <w:pPr>
              <w:spacing w:after="0"/>
              <w:rPr>
                <w:sz w:val="20"/>
                <w:szCs w:val="20"/>
                <w:color w:val="auto"/>
              </w:rPr>
            </w:pPr>
            <w:r>
              <w:rPr>
                <w:rFonts w:ascii="Arial" w:cs="Arial" w:eastAsia="Arial" w:hAnsi="Arial"/>
                <w:sz w:val="18"/>
                <w:szCs w:val="18"/>
                <w:color w:val="auto"/>
              </w:rPr>
              <w:t>Purposes: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900" w:type="dxa"/>
            <w:vAlign w:val="bottom"/>
          </w:tcPr>
          <w:p>
            <w:pPr>
              <w:ind w:left="60"/>
              <w:spacing w:after="0"/>
              <w:rPr>
                <w:sz w:val="20"/>
                <w:szCs w:val="20"/>
                <w:color w:val="auto"/>
              </w:rPr>
            </w:pPr>
            <w:r>
              <w:rPr>
                <w:rFonts w:ascii="Arial" w:cs="Arial" w:eastAsia="Arial" w:hAnsi="Arial"/>
                <w:sz w:val="18"/>
                <w:szCs w:val="18"/>
                <w:color w:val="auto"/>
              </w:rPr>
              <w:t>Elect directors</w:t>
            </w:r>
          </w:p>
        </w:tc>
        <w:tc>
          <w:tcPr>
            <w:tcW w:w="4520" w:type="dxa"/>
            <w:vAlign w:val="bottom"/>
          </w:tcPr>
          <w:p>
            <w:pPr>
              <w:spacing w:after="0"/>
              <w:rPr>
                <w:sz w:val="24"/>
                <w:szCs w:val="24"/>
                <w:color w:val="auto"/>
              </w:rPr>
            </w:pPr>
          </w:p>
        </w:tc>
      </w:tr>
      <w:tr>
        <w:trPr>
          <w:trHeight w:val="270"/>
        </w:trPr>
        <w:tc>
          <w:tcPr>
            <w:tcW w:w="1000" w:type="dxa"/>
            <w:vAlign w:val="bottom"/>
          </w:tcPr>
          <w:p>
            <w:pPr>
              <w:spacing w:after="0"/>
              <w:rPr>
                <w:sz w:val="23"/>
                <w:szCs w:val="23"/>
                <w:color w:val="auto"/>
              </w:rPr>
            </w:pPr>
          </w:p>
        </w:tc>
        <w:tc>
          <w:tcPr>
            <w:tcW w:w="6760" w:type="dxa"/>
            <w:vAlign w:val="bottom"/>
            <w:gridSpan w:val="3"/>
          </w:tcPr>
          <w:p>
            <w:pPr>
              <w:ind w:left="220"/>
              <w:spacing w:after="0"/>
              <w:rPr>
                <w:sz w:val="20"/>
                <w:szCs w:val="20"/>
                <w:color w:val="auto"/>
              </w:rPr>
            </w:pPr>
            <w:r>
              <w:rPr>
                <w:rFonts w:ascii="Arial" w:cs="Arial" w:eastAsia="Arial" w:hAnsi="Arial"/>
                <w:sz w:val="18"/>
                <w:szCs w:val="18"/>
                <w:color w:val="auto"/>
              </w:rPr>
              <w:t>•  Ratify the appointment of our independent auditors</w:t>
            </w:r>
          </w:p>
        </w:tc>
      </w:tr>
      <w:tr>
        <w:trPr>
          <w:trHeight w:val="270"/>
        </w:trPr>
        <w:tc>
          <w:tcPr>
            <w:tcW w:w="1000" w:type="dxa"/>
            <w:vAlign w:val="bottom"/>
          </w:tcPr>
          <w:p>
            <w:pPr>
              <w:spacing w:after="0"/>
              <w:rPr>
                <w:sz w:val="23"/>
                <w:szCs w:val="23"/>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60"/>
              <w:spacing w:after="0"/>
              <w:rPr>
                <w:sz w:val="20"/>
                <w:szCs w:val="20"/>
                <w:color w:val="auto"/>
              </w:rPr>
            </w:pPr>
            <w:r>
              <w:rPr>
                <w:rFonts w:ascii="Arial" w:cs="Arial" w:eastAsia="Arial" w:hAnsi="Arial"/>
                <w:sz w:val="18"/>
                <w:szCs w:val="18"/>
                <w:color w:val="auto"/>
              </w:rPr>
              <w:t>Approve the 2003 Stock Option Plan, as amended and restated</w:t>
            </w:r>
          </w:p>
        </w:tc>
      </w:tr>
      <w:tr>
        <w:trPr>
          <w:trHeight w:val="270"/>
        </w:trPr>
        <w:tc>
          <w:tcPr>
            <w:tcW w:w="1000" w:type="dxa"/>
            <w:vAlign w:val="bottom"/>
          </w:tcPr>
          <w:p>
            <w:pPr>
              <w:spacing w:after="0"/>
              <w:rPr>
                <w:sz w:val="23"/>
                <w:szCs w:val="23"/>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6420" w:type="dxa"/>
            <w:vAlign w:val="bottom"/>
            <w:gridSpan w:val="2"/>
          </w:tcPr>
          <w:p>
            <w:pPr>
              <w:ind w:left="60"/>
              <w:spacing w:after="0"/>
              <w:rPr>
                <w:sz w:val="20"/>
                <w:szCs w:val="20"/>
                <w:color w:val="auto"/>
              </w:rPr>
            </w:pPr>
            <w:r>
              <w:rPr>
                <w:rFonts w:ascii="Arial" w:cs="Arial" w:eastAsia="Arial" w:hAnsi="Arial"/>
                <w:sz w:val="18"/>
                <w:szCs w:val="18"/>
                <w:color w:val="auto"/>
              </w:rPr>
              <w:t>Approve the 2002 Restricted Stock Plan, as amended and restated</w:t>
            </w:r>
          </w:p>
        </w:tc>
      </w:tr>
      <w:tr>
        <w:trPr>
          <w:trHeight w:val="270"/>
        </w:trPr>
        <w:tc>
          <w:tcPr>
            <w:tcW w:w="1000" w:type="dxa"/>
            <w:vAlign w:val="bottom"/>
          </w:tcPr>
          <w:p>
            <w:pPr>
              <w:spacing w:after="0"/>
              <w:rPr>
                <w:sz w:val="23"/>
                <w:szCs w:val="23"/>
                <w:color w:val="auto"/>
              </w:rPr>
            </w:pPr>
          </w:p>
        </w:tc>
        <w:tc>
          <w:tcPr>
            <w:tcW w:w="6760" w:type="dxa"/>
            <w:vAlign w:val="bottom"/>
            <w:gridSpan w:val="3"/>
          </w:tcPr>
          <w:p>
            <w:pPr>
              <w:ind w:left="220"/>
              <w:spacing w:after="0"/>
              <w:rPr>
                <w:sz w:val="20"/>
                <w:szCs w:val="20"/>
                <w:color w:val="auto"/>
              </w:rPr>
            </w:pPr>
            <w:r>
              <w:rPr>
                <w:rFonts w:ascii="Arial" w:cs="Arial" w:eastAsia="Arial" w:hAnsi="Arial"/>
                <w:sz w:val="18"/>
                <w:szCs w:val="18"/>
                <w:color w:val="auto"/>
              </w:rPr>
              <w:t>•  Consider an advisory vote to approve our executive compensation</w:t>
            </w:r>
          </w:p>
        </w:tc>
      </w:tr>
      <w:tr>
        <w:trPr>
          <w:trHeight w:val="270"/>
        </w:trPr>
        <w:tc>
          <w:tcPr>
            <w:tcW w:w="1000" w:type="dxa"/>
            <w:vAlign w:val="bottom"/>
          </w:tcPr>
          <w:p>
            <w:pPr>
              <w:spacing w:after="0"/>
              <w:rPr>
                <w:sz w:val="23"/>
                <w:szCs w:val="23"/>
                <w:color w:val="auto"/>
              </w:rPr>
            </w:pPr>
          </w:p>
        </w:tc>
        <w:tc>
          <w:tcPr>
            <w:tcW w:w="6760" w:type="dxa"/>
            <w:vAlign w:val="bottom"/>
            <w:gridSpan w:val="3"/>
          </w:tcPr>
          <w:p>
            <w:pPr>
              <w:ind w:left="220"/>
              <w:spacing w:after="0"/>
              <w:rPr>
                <w:sz w:val="20"/>
                <w:szCs w:val="20"/>
                <w:color w:val="auto"/>
              </w:rPr>
            </w:pPr>
            <w:r>
              <w:rPr>
                <w:rFonts w:ascii="Arial" w:cs="Arial" w:eastAsia="Arial" w:hAnsi="Arial"/>
                <w:sz w:val="18"/>
                <w:szCs w:val="18"/>
                <w:color w:val="auto"/>
              </w:rPr>
              <w:t>•  Vote on three shareholder proposals</w:t>
            </w:r>
          </w:p>
        </w:tc>
      </w:tr>
      <w:tr>
        <w:trPr>
          <w:trHeight w:val="270"/>
        </w:trPr>
        <w:tc>
          <w:tcPr>
            <w:tcW w:w="1000" w:type="dxa"/>
            <w:vAlign w:val="bottom"/>
          </w:tcPr>
          <w:p>
            <w:pPr>
              <w:spacing w:after="0"/>
              <w:rPr>
                <w:sz w:val="23"/>
                <w:szCs w:val="23"/>
                <w:color w:val="auto"/>
              </w:rPr>
            </w:pPr>
          </w:p>
        </w:tc>
        <w:tc>
          <w:tcPr>
            <w:tcW w:w="6760" w:type="dxa"/>
            <w:vAlign w:val="bottom"/>
            <w:gridSpan w:val="3"/>
          </w:tcPr>
          <w:p>
            <w:pPr>
              <w:ind w:left="220"/>
              <w:spacing w:after="0"/>
              <w:rPr>
                <w:sz w:val="20"/>
                <w:szCs w:val="20"/>
                <w:color w:val="auto"/>
              </w:rPr>
            </w:pPr>
            <w:r>
              <w:rPr>
                <w:rFonts w:ascii="Arial" w:cs="Arial" w:eastAsia="Arial" w:hAnsi="Arial"/>
                <w:sz w:val="18"/>
                <w:szCs w:val="18"/>
                <w:color w:val="auto"/>
              </w:rPr>
              <w:t>•  Conduct other business if properly raised</w:t>
            </w:r>
          </w:p>
        </w:tc>
      </w:tr>
    </w:tbl>
    <w:p>
      <w:pPr>
        <w:spacing w:after="0" w:line="10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All shareholders are cordially invited to attend our virtual annual meeting of shareholders, conducted via live webcast. We believe that virtual meetings provide expanded shareholder access and participation and improved communications. During the virtual meeting, you may ask questions and will be able to vote your shares electronically. To participate, you will need the 16-digit control number included on your Notice of Internet Availability of Proxy Materials or on your proxy card. We encourage you to allow ample time for online check-in, which will begin at 8:45 a.m. Eastern Time on June 3, 2020. Please note that there is no in-person annual meeting for you to attend.</w:t>
      </w:r>
    </w:p>
    <w:p>
      <w:pPr>
        <w:spacing w:after="0" w:line="4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Only shareholders of record on April 3, 2020 may participate and vote at the meeting. If the meeting is adjourned because a quorum is not present, then, at the reconvened meeting, shareholders who participate in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4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our 2019 Annual Report on Form 10-K and proxy statement will be mailed to you.</w:t>
      </w:r>
    </w:p>
    <w:p>
      <w:pPr>
        <w:spacing w:after="0" w:line="4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24, 2020.</w:t>
      </w:r>
    </w:p>
    <w:p>
      <w:pPr>
        <w:spacing w:after="0" w:line="1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30480</wp:posOffset>
            </wp:positionV>
            <wp:extent cx="977265"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265" cy="2825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THOMAS J. REID</w:t>
      </w:r>
    </w:p>
    <w:p>
      <w:pPr>
        <w:ind w:left="7060"/>
        <w:spacing w:after="0"/>
        <w:rPr>
          <w:sz w:val="20"/>
          <w:szCs w:val="20"/>
          <w:color w:val="auto"/>
        </w:rPr>
      </w:pPr>
      <w:r>
        <w:rPr>
          <w:rFonts w:ascii="Arial" w:cs="Arial" w:eastAsia="Arial" w:hAnsi="Arial"/>
          <w:sz w:val="18"/>
          <w:szCs w:val="18"/>
          <w:i w:val="1"/>
          <w:iCs w:val="1"/>
          <w:color w:val="auto"/>
        </w:rPr>
        <w:t>Secretary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24, 2020</w:t>
      </w:r>
    </w:p>
    <w:p>
      <w:pPr>
        <w:sectPr>
          <w:pgSz w:w="11900" w:h="16838" w:orient="portrait"/>
          <w:cols w:equalWidth="0" w:num="1">
            <w:col w:w="11080"/>
          </w:cols>
          <w:pgMar w:left="320" w:top="45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1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513"/>
        </w:trPr>
        <w:tc>
          <w:tcPr>
            <w:tcW w:w="6840" w:type="dxa"/>
            <w:vAlign w:val="bottom"/>
            <w:gridSpan w:val="2"/>
          </w:tcPr>
          <w:p>
            <w:pPr>
              <w:ind w:left="4660"/>
              <w:spacing w:after="0"/>
              <w:rPr>
                <w:sz w:val="20"/>
                <w:szCs w:val="20"/>
                <w:color w:val="auto"/>
              </w:rPr>
            </w:pPr>
            <w:r>
              <w:rPr>
                <w:rFonts w:ascii="Arial" w:cs="Arial" w:eastAsia="Arial" w:hAnsi="Arial"/>
                <w:sz w:val="18"/>
                <w:szCs w:val="18"/>
                <w:b w:val="1"/>
                <w:bCs w:val="1"/>
                <w:color w:val="0A33A5"/>
              </w:rPr>
              <w:t>TABLE OF CONTENTS</w:t>
            </w:r>
          </w:p>
        </w:tc>
        <w:tc>
          <w:tcPr>
            <w:tcW w:w="3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2"/>
        </w:trPr>
        <w:tc>
          <w:tcPr>
            <w:tcW w:w="5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371"/>
        </w:trPr>
        <w:tc>
          <w:tcPr>
            <w:tcW w:w="558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Proxy Statement Summary</w:t>
              </w:r>
            </w:hyperlink>
          </w:p>
        </w:tc>
        <w:tc>
          <w:tcPr>
            <w:tcW w:w="1260" w:type="dxa"/>
            <w:vAlign w:val="bottom"/>
          </w:tcPr>
          <w:p>
            <w:pPr>
              <w:spacing w:after="0"/>
              <w:rPr>
                <w:sz w:val="24"/>
                <w:szCs w:val="24"/>
                <w:color w:val="auto"/>
              </w:rPr>
            </w:pP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Voting Securities and Principal Holders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Corporate Governance</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Proposal 1: Election of Directors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6840" w:type="dxa"/>
            <w:vAlign w:val="bottom"/>
            <w:gridSpan w:val="2"/>
          </w:tcPr>
          <w:p>
            <w:pPr>
              <w:ind w:left="120"/>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Proposal 2: Ratification of the Appointment of Our Independent Auditors</w:t>
              </w:r>
            </w:hyperlink>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6840" w:type="dxa"/>
            <w:vAlign w:val="bottom"/>
            <w:gridSpan w:val="2"/>
          </w:tcPr>
          <w:p>
            <w:pPr>
              <w:ind w:left="120"/>
              <w:spacing w:after="0" w:line="202" w:lineRule="exact"/>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Proposal 3: Approve the Amended and Restated 2003 Stock Option Plan</w:t>
              </w:r>
            </w:hyperlink>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6840" w:type="dxa"/>
            <w:vAlign w:val="bottom"/>
            <w:gridSpan w:val="2"/>
          </w:tcPr>
          <w:p>
            <w:pPr>
              <w:ind w:left="120"/>
              <w:spacing w:after="0" w:line="202"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Proposal 4: Approve the Amended and Restated 2002 Restricted Stock Plan</w:t>
              </w:r>
            </w:hyperlink>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Proposal 5: Advisory Vote on Executive Compensation</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Shareholder Proposals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Executive Compensation</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Compensation Discussion and Analysis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Compensation Committee Report</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Summary Compensation Table</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Grants of Plan-Based Awards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Outstanding Equity Awards at Fiscal Year-End</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Option Exercises and Stock Vested</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6840" w:type="dxa"/>
            <w:vAlign w:val="bottom"/>
            <w:gridSpan w:val="2"/>
          </w:tcPr>
          <w:p>
            <w:pPr>
              <w:ind w:left="440"/>
              <w:spacing w:after="0" w:line="202"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Nonqualified Deferred Compensation in and as of Fiscal Year-End</w:t>
              </w:r>
            </w:hyperlink>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Agreements with Our Named Executive Officers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5580" w:type="dxa"/>
            <w:vAlign w:val="bottom"/>
          </w:tcPr>
          <w:p>
            <w:pPr>
              <w:ind w:left="440"/>
              <w:spacing w:after="0" w:line="202"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Potential Payments upon Termination or Change in Control</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Compensation Information</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Director Compensation</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Related Party Transaction Policy and Certain Transactions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Shareholder Proposals for Next Year</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Solicitation of Proxies</w:t>
              </w:r>
            </w:hyperlink>
          </w:p>
        </w:tc>
        <w:tc>
          <w:tcPr>
            <w:tcW w:w="1260" w:type="dxa"/>
            <w:vAlign w:val="bottom"/>
          </w:tcPr>
          <w:p>
            <w:pPr>
              <w:spacing w:after="0"/>
              <w:rPr>
                <w:sz w:val="17"/>
                <w:szCs w:val="17"/>
                <w:color w:val="auto"/>
              </w:rPr>
            </w:pPr>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03"/>
        </w:trPr>
        <w:tc>
          <w:tcPr>
            <w:tcW w:w="6840" w:type="dxa"/>
            <w:vAlign w:val="bottom"/>
            <w:gridSpan w:val="2"/>
          </w:tcPr>
          <w:p>
            <w:pPr>
              <w:ind w:left="120"/>
              <w:spacing w:after="0" w:line="202" w:lineRule="exact"/>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Electronic Access to Proxy Materials and Annual Report on Form 10-K</w:t>
              </w:r>
            </w:hyperlink>
          </w:p>
        </w:tc>
        <w:tc>
          <w:tcPr>
            <w:tcW w:w="4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r>
      <w:tr>
        <w:trPr>
          <w:trHeight w:val="217"/>
        </w:trPr>
        <w:tc>
          <w:tcPr>
            <w:tcW w:w="5580" w:type="dxa"/>
            <w:vAlign w:val="bottom"/>
          </w:tcPr>
          <w:p>
            <w:pPr>
              <w:ind w:left="12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Important Notice Regarding Delivery of Shareholder Documents</w:t>
              </w:r>
            </w:hyperlink>
          </w:p>
        </w:tc>
        <w:tc>
          <w:tcPr>
            <w:tcW w:w="1260" w:type="dxa"/>
            <w:vAlign w:val="bottom"/>
          </w:tcPr>
          <w:p>
            <w:pPr>
              <w:spacing w:after="0"/>
              <w:rPr>
                <w:sz w:val="18"/>
                <w:szCs w:val="18"/>
                <w:color w:val="auto"/>
              </w:rPr>
            </w:pP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404"/>
        </w:trPr>
        <w:tc>
          <w:tcPr>
            <w:tcW w:w="5580" w:type="dxa"/>
            <w:vAlign w:val="bottom"/>
          </w:tcPr>
          <w:p>
            <w:pPr>
              <w:ind w:left="1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Appendix A: 2003 Stock Option Plan, as Amended and Restated</w:t>
              </w:r>
            </w:hyperlink>
          </w:p>
        </w:tc>
        <w:tc>
          <w:tcPr>
            <w:tcW w:w="12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3"/>
        </w:trPr>
        <w:tc>
          <w:tcPr>
            <w:tcW w:w="5580" w:type="dxa"/>
            <w:vAlign w:val="bottom"/>
          </w:tcPr>
          <w:p>
            <w:pPr>
              <w:ind w:left="120"/>
              <w:spacing w:after="0" w:line="202" w:lineRule="exact"/>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Appendix B: 2002 Restricted Stock Plan, as Amended and Restated</w:t>
              </w:r>
            </w:hyperlink>
          </w:p>
        </w:tc>
        <w:tc>
          <w:tcPr>
            <w:tcW w:w="12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B-1</w:t>
            </w:r>
          </w:p>
        </w:tc>
      </w:tr>
      <w:tr>
        <w:trPr>
          <w:trHeight w:val="217"/>
        </w:trPr>
        <w:tc>
          <w:tcPr>
            <w:tcW w:w="5580" w:type="dxa"/>
            <w:vAlign w:val="bottom"/>
          </w:tcPr>
          <w:p>
            <w:pPr>
              <w:ind w:left="12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Appendix C: Reconciliations of Non-GAAP Financial Measures</w:t>
              </w:r>
            </w:hyperlink>
          </w:p>
        </w:tc>
        <w:tc>
          <w:tcPr>
            <w:tcW w:w="1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418"/>
        </w:trPr>
        <w:tc>
          <w:tcPr>
            <w:tcW w:w="5580" w:type="dxa"/>
            <w:vAlign w:val="bottom"/>
          </w:tcPr>
          <w:p>
            <w:pPr>
              <w:ind w:left="410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70"/>
              <w:spacing w:after="0"/>
              <w:rPr>
                <w:sz w:val="20"/>
                <w:szCs w:val="20"/>
                <w:color w:val="auto"/>
              </w:rPr>
            </w:pPr>
            <w:r>
              <w:rPr>
                <w:rFonts w:ascii="Arial" w:cs="Arial" w:eastAsia="Arial" w:hAnsi="Arial"/>
                <w:sz w:val="18"/>
                <w:szCs w:val="18"/>
                <w:b w:val="1"/>
                <w:bCs w:val="1"/>
                <w:color w:val="auto"/>
              </w:rPr>
              <w:t>*</w:t>
            </w:r>
          </w:p>
        </w:tc>
        <w:tc>
          <w:tcPr>
            <w:tcW w:w="3860" w:type="dxa"/>
            <w:vAlign w:val="bottom"/>
          </w:tcPr>
          <w:p>
            <w:pPr>
              <w:jc w:val="right"/>
              <w:ind w:right="34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left="440" w:right="38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Shareholders to Be Held on June 3, 2020: Our proxy statement and our Annual Report on Form 10-K for the fiscal year ended December 31, 2019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205740</wp:posOffset>
            </wp:positionV>
            <wp:extent cx="9601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01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A33A5"/>
        </w:rPr>
        <w:t>PROXY STATEMENT</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A33A5"/>
        </w:rPr>
        <w:t>PROXY STATEMENT SUMMARY</w:t>
      </w:r>
    </w:p>
    <w:p>
      <w:pPr>
        <w:spacing w:after="0" w:line="32" w:lineRule="exact"/>
        <w:rPr>
          <w:sz w:val="20"/>
          <w:szCs w:val="20"/>
          <w:color w:val="auto"/>
        </w:rPr>
      </w:pPr>
    </w:p>
    <w:p>
      <w:pPr>
        <w:ind w:left="120" w:right="100"/>
        <w:spacing w:after="0" w:line="267" w:lineRule="auto"/>
        <w:rPr>
          <w:sz w:val="20"/>
          <w:szCs w:val="20"/>
          <w:color w:val="auto"/>
        </w:rPr>
      </w:pPr>
      <w:r>
        <w:rPr>
          <w:rFonts w:ascii="Arial" w:cs="Arial" w:eastAsia="Arial" w:hAnsi="Arial"/>
          <w:sz w:val="18"/>
          <w:szCs w:val="18"/>
          <w:i w:val="1"/>
          <w:iCs w:val="1"/>
          <w:color w:val="auto"/>
        </w:rPr>
        <w:t>This summary is intended to provide a broad overview of some of the items elsewhere in this proxy statement. We encourage you to read the entire proxy statement for more information about these topics before voting.</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A33A5"/>
        </w:rPr>
        <w:t>ANNUAL MEETING INFORMATION</w:t>
      </w:r>
    </w:p>
    <w:p>
      <w:pPr>
        <w:spacing w:after="0" w:line="112"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0A33A5"/>
        </w:rPr>
        <w:t>Date:</w:t>
      </w:r>
      <w:r>
        <w:rPr>
          <w:sz w:val="20"/>
          <w:szCs w:val="20"/>
          <w:color w:val="auto"/>
        </w:rPr>
        <w:tab/>
      </w:r>
      <w:r>
        <w:rPr>
          <w:rFonts w:ascii="Arial" w:cs="Arial" w:eastAsia="Arial" w:hAnsi="Arial"/>
          <w:sz w:val="18"/>
          <w:szCs w:val="18"/>
          <w:color w:val="auto"/>
        </w:rPr>
        <w:t>June 3, 2020</w:t>
      </w:r>
    </w:p>
    <w:p>
      <w:pPr>
        <w:spacing w:after="0" w:line="50"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0A33A5"/>
        </w:rPr>
        <w:t>Time:</w:t>
      </w:r>
      <w:r>
        <w:rPr>
          <w:sz w:val="20"/>
          <w:szCs w:val="20"/>
          <w:color w:val="auto"/>
        </w:rPr>
        <w:tab/>
      </w:r>
      <w:r>
        <w:rPr>
          <w:rFonts w:ascii="Arial" w:cs="Arial" w:eastAsia="Arial" w:hAnsi="Arial"/>
          <w:sz w:val="18"/>
          <w:szCs w:val="18"/>
          <w:color w:val="auto"/>
        </w:rPr>
        <w:t>9:00 a.m. Eastern Time</w:t>
      </w:r>
    </w:p>
    <w:p>
      <w:pPr>
        <w:spacing w:after="0" w:line="50"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0A33A5"/>
        </w:rPr>
        <w:t>Place:</w:t>
      </w:r>
      <w:r>
        <w:rPr>
          <w:sz w:val="20"/>
          <w:szCs w:val="20"/>
          <w:color w:val="auto"/>
        </w:rPr>
        <w:tab/>
      </w:r>
      <w:r>
        <w:rPr>
          <w:rFonts w:ascii="Arial" w:cs="Arial" w:eastAsia="Arial" w:hAnsi="Arial"/>
          <w:sz w:val="18"/>
          <w:szCs w:val="18"/>
          <w:color w:val="auto"/>
        </w:rPr>
        <w:t>Meeting live via the Internet—</w:t>
      </w:r>
      <w:r>
        <w:rPr>
          <w:rFonts w:ascii="Arial" w:cs="Arial" w:eastAsia="Arial" w:hAnsi="Arial"/>
          <w:sz w:val="18"/>
          <w:szCs w:val="18"/>
          <w:i w:val="1"/>
          <w:iCs w:val="1"/>
          <w:color w:val="auto"/>
        </w:rPr>
        <w:t>comcast.onlineshareholdermeeting.com</w:t>
      </w:r>
    </w:p>
    <w:p>
      <w:pPr>
        <w:spacing w:after="0" w:line="50"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color w:val="0A33A5"/>
        </w:rPr>
        <w:t>Record Date:</w:t>
      </w:r>
      <w:r>
        <w:rPr>
          <w:sz w:val="20"/>
          <w:szCs w:val="20"/>
          <w:color w:val="auto"/>
        </w:rPr>
        <w:tab/>
      </w:r>
      <w:r>
        <w:rPr>
          <w:rFonts w:ascii="Arial" w:cs="Arial" w:eastAsia="Arial" w:hAnsi="Arial"/>
          <w:sz w:val="17"/>
          <w:szCs w:val="17"/>
          <w:color w:val="auto"/>
        </w:rPr>
        <w:t>Shareholders as of April 3, 2020 are entitled to vote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A33A5"/>
        </w:rPr>
        <w:t>ANNUAL MEETING AGENDA AND VOTING MATTERS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80" w:type="dxa"/>
            <w:vAlign w:val="bottom"/>
            <w:tcBorders>
              <w:top w:val="single" w:sz="8" w:color="auto"/>
            </w:tcBorders>
            <w:gridSpan w:val="2"/>
            <w:shd w:val="clear" w:color="auto" w:fill="DDF2F9"/>
          </w:tcPr>
          <w:p>
            <w:pPr>
              <w:ind w:left="100"/>
              <w:spacing w:after="0"/>
              <w:rPr>
                <w:sz w:val="20"/>
                <w:szCs w:val="20"/>
                <w:color w:val="auto"/>
              </w:rPr>
            </w:pPr>
            <w:r>
              <w:rPr>
                <w:rFonts w:ascii="Arial" w:cs="Arial" w:eastAsia="Arial" w:hAnsi="Arial"/>
                <w:sz w:val="18"/>
                <w:szCs w:val="18"/>
                <w:b w:val="1"/>
                <w:bCs w:val="1"/>
                <w:color w:val="0A33A5"/>
              </w:rPr>
              <w:t>Proposal</w:t>
            </w:r>
          </w:p>
        </w:tc>
        <w:tc>
          <w:tcPr>
            <w:tcW w:w="2520" w:type="dxa"/>
            <w:vAlign w:val="bottom"/>
            <w:tcBorders>
              <w:top w:val="single" w:sz="8" w:color="auto"/>
            </w:tcBorders>
            <w:shd w:val="clear" w:color="auto" w:fill="DDF2F9"/>
          </w:tcPr>
          <w:p>
            <w:pPr>
              <w:jc w:val="center"/>
              <w:ind w:left="90"/>
              <w:spacing w:after="0"/>
              <w:rPr>
                <w:sz w:val="20"/>
                <w:szCs w:val="20"/>
                <w:color w:val="auto"/>
              </w:rPr>
            </w:pPr>
            <w:r>
              <w:rPr>
                <w:rFonts w:ascii="Arial" w:cs="Arial" w:eastAsia="Arial" w:hAnsi="Arial"/>
                <w:sz w:val="18"/>
                <w:szCs w:val="18"/>
                <w:b w:val="1"/>
                <w:bCs w:val="1"/>
                <w:color w:val="0A33A5"/>
                <w:w w:val="98"/>
              </w:rPr>
              <w:t>Board’s Voting</w:t>
            </w:r>
          </w:p>
        </w:tc>
        <w:tc>
          <w:tcPr>
            <w:tcW w:w="1320" w:type="dxa"/>
            <w:vAlign w:val="bottom"/>
            <w:tcBorders>
              <w:top w:val="single" w:sz="8" w:color="auto"/>
            </w:tcBorders>
            <w:shd w:val="clear" w:color="auto" w:fill="DDF2F9"/>
          </w:tcPr>
          <w:p>
            <w:pPr>
              <w:jc w:val="center"/>
              <w:ind w:left="330"/>
              <w:spacing w:after="0"/>
              <w:rPr>
                <w:sz w:val="20"/>
                <w:szCs w:val="20"/>
                <w:color w:val="auto"/>
              </w:rPr>
            </w:pPr>
            <w:r>
              <w:rPr>
                <w:rFonts w:ascii="Arial" w:cs="Arial" w:eastAsia="Arial" w:hAnsi="Arial"/>
                <w:sz w:val="18"/>
                <w:szCs w:val="18"/>
                <w:b w:val="1"/>
                <w:bCs w:val="1"/>
                <w:color w:val="0A33A5"/>
                <w:w w:val="97"/>
              </w:rPr>
              <w:t>Page</w:t>
            </w:r>
          </w:p>
        </w:tc>
      </w:tr>
      <w:tr>
        <w:trPr>
          <w:trHeight w:val="239"/>
        </w:trPr>
        <w:tc>
          <w:tcPr>
            <w:tcW w:w="580" w:type="dxa"/>
            <w:vAlign w:val="bottom"/>
            <w:tcBorders>
              <w:bottom w:val="single" w:sz="8" w:color="auto"/>
            </w:tcBorders>
            <w:shd w:val="clear" w:color="auto" w:fill="DDF2F9"/>
          </w:tcPr>
          <w:p>
            <w:pPr>
              <w:spacing w:after="0"/>
              <w:rPr>
                <w:sz w:val="20"/>
                <w:szCs w:val="20"/>
                <w:color w:val="auto"/>
              </w:rPr>
            </w:pPr>
          </w:p>
        </w:tc>
        <w:tc>
          <w:tcPr>
            <w:tcW w:w="6600" w:type="dxa"/>
            <w:vAlign w:val="bottom"/>
            <w:tcBorders>
              <w:bottom w:val="single" w:sz="8" w:color="auto"/>
            </w:tcBorders>
            <w:shd w:val="clear" w:color="auto" w:fill="DDF2F9"/>
          </w:tcPr>
          <w:p>
            <w:pPr>
              <w:spacing w:after="0"/>
              <w:rPr>
                <w:sz w:val="20"/>
                <w:szCs w:val="20"/>
                <w:color w:val="auto"/>
              </w:rPr>
            </w:pPr>
          </w:p>
        </w:tc>
        <w:tc>
          <w:tcPr>
            <w:tcW w:w="2520" w:type="dxa"/>
            <w:vAlign w:val="bottom"/>
            <w:tcBorders>
              <w:bottom w:val="single" w:sz="8" w:color="auto"/>
            </w:tcBorders>
            <w:shd w:val="clear" w:color="auto" w:fill="DDF2F9"/>
          </w:tcPr>
          <w:p>
            <w:pPr>
              <w:jc w:val="center"/>
              <w:ind w:left="70"/>
              <w:spacing w:after="0"/>
              <w:rPr>
                <w:sz w:val="20"/>
                <w:szCs w:val="20"/>
                <w:color w:val="auto"/>
              </w:rPr>
            </w:pPr>
            <w:r>
              <w:rPr>
                <w:rFonts w:ascii="Arial" w:cs="Arial" w:eastAsia="Arial" w:hAnsi="Arial"/>
                <w:sz w:val="18"/>
                <w:szCs w:val="18"/>
                <w:b w:val="1"/>
                <w:bCs w:val="1"/>
                <w:color w:val="0A33A5"/>
              </w:rPr>
              <w:t>Recommendation</w:t>
            </w:r>
          </w:p>
        </w:tc>
        <w:tc>
          <w:tcPr>
            <w:tcW w:w="1320" w:type="dxa"/>
            <w:vAlign w:val="bottom"/>
            <w:tcBorders>
              <w:bottom w:val="single" w:sz="8" w:color="auto"/>
            </w:tcBorders>
            <w:shd w:val="clear" w:color="auto" w:fill="DDF2F9"/>
          </w:tcPr>
          <w:p>
            <w:pPr>
              <w:jc w:val="center"/>
              <w:ind w:left="330"/>
              <w:spacing w:after="0"/>
              <w:rPr>
                <w:sz w:val="20"/>
                <w:szCs w:val="20"/>
                <w:color w:val="auto"/>
              </w:rPr>
            </w:pPr>
            <w:r>
              <w:rPr>
                <w:rFonts w:ascii="Arial" w:cs="Arial" w:eastAsia="Arial" w:hAnsi="Arial"/>
                <w:sz w:val="18"/>
                <w:szCs w:val="18"/>
                <w:b w:val="1"/>
                <w:bCs w:val="1"/>
                <w:color w:val="0A33A5"/>
                <w:w w:val="98"/>
              </w:rPr>
              <w:t>Reference</w:t>
            </w:r>
          </w:p>
        </w:tc>
      </w:tr>
      <w:tr>
        <w:trPr>
          <w:trHeight w:val="237"/>
        </w:trPr>
        <w:tc>
          <w:tcPr>
            <w:tcW w:w="7180" w:type="dxa"/>
            <w:vAlign w:val="bottom"/>
            <w:gridSpan w:val="2"/>
          </w:tcPr>
          <w:p>
            <w:pPr>
              <w:ind w:left="100"/>
              <w:spacing w:after="0"/>
              <w:rPr>
                <w:sz w:val="20"/>
                <w:szCs w:val="20"/>
                <w:color w:val="auto"/>
              </w:rPr>
            </w:pPr>
            <w:r>
              <w:rPr>
                <w:rFonts w:ascii="Arial" w:cs="Arial" w:eastAsia="Arial" w:hAnsi="Arial"/>
                <w:sz w:val="18"/>
                <w:szCs w:val="18"/>
                <w:color w:val="auto"/>
              </w:rPr>
              <w:t>No. 1 Election of Directors</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color w:val="051E68"/>
                <w:w w:val="99"/>
              </w:rPr>
              <w:t>FOR</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18">
              <w:r>
                <w:rPr>
                  <w:rFonts w:ascii="Arial" w:cs="Arial" w:eastAsia="Arial" w:hAnsi="Arial"/>
                  <w:sz w:val="18"/>
                  <w:szCs w:val="18"/>
                  <w:u w:val="single" w:color="auto"/>
                  <w:color w:val="0000EE"/>
                  <w:w w:val="98"/>
                </w:rPr>
                <w:t>Page 15</w:t>
              </w:r>
            </w:hyperlink>
          </w:p>
        </w:tc>
      </w:tr>
      <w:tr>
        <w:trPr>
          <w:trHeight w:val="27"/>
        </w:trPr>
        <w:tc>
          <w:tcPr>
            <w:tcW w:w="7180" w:type="dxa"/>
            <w:vAlign w:val="bottom"/>
            <w:tcBorders>
              <w:bottom w:val="single" w:sz="8" w:color="auto"/>
            </w:tcBorders>
            <w:gridSpan w:val="2"/>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7180" w:type="dxa"/>
            <w:vAlign w:val="bottom"/>
            <w:gridSpan w:val="2"/>
          </w:tcPr>
          <w:p>
            <w:pPr>
              <w:ind w:left="100"/>
              <w:spacing w:after="0"/>
              <w:rPr>
                <w:sz w:val="20"/>
                <w:szCs w:val="20"/>
                <w:color w:val="auto"/>
              </w:rPr>
            </w:pPr>
            <w:r>
              <w:rPr>
                <w:rFonts w:ascii="Arial" w:cs="Arial" w:eastAsia="Arial" w:hAnsi="Arial"/>
                <w:sz w:val="18"/>
                <w:szCs w:val="18"/>
                <w:color w:val="auto"/>
              </w:rPr>
              <w:t>No. 2 Ratification of Appointment of Independent Auditors</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color w:val="051E68"/>
                <w:w w:val="99"/>
              </w:rPr>
              <w:t>FOR</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23">
              <w:r>
                <w:rPr>
                  <w:rFonts w:ascii="Arial" w:cs="Arial" w:eastAsia="Arial" w:hAnsi="Arial"/>
                  <w:sz w:val="18"/>
                  <w:szCs w:val="18"/>
                  <w:u w:val="single" w:color="auto"/>
                  <w:color w:val="0000EE"/>
                  <w:w w:val="98"/>
                </w:rPr>
                <w:t>Page 20</w:t>
              </w:r>
            </w:hyperlink>
          </w:p>
        </w:tc>
      </w:tr>
      <w:tr>
        <w:trPr>
          <w:trHeight w:val="27"/>
        </w:trPr>
        <w:tc>
          <w:tcPr>
            <w:tcW w:w="7180" w:type="dxa"/>
            <w:vAlign w:val="bottom"/>
            <w:tcBorders>
              <w:bottom w:val="single" w:sz="8" w:color="auto"/>
            </w:tcBorders>
            <w:gridSpan w:val="2"/>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180" w:type="dxa"/>
            <w:vAlign w:val="bottom"/>
            <w:gridSpan w:val="2"/>
          </w:tcPr>
          <w:p>
            <w:pPr>
              <w:ind w:left="100"/>
              <w:spacing w:after="0"/>
              <w:rPr>
                <w:sz w:val="20"/>
                <w:szCs w:val="20"/>
                <w:color w:val="auto"/>
              </w:rPr>
            </w:pPr>
            <w:r>
              <w:rPr>
                <w:rFonts w:ascii="Arial" w:cs="Arial" w:eastAsia="Arial" w:hAnsi="Arial"/>
                <w:sz w:val="18"/>
                <w:szCs w:val="18"/>
                <w:color w:val="auto"/>
              </w:rPr>
              <w:t>No. 3 Approval of Amended and Restated 2003 Stock Option Plan</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color w:val="051E68"/>
                <w:w w:val="99"/>
              </w:rPr>
              <w:t>FOR</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25">
              <w:r>
                <w:rPr>
                  <w:rFonts w:ascii="Arial" w:cs="Arial" w:eastAsia="Arial" w:hAnsi="Arial"/>
                  <w:sz w:val="18"/>
                  <w:szCs w:val="18"/>
                  <w:u w:val="single" w:color="auto"/>
                  <w:color w:val="0000EE"/>
                  <w:w w:val="98"/>
                </w:rPr>
                <w:t>Page 22</w:t>
              </w:r>
            </w:hyperlink>
          </w:p>
        </w:tc>
      </w:tr>
      <w:tr>
        <w:trPr>
          <w:trHeight w:val="27"/>
        </w:trPr>
        <w:tc>
          <w:tcPr>
            <w:tcW w:w="7180" w:type="dxa"/>
            <w:vAlign w:val="bottom"/>
            <w:tcBorders>
              <w:bottom w:val="single" w:sz="8" w:color="auto"/>
            </w:tcBorders>
            <w:gridSpan w:val="2"/>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180" w:type="dxa"/>
            <w:vAlign w:val="bottom"/>
            <w:gridSpan w:val="2"/>
          </w:tcPr>
          <w:p>
            <w:pPr>
              <w:ind w:left="100"/>
              <w:spacing w:after="0"/>
              <w:rPr>
                <w:sz w:val="20"/>
                <w:szCs w:val="20"/>
                <w:color w:val="auto"/>
              </w:rPr>
            </w:pPr>
            <w:r>
              <w:rPr>
                <w:rFonts w:ascii="Arial" w:cs="Arial" w:eastAsia="Arial" w:hAnsi="Arial"/>
                <w:sz w:val="18"/>
                <w:szCs w:val="18"/>
                <w:color w:val="auto"/>
              </w:rPr>
              <w:t>No. 4 Approval of Amended and Restated 2002 Restricted Stock Plan</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color w:val="051E68"/>
                <w:w w:val="99"/>
              </w:rPr>
              <w:t>FOR</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30">
              <w:r>
                <w:rPr>
                  <w:rFonts w:ascii="Arial" w:cs="Arial" w:eastAsia="Arial" w:hAnsi="Arial"/>
                  <w:sz w:val="18"/>
                  <w:szCs w:val="18"/>
                  <w:u w:val="single" w:color="auto"/>
                  <w:color w:val="0000EE"/>
                  <w:w w:val="98"/>
                </w:rPr>
                <w:t>Page 27</w:t>
              </w:r>
            </w:hyperlink>
          </w:p>
        </w:tc>
      </w:tr>
      <w:tr>
        <w:trPr>
          <w:trHeight w:val="27"/>
        </w:trPr>
        <w:tc>
          <w:tcPr>
            <w:tcW w:w="5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100"/>
              <w:spacing w:after="0"/>
              <w:rPr>
                <w:sz w:val="20"/>
                <w:szCs w:val="20"/>
                <w:color w:val="auto"/>
              </w:rPr>
            </w:pPr>
            <w:r>
              <w:rPr>
                <w:rFonts w:ascii="Arial" w:cs="Arial" w:eastAsia="Arial" w:hAnsi="Arial"/>
                <w:sz w:val="18"/>
                <w:szCs w:val="18"/>
                <w:color w:val="auto"/>
              </w:rPr>
              <w:t>No. 5</w:t>
            </w:r>
          </w:p>
        </w:tc>
        <w:tc>
          <w:tcPr>
            <w:tcW w:w="6600" w:type="dxa"/>
            <w:vAlign w:val="bottom"/>
          </w:tcPr>
          <w:p>
            <w:pPr>
              <w:ind w:left="60"/>
              <w:spacing w:after="0"/>
              <w:rPr>
                <w:sz w:val="20"/>
                <w:szCs w:val="20"/>
                <w:color w:val="auto"/>
              </w:rPr>
            </w:pPr>
            <w:r>
              <w:rPr>
                <w:rFonts w:ascii="Arial" w:cs="Arial" w:eastAsia="Arial" w:hAnsi="Arial"/>
                <w:sz w:val="18"/>
                <w:szCs w:val="18"/>
                <w:color w:val="auto"/>
              </w:rPr>
              <w:t>Advisory Vote to Approve Our Executive Compensation</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color w:val="051E68"/>
                <w:w w:val="99"/>
              </w:rPr>
              <w:t>FOR</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34">
              <w:r>
                <w:rPr>
                  <w:rFonts w:ascii="Arial" w:cs="Arial" w:eastAsia="Arial" w:hAnsi="Arial"/>
                  <w:sz w:val="18"/>
                  <w:szCs w:val="18"/>
                  <w:u w:val="single" w:color="auto"/>
                  <w:color w:val="0000EE"/>
                  <w:w w:val="98"/>
                </w:rPr>
                <w:t>Page 31</w:t>
              </w:r>
            </w:hyperlink>
          </w:p>
        </w:tc>
      </w:tr>
      <w:tr>
        <w:trPr>
          <w:trHeight w:val="27"/>
        </w:trPr>
        <w:tc>
          <w:tcPr>
            <w:tcW w:w="5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100"/>
              <w:spacing w:after="0"/>
              <w:rPr>
                <w:sz w:val="20"/>
                <w:szCs w:val="20"/>
                <w:color w:val="auto"/>
              </w:rPr>
            </w:pPr>
            <w:r>
              <w:rPr>
                <w:rFonts w:ascii="Arial" w:cs="Arial" w:eastAsia="Arial" w:hAnsi="Arial"/>
                <w:sz w:val="18"/>
                <w:szCs w:val="18"/>
                <w:color w:val="auto"/>
              </w:rPr>
              <w:t>No. 6</w:t>
            </w:r>
          </w:p>
        </w:tc>
        <w:tc>
          <w:tcPr>
            <w:tcW w:w="6600" w:type="dxa"/>
            <w:vAlign w:val="bottom"/>
          </w:tcPr>
          <w:p>
            <w:pPr>
              <w:ind w:left="60"/>
              <w:spacing w:after="0"/>
              <w:rPr>
                <w:sz w:val="20"/>
                <w:szCs w:val="20"/>
                <w:color w:val="auto"/>
              </w:rPr>
            </w:pPr>
            <w:r>
              <w:rPr>
                <w:rFonts w:ascii="Arial" w:cs="Arial" w:eastAsia="Arial" w:hAnsi="Arial"/>
                <w:sz w:val="18"/>
                <w:szCs w:val="18"/>
                <w:color w:val="auto"/>
              </w:rPr>
              <w:t>Shareholder Proposal to Provide a Lobbying Report</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BC0000"/>
              </w:rPr>
              <w:t>AGAINST</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35">
              <w:r>
                <w:rPr>
                  <w:rFonts w:ascii="Arial" w:cs="Arial" w:eastAsia="Arial" w:hAnsi="Arial"/>
                  <w:sz w:val="18"/>
                  <w:szCs w:val="18"/>
                  <w:u w:val="single" w:color="auto"/>
                  <w:color w:val="0000EE"/>
                  <w:w w:val="98"/>
                </w:rPr>
                <w:t>Page 32</w:t>
              </w:r>
            </w:hyperlink>
          </w:p>
        </w:tc>
      </w:tr>
      <w:tr>
        <w:trPr>
          <w:trHeight w:val="27"/>
        </w:trPr>
        <w:tc>
          <w:tcPr>
            <w:tcW w:w="5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100"/>
              <w:spacing w:after="0"/>
              <w:rPr>
                <w:sz w:val="20"/>
                <w:szCs w:val="20"/>
                <w:color w:val="auto"/>
              </w:rPr>
            </w:pPr>
            <w:r>
              <w:rPr>
                <w:rFonts w:ascii="Arial" w:cs="Arial" w:eastAsia="Arial" w:hAnsi="Arial"/>
                <w:sz w:val="18"/>
                <w:szCs w:val="18"/>
                <w:color w:val="auto"/>
              </w:rPr>
              <w:t>No. 7</w:t>
            </w:r>
          </w:p>
        </w:tc>
        <w:tc>
          <w:tcPr>
            <w:tcW w:w="6600" w:type="dxa"/>
            <w:vAlign w:val="bottom"/>
          </w:tcPr>
          <w:p>
            <w:pPr>
              <w:ind w:left="60"/>
              <w:spacing w:after="0"/>
              <w:rPr>
                <w:sz w:val="20"/>
                <w:szCs w:val="20"/>
                <w:color w:val="auto"/>
              </w:rPr>
            </w:pPr>
            <w:r>
              <w:rPr>
                <w:rFonts w:ascii="Arial" w:cs="Arial" w:eastAsia="Arial" w:hAnsi="Arial"/>
                <w:sz w:val="18"/>
                <w:szCs w:val="18"/>
                <w:color w:val="auto"/>
              </w:rPr>
              <w:t>Shareholder Proposal to Require an Independent Board Chair</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BC0000"/>
              </w:rPr>
              <w:t>AGAINST</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38">
              <w:r>
                <w:rPr>
                  <w:rFonts w:ascii="Arial" w:cs="Arial" w:eastAsia="Arial" w:hAnsi="Arial"/>
                  <w:sz w:val="18"/>
                  <w:szCs w:val="18"/>
                  <w:u w:val="single" w:color="auto"/>
                  <w:color w:val="0000EE"/>
                  <w:w w:val="98"/>
                </w:rPr>
                <w:t>Page 35</w:t>
              </w:r>
            </w:hyperlink>
          </w:p>
        </w:tc>
      </w:tr>
      <w:tr>
        <w:trPr>
          <w:trHeight w:val="27"/>
        </w:trPr>
        <w:tc>
          <w:tcPr>
            <w:tcW w:w="5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100"/>
              <w:spacing w:after="0"/>
              <w:rPr>
                <w:sz w:val="20"/>
                <w:szCs w:val="20"/>
                <w:color w:val="auto"/>
              </w:rPr>
            </w:pPr>
            <w:r>
              <w:rPr>
                <w:rFonts w:ascii="Arial" w:cs="Arial" w:eastAsia="Arial" w:hAnsi="Arial"/>
                <w:sz w:val="18"/>
                <w:szCs w:val="18"/>
                <w:color w:val="auto"/>
              </w:rPr>
              <w:t>No. 8</w:t>
            </w:r>
          </w:p>
        </w:tc>
        <w:tc>
          <w:tcPr>
            <w:tcW w:w="6600" w:type="dxa"/>
            <w:vAlign w:val="bottom"/>
          </w:tcPr>
          <w:p>
            <w:pPr>
              <w:ind w:left="60"/>
              <w:spacing w:after="0"/>
              <w:rPr>
                <w:sz w:val="20"/>
                <w:szCs w:val="20"/>
                <w:color w:val="auto"/>
              </w:rPr>
            </w:pPr>
            <w:r>
              <w:rPr>
                <w:rFonts w:ascii="Arial" w:cs="Arial" w:eastAsia="Arial" w:hAnsi="Arial"/>
                <w:sz w:val="18"/>
                <w:szCs w:val="18"/>
                <w:color w:val="auto"/>
              </w:rPr>
              <w:t>Shareholder Proposal to Conduct Independent Investigation and Report on</w:t>
            </w:r>
          </w:p>
        </w:tc>
        <w:tc>
          <w:tcPr>
            <w:tcW w:w="2520" w:type="dxa"/>
            <w:vAlign w:val="bottom"/>
          </w:tcPr>
          <w:p>
            <w:pPr>
              <w:jc w:val="center"/>
              <w:ind w:left="610"/>
              <w:spacing w:after="0"/>
              <w:rPr>
                <w:sz w:val="20"/>
                <w:szCs w:val="20"/>
                <w:color w:val="auto"/>
              </w:rPr>
            </w:pPr>
            <w:r>
              <w:rPr>
                <w:rFonts w:ascii="Arial" w:cs="Arial" w:eastAsia="Arial" w:hAnsi="Arial"/>
                <w:sz w:val="18"/>
                <w:szCs w:val="18"/>
                <w:b w:val="1"/>
                <w:bCs w:val="1"/>
                <w:i w:val="1"/>
                <w:iCs w:val="1"/>
                <w:color w:val="BC0000"/>
              </w:rPr>
              <w:t>AGAINST</w:t>
            </w:r>
          </w:p>
        </w:tc>
        <w:tc>
          <w:tcPr>
            <w:tcW w:w="1320" w:type="dxa"/>
            <w:vAlign w:val="bottom"/>
          </w:tcPr>
          <w:p>
            <w:pPr>
              <w:jc w:val="center"/>
              <w:ind w:left="330"/>
              <w:spacing w:after="0"/>
              <w:rPr>
                <w:rFonts w:ascii="Arial" w:cs="Arial" w:eastAsia="Arial" w:hAnsi="Arial"/>
                <w:sz w:val="18"/>
                <w:szCs w:val="18"/>
                <w:u w:val="single" w:color="auto"/>
                <w:color w:val="0000EE"/>
                <w:w w:val="98"/>
              </w:rPr>
            </w:pPr>
            <w:hyperlink w:anchor="page39">
              <w:r>
                <w:rPr>
                  <w:rFonts w:ascii="Arial" w:cs="Arial" w:eastAsia="Arial" w:hAnsi="Arial"/>
                  <w:sz w:val="18"/>
                  <w:szCs w:val="18"/>
                  <w:u w:val="single" w:color="auto"/>
                  <w:color w:val="0000EE"/>
                  <w:w w:val="98"/>
                </w:rPr>
                <w:t>Page 36</w:t>
              </w:r>
            </w:hyperlink>
          </w:p>
        </w:tc>
      </w:tr>
      <w:tr>
        <w:trPr>
          <w:trHeight w:val="270"/>
        </w:trPr>
        <w:tc>
          <w:tcPr>
            <w:tcW w:w="580" w:type="dxa"/>
            <w:vAlign w:val="bottom"/>
          </w:tcPr>
          <w:p>
            <w:pPr>
              <w:spacing w:after="0"/>
              <w:rPr>
                <w:sz w:val="23"/>
                <w:szCs w:val="23"/>
                <w:color w:val="auto"/>
              </w:rPr>
            </w:pPr>
          </w:p>
        </w:tc>
        <w:tc>
          <w:tcPr>
            <w:tcW w:w="6600" w:type="dxa"/>
            <w:vAlign w:val="bottom"/>
          </w:tcPr>
          <w:p>
            <w:pPr>
              <w:ind w:left="60"/>
              <w:spacing w:after="0"/>
              <w:rPr>
                <w:sz w:val="20"/>
                <w:szCs w:val="20"/>
                <w:color w:val="auto"/>
              </w:rPr>
            </w:pPr>
            <w:r>
              <w:rPr>
                <w:rFonts w:ascii="Arial" w:cs="Arial" w:eastAsia="Arial" w:hAnsi="Arial"/>
                <w:sz w:val="18"/>
                <w:szCs w:val="18"/>
                <w:color w:val="auto"/>
              </w:rPr>
              <w:t>Risks Posed By Failing to Prevent Sexual Harassment</w:t>
            </w:r>
          </w:p>
        </w:tc>
        <w:tc>
          <w:tcPr>
            <w:tcW w:w="25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-1568450</wp:posOffset>
            </wp:positionV>
            <wp:extent cx="60325"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-1388110</wp:posOffset>
            </wp:positionV>
            <wp:extent cx="60325"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-1208405</wp:posOffset>
            </wp:positionV>
            <wp:extent cx="60325" cy="77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-1028065</wp:posOffset>
            </wp:positionV>
            <wp:extent cx="60325" cy="77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7747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-848360</wp:posOffset>
            </wp:positionV>
            <wp:extent cx="6032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768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-668020</wp:posOffset>
            </wp:positionV>
            <wp:extent cx="68580"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-488315</wp:posOffset>
            </wp:positionV>
            <wp:extent cx="68580"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-307975</wp:posOffset>
            </wp:positionV>
            <wp:extent cx="68580" cy="774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6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A33A5"/>
        </w:rPr>
        <w:t>BOARD OF DIRECTORS: NOMINEES FOR ELECTION</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240" w:type="dxa"/>
            <w:vAlign w:val="bottom"/>
            <w:tcBorders>
              <w:top w:val="single" w:sz="8" w:color="auto"/>
            </w:tcBorders>
            <w:shd w:val="clear" w:color="auto" w:fill="DDF2F9"/>
          </w:tcPr>
          <w:p>
            <w:pPr>
              <w:spacing w:after="0"/>
              <w:rPr>
                <w:sz w:val="16"/>
                <w:szCs w:val="16"/>
                <w:color w:val="auto"/>
              </w:rPr>
            </w:pPr>
          </w:p>
        </w:tc>
        <w:tc>
          <w:tcPr>
            <w:tcW w:w="600" w:type="dxa"/>
            <w:vAlign w:val="bottom"/>
            <w:tcBorders>
              <w:top w:val="single" w:sz="8" w:color="auto"/>
            </w:tcBorders>
            <w:shd w:val="clear" w:color="auto" w:fill="DDF2F9"/>
          </w:tcPr>
          <w:p>
            <w:pPr>
              <w:spacing w:after="0"/>
              <w:rPr>
                <w:sz w:val="16"/>
                <w:szCs w:val="16"/>
                <w:color w:val="auto"/>
              </w:rPr>
            </w:pPr>
          </w:p>
        </w:tc>
        <w:tc>
          <w:tcPr>
            <w:tcW w:w="1560" w:type="dxa"/>
            <w:vAlign w:val="bottom"/>
            <w:tcBorders>
              <w:top w:val="single" w:sz="8" w:color="auto"/>
            </w:tcBorders>
            <w:shd w:val="clear" w:color="auto" w:fill="DDF2F9"/>
          </w:tcPr>
          <w:p>
            <w:pPr>
              <w:spacing w:after="0"/>
              <w:rPr>
                <w:sz w:val="16"/>
                <w:szCs w:val="16"/>
                <w:color w:val="auto"/>
              </w:rPr>
            </w:pPr>
          </w:p>
        </w:tc>
        <w:tc>
          <w:tcPr>
            <w:tcW w:w="5160" w:type="dxa"/>
            <w:vAlign w:val="bottom"/>
            <w:tcBorders>
              <w:top w:val="single" w:sz="8" w:color="auto"/>
            </w:tcBorders>
            <w:shd w:val="clear" w:color="auto" w:fill="DDF2F9"/>
          </w:tcPr>
          <w:p>
            <w:pPr>
              <w:spacing w:after="0"/>
              <w:rPr>
                <w:sz w:val="16"/>
                <w:szCs w:val="16"/>
                <w:color w:val="auto"/>
              </w:rPr>
            </w:pPr>
          </w:p>
        </w:tc>
        <w:tc>
          <w:tcPr>
            <w:tcW w:w="1460" w:type="dxa"/>
            <w:vAlign w:val="bottom"/>
            <w:tcBorders>
              <w:top w:val="single" w:sz="8" w:color="auto"/>
            </w:tcBorders>
            <w:shd w:val="clear" w:color="auto" w:fill="DDF2F9"/>
          </w:tcPr>
          <w:p>
            <w:pPr>
              <w:jc w:val="center"/>
              <w:ind w:left="50"/>
              <w:spacing w:after="0" w:line="193" w:lineRule="exact"/>
              <w:rPr>
                <w:sz w:val="20"/>
                <w:szCs w:val="20"/>
                <w:color w:val="auto"/>
              </w:rPr>
            </w:pPr>
            <w:r>
              <w:rPr>
                <w:rFonts w:ascii="Arial" w:cs="Arial" w:eastAsia="Arial" w:hAnsi="Arial"/>
                <w:sz w:val="18"/>
                <w:szCs w:val="18"/>
                <w:b w:val="1"/>
                <w:bCs w:val="1"/>
                <w:color w:val="0A33A5"/>
                <w:w w:val="99"/>
              </w:rPr>
              <w:t>Diversity</w:t>
            </w:r>
          </w:p>
        </w:tc>
      </w:tr>
      <w:tr>
        <w:trPr>
          <w:trHeight w:val="246"/>
        </w:trPr>
        <w:tc>
          <w:tcPr>
            <w:tcW w:w="2240" w:type="dxa"/>
            <w:vAlign w:val="bottom"/>
            <w:tcBorders>
              <w:bottom w:val="single" w:sz="8" w:color="auto"/>
            </w:tcBorders>
            <w:shd w:val="clear" w:color="auto" w:fill="DDF2F9"/>
          </w:tcPr>
          <w:p>
            <w:pPr>
              <w:ind w:left="100"/>
              <w:spacing w:after="0"/>
              <w:rPr>
                <w:sz w:val="20"/>
                <w:szCs w:val="20"/>
                <w:color w:val="auto"/>
              </w:rPr>
            </w:pPr>
            <w:r>
              <w:rPr>
                <w:rFonts w:ascii="Arial" w:cs="Arial" w:eastAsia="Arial" w:hAnsi="Arial"/>
                <w:sz w:val="18"/>
                <w:szCs w:val="18"/>
                <w:b w:val="1"/>
                <w:bCs w:val="1"/>
                <w:color w:val="0A33A5"/>
              </w:rPr>
              <w:t>Director</w:t>
            </w:r>
          </w:p>
        </w:tc>
        <w:tc>
          <w:tcPr>
            <w:tcW w:w="6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9"/>
              </w:rPr>
              <w:t>Age</w:t>
            </w:r>
          </w:p>
        </w:tc>
        <w:tc>
          <w:tcPr>
            <w:tcW w:w="1560" w:type="dxa"/>
            <w:vAlign w:val="bottom"/>
            <w:tcBorders>
              <w:bottom w:val="single" w:sz="8" w:color="auto"/>
            </w:tcBorders>
            <w:shd w:val="clear" w:color="auto" w:fill="DDF2F9"/>
          </w:tcPr>
          <w:p>
            <w:pPr>
              <w:jc w:val="right"/>
              <w:ind w:right="110"/>
              <w:spacing w:after="0"/>
              <w:rPr>
                <w:sz w:val="20"/>
                <w:szCs w:val="20"/>
                <w:color w:val="auto"/>
              </w:rPr>
            </w:pPr>
            <w:r>
              <w:rPr>
                <w:rFonts w:ascii="Arial" w:cs="Arial" w:eastAsia="Arial" w:hAnsi="Arial"/>
                <w:sz w:val="18"/>
                <w:szCs w:val="18"/>
                <w:b w:val="1"/>
                <w:bCs w:val="1"/>
                <w:color w:val="0A33A5"/>
              </w:rPr>
              <w:t>Director Since</w:t>
            </w:r>
          </w:p>
        </w:tc>
        <w:tc>
          <w:tcPr>
            <w:tcW w:w="5160" w:type="dxa"/>
            <w:vAlign w:val="bottom"/>
            <w:tcBorders>
              <w:bottom w:val="single" w:sz="8" w:color="auto"/>
            </w:tcBorders>
            <w:shd w:val="clear" w:color="auto" w:fill="DDF2F9"/>
          </w:tcPr>
          <w:p>
            <w:pPr>
              <w:ind w:left="1860"/>
              <w:spacing w:after="0"/>
              <w:rPr>
                <w:sz w:val="20"/>
                <w:szCs w:val="20"/>
                <w:color w:val="auto"/>
              </w:rPr>
            </w:pPr>
            <w:r>
              <w:rPr>
                <w:rFonts w:ascii="Arial" w:cs="Arial" w:eastAsia="Arial" w:hAnsi="Arial"/>
                <w:sz w:val="18"/>
                <w:szCs w:val="18"/>
                <w:b w:val="1"/>
                <w:bCs w:val="1"/>
                <w:color w:val="0A33A5"/>
              </w:rPr>
              <w:t>Board Committees</w:t>
            </w:r>
          </w:p>
        </w:tc>
        <w:tc>
          <w:tcPr>
            <w:tcW w:w="1460" w:type="dxa"/>
            <w:vAlign w:val="bottom"/>
            <w:tcBorders>
              <w:bottom w:val="single" w:sz="8" w:color="auto"/>
            </w:tcBorders>
            <w:shd w:val="clear" w:color="auto" w:fill="DDF2F9"/>
          </w:tcPr>
          <w:p>
            <w:pPr>
              <w:jc w:val="center"/>
              <w:ind w:left="50"/>
              <w:spacing w:after="0"/>
              <w:rPr>
                <w:sz w:val="20"/>
                <w:szCs w:val="20"/>
                <w:color w:val="auto"/>
              </w:rPr>
            </w:pPr>
            <w:r>
              <w:rPr>
                <w:rFonts w:ascii="Arial" w:cs="Arial" w:eastAsia="Arial" w:hAnsi="Arial"/>
                <w:sz w:val="18"/>
                <w:szCs w:val="18"/>
                <w:b w:val="1"/>
                <w:bCs w:val="1"/>
                <w:color w:val="0A33A5"/>
              </w:rPr>
              <w:t>(Gender/Race)</w:t>
            </w:r>
          </w:p>
        </w:tc>
      </w:tr>
      <w:tr>
        <w:trPr>
          <w:trHeight w:val="257"/>
        </w:trPr>
        <w:tc>
          <w:tcPr>
            <w:tcW w:w="2240" w:type="dxa"/>
            <w:vAlign w:val="bottom"/>
          </w:tcPr>
          <w:p>
            <w:pPr>
              <w:ind w:left="100"/>
              <w:spacing w:after="0"/>
              <w:rPr>
                <w:sz w:val="20"/>
                <w:szCs w:val="20"/>
                <w:color w:val="auto"/>
              </w:rPr>
            </w:pPr>
            <w:r>
              <w:rPr>
                <w:rFonts w:ascii="Arial" w:cs="Arial" w:eastAsia="Arial" w:hAnsi="Arial"/>
                <w:sz w:val="18"/>
                <w:szCs w:val="18"/>
                <w:color w:val="auto"/>
              </w:rPr>
              <w:t>Kenneth J. Bacon*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560" w:type="dxa"/>
            <w:vAlign w:val="bottom"/>
          </w:tcPr>
          <w:p>
            <w:pPr>
              <w:jc w:val="right"/>
              <w:spacing w:after="0"/>
              <w:rPr>
                <w:sz w:val="20"/>
                <w:szCs w:val="20"/>
                <w:color w:val="auto"/>
              </w:rPr>
            </w:pPr>
            <w:r>
              <w:rPr>
                <w:rFonts w:ascii="Arial" w:cs="Arial" w:eastAsia="Arial" w:hAnsi="Arial"/>
                <w:sz w:val="18"/>
                <w:szCs w:val="18"/>
                <w:color w:val="auto"/>
              </w:rPr>
              <w:t>November 2002</w:t>
            </w:r>
          </w:p>
        </w:tc>
        <w:tc>
          <w:tcPr>
            <w:tcW w:w="5160" w:type="dxa"/>
            <w:vAlign w:val="bottom"/>
          </w:tcPr>
          <w:p>
            <w:pPr>
              <w:ind w:left="80"/>
              <w:spacing w:after="0"/>
              <w:rPr>
                <w:sz w:val="20"/>
                <w:szCs w:val="20"/>
                <w:color w:val="auto"/>
              </w:rPr>
            </w:pPr>
            <w:r>
              <w:rPr>
                <w:rFonts w:ascii="Arial" w:cs="Arial" w:eastAsia="Arial" w:hAnsi="Arial"/>
                <w:sz w:val="18"/>
                <w:szCs w:val="18"/>
                <w:color w:val="auto"/>
              </w:rPr>
              <w:t>Governance and Directors Nominating Committee</w:t>
            </w:r>
          </w:p>
        </w:tc>
        <w:tc>
          <w:tcPr>
            <w:tcW w:w="1460" w:type="dxa"/>
            <w:vAlign w:val="bottom"/>
          </w:tcPr>
          <w:p>
            <w:pPr>
              <w:jc w:val="center"/>
              <w:ind w:left="50"/>
              <w:spacing w:after="0"/>
              <w:rPr>
                <w:sz w:val="20"/>
                <w:szCs w:val="20"/>
                <w:color w:val="auto"/>
              </w:rPr>
            </w:pPr>
            <w:r>
              <w:rPr>
                <w:rFonts w:ascii="Arial" w:cs="Arial" w:eastAsia="Arial" w:hAnsi="Arial"/>
                <w:sz w:val="18"/>
                <w:szCs w:val="18"/>
                <w:color w:val="0A33A5"/>
                <w:w w:val="85"/>
              </w:rPr>
              <w:t>Ö</w:t>
            </w: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Madeline S. Bell*</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560" w:type="dxa"/>
            <w:vAlign w:val="bottom"/>
          </w:tcPr>
          <w:p>
            <w:pPr>
              <w:jc w:val="right"/>
              <w:spacing w:after="0"/>
              <w:rPr>
                <w:sz w:val="20"/>
                <w:szCs w:val="20"/>
                <w:color w:val="auto"/>
              </w:rPr>
            </w:pPr>
            <w:r>
              <w:rPr>
                <w:rFonts w:ascii="Arial" w:cs="Arial" w:eastAsia="Arial" w:hAnsi="Arial"/>
                <w:sz w:val="18"/>
                <w:szCs w:val="18"/>
                <w:color w:val="auto"/>
              </w:rPr>
              <w:t>February 2016</w:t>
            </w:r>
          </w:p>
        </w:tc>
        <w:tc>
          <w:tcPr>
            <w:tcW w:w="5160" w:type="dxa"/>
            <w:vAlign w:val="bottom"/>
          </w:tcPr>
          <w:p>
            <w:pPr>
              <w:ind w:left="80"/>
              <w:spacing w:after="0"/>
              <w:rPr>
                <w:sz w:val="20"/>
                <w:szCs w:val="20"/>
                <w:color w:val="auto"/>
              </w:rPr>
            </w:pPr>
            <w:r>
              <w:rPr>
                <w:rFonts w:ascii="Arial" w:cs="Arial" w:eastAsia="Arial" w:hAnsi="Arial"/>
                <w:sz w:val="18"/>
                <w:szCs w:val="18"/>
                <w:color w:val="auto"/>
              </w:rPr>
              <w:t>Audit and Governance and Directors Nominating Committees</w:t>
            </w:r>
          </w:p>
        </w:tc>
        <w:tc>
          <w:tcPr>
            <w:tcW w:w="1460" w:type="dxa"/>
            <w:vAlign w:val="bottom"/>
          </w:tcPr>
          <w:p>
            <w:pPr>
              <w:jc w:val="center"/>
              <w:ind w:left="50"/>
              <w:spacing w:after="0"/>
              <w:rPr>
                <w:sz w:val="20"/>
                <w:szCs w:val="20"/>
                <w:color w:val="auto"/>
              </w:rPr>
            </w:pPr>
            <w:r>
              <w:rPr>
                <w:rFonts w:ascii="Arial" w:cs="Arial" w:eastAsia="Arial" w:hAnsi="Arial"/>
                <w:sz w:val="18"/>
                <w:szCs w:val="18"/>
                <w:color w:val="0A33A5"/>
                <w:w w:val="85"/>
              </w:rPr>
              <w:t>Ö</w:t>
            </w: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Naomi M. Bergman*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560" w:type="dxa"/>
            <w:vAlign w:val="bottom"/>
          </w:tcPr>
          <w:p>
            <w:pPr>
              <w:jc w:val="right"/>
              <w:spacing w:after="0"/>
              <w:rPr>
                <w:sz w:val="20"/>
                <w:szCs w:val="20"/>
                <w:color w:val="auto"/>
              </w:rPr>
            </w:pPr>
            <w:r>
              <w:rPr>
                <w:rFonts w:ascii="Arial" w:cs="Arial" w:eastAsia="Arial" w:hAnsi="Arial"/>
                <w:sz w:val="18"/>
                <w:szCs w:val="18"/>
                <w:color w:val="auto"/>
              </w:rPr>
              <w:t>Director Nominee</w:t>
            </w:r>
          </w:p>
        </w:tc>
        <w:tc>
          <w:tcPr>
            <w:tcW w:w="5160" w:type="dxa"/>
            <w:vAlign w:val="bottom"/>
          </w:tcPr>
          <w:p>
            <w:pPr>
              <w:ind w:left="80"/>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50"/>
              <w:spacing w:after="0"/>
              <w:rPr>
                <w:sz w:val="20"/>
                <w:szCs w:val="20"/>
                <w:color w:val="auto"/>
              </w:rPr>
            </w:pPr>
            <w:r>
              <w:rPr>
                <w:rFonts w:ascii="Arial" w:cs="Arial" w:eastAsia="Arial" w:hAnsi="Arial"/>
                <w:sz w:val="18"/>
                <w:szCs w:val="18"/>
                <w:color w:val="0A33A5"/>
                <w:w w:val="85"/>
              </w:rPr>
              <w:t>Ö</w:t>
            </w: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Edward D. Breen**</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560" w:type="dxa"/>
            <w:vAlign w:val="bottom"/>
          </w:tcPr>
          <w:p>
            <w:pPr>
              <w:jc w:val="right"/>
              <w:spacing w:after="0"/>
              <w:rPr>
                <w:sz w:val="20"/>
                <w:szCs w:val="20"/>
                <w:color w:val="auto"/>
              </w:rPr>
            </w:pPr>
            <w:r>
              <w:rPr>
                <w:rFonts w:ascii="Arial" w:cs="Arial" w:eastAsia="Arial" w:hAnsi="Arial"/>
                <w:sz w:val="18"/>
                <w:szCs w:val="18"/>
                <w:color w:val="auto"/>
              </w:rPr>
              <w:t>February 2014</w:t>
            </w:r>
          </w:p>
        </w:tc>
        <w:tc>
          <w:tcPr>
            <w:tcW w:w="516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1460" w:type="dxa"/>
            <w:vAlign w:val="bottom"/>
          </w:tcPr>
          <w:p>
            <w:pPr>
              <w:spacing w:after="0"/>
              <w:rPr>
                <w:sz w:val="21"/>
                <w:szCs w:val="21"/>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Gerald L. Hassell*</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1560" w:type="dxa"/>
            <w:vAlign w:val="bottom"/>
          </w:tcPr>
          <w:p>
            <w:pPr>
              <w:jc w:val="right"/>
              <w:spacing w:after="0"/>
              <w:rPr>
                <w:sz w:val="20"/>
                <w:szCs w:val="20"/>
                <w:color w:val="auto"/>
              </w:rPr>
            </w:pPr>
            <w:r>
              <w:rPr>
                <w:rFonts w:ascii="Arial" w:cs="Arial" w:eastAsia="Arial" w:hAnsi="Arial"/>
                <w:sz w:val="18"/>
                <w:szCs w:val="18"/>
                <w:color w:val="auto"/>
              </w:rPr>
              <w:t>May 2008</w:t>
            </w:r>
          </w:p>
        </w:tc>
        <w:tc>
          <w:tcPr>
            <w:tcW w:w="5160" w:type="dxa"/>
            <w:vAlign w:val="bottom"/>
          </w:tcPr>
          <w:p>
            <w:pPr>
              <w:ind w:left="80"/>
              <w:spacing w:after="0"/>
              <w:rPr>
                <w:sz w:val="20"/>
                <w:szCs w:val="20"/>
                <w:color w:val="auto"/>
              </w:rPr>
            </w:pPr>
            <w:r>
              <w:rPr>
                <w:rFonts w:ascii="Arial" w:cs="Arial" w:eastAsia="Arial" w:hAnsi="Arial"/>
                <w:sz w:val="18"/>
                <w:szCs w:val="18"/>
                <w:color w:val="auto"/>
              </w:rPr>
              <w:t>Compensation and Finance Committees</w:t>
            </w:r>
          </w:p>
        </w:tc>
        <w:tc>
          <w:tcPr>
            <w:tcW w:w="1460" w:type="dxa"/>
            <w:vAlign w:val="bottom"/>
          </w:tcPr>
          <w:p>
            <w:pPr>
              <w:spacing w:after="0"/>
              <w:rPr>
                <w:sz w:val="21"/>
                <w:szCs w:val="21"/>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76"/>
        </w:trPr>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Jeffrey A. Honickman*</w:t>
            </w:r>
            <w:r>
              <w:rPr>
                <w:rFonts w:ascii="MS PGothic" w:cs="MS PGothic" w:eastAsia="MS PGothic" w:hAnsi="MS PGothic"/>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560" w:type="dxa"/>
            <w:vAlign w:val="bottom"/>
          </w:tcPr>
          <w:p>
            <w:pPr>
              <w:jc w:val="right"/>
              <w:spacing w:after="0"/>
              <w:rPr>
                <w:sz w:val="20"/>
                <w:szCs w:val="20"/>
                <w:color w:val="auto"/>
              </w:rPr>
            </w:pPr>
            <w:r>
              <w:rPr>
                <w:rFonts w:ascii="Arial" w:cs="Arial" w:eastAsia="Arial" w:hAnsi="Arial"/>
                <w:sz w:val="18"/>
                <w:szCs w:val="18"/>
                <w:color w:val="auto"/>
              </w:rPr>
              <w:t>December 2005</w:t>
            </w:r>
          </w:p>
        </w:tc>
        <w:tc>
          <w:tcPr>
            <w:tcW w:w="5160" w:type="dxa"/>
            <w:vAlign w:val="bottom"/>
          </w:tcPr>
          <w:p>
            <w:pPr>
              <w:ind w:left="80"/>
              <w:spacing w:after="0"/>
              <w:rPr>
                <w:sz w:val="20"/>
                <w:szCs w:val="20"/>
                <w:color w:val="auto"/>
              </w:rPr>
            </w:pPr>
            <w:r>
              <w:rPr>
                <w:rFonts w:ascii="Arial" w:cs="Arial" w:eastAsia="Arial" w:hAnsi="Arial"/>
                <w:sz w:val="18"/>
                <w:szCs w:val="18"/>
                <w:color w:val="auto"/>
              </w:rPr>
              <w:t>Audit and Governance and Directors Nominating Committees</w:t>
            </w:r>
          </w:p>
        </w:tc>
        <w:tc>
          <w:tcPr>
            <w:tcW w:w="1460" w:type="dxa"/>
            <w:vAlign w:val="bottom"/>
          </w:tcPr>
          <w:p>
            <w:pPr>
              <w:spacing w:after="0"/>
              <w:rPr>
                <w:sz w:val="24"/>
                <w:szCs w:val="24"/>
                <w:color w:val="auto"/>
              </w:rPr>
            </w:pPr>
          </w:p>
        </w:tc>
      </w:tr>
      <w:tr>
        <w:trPr>
          <w:trHeight w:val="28"/>
        </w:trPr>
        <w:tc>
          <w:tcPr>
            <w:tcW w:w="2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6"/>
        </w:trPr>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Maritza G. Montiel*</w:t>
            </w:r>
            <w:r>
              <w:rPr>
                <w:rFonts w:ascii="MS PGothic" w:cs="MS PGothic" w:eastAsia="MS PGothic" w:hAnsi="MS PGothic"/>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1560" w:type="dxa"/>
            <w:vAlign w:val="bottom"/>
          </w:tcPr>
          <w:p>
            <w:pPr>
              <w:jc w:val="right"/>
              <w:spacing w:after="0"/>
              <w:rPr>
                <w:sz w:val="20"/>
                <w:szCs w:val="20"/>
                <w:color w:val="auto"/>
              </w:rPr>
            </w:pPr>
            <w:r>
              <w:rPr>
                <w:rFonts w:ascii="Arial" w:cs="Arial" w:eastAsia="Arial" w:hAnsi="Arial"/>
                <w:sz w:val="18"/>
                <w:szCs w:val="18"/>
                <w:color w:val="auto"/>
              </w:rPr>
              <w:t>June 2018</w:t>
            </w:r>
          </w:p>
        </w:tc>
        <w:tc>
          <w:tcPr>
            <w:tcW w:w="516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1460" w:type="dxa"/>
            <w:vAlign w:val="bottom"/>
          </w:tcPr>
          <w:p>
            <w:pPr>
              <w:jc w:val="center"/>
              <w:ind w:left="50"/>
              <w:spacing w:after="0"/>
              <w:rPr>
                <w:sz w:val="20"/>
                <w:szCs w:val="20"/>
                <w:color w:val="auto"/>
              </w:rPr>
            </w:pPr>
            <w:r>
              <w:rPr>
                <w:rFonts w:ascii="Arial" w:cs="Arial" w:eastAsia="Arial" w:hAnsi="Arial"/>
                <w:sz w:val="18"/>
                <w:szCs w:val="18"/>
                <w:color w:val="0A33A5"/>
                <w:w w:val="85"/>
              </w:rPr>
              <w:t>Ö</w:t>
            </w:r>
          </w:p>
        </w:tc>
      </w:tr>
      <w:tr>
        <w:trPr>
          <w:trHeight w:val="28"/>
        </w:trPr>
        <w:tc>
          <w:tcPr>
            <w:tcW w:w="2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2240" w:type="dxa"/>
            <w:vAlign w:val="bottom"/>
          </w:tcPr>
          <w:p>
            <w:pPr>
              <w:ind w:left="80"/>
              <w:spacing w:after="0"/>
              <w:rPr>
                <w:sz w:val="20"/>
                <w:szCs w:val="20"/>
                <w:color w:val="auto"/>
              </w:rPr>
            </w:pPr>
            <w:r>
              <w:rPr>
                <w:rFonts w:ascii="Arial" w:cs="Arial" w:eastAsia="Arial" w:hAnsi="Arial"/>
                <w:sz w:val="18"/>
                <w:szCs w:val="18"/>
                <w:color w:val="auto"/>
              </w:rPr>
              <w:t>Asuka Nakahara*</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560" w:type="dxa"/>
            <w:vAlign w:val="bottom"/>
          </w:tcPr>
          <w:p>
            <w:pPr>
              <w:jc w:val="right"/>
              <w:spacing w:after="0"/>
              <w:rPr>
                <w:sz w:val="20"/>
                <w:szCs w:val="20"/>
                <w:color w:val="auto"/>
              </w:rPr>
            </w:pPr>
            <w:r>
              <w:rPr>
                <w:rFonts w:ascii="Arial" w:cs="Arial" w:eastAsia="Arial" w:hAnsi="Arial"/>
                <w:sz w:val="18"/>
                <w:szCs w:val="18"/>
                <w:color w:val="auto"/>
              </w:rPr>
              <w:t>February 2017</w:t>
            </w:r>
          </w:p>
        </w:tc>
        <w:tc>
          <w:tcPr>
            <w:tcW w:w="516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1460" w:type="dxa"/>
            <w:vAlign w:val="bottom"/>
          </w:tcPr>
          <w:p>
            <w:pPr>
              <w:jc w:val="center"/>
              <w:ind w:left="50"/>
              <w:spacing w:after="0"/>
              <w:rPr>
                <w:sz w:val="20"/>
                <w:szCs w:val="20"/>
                <w:color w:val="auto"/>
              </w:rPr>
            </w:pPr>
            <w:r>
              <w:rPr>
                <w:rFonts w:ascii="Arial" w:cs="Arial" w:eastAsia="Arial" w:hAnsi="Arial"/>
                <w:sz w:val="18"/>
                <w:szCs w:val="18"/>
                <w:color w:val="0A33A5"/>
                <w:w w:val="85"/>
              </w:rPr>
              <w:t>Ö</w:t>
            </w: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David C. Novak*</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1560" w:type="dxa"/>
            <w:vAlign w:val="bottom"/>
          </w:tcPr>
          <w:p>
            <w:pPr>
              <w:jc w:val="right"/>
              <w:spacing w:after="0"/>
              <w:rPr>
                <w:sz w:val="20"/>
                <w:szCs w:val="20"/>
                <w:color w:val="auto"/>
              </w:rPr>
            </w:pPr>
            <w:r>
              <w:rPr>
                <w:rFonts w:ascii="Arial" w:cs="Arial" w:eastAsia="Arial" w:hAnsi="Arial"/>
                <w:sz w:val="18"/>
                <w:szCs w:val="18"/>
                <w:color w:val="auto"/>
              </w:rPr>
              <w:t>December 2016</w:t>
            </w:r>
          </w:p>
        </w:tc>
        <w:tc>
          <w:tcPr>
            <w:tcW w:w="5160" w:type="dxa"/>
            <w:vAlign w:val="bottom"/>
          </w:tcPr>
          <w:p>
            <w:pPr>
              <w:ind w:left="80"/>
              <w:spacing w:after="0"/>
              <w:rPr>
                <w:sz w:val="20"/>
                <w:szCs w:val="20"/>
                <w:color w:val="auto"/>
              </w:rPr>
            </w:pPr>
            <w:r>
              <w:rPr>
                <w:rFonts w:ascii="Arial" w:cs="Arial" w:eastAsia="Arial" w:hAnsi="Arial"/>
                <w:sz w:val="18"/>
                <w:szCs w:val="18"/>
                <w:color w:val="auto"/>
              </w:rPr>
              <w:t>Compensation Committee</w:t>
            </w:r>
          </w:p>
        </w:tc>
        <w:tc>
          <w:tcPr>
            <w:tcW w:w="1460" w:type="dxa"/>
            <w:vAlign w:val="bottom"/>
          </w:tcPr>
          <w:p>
            <w:pPr>
              <w:spacing w:after="0"/>
              <w:rPr>
                <w:sz w:val="21"/>
                <w:szCs w:val="21"/>
                <w:color w:val="auto"/>
              </w:rPr>
            </w:pPr>
          </w:p>
        </w:tc>
      </w:tr>
      <w:tr>
        <w:trPr>
          <w:trHeight w:val="54"/>
        </w:trPr>
        <w:tc>
          <w:tcPr>
            <w:tcW w:w="2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0"/>
        </w:trPr>
        <w:tc>
          <w:tcPr>
            <w:tcW w:w="2240" w:type="dxa"/>
            <w:vAlign w:val="bottom"/>
          </w:tcPr>
          <w:p>
            <w:pPr>
              <w:ind w:left="100"/>
              <w:spacing w:after="0"/>
              <w:rPr>
                <w:sz w:val="20"/>
                <w:szCs w:val="20"/>
                <w:color w:val="auto"/>
              </w:rPr>
            </w:pPr>
            <w:r>
              <w:rPr>
                <w:rFonts w:ascii="Arial" w:cs="Arial" w:eastAsia="Arial" w:hAnsi="Arial"/>
                <w:sz w:val="18"/>
                <w:szCs w:val="18"/>
                <w:color w:val="auto"/>
              </w:rPr>
              <w:t>Brian L. Roberts</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560" w:type="dxa"/>
            <w:vAlign w:val="bottom"/>
          </w:tcPr>
          <w:p>
            <w:pPr>
              <w:jc w:val="right"/>
              <w:spacing w:after="0"/>
              <w:rPr>
                <w:sz w:val="20"/>
                <w:szCs w:val="20"/>
                <w:color w:val="auto"/>
              </w:rPr>
            </w:pPr>
            <w:r>
              <w:rPr>
                <w:rFonts w:ascii="Arial" w:cs="Arial" w:eastAsia="Arial" w:hAnsi="Arial"/>
                <w:sz w:val="18"/>
                <w:szCs w:val="18"/>
                <w:color w:val="auto"/>
              </w:rPr>
              <w:t>March 1988</w:t>
            </w:r>
          </w:p>
        </w:tc>
        <w:tc>
          <w:tcPr>
            <w:tcW w:w="5160" w:type="dxa"/>
            <w:vAlign w:val="bottom"/>
          </w:tcPr>
          <w:p>
            <w:pPr>
              <w:ind w:left="8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r>
    </w:tbl>
    <w:p>
      <w:pPr>
        <w:spacing w:after="0" w:line="49"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Lead Independent Director</w:t>
      </w:r>
    </w:p>
    <w:p>
      <w:pPr>
        <w:ind w:left="540" w:hanging="424"/>
        <w:spacing w:after="0"/>
        <w:tabs>
          <w:tab w:leader="none" w:pos="540" w:val="left"/>
        </w:tabs>
        <w:numPr>
          <w:ilvl w:val="0"/>
          <w:numId w:val="6"/>
        </w:numPr>
        <w:rPr>
          <w:rFonts w:ascii="MS PGothic" w:cs="MS PGothic" w:eastAsia="MS PGothic" w:hAnsi="MS PGothic"/>
          <w:sz w:val="18"/>
          <w:szCs w:val="18"/>
          <w:color w:val="auto"/>
        </w:rPr>
      </w:pPr>
      <w:r>
        <w:rPr>
          <w:rFonts w:ascii="Arial" w:cs="Arial" w:eastAsia="Arial" w:hAnsi="Arial"/>
          <w:sz w:val="18"/>
          <w:szCs w:val="18"/>
          <w:i w:val="1"/>
          <w:iCs w:val="1"/>
          <w:color w:val="auto"/>
        </w:rPr>
        <w:t>Audit Committee Financial Expert</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68"/>
        </w:trPr>
        <w:tc>
          <w:tcPr>
            <w:tcW w:w="3640" w:type="dxa"/>
            <w:vAlign w:val="bottom"/>
            <w:tcBorders>
              <w:top w:val="single" w:sz="8" w:color="auto"/>
              <w:left w:val="single" w:sz="8" w:color="auto"/>
              <w:right w:val="single" w:sz="8" w:color="auto"/>
            </w:tcBorders>
          </w:tcPr>
          <w:p>
            <w:pPr>
              <w:spacing w:after="0"/>
              <w:rPr>
                <w:sz w:val="5"/>
                <w:szCs w:val="5"/>
                <w:color w:val="auto"/>
              </w:rPr>
            </w:pPr>
          </w:p>
        </w:tc>
        <w:tc>
          <w:tcPr>
            <w:tcW w:w="3660" w:type="dxa"/>
            <w:vAlign w:val="bottom"/>
            <w:tcBorders>
              <w:top w:val="single" w:sz="8" w:color="auto"/>
              <w:right w:val="single" w:sz="8" w:color="auto"/>
            </w:tcBorders>
          </w:tcPr>
          <w:p>
            <w:pPr>
              <w:spacing w:after="0"/>
              <w:rPr>
                <w:sz w:val="5"/>
                <w:szCs w:val="5"/>
                <w:color w:val="auto"/>
              </w:rPr>
            </w:pPr>
          </w:p>
        </w:tc>
        <w:tc>
          <w:tcPr>
            <w:tcW w:w="3740" w:type="dxa"/>
            <w:vAlign w:val="bottom"/>
            <w:tcBorders>
              <w:top w:val="single" w:sz="8" w:color="auto"/>
              <w:right w:val="single" w:sz="8" w:color="auto"/>
            </w:tcBorders>
          </w:tcPr>
          <w:p>
            <w:pPr>
              <w:spacing w:after="0"/>
              <w:rPr>
                <w:sz w:val="5"/>
                <w:szCs w:val="5"/>
                <w:color w:val="auto"/>
              </w:rPr>
            </w:pPr>
          </w:p>
        </w:tc>
      </w:tr>
      <w:tr>
        <w:trPr>
          <w:trHeight w:val="291"/>
        </w:trPr>
        <w:tc>
          <w:tcPr>
            <w:tcW w:w="3640" w:type="dxa"/>
            <w:vAlign w:val="bottom"/>
            <w:tcBorders>
              <w:left w:val="single" w:sz="8" w:color="auto"/>
              <w:right w:val="single" w:sz="8" w:color="auto"/>
            </w:tcBorders>
            <w:shd w:val="clear" w:color="auto" w:fill="CCEEFF"/>
          </w:tcPr>
          <w:p>
            <w:pPr>
              <w:jc w:val="right"/>
              <w:ind w:right="1383"/>
              <w:spacing w:after="0"/>
              <w:rPr>
                <w:sz w:val="20"/>
                <w:szCs w:val="20"/>
                <w:color w:val="auto"/>
              </w:rPr>
            </w:pPr>
            <w:r>
              <w:rPr>
                <w:rFonts w:ascii="Arial" w:cs="Arial" w:eastAsia="Arial" w:hAnsi="Arial"/>
                <w:sz w:val="25"/>
                <w:szCs w:val="25"/>
                <w:b w:val="1"/>
                <w:bCs w:val="1"/>
                <w:color w:val="0A33A5"/>
              </w:rPr>
              <w:t>90%</w:t>
            </w:r>
          </w:p>
        </w:tc>
        <w:tc>
          <w:tcPr>
            <w:tcW w:w="36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5"/>
                <w:szCs w:val="25"/>
                <w:b w:val="1"/>
                <w:bCs w:val="1"/>
                <w:color w:val="0A33A5"/>
              </w:rPr>
              <w:t>7 Years</w:t>
            </w:r>
          </w:p>
        </w:tc>
        <w:tc>
          <w:tcPr>
            <w:tcW w:w="3740" w:type="dxa"/>
            <w:vAlign w:val="bottom"/>
            <w:tcBorders>
              <w:right w:val="single" w:sz="8" w:color="auto"/>
            </w:tcBorders>
            <w:shd w:val="clear" w:color="auto" w:fill="CCEEFF"/>
          </w:tcPr>
          <w:p>
            <w:pPr>
              <w:jc w:val="right"/>
              <w:ind w:right="1483"/>
              <w:spacing w:after="0"/>
              <w:rPr>
                <w:sz w:val="20"/>
                <w:szCs w:val="20"/>
                <w:color w:val="auto"/>
              </w:rPr>
            </w:pPr>
            <w:r>
              <w:rPr>
                <w:rFonts w:ascii="Arial" w:cs="Arial" w:eastAsia="Arial" w:hAnsi="Arial"/>
                <w:sz w:val="25"/>
                <w:szCs w:val="25"/>
                <w:b w:val="1"/>
                <w:bCs w:val="1"/>
                <w:color w:val="0A33A5"/>
              </w:rPr>
              <w:t>50%</w:t>
            </w:r>
          </w:p>
        </w:tc>
      </w:tr>
      <w:tr>
        <w:trPr>
          <w:trHeight w:val="261"/>
        </w:trPr>
        <w:tc>
          <w:tcPr>
            <w:tcW w:w="3640" w:type="dxa"/>
            <w:vAlign w:val="bottom"/>
            <w:tcBorders>
              <w:left w:val="single" w:sz="8" w:color="auto"/>
              <w:bottom w:val="single" w:sz="8" w:color="auto"/>
              <w:right w:val="single" w:sz="8" w:color="auto"/>
            </w:tcBorders>
            <w:shd w:val="clear" w:color="auto" w:fill="CCEEFF"/>
          </w:tcPr>
          <w:p>
            <w:pPr>
              <w:jc w:val="center"/>
              <w:ind w:left="23"/>
              <w:spacing w:after="0"/>
              <w:rPr>
                <w:sz w:val="20"/>
                <w:szCs w:val="20"/>
                <w:color w:val="auto"/>
              </w:rPr>
            </w:pPr>
            <w:r>
              <w:rPr>
                <w:rFonts w:ascii="Arial" w:cs="Arial" w:eastAsia="Arial" w:hAnsi="Arial"/>
                <w:sz w:val="22"/>
                <w:szCs w:val="22"/>
                <w:color w:val="0A33A5"/>
                <w:w w:val="98"/>
              </w:rPr>
              <w:t>of Directors Independent</w:t>
            </w:r>
          </w:p>
        </w:tc>
        <w:tc>
          <w:tcPr>
            <w:tcW w:w="3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2"/>
                <w:szCs w:val="22"/>
                <w:color w:val="0A33A5"/>
                <w:w w:val="97"/>
              </w:rPr>
              <w:t>Avg. Independent Director Tenure</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2"/>
                <w:szCs w:val="22"/>
                <w:color w:val="0A33A5"/>
                <w:w w:val="99"/>
              </w:rPr>
              <w:t>Board Diversity</w:t>
            </w:r>
          </w:p>
        </w:tc>
      </w:tr>
    </w:tbl>
    <w:p>
      <w:pPr>
        <w:spacing w:after="0" w:line="197"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7"/>
          <w:szCs w:val="17"/>
          <w:i w:val="1"/>
          <w:iCs w:val="1"/>
          <w:color w:val="auto"/>
        </w:rPr>
        <w:t>following the annual meeting if all of our director nominees are elected</w:t>
      </w:r>
    </w:p>
    <w:p>
      <w:pPr>
        <w:sectPr>
          <w:pgSz w:w="11900" w:h="16838" w:orient="portrait"/>
          <w:cols w:equalWidth="0" w:num="1">
            <w:col w:w="11140"/>
          </w:cols>
          <w:pgMar w:left="32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A33A5"/>
        </w:rPr>
        <w:t>GENERAL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Who May Vote</w:t>
      </w:r>
    </w:p>
    <w:p>
      <w:pPr>
        <w:spacing w:after="0" w:line="126" w:lineRule="exact"/>
        <w:rPr>
          <w:sz w:val="20"/>
          <w:szCs w:val="20"/>
          <w:color w:val="auto"/>
        </w:rPr>
      </w:pPr>
    </w:p>
    <w:p>
      <w:pPr>
        <w:ind w:left="120" w:right="60"/>
        <w:spacing w:after="0" w:line="261" w:lineRule="auto"/>
        <w:rPr>
          <w:sz w:val="20"/>
          <w:szCs w:val="20"/>
          <w:color w:val="auto"/>
        </w:rPr>
      </w:pPr>
      <w:r>
        <w:rPr>
          <w:rFonts w:ascii="Arial" w:cs="Arial" w:eastAsia="Arial" w:hAnsi="Arial"/>
          <w:sz w:val="17"/>
          <w:szCs w:val="17"/>
          <w:color w:val="auto"/>
        </w:rPr>
        <w:t>Holders of record of Class A and Class B common stock of Comcast Corporation (“Comcast,” the “Company,” “our,” “we” or “us”) at the close of business on April 3, 2020 may vote at the annual meeting of shareholders. The Notice of Internet Availability of Proxy Materials (the “Notice”) is being mailed, and this proxy statement is being made available, to our shareholders beginning on or about April 24, 2020.</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How to Vote</w:t>
      </w:r>
    </w:p>
    <w:p>
      <w:pPr>
        <w:spacing w:after="0" w:line="126"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You may vote at the virtual meeting or by proxy. We recommend that you vote by proxy even if you plan to participate in the virtual meeting. You can always change your vote at the meeting if you participate in it.</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How Proxies Work</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vote by proxy in any of the following ways:</w:t>
      </w:r>
    </w:p>
    <w:p>
      <w:pPr>
        <w:spacing w:after="0" w:line="41" w:lineRule="exact"/>
        <w:rPr>
          <w:sz w:val="20"/>
          <w:szCs w:val="20"/>
          <w:color w:val="auto"/>
        </w:rPr>
      </w:pPr>
    </w:p>
    <w:p>
      <w:pPr>
        <w:ind w:left="980" w:right="240" w:hanging="432"/>
        <w:spacing w:after="0" w:line="27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Internet: </w:t>
      </w:r>
      <w:r>
        <w:rPr>
          <w:rFonts w:ascii="Arial" w:cs="Arial" w:eastAsia="Arial" w:hAnsi="Arial"/>
          <w:sz w:val="18"/>
          <w:szCs w:val="18"/>
          <w:color w:val="auto"/>
        </w:rPr>
        <w:t>Go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scan the QR code on your Notice or proxy card with a smartphone or tablet,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 the instructions outlined on the secure website.</w:t>
      </w:r>
    </w:p>
    <w:p>
      <w:pPr>
        <w:spacing w:after="0" w:line="5" w:lineRule="exact"/>
        <w:rPr>
          <w:rFonts w:ascii="Arial" w:cs="Arial" w:eastAsia="Arial" w:hAnsi="Arial"/>
          <w:sz w:val="18"/>
          <w:szCs w:val="18"/>
          <w:color w:val="auto"/>
        </w:rPr>
      </w:pPr>
    </w:p>
    <w:p>
      <w:pPr>
        <w:jc w:val="both"/>
        <w:ind w:left="980" w:right="320" w:hanging="432"/>
        <w:spacing w:after="0" w:line="25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beneficially, through a broker, brokerage firm, bank or other nominee, please refer to the instructions your broker, brokerage firm, bank or other nominee provided to you regarding voting by telephone.</w:t>
      </w:r>
    </w:p>
    <w:p>
      <w:pPr>
        <w:spacing w:after="0" w:line="20" w:lineRule="exact"/>
        <w:rPr>
          <w:rFonts w:ascii="Arial" w:cs="Arial" w:eastAsia="Arial" w:hAnsi="Arial"/>
          <w:sz w:val="18"/>
          <w:szCs w:val="18"/>
          <w:color w:val="auto"/>
        </w:rPr>
      </w:pPr>
    </w:p>
    <w:p>
      <w:pPr>
        <w:ind w:left="980" w:hanging="43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Mail: </w:t>
      </w:r>
      <w:r>
        <w:rPr>
          <w:rFonts w:ascii="Arial" w:cs="Arial" w:eastAsia="Arial" w:hAnsi="Arial"/>
          <w:sz w:val="18"/>
          <w:szCs w:val="18"/>
          <w:color w:val="auto"/>
        </w:rPr>
        <w:t>Complete, sign and date your proxy card and return it in the enclosed envelope.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June 2, 2020.</w:t>
      </w:r>
    </w:p>
    <w:p>
      <w:pPr>
        <w:spacing w:after="0" w:line="82"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color w:val="auto"/>
        </w:rPr>
        <w:t>If you give us your signed proxy but do not specify how to vote, we will vote your shares (i) in favor of (a) the director candidates, (b) the ratification of the appointment of our independent auditors, (c) the approval of the Amended and Restated 2003 Stock Option Plan, (d) the approval of the Amended and Restated 2002 Restricted Stock Plan, and (e) the approval, on an advisory basis, of our executive compensation; and (ii) against each of the shareholder proposals.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24, 2020,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Matters to Be Presented</w:t>
      </w:r>
    </w:p>
    <w:p>
      <w:pPr>
        <w:spacing w:after="0" w:line="12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Revoking a Proxy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revoke your proxy before it is voted by:</w:t>
      </w:r>
    </w:p>
    <w:p>
      <w:pPr>
        <w:spacing w:after="0" w:line="63" w:lineRule="exact"/>
        <w:rPr>
          <w:sz w:val="20"/>
          <w:szCs w:val="20"/>
          <w:color w:val="auto"/>
        </w:rPr>
      </w:pPr>
    </w:p>
    <w:p>
      <w:pPr>
        <w:ind w:left="5580" w:right="2460" w:hanging="5032"/>
        <w:spacing w:after="0" w:line="418" w:lineRule="auto"/>
        <w:tabs>
          <w:tab w:leader="none" w:pos="986"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 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at the virtual meeting.</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Attending and Voting at the Meeting</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This year’s annual meeting will be a virtual meeting of shareholders conducted via live webcast. All shareholders of record on April 3, 2020 are invited to attend and participate in the meeting. We believe that a virtual meeting provides expanded shareholder access and participation and improved communications, while affording shareholders the same rights as if the meeting were held in person, including the ability to vote shares electronically during the meeting and ask questions in accordance with the rules of conduct for the meeting.</w:t>
      </w:r>
    </w:p>
    <w:p>
      <w:pPr>
        <w:spacing w:after="0" w:line="7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 xml:space="preserve">To attend, and submit your questions during, the virtual meeting, please visit </w:t>
      </w:r>
      <w:r>
        <w:rPr>
          <w:rFonts w:ascii="Arial" w:cs="Arial" w:eastAsia="Arial" w:hAnsi="Arial"/>
          <w:sz w:val="18"/>
          <w:szCs w:val="18"/>
          <w:i w:val="1"/>
          <w:iCs w:val="1"/>
          <w:color w:val="auto"/>
        </w:rPr>
        <w:t>comcast.onlineshareholdermeeting.com</w:t>
      </w:r>
      <w:r>
        <w:rPr>
          <w:rFonts w:ascii="Arial" w:cs="Arial" w:eastAsia="Arial" w:hAnsi="Arial"/>
          <w:sz w:val="18"/>
          <w:szCs w:val="18"/>
          <w:color w:val="auto"/>
        </w:rPr>
        <w:t>. To participate in the annual meeting, you will need the 16-digit control number included on your Notice or on your proxy card. Beneficial shareholders who do not have a control number may gain access to the meeting by logging into their broker, brokerage firm, bank or other nominee’s website and selecting the shareholder communications mailbox to link through to the annual meeting; instructions should also be provided on the voting instruction card provided by your broker, bank, or other nominee.</w:t>
      </w:r>
    </w:p>
    <w:p>
      <w:pPr>
        <w:spacing w:after="0" w:line="9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If you have any technical difficulties or any questions regarding the virtual meeting website, please call 1-855-449-0991 (toll-free). If there are any technical issues in convening or hosting the meeting, we will promptly post information to our investor relations website, cmcsa.com, including information on when the meeting will be reconvened.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Conduct of the Meeting</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Chairman of our Board (or any other person designated by our Board) has broad authority to conduct the annual meeting of shareholders in an orderly manner. This authority includes establishing rules of conduct, which will be available at the virtual meeting, for shareholders who wish to participate in the meeting. To ensure the meeting is conducted in a manner that is fair to all shareholders, the Chairman (or such other person designated by our Board) may exercise broad discretion in recognizing shareholders who wish to participate, the order in which questions are asked and the amount of time devoted to any one question. However, consistent with our prior in-person and virtual annual meetings, all questions submitted in accordance with the rules of conduct generally will be addressed in the order received.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Additional Information on the Annual Meeting of Shareholders</w:t>
      </w:r>
    </w:p>
    <w:p>
      <w:pPr>
        <w:spacing w:after="0" w:line="126"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26"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scan the QR code on your Notice or proxy card with a smartphone or tablet.</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By telephone: </w:t>
      </w:r>
      <w:r>
        <w:rPr>
          <w:rFonts w:ascii="Arial" w:cs="Arial" w:eastAsia="Arial" w:hAnsi="Arial"/>
          <w:sz w:val="18"/>
          <w:szCs w:val="18"/>
          <w:color w:val="auto"/>
        </w:rPr>
        <w:t>Call toll free 1-866-281-2100</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By writing:</w:t>
      </w:r>
    </w:p>
    <w:p>
      <w:pPr>
        <w:spacing w:after="0" w:line="71" w:lineRule="exact"/>
        <w:rPr>
          <w:rFonts w:ascii="Arial" w:cs="Arial" w:eastAsia="Arial" w:hAnsi="Arial"/>
          <w:sz w:val="18"/>
          <w:szCs w:val="18"/>
          <w:color w:val="auto"/>
        </w:rPr>
      </w:pPr>
    </w:p>
    <w:p>
      <w:pPr>
        <w:ind w:left="1000" w:right="8020"/>
        <w:spacing w:after="0" w:line="257" w:lineRule="auto"/>
        <w:rPr>
          <w:rFonts w:ascii="Arial" w:cs="Arial" w:eastAsia="Arial" w:hAnsi="Arial"/>
          <w:sz w:val="18"/>
          <w:szCs w:val="18"/>
          <w:color w:val="auto"/>
        </w:rPr>
      </w:pPr>
      <w:r>
        <w:rPr>
          <w:rFonts w:ascii="Arial" w:cs="Arial" w:eastAsia="Arial" w:hAnsi="Arial"/>
          <w:sz w:val="17"/>
          <w:szCs w:val="17"/>
          <w:color w:val="auto"/>
        </w:rPr>
        <w:t>Thomas J. Reid, Secretary Comcast Corporation One Comcast Center Philadelphia, PA 19103</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Shareholder Engagement</w:t>
      </w:r>
    </w:p>
    <w:p>
      <w:pPr>
        <w:spacing w:after="0" w:line="126"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We have always maintained a very active, broad-based and year-round investor relations outreach program to solicit input and to communicate with shareholders on a variety of topics related to our business and strategy. Over the course of a year, our investor relations team, some of our named executive officers (“NEOs”) and other key employees typically speak with several hundred investors through investor roadshows, conferences and phone conversations.</w:t>
      </w:r>
    </w:p>
    <w:p>
      <w:pPr>
        <w:spacing w:after="0" w:line="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addition to our traditional investor relations outreach program, we hold in-person and telephonic governance roadshow presentations and discussions with our larger investors. Over the past year, we spoke with approximately 35 investors, including investors who sought to engage with us. We believe these investors represented approximately 40% of our outstanding shares of Class A common stock. We also spoke with two of the top proxy advisory firms. Many of these meetings included at least one of our executive officers.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rFonts w:ascii="Arial" w:cs="Arial" w:eastAsia="Arial" w:hAnsi="Arial"/>
          <w:sz w:val="18"/>
          <w:szCs w:val="18"/>
          <w:color w:val="0000EE"/>
        </w:rPr>
      </w:pPr>
      <w:r>
        <w:rPr>
          <w:rFonts w:ascii="Arial" w:cs="Arial" w:eastAsia="Arial" w:hAnsi="Arial"/>
          <w:sz w:val="18"/>
          <w:szCs w:val="18"/>
          <w:color w:val="auto"/>
        </w:rPr>
        <w:t xml:space="preserve">This dialogue provides an opportunity to discuss governance matters generally, including our directors’ skills and tenure, our Board’s oversight roles and responsibilities, our various social and environmental initiatives, and our approach to executive compensation matters, including the linkage between pay and performance and our compensation program’s alignment to our shareholders’ interests. Through these discussions, some of our shareholders have suggested that we consider certain changes or additional disclosures. In response to feedback from some investors over the past year, we have made several changes to our executive compensation program for 2020, as </w:t>
      </w:r>
      <w:hyperlink w:anchor="page45">
        <w:r>
          <w:rPr>
            <w:rFonts w:ascii="Arial" w:cs="Arial" w:eastAsia="Arial" w:hAnsi="Arial"/>
            <w:sz w:val="18"/>
            <w:szCs w:val="18"/>
            <w:color w:val="auto"/>
          </w:rPr>
          <w:t>described in “</w:t>
        </w:r>
        <w:r>
          <w:rPr>
            <w:rFonts w:ascii="Arial" w:cs="Arial" w:eastAsia="Arial" w:hAnsi="Arial"/>
            <w:sz w:val="18"/>
            <w:szCs w:val="18"/>
            <w:u w:val="single" w:color="auto"/>
            <w:color w:val="0000EE"/>
          </w:rPr>
          <w:t>Executive Compensation – Compensation Discussion and Analysis – Executive Summary – Compensation-Related</w:t>
        </w:r>
      </w:hyperlink>
      <w:r>
        <w:rPr>
          <w:rFonts w:ascii="Arial" w:cs="Arial" w:eastAsia="Arial" w:hAnsi="Arial"/>
          <w:sz w:val="18"/>
          <w:szCs w:val="18"/>
          <w:color w:val="auto"/>
        </w:rPr>
        <w:t xml:space="preserve"> </w:t>
      </w:r>
      <w:hyperlink w:anchor="page45">
        <w:r>
          <w:rPr>
            <w:rFonts w:ascii="Arial" w:cs="Arial" w:eastAsia="Arial" w:hAnsi="Arial"/>
            <w:sz w:val="18"/>
            <w:szCs w:val="18"/>
            <w:u w:val="single" w:color="auto"/>
            <w:color w:val="0000EE"/>
          </w:rPr>
          <w:t>Changes</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above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0A33A5"/>
        </w:rPr>
        <w:t>VOTING SECURITIES AND PRINCIPAL HOLDERS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OUTSTANDING SHARES AND VOTING RIGHTS</w:t>
      </w:r>
    </w:p>
    <w:p>
      <w:pPr>
        <w:spacing w:after="0" w:line="126"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At the close of business on April 3, 2020, the record date, we had outstanding 4,554,713,243 shares of Class A common stock and 9,444,375 shares of Class B common stock.</w:t>
      </w:r>
    </w:p>
    <w:p>
      <w:pPr>
        <w:spacing w:after="0" w:line="8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0.0622 votes per share and each holder of Class B common stock is entitled to 15 votes per share.</w:t>
      </w:r>
    </w:p>
    <w:p>
      <w:pPr>
        <w:spacing w:after="0" w:line="95" w:lineRule="exact"/>
        <w:rPr>
          <w:sz w:val="20"/>
          <w:szCs w:val="20"/>
          <w:color w:val="auto"/>
        </w:rPr>
      </w:pPr>
    </w:p>
    <w:p>
      <w:pPr>
        <w:ind w:left="120" w:right="180"/>
        <w:spacing w:after="0" w:line="252" w:lineRule="auto"/>
        <w:rPr>
          <w:sz w:val="20"/>
          <w:szCs w:val="20"/>
          <w:color w:val="auto"/>
        </w:rPr>
      </w:pPr>
      <w:r>
        <w:rPr>
          <w:rFonts w:ascii="Arial" w:cs="Arial" w:eastAsia="Arial" w:hAnsi="Arial"/>
          <w:sz w:val="17"/>
          <w:szCs w:val="17"/>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virtual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86"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PRINCIPAL SHAREHOLDERS</w:t>
      </w:r>
    </w:p>
    <w:p>
      <w:pPr>
        <w:spacing w:after="0" w:line="126"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This table sets forth information as of March 10, 2020 about persons we know to beneficially own more than 5% of any class of our voting common stock.</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220" w:type="dxa"/>
            <w:vAlign w:val="bottom"/>
            <w:tcBorders>
              <w:top w:val="single" w:sz="8" w:color="auto"/>
            </w:tcBorders>
            <w:shd w:val="clear" w:color="auto" w:fill="DDF2F9"/>
          </w:tcPr>
          <w:p>
            <w:pPr>
              <w:spacing w:after="0"/>
              <w:rPr>
                <w:sz w:val="16"/>
                <w:szCs w:val="16"/>
                <w:color w:val="auto"/>
              </w:rPr>
            </w:pPr>
          </w:p>
        </w:tc>
        <w:tc>
          <w:tcPr>
            <w:tcW w:w="4220" w:type="dxa"/>
            <w:vAlign w:val="bottom"/>
            <w:tcBorders>
              <w:top w:val="single" w:sz="8" w:color="auto"/>
            </w:tcBorders>
            <w:shd w:val="clear" w:color="auto" w:fill="DDF2F9"/>
          </w:tcPr>
          <w:p>
            <w:pPr>
              <w:ind w:left="1840"/>
              <w:spacing w:after="0" w:line="193" w:lineRule="exact"/>
              <w:rPr>
                <w:sz w:val="20"/>
                <w:szCs w:val="20"/>
                <w:color w:val="auto"/>
              </w:rPr>
            </w:pPr>
            <w:r>
              <w:rPr>
                <w:rFonts w:ascii="Arial" w:cs="Arial" w:eastAsia="Arial" w:hAnsi="Arial"/>
                <w:sz w:val="18"/>
                <w:szCs w:val="18"/>
                <w:b w:val="1"/>
                <w:bCs w:val="1"/>
                <w:color w:val="0A33A5"/>
              </w:rPr>
              <w:t>Name and Address of</w:t>
            </w:r>
          </w:p>
        </w:tc>
        <w:tc>
          <w:tcPr>
            <w:tcW w:w="2360" w:type="dxa"/>
            <w:vAlign w:val="bottom"/>
            <w:tcBorders>
              <w:top w:val="single" w:sz="8" w:color="auto"/>
            </w:tcBorders>
            <w:shd w:val="clear" w:color="auto" w:fill="DDF2F9"/>
          </w:tcPr>
          <w:p>
            <w:pPr>
              <w:jc w:val="right"/>
              <w:ind w:right="10"/>
              <w:spacing w:after="0" w:line="193" w:lineRule="exact"/>
              <w:rPr>
                <w:sz w:val="20"/>
                <w:szCs w:val="20"/>
                <w:color w:val="auto"/>
              </w:rPr>
            </w:pPr>
            <w:r>
              <w:rPr>
                <w:rFonts w:ascii="Arial" w:cs="Arial" w:eastAsia="Arial" w:hAnsi="Arial"/>
                <w:sz w:val="18"/>
                <w:szCs w:val="18"/>
                <w:b w:val="1"/>
                <w:bCs w:val="1"/>
                <w:color w:val="0A33A5"/>
              </w:rPr>
              <w:t>Amount Beneficially</w:t>
            </w:r>
          </w:p>
        </w:tc>
        <w:tc>
          <w:tcPr>
            <w:tcW w:w="1220" w:type="dxa"/>
            <w:vAlign w:val="bottom"/>
            <w:tcBorders>
              <w:top w:val="single" w:sz="8" w:color="auto"/>
            </w:tcBorders>
            <w:shd w:val="clear" w:color="auto" w:fill="DDF2F9"/>
          </w:tcPr>
          <w:p>
            <w:pPr>
              <w:jc w:val="center"/>
              <w:ind w:right="90"/>
              <w:spacing w:after="0" w:line="193" w:lineRule="exact"/>
              <w:rPr>
                <w:sz w:val="20"/>
                <w:szCs w:val="20"/>
                <w:color w:val="auto"/>
              </w:rPr>
            </w:pPr>
            <w:r>
              <w:rPr>
                <w:rFonts w:ascii="Arial" w:cs="Arial" w:eastAsia="Arial" w:hAnsi="Arial"/>
                <w:sz w:val="18"/>
                <w:szCs w:val="18"/>
                <w:b w:val="1"/>
                <w:bCs w:val="1"/>
                <w:color w:val="0A33A5"/>
                <w:w w:val="99"/>
              </w:rPr>
              <w:t>Percent of</w:t>
            </w:r>
          </w:p>
        </w:tc>
      </w:tr>
      <w:tr>
        <w:trPr>
          <w:trHeight w:val="239"/>
        </w:trPr>
        <w:tc>
          <w:tcPr>
            <w:tcW w:w="322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8"/>
                <w:szCs w:val="18"/>
                <w:b w:val="1"/>
                <w:bCs w:val="1"/>
                <w:color w:val="0A33A5"/>
              </w:rPr>
              <w:t>Title of Voting Class</w:t>
            </w:r>
          </w:p>
        </w:tc>
        <w:tc>
          <w:tcPr>
            <w:tcW w:w="4220" w:type="dxa"/>
            <w:vAlign w:val="bottom"/>
            <w:tcBorders>
              <w:bottom w:val="single" w:sz="8" w:color="auto"/>
            </w:tcBorders>
            <w:shd w:val="clear" w:color="auto" w:fill="DDF2F9"/>
          </w:tcPr>
          <w:p>
            <w:pPr>
              <w:ind w:left="2040"/>
              <w:spacing w:after="0"/>
              <w:rPr>
                <w:sz w:val="20"/>
                <w:szCs w:val="20"/>
                <w:color w:val="auto"/>
              </w:rPr>
            </w:pPr>
            <w:r>
              <w:rPr>
                <w:rFonts w:ascii="Arial" w:cs="Arial" w:eastAsia="Arial" w:hAnsi="Arial"/>
                <w:sz w:val="18"/>
                <w:szCs w:val="18"/>
                <w:b w:val="1"/>
                <w:bCs w:val="1"/>
                <w:color w:val="0A33A5"/>
              </w:rPr>
              <w:t>Beneficial Owner</w:t>
            </w:r>
          </w:p>
        </w:tc>
        <w:tc>
          <w:tcPr>
            <w:tcW w:w="2360" w:type="dxa"/>
            <w:vAlign w:val="bottom"/>
            <w:tcBorders>
              <w:bottom w:val="single" w:sz="8" w:color="auto"/>
            </w:tcBorders>
            <w:shd w:val="clear" w:color="auto" w:fill="DDF2F9"/>
          </w:tcPr>
          <w:p>
            <w:pPr>
              <w:jc w:val="right"/>
              <w:ind w:right="570"/>
              <w:spacing w:after="0"/>
              <w:rPr>
                <w:sz w:val="20"/>
                <w:szCs w:val="20"/>
                <w:color w:val="auto"/>
              </w:rPr>
            </w:pPr>
            <w:r>
              <w:rPr>
                <w:rFonts w:ascii="Arial" w:cs="Arial" w:eastAsia="Arial" w:hAnsi="Arial"/>
                <w:sz w:val="18"/>
                <w:szCs w:val="18"/>
                <w:b w:val="1"/>
                <w:bCs w:val="1"/>
                <w:color w:val="0A33A5"/>
              </w:rPr>
              <w:t>Owned</w:t>
            </w:r>
          </w:p>
        </w:tc>
        <w:tc>
          <w:tcPr>
            <w:tcW w:w="1220" w:type="dxa"/>
            <w:vAlign w:val="bottom"/>
            <w:tcBorders>
              <w:bottom w:val="single" w:sz="8" w:color="auto"/>
            </w:tcBorders>
            <w:shd w:val="clear" w:color="auto" w:fill="DDF2F9"/>
          </w:tcPr>
          <w:p>
            <w:pPr>
              <w:jc w:val="center"/>
              <w:ind w:right="90"/>
              <w:spacing w:after="0"/>
              <w:rPr>
                <w:sz w:val="20"/>
                <w:szCs w:val="20"/>
                <w:color w:val="auto"/>
              </w:rPr>
            </w:pPr>
            <w:r>
              <w:rPr>
                <w:rFonts w:ascii="Arial" w:cs="Arial" w:eastAsia="Arial" w:hAnsi="Arial"/>
                <w:sz w:val="18"/>
                <w:szCs w:val="18"/>
                <w:b w:val="1"/>
                <w:bCs w:val="1"/>
                <w:color w:val="0A33A5"/>
                <w:w w:val="99"/>
              </w:rPr>
              <w:t>Class</w:t>
            </w:r>
          </w:p>
        </w:tc>
      </w:tr>
      <w:tr>
        <w:trPr>
          <w:trHeight w:val="195"/>
        </w:trPr>
        <w:tc>
          <w:tcPr>
            <w:tcW w:w="3220" w:type="dxa"/>
            <w:vAlign w:val="bottom"/>
          </w:tcPr>
          <w:p>
            <w:pPr>
              <w:ind w:left="80"/>
              <w:spacing w:after="0" w:line="195" w:lineRule="exact"/>
              <w:rPr>
                <w:sz w:val="20"/>
                <w:szCs w:val="20"/>
                <w:color w:val="auto"/>
              </w:rPr>
            </w:pPr>
            <w:r>
              <w:rPr>
                <w:rFonts w:ascii="Arial" w:cs="Arial" w:eastAsia="Arial" w:hAnsi="Arial"/>
                <w:sz w:val="18"/>
                <w:szCs w:val="18"/>
                <w:color w:val="auto"/>
              </w:rPr>
              <w:t>Class A common stock</w:t>
            </w:r>
          </w:p>
        </w:tc>
        <w:tc>
          <w:tcPr>
            <w:tcW w:w="4220" w:type="dxa"/>
            <w:vAlign w:val="bottom"/>
          </w:tcPr>
          <w:p>
            <w:pPr>
              <w:ind w:left="1300"/>
              <w:spacing w:after="0" w:line="195" w:lineRule="exact"/>
              <w:rPr>
                <w:sz w:val="20"/>
                <w:szCs w:val="20"/>
                <w:color w:val="auto"/>
              </w:rPr>
            </w:pPr>
            <w:r>
              <w:rPr>
                <w:rFonts w:ascii="Arial" w:cs="Arial" w:eastAsia="Arial" w:hAnsi="Arial"/>
                <w:sz w:val="18"/>
                <w:szCs w:val="18"/>
                <w:color w:val="auto"/>
              </w:rPr>
              <w:t>The Vanguard Group</w:t>
            </w:r>
          </w:p>
        </w:tc>
        <w:tc>
          <w:tcPr>
            <w:tcW w:w="23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403,366,604</w:t>
            </w:r>
            <w:r>
              <w:rPr>
                <w:rFonts w:ascii="Arial" w:cs="Arial" w:eastAsia="Arial" w:hAnsi="Arial"/>
                <w:sz w:val="15"/>
                <w:szCs w:val="15"/>
                <w:color w:val="auto"/>
              </w:rPr>
              <w:t>(1)</w:t>
            </w: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rPr>
              <w:t>8.9%</w:t>
            </w:r>
          </w:p>
        </w:tc>
      </w:tr>
      <w:tr>
        <w:trPr>
          <w:trHeight w:val="203"/>
        </w:trPr>
        <w:tc>
          <w:tcPr>
            <w:tcW w:w="3220" w:type="dxa"/>
            <w:vAlign w:val="bottom"/>
          </w:tcPr>
          <w:p>
            <w:pPr>
              <w:spacing w:after="0"/>
              <w:rPr>
                <w:sz w:val="17"/>
                <w:szCs w:val="17"/>
                <w:color w:val="auto"/>
              </w:rPr>
            </w:pPr>
          </w:p>
        </w:tc>
        <w:tc>
          <w:tcPr>
            <w:tcW w:w="4220" w:type="dxa"/>
            <w:vAlign w:val="bottom"/>
          </w:tcPr>
          <w:p>
            <w:pPr>
              <w:ind w:left="1300"/>
              <w:spacing w:after="0" w:line="202" w:lineRule="exact"/>
              <w:rPr>
                <w:sz w:val="20"/>
                <w:szCs w:val="20"/>
                <w:color w:val="auto"/>
              </w:rPr>
            </w:pPr>
            <w:r>
              <w:rPr>
                <w:rFonts w:ascii="Arial" w:cs="Arial" w:eastAsia="Arial" w:hAnsi="Arial"/>
                <w:sz w:val="18"/>
                <w:szCs w:val="18"/>
                <w:color w:val="auto"/>
              </w:rPr>
              <w:t>100 Vanguard Blvd.</w:t>
            </w:r>
          </w:p>
        </w:tc>
        <w:tc>
          <w:tcPr>
            <w:tcW w:w="2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3220" w:type="dxa"/>
            <w:vAlign w:val="bottom"/>
          </w:tcPr>
          <w:p>
            <w:pPr>
              <w:spacing w:after="0"/>
              <w:rPr>
                <w:sz w:val="18"/>
                <w:szCs w:val="18"/>
                <w:color w:val="auto"/>
              </w:rPr>
            </w:pPr>
          </w:p>
        </w:tc>
        <w:tc>
          <w:tcPr>
            <w:tcW w:w="4220" w:type="dxa"/>
            <w:vAlign w:val="bottom"/>
          </w:tcPr>
          <w:p>
            <w:pPr>
              <w:ind w:left="1300"/>
              <w:spacing w:after="0"/>
              <w:rPr>
                <w:sz w:val="20"/>
                <w:szCs w:val="20"/>
                <w:color w:val="auto"/>
              </w:rPr>
            </w:pPr>
            <w:r>
              <w:rPr>
                <w:rFonts w:ascii="Arial" w:cs="Arial" w:eastAsia="Arial" w:hAnsi="Arial"/>
                <w:sz w:val="18"/>
                <w:szCs w:val="18"/>
                <w:color w:val="auto"/>
              </w:rPr>
              <w:t>Malvern, PA 19355</w:t>
            </w:r>
          </w:p>
        </w:tc>
        <w:tc>
          <w:tcPr>
            <w:tcW w:w="2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3220" w:type="dxa"/>
            <w:vAlign w:val="bottom"/>
          </w:tcPr>
          <w:p>
            <w:pPr>
              <w:ind w:left="80"/>
              <w:spacing w:after="0"/>
              <w:rPr>
                <w:sz w:val="20"/>
                <w:szCs w:val="20"/>
                <w:color w:val="auto"/>
              </w:rPr>
            </w:pPr>
            <w:r>
              <w:rPr>
                <w:rFonts w:ascii="Arial" w:cs="Arial" w:eastAsia="Arial" w:hAnsi="Arial"/>
                <w:sz w:val="18"/>
                <w:szCs w:val="18"/>
                <w:color w:val="auto"/>
              </w:rPr>
              <w:t>Class A common stock</w:t>
            </w:r>
          </w:p>
        </w:tc>
        <w:tc>
          <w:tcPr>
            <w:tcW w:w="4220" w:type="dxa"/>
            <w:vAlign w:val="bottom"/>
          </w:tcPr>
          <w:p>
            <w:pPr>
              <w:ind w:left="1300"/>
              <w:spacing w:after="0"/>
              <w:rPr>
                <w:sz w:val="20"/>
                <w:szCs w:val="20"/>
                <w:color w:val="auto"/>
              </w:rPr>
            </w:pPr>
            <w:r>
              <w:rPr>
                <w:rFonts w:ascii="Arial" w:cs="Arial" w:eastAsia="Arial" w:hAnsi="Arial"/>
                <w:sz w:val="18"/>
                <w:szCs w:val="18"/>
                <w:color w:val="auto"/>
              </w:rPr>
              <w:t>BlackRock, Inc.</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321,529,244</w:t>
            </w:r>
            <w:r>
              <w:rPr>
                <w:rFonts w:ascii="Arial" w:cs="Arial" w:eastAsia="Arial" w:hAnsi="Arial"/>
                <w:sz w:val="15"/>
                <w:szCs w:val="15"/>
                <w:color w:val="auto"/>
              </w:rPr>
              <w:t>(2)</w:t>
            </w:r>
          </w:p>
        </w:tc>
        <w:tc>
          <w:tcPr>
            <w:tcW w:w="1220" w:type="dxa"/>
            <w:vAlign w:val="bottom"/>
          </w:tcPr>
          <w:p>
            <w:pPr>
              <w:jc w:val="center"/>
              <w:spacing w:after="0"/>
              <w:rPr>
                <w:sz w:val="20"/>
                <w:szCs w:val="20"/>
                <w:color w:val="auto"/>
              </w:rPr>
            </w:pPr>
            <w:r>
              <w:rPr>
                <w:rFonts w:ascii="Arial" w:cs="Arial" w:eastAsia="Arial" w:hAnsi="Arial"/>
                <w:sz w:val="18"/>
                <w:szCs w:val="18"/>
                <w:color w:val="auto"/>
              </w:rPr>
              <w:t>7.1%</w:t>
            </w:r>
          </w:p>
        </w:tc>
      </w:tr>
      <w:tr>
        <w:trPr>
          <w:trHeight w:val="203"/>
        </w:trPr>
        <w:tc>
          <w:tcPr>
            <w:tcW w:w="3220" w:type="dxa"/>
            <w:vAlign w:val="bottom"/>
          </w:tcPr>
          <w:p>
            <w:pPr>
              <w:spacing w:after="0"/>
              <w:rPr>
                <w:sz w:val="17"/>
                <w:szCs w:val="17"/>
                <w:color w:val="auto"/>
              </w:rPr>
            </w:pPr>
          </w:p>
        </w:tc>
        <w:tc>
          <w:tcPr>
            <w:tcW w:w="4220" w:type="dxa"/>
            <w:vAlign w:val="bottom"/>
          </w:tcPr>
          <w:p>
            <w:pPr>
              <w:ind w:left="1300"/>
              <w:spacing w:after="0" w:line="202" w:lineRule="exact"/>
              <w:rPr>
                <w:sz w:val="20"/>
                <w:szCs w:val="20"/>
                <w:color w:val="auto"/>
              </w:rPr>
            </w:pPr>
            <w:r>
              <w:rPr>
                <w:rFonts w:ascii="Arial" w:cs="Arial" w:eastAsia="Arial" w:hAnsi="Arial"/>
                <w:sz w:val="18"/>
                <w:szCs w:val="18"/>
                <w:color w:val="auto"/>
              </w:rPr>
              <w:t>55 East 52nd Street</w:t>
            </w:r>
          </w:p>
        </w:tc>
        <w:tc>
          <w:tcPr>
            <w:tcW w:w="2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3220" w:type="dxa"/>
            <w:vAlign w:val="bottom"/>
          </w:tcPr>
          <w:p>
            <w:pPr>
              <w:spacing w:after="0"/>
              <w:rPr>
                <w:sz w:val="18"/>
                <w:szCs w:val="18"/>
                <w:color w:val="auto"/>
              </w:rPr>
            </w:pPr>
          </w:p>
        </w:tc>
        <w:tc>
          <w:tcPr>
            <w:tcW w:w="4220" w:type="dxa"/>
            <w:vAlign w:val="bottom"/>
          </w:tcPr>
          <w:p>
            <w:pPr>
              <w:ind w:left="1300"/>
              <w:spacing w:after="0"/>
              <w:rPr>
                <w:sz w:val="20"/>
                <w:szCs w:val="20"/>
                <w:color w:val="auto"/>
              </w:rPr>
            </w:pPr>
            <w:r>
              <w:rPr>
                <w:rFonts w:ascii="Arial" w:cs="Arial" w:eastAsia="Arial" w:hAnsi="Arial"/>
                <w:sz w:val="18"/>
                <w:szCs w:val="18"/>
                <w:color w:val="auto"/>
              </w:rPr>
              <w:t>New York, NY 10055</w:t>
            </w:r>
          </w:p>
        </w:tc>
        <w:tc>
          <w:tcPr>
            <w:tcW w:w="2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3220" w:type="dxa"/>
            <w:vAlign w:val="bottom"/>
          </w:tcPr>
          <w:p>
            <w:pPr>
              <w:ind w:left="80"/>
              <w:spacing w:after="0"/>
              <w:rPr>
                <w:sz w:val="20"/>
                <w:szCs w:val="20"/>
                <w:color w:val="auto"/>
              </w:rPr>
            </w:pPr>
            <w:r>
              <w:rPr>
                <w:rFonts w:ascii="Arial" w:cs="Arial" w:eastAsia="Arial" w:hAnsi="Arial"/>
                <w:sz w:val="18"/>
                <w:szCs w:val="18"/>
                <w:color w:val="auto"/>
              </w:rPr>
              <w:t>Class B common stock</w:t>
            </w:r>
          </w:p>
        </w:tc>
        <w:tc>
          <w:tcPr>
            <w:tcW w:w="4220" w:type="dxa"/>
            <w:vAlign w:val="bottom"/>
          </w:tcPr>
          <w:p>
            <w:pPr>
              <w:ind w:left="1300"/>
              <w:spacing w:after="0"/>
              <w:rPr>
                <w:sz w:val="20"/>
                <w:szCs w:val="20"/>
                <w:color w:val="auto"/>
              </w:rPr>
            </w:pPr>
            <w:r>
              <w:rPr>
                <w:rFonts w:ascii="Arial" w:cs="Arial" w:eastAsia="Arial" w:hAnsi="Arial"/>
                <w:sz w:val="18"/>
                <w:szCs w:val="18"/>
                <w:color w:val="auto"/>
              </w:rPr>
              <w:t>Brian L. Roberts</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9,444,375</w:t>
            </w:r>
            <w:r>
              <w:rPr>
                <w:rFonts w:ascii="Arial" w:cs="Arial" w:eastAsia="Arial" w:hAnsi="Arial"/>
                <w:sz w:val="15"/>
                <w:szCs w:val="15"/>
                <w:color w:val="auto"/>
              </w:rPr>
              <w:t>(3)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03"/>
        </w:trPr>
        <w:tc>
          <w:tcPr>
            <w:tcW w:w="3220" w:type="dxa"/>
            <w:vAlign w:val="bottom"/>
          </w:tcPr>
          <w:p>
            <w:pPr>
              <w:spacing w:after="0"/>
              <w:rPr>
                <w:sz w:val="17"/>
                <w:szCs w:val="17"/>
                <w:color w:val="auto"/>
              </w:rPr>
            </w:pPr>
          </w:p>
        </w:tc>
        <w:tc>
          <w:tcPr>
            <w:tcW w:w="4220" w:type="dxa"/>
            <w:vAlign w:val="bottom"/>
          </w:tcPr>
          <w:p>
            <w:pPr>
              <w:ind w:left="1300"/>
              <w:spacing w:after="0" w:line="202" w:lineRule="exact"/>
              <w:rPr>
                <w:sz w:val="20"/>
                <w:szCs w:val="20"/>
                <w:color w:val="auto"/>
              </w:rPr>
            </w:pPr>
            <w:r>
              <w:rPr>
                <w:rFonts w:ascii="Arial" w:cs="Arial" w:eastAsia="Arial" w:hAnsi="Arial"/>
                <w:sz w:val="18"/>
                <w:szCs w:val="18"/>
                <w:color w:val="auto"/>
              </w:rPr>
              <w:t>One Comcast Center</w:t>
            </w:r>
          </w:p>
        </w:tc>
        <w:tc>
          <w:tcPr>
            <w:tcW w:w="2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3220" w:type="dxa"/>
            <w:vAlign w:val="bottom"/>
          </w:tcPr>
          <w:p>
            <w:pPr>
              <w:spacing w:after="0"/>
              <w:rPr>
                <w:sz w:val="18"/>
                <w:szCs w:val="18"/>
                <w:color w:val="auto"/>
              </w:rPr>
            </w:pPr>
          </w:p>
        </w:tc>
        <w:tc>
          <w:tcPr>
            <w:tcW w:w="4220" w:type="dxa"/>
            <w:vAlign w:val="bottom"/>
          </w:tcPr>
          <w:p>
            <w:pPr>
              <w:ind w:left="1300"/>
              <w:spacing w:after="0"/>
              <w:rPr>
                <w:sz w:val="20"/>
                <w:szCs w:val="20"/>
                <w:color w:val="auto"/>
              </w:rPr>
            </w:pPr>
            <w:r>
              <w:rPr>
                <w:rFonts w:ascii="Arial" w:cs="Arial" w:eastAsia="Arial" w:hAnsi="Arial"/>
                <w:sz w:val="18"/>
                <w:szCs w:val="18"/>
                <w:color w:val="auto"/>
              </w:rPr>
              <w:t>Philadelphia, PA 19103</w:t>
            </w:r>
          </w:p>
        </w:tc>
        <w:tc>
          <w:tcPr>
            <w:tcW w:w="236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660" w:right="360" w:hanging="436"/>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2020 made by The Vanguard Group setting forth information as of December 31, 2019.</w:t>
      </w:r>
    </w:p>
    <w:p>
      <w:pPr>
        <w:spacing w:after="0" w:line="48" w:lineRule="exact"/>
        <w:rPr>
          <w:rFonts w:ascii="Arial" w:cs="Arial" w:eastAsia="Arial" w:hAnsi="Arial"/>
          <w:sz w:val="18"/>
          <w:szCs w:val="18"/>
          <w:color w:val="auto"/>
        </w:rPr>
      </w:pPr>
    </w:p>
    <w:p>
      <w:pPr>
        <w:ind w:left="660" w:right="500" w:hanging="436"/>
        <w:spacing w:after="0" w:line="24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5, 2020 made by BlackRock, Inc. setting forth information as of December 31, 2019.</w:t>
      </w:r>
    </w:p>
    <w:p>
      <w:pPr>
        <w:spacing w:after="0" w:line="48" w:lineRule="exact"/>
        <w:rPr>
          <w:rFonts w:ascii="Arial" w:cs="Arial" w:eastAsia="Arial" w:hAnsi="Arial"/>
          <w:sz w:val="18"/>
          <w:szCs w:val="18"/>
          <w:color w:val="auto"/>
        </w:rPr>
      </w:pPr>
    </w:p>
    <w:p>
      <w:pPr>
        <w:ind w:left="660" w:hanging="436"/>
        <w:spacing w:after="0" w:line="23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9,039,663 shares of Class B common stock owned by a limited liability company of which Mr. Roberts is the managing member and 404,712 shares of Class B common stock owned by certain family trusts of which Mr. Roberts and/or his descendants are the beneficiaries. The shares of Class B common stock beneficially owned by Mr. Roberts represent 33</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Nominees and Executive Officers,” including footnote (12) to the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SECURITY OWNERSHIP OF DIRECTORS, NOMINEES AND EXECUTIVE OFFICERS</w:t>
      </w:r>
    </w:p>
    <w:p>
      <w:pPr>
        <w:spacing w:after="0" w:line="12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This table sets forth information as of March 10, 2020 about the amount of common stock beneficially owned by (i) our current directors (all of whom, other than Mr. Bonovitz, are also director nominees), (ii) Ms. Bergman, a director nominee, (iii) the NEOs listed in “Executive Compensation – Summary Compensation Table” and (iv) our directors, director nominee and executive officers as a group. No shares of common stock held by our directors or executive officers are held in margin accounts or have been hedged or pledged.</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840" w:type="dxa"/>
            <w:vAlign w:val="bottom"/>
            <w:tcBorders>
              <w:bottom w:val="single" w:sz="8" w:color="auto"/>
              <w:right w:val="single" w:sz="8" w:color="DDF2F9"/>
            </w:tcBorders>
          </w:tcPr>
          <w:p>
            <w:pPr>
              <w:spacing w:after="0"/>
              <w:rPr>
                <w:sz w:val="21"/>
                <w:szCs w:val="21"/>
                <w:color w:val="auto"/>
              </w:rPr>
            </w:pPr>
          </w:p>
        </w:tc>
        <w:tc>
          <w:tcPr>
            <w:tcW w:w="3760" w:type="dxa"/>
            <w:vAlign w:val="bottom"/>
            <w:tcBorders>
              <w:top w:val="single" w:sz="8" w:color="auto"/>
              <w:bottom w:val="single" w:sz="8" w:color="auto"/>
              <w:right w:val="single" w:sz="8" w:color="DDF2F9"/>
            </w:tcBorders>
            <w:gridSpan w:val="2"/>
            <w:shd w:val="clear" w:color="auto" w:fill="DDF2F9"/>
          </w:tcPr>
          <w:p>
            <w:pPr>
              <w:ind w:left="780"/>
              <w:spacing w:after="0"/>
              <w:rPr>
                <w:sz w:val="20"/>
                <w:szCs w:val="20"/>
                <w:color w:val="auto"/>
              </w:rPr>
            </w:pPr>
            <w:r>
              <w:rPr>
                <w:rFonts w:ascii="Arial" w:cs="Arial" w:eastAsia="Arial" w:hAnsi="Arial"/>
                <w:sz w:val="18"/>
                <w:szCs w:val="18"/>
                <w:b w:val="1"/>
                <w:bCs w:val="1"/>
                <w:color w:val="0A33A5"/>
              </w:rPr>
              <w:t>Amount Beneficially Owned</w:t>
            </w:r>
            <w:r>
              <w:rPr>
                <w:rFonts w:ascii="Arial" w:cs="Arial" w:eastAsia="Arial" w:hAnsi="Arial"/>
                <w:sz w:val="15"/>
                <w:szCs w:val="15"/>
                <w:b w:val="1"/>
                <w:bCs w:val="1"/>
                <w:color w:val="0A33A5"/>
              </w:rPr>
              <w:t>(1)</w:t>
            </w:r>
          </w:p>
        </w:tc>
        <w:tc>
          <w:tcPr>
            <w:tcW w:w="2300" w:type="dxa"/>
            <w:vAlign w:val="bottom"/>
            <w:tcBorders>
              <w:top w:val="single" w:sz="8" w:color="auto"/>
              <w:bottom w:val="single" w:sz="8" w:color="auto"/>
            </w:tcBorders>
            <w:gridSpan w:val="2"/>
            <w:shd w:val="clear" w:color="auto" w:fill="DDF2F9"/>
          </w:tcPr>
          <w:p>
            <w:pPr>
              <w:ind w:left="820"/>
              <w:spacing w:after="0"/>
              <w:rPr>
                <w:sz w:val="20"/>
                <w:szCs w:val="20"/>
                <w:color w:val="auto"/>
              </w:rPr>
            </w:pPr>
            <w:r>
              <w:rPr>
                <w:rFonts w:ascii="Arial" w:cs="Arial" w:eastAsia="Arial" w:hAnsi="Arial"/>
                <w:sz w:val="18"/>
                <w:szCs w:val="18"/>
                <w:b w:val="1"/>
                <w:bCs w:val="1"/>
                <w:color w:val="0A33A5"/>
              </w:rPr>
              <w:t>Percent of Class</w:t>
            </w:r>
          </w:p>
        </w:tc>
        <w:tc>
          <w:tcPr>
            <w:tcW w:w="1120" w:type="dxa"/>
            <w:vAlign w:val="bottom"/>
            <w:tcBorders>
              <w:top w:val="single" w:sz="8" w:color="auto"/>
              <w:bottom w:val="single" w:sz="8" w:color="auto"/>
            </w:tcBorders>
            <w:shd w:val="clear" w:color="auto" w:fill="DDF2F9"/>
          </w:tcPr>
          <w:p>
            <w:pPr>
              <w:spacing w:after="0"/>
              <w:rPr>
                <w:sz w:val="21"/>
                <w:szCs w:val="21"/>
                <w:color w:val="auto"/>
              </w:rPr>
            </w:pPr>
          </w:p>
        </w:tc>
      </w:tr>
      <w:tr>
        <w:trPr>
          <w:trHeight w:val="338"/>
        </w:trPr>
        <w:tc>
          <w:tcPr>
            <w:tcW w:w="384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0A33A5"/>
              </w:rPr>
              <w:t>Name of Beneficial Owner</w:t>
            </w:r>
          </w:p>
        </w:tc>
        <w:tc>
          <w:tcPr>
            <w:tcW w:w="1680" w:type="dxa"/>
            <w:vAlign w:val="bottom"/>
            <w:tcBorders>
              <w:bottom w:val="single" w:sz="8" w:color="auto"/>
              <w:right w:val="single" w:sz="8" w:color="auto"/>
            </w:tcBorders>
            <w:shd w:val="clear" w:color="auto" w:fill="F2F2F2"/>
          </w:tcPr>
          <w:p>
            <w:pPr>
              <w:jc w:val="right"/>
              <w:ind w:right="310"/>
              <w:spacing w:after="0"/>
              <w:rPr>
                <w:sz w:val="20"/>
                <w:szCs w:val="20"/>
                <w:color w:val="auto"/>
              </w:rPr>
            </w:pPr>
            <w:r>
              <w:rPr>
                <w:rFonts w:ascii="Arial" w:cs="Arial" w:eastAsia="Arial" w:hAnsi="Arial"/>
                <w:sz w:val="18"/>
                <w:szCs w:val="18"/>
                <w:b w:val="1"/>
                <w:bCs w:val="1"/>
                <w:color w:val="0A33A5"/>
              </w:rPr>
              <w:t>Class A</w:t>
            </w:r>
            <w:r>
              <w:rPr>
                <w:rFonts w:ascii="Arial" w:cs="Arial" w:eastAsia="Arial" w:hAnsi="Arial"/>
                <w:sz w:val="15"/>
                <w:szCs w:val="15"/>
                <w:b w:val="1"/>
                <w:bCs w:val="1"/>
                <w:color w:val="0A33A5"/>
              </w:rPr>
              <w:t>(2)</w:t>
            </w:r>
          </w:p>
        </w:tc>
        <w:tc>
          <w:tcPr>
            <w:tcW w:w="2080" w:type="dxa"/>
            <w:vAlign w:val="bottom"/>
            <w:tcBorders>
              <w:bottom w:val="single" w:sz="8" w:color="auto"/>
              <w:right w:val="single" w:sz="8" w:color="auto"/>
            </w:tcBorders>
            <w:shd w:val="clear" w:color="auto" w:fill="F2F2F2"/>
          </w:tcPr>
          <w:p>
            <w:pPr>
              <w:jc w:val="center"/>
              <w:ind w:right="370"/>
              <w:spacing w:after="0"/>
              <w:rPr>
                <w:sz w:val="20"/>
                <w:szCs w:val="20"/>
                <w:color w:val="auto"/>
              </w:rPr>
            </w:pPr>
            <w:r>
              <w:rPr>
                <w:rFonts w:ascii="Arial" w:cs="Arial" w:eastAsia="Arial" w:hAnsi="Arial"/>
                <w:sz w:val="18"/>
                <w:szCs w:val="18"/>
                <w:b w:val="1"/>
                <w:bCs w:val="1"/>
                <w:color w:val="0A33A5"/>
                <w:w w:val="99"/>
              </w:rPr>
              <w:t>Class B</w:t>
            </w:r>
          </w:p>
        </w:tc>
        <w:tc>
          <w:tcPr>
            <w:tcW w:w="1760" w:type="dxa"/>
            <w:vAlign w:val="bottom"/>
            <w:tcBorders>
              <w:bottom w:val="single" w:sz="8" w:color="auto"/>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0A33A5"/>
                <w:w w:val="99"/>
              </w:rPr>
              <w:t>Class A</w:t>
            </w:r>
            <w:r>
              <w:rPr>
                <w:rFonts w:ascii="Arial" w:cs="Arial" w:eastAsia="Arial" w:hAnsi="Arial"/>
                <w:sz w:val="15"/>
                <w:szCs w:val="15"/>
                <w:b w:val="1"/>
                <w:bCs w:val="1"/>
                <w:color w:val="0A33A5"/>
                <w:w w:val="99"/>
              </w:rPr>
              <w:t>(2)</w:t>
            </w:r>
          </w:p>
        </w:tc>
        <w:tc>
          <w:tcPr>
            <w:tcW w:w="540" w:type="dxa"/>
            <w:vAlign w:val="bottom"/>
            <w:tcBorders>
              <w:bottom w:val="single" w:sz="8" w:color="auto"/>
            </w:tcBorders>
            <w:shd w:val="clear" w:color="auto" w:fill="F2F2F2"/>
          </w:tcPr>
          <w:p>
            <w:pPr>
              <w:spacing w:after="0"/>
              <w:rPr>
                <w:sz w:val="24"/>
                <w:szCs w:val="24"/>
                <w:color w:val="auto"/>
              </w:rPr>
            </w:pPr>
          </w:p>
        </w:tc>
        <w:tc>
          <w:tcPr>
            <w:tcW w:w="112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b w:val="1"/>
                <w:bCs w:val="1"/>
                <w:color w:val="0A33A5"/>
              </w:rPr>
              <w:t>Class B</w:t>
            </w:r>
          </w:p>
        </w:tc>
      </w:tr>
      <w:tr>
        <w:trPr>
          <w:trHeight w:val="199"/>
        </w:trPr>
        <w:tc>
          <w:tcPr>
            <w:tcW w:w="3840" w:type="dxa"/>
            <w:vAlign w:val="bottom"/>
          </w:tcPr>
          <w:p>
            <w:pPr>
              <w:ind w:left="80"/>
              <w:spacing w:after="0" w:line="199" w:lineRule="exact"/>
              <w:rPr>
                <w:sz w:val="20"/>
                <w:szCs w:val="20"/>
                <w:color w:val="auto"/>
              </w:rPr>
            </w:pPr>
            <w:r>
              <w:rPr>
                <w:rFonts w:ascii="Arial" w:cs="Arial" w:eastAsia="Arial" w:hAnsi="Arial"/>
                <w:sz w:val="18"/>
                <w:szCs w:val="18"/>
                <w:color w:val="auto"/>
              </w:rPr>
              <w:t>Kenneth J. Bacon</w:t>
            </w:r>
          </w:p>
        </w:tc>
        <w:tc>
          <w:tcPr>
            <w:tcW w:w="1680" w:type="dxa"/>
            <w:vAlign w:val="bottom"/>
          </w:tcPr>
          <w:p>
            <w:pPr>
              <w:jc w:val="right"/>
              <w:ind w:right="250"/>
              <w:spacing w:after="0" w:line="199" w:lineRule="exact"/>
              <w:rPr>
                <w:sz w:val="20"/>
                <w:szCs w:val="20"/>
                <w:color w:val="auto"/>
              </w:rPr>
            </w:pPr>
            <w:r>
              <w:rPr>
                <w:rFonts w:ascii="Arial" w:cs="Arial" w:eastAsia="Arial" w:hAnsi="Arial"/>
                <w:sz w:val="18"/>
                <w:szCs w:val="18"/>
                <w:color w:val="auto"/>
              </w:rPr>
              <w:t>33,661</w:t>
            </w:r>
          </w:p>
        </w:tc>
        <w:tc>
          <w:tcPr>
            <w:tcW w:w="2080" w:type="dxa"/>
            <w:vAlign w:val="bottom"/>
          </w:tcPr>
          <w:p>
            <w:pPr>
              <w:jc w:val="center"/>
              <w:ind w:right="410"/>
              <w:spacing w:after="0" w:line="199"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199"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199"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Madeline S. Bell</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31,293</w:t>
            </w:r>
            <w:r>
              <w:rPr>
                <w:rFonts w:ascii="Arial" w:cs="Arial" w:eastAsia="Arial" w:hAnsi="Arial"/>
                <w:sz w:val="15"/>
                <w:szCs w:val="15"/>
                <w:color w:val="auto"/>
              </w:rPr>
              <w:t>(3)</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Naomi M. Bergman</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7,200</w:t>
            </w:r>
            <w:r>
              <w:rPr>
                <w:rFonts w:ascii="Arial" w:cs="Arial" w:eastAsia="Arial" w:hAnsi="Arial"/>
                <w:sz w:val="15"/>
                <w:szCs w:val="15"/>
                <w:color w:val="auto"/>
              </w:rPr>
              <w:t>(4)</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Sheldon M. Bonovitz</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203,419</w:t>
            </w:r>
            <w:r>
              <w:rPr>
                <w:rFonts w:ascii="Arial" w:cs="Arial" w:eastAsia="Arial" w:hAnsi="Arial"/>
                <w:sz w:val="15"/>
                <w:szCs w:val="15"/>
                <w:color w:val="auto"/>
              </w:rPr>
              <w:t>(5)</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Edward D. Breen</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131,204</w:t>
            </w:r>
            <w:r>
              <w:rPr>
                <w:rFonts w:ascii="Arial" w:cs="Arial" w:eastAsia="Arial" w:hAnsi="Arial"/>
                <w:sz w:val="15"/>
                <w:szCs w:val="15"/>
                <w:color w:val="auto"/>
              </w:rPr>
              <w:t>(6)</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5"/>
        </w:trPr>
        <w:tc>
          <w:tcPr>
            <w:tcW w:w="3840" w:type="dxa"/>
            <w:vAlign w:val="bottom"/>
          </w:tcPr>
          <w:p>
            <w:pPr>
              <w:ind w:left="80"/>
              <w:spacing w:after="0" w:line="205" w:lineRule="exact"/>
              <w:rPr>
                <w:sz w:val="20"/>
                <w:szCs w:val="20"/>
                <w:color w:val="auto"/>
              </w:rPr>
            </w:pPr>
            <w:r>
              <w:rPr>
                <w:rFonts w:ascii="Arial" w:cs="Arial" w:eastAsia="Arial" w:hAnsi="Arial"/>
                <w:sz w:val="18"/>
                <w:szCs w:val="18"/>
                <w:color w:val="auto"/>
              </w:rPr>
              <w:t>Stephen B. Burke</w:t>
            </w:r>
          </w:p>
        </w:tc>
        <w:tc>
          <w:tcPr>
            <w:tcW w:w="1680" w:type="dxa"/>
            <w:vAlign w:val="bottom"/>
          </w:tcPr>
          <w:p>
            <w:pPr>
              <w:jc w:val="right"/>
              <w:ind w:right="70"/>
              <w:spacing w:after="0" w:line="205" w:lineRule="exact"/>
              <w:rPr>
                <w:sz w:val="20"/>
                <w:szCs w:val="20"/>
                <w:color w:val="auto"/>
              </w:rPr>
            </w:pPr>
            <w:r>
              <w:rPr>
                <w:rFonts w:ascii="Arial" w:cs="Arial" w:eastAsia="Arial" w:hAnsi="Arial"/>
                <w:sz w:val="18"/>
                <w:szCs w:val="18"/>
                <w:color w:val="auto"/>
              </w:rPr>
              <w:t>3,193,760</w:t>
            </w:r>
            <w:r>
              <w:rPr>
                <w:rFonts w:ascii="Arial" w:cs="Arial" w:eastAsia="Arial" w:hAnsi="Arial"/>
                <w:sz w:val="15"/>
                <w:szCs w:val="15"/>
                <w:color w:val="auto"/>
              </w:rPr>
              <w:t>(7)</w:t>
            </w:r>
          </w:p>
        </w:tc>
        <w:tc>
          <w:tcPr>
            <w:tcW w:w="2080" w:type="dxa"/>
            <w:vAlign w:val="bottom"/>
          </w:tcPr>
          <w:p>
            <w:pPr>
              <w:jc w:val="center"/>
              <w:ind w:right="410"/>
              <w:spacing w:after="0" w:line="205"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5"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5" w:lineRule="exact"/>
              <w:rPr>
                <w:sz w:val="20"/>
                <w:szCs w:val="20"/>
                <w:color w:val="auto"/>
              </w:rPr>
            </w:pPr>
            <w:r>
              <w:rPr>
                <w:rFonts w:ascii="Arial" w:cs="Arial" w:eastAsia="Arial" w:hAnsi="Arial"/>
                <w:sz w:val="18"/>
                <w:szCs w:val="18"/>
                <w:color w:val="auto"/>
              </w:rPr>
              <w:t>–</w:t>
            </w:r>
          </w:p>
        </w:tc>
      </w:tr>
      <w:tr>
        <w:trPr>
          <w:trHeight w:val="200"/>
        </w:trPr>
        <w:tc>
          <w:tcPr>
            <w:tcW w:w="3840" w:type="dxa"/>
            <w:vAlign w:val="bottom"/>
          </w:tcPr>
          <w:p>
            <w:pPr>
              <w:ind w:left="80"/>
              <w:spacing w:after="0" w:line="200" w:lineRule="exact"/>
              <w:rPr>
                <w:sz w:val="20"/>
                <w:szCs w:val="20"/>
                <w:color w:val="auto"/>
              </w:rPr>
            </w:pPr>
            <w:r>
              <w:rPr>
                <w:rFonts w:ascii="Arial" w:cs="Arial" w:eastAsia="Arial" w:hAnsi="Arial"/>
                <w:sz w:val="18"/>
                <w:szCs w:val="18"/>
                <w:color w:val="auto"/>
              </w:rPr>
              <w:t>Michael J. Cavanagh</w:t>
            </w:r>
          </w:p>
        </w:tc>
        <w:tc>
          <w:tcPr>
            <w:tcW w:w="1680" w:type="dxa"/>
            <w:vAlign w:val="bottom"/>
          </w:tcPr>
          <w:p>
            <w:pPr>
              <w:jc w:val="right"/>
              <w:ind w:right="250"/>
              <w:spacing w:after="0" w:line="200" w:lineRule="exact"/>
              <w:rPr>
                <w:sz w:val="20"/>
                <w:szCs w:val="20"/>
                <w:color w:val="auto"/>
              </w:rPr>
            </w:pPr>
            <w:r>
              <w:rPr>
                <w:rFonts w:ascii="Arial" w:cs="Arial" w:eastAsia="Arial" w:hAnsi="Arial"/>
                <w:sz w:val="18"/>
                <w:szCs w:val="18"/>
                <w:color w:val="auto"/>
              </w:rPr>
              <w:t>1,518,021</w:t>
            </w:r>
          </w:p>
        </w:tc>
        <w:tc>
          <w:tcPr>
            <w:tcW w:w="2080" w:type="dxa"/>
            <w:vAlign w:val="bottom"/>
          </w:tcPr>
          <w:p>
            <w:pPr>
              <w:jc w:val="center"/>
              <w:ind w:right="410"/>
              <w:spacing w:after="0" w:line="200"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0"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r>
      <w:tr>
        <w:trPr>
          <w:trHeight w:val="205"/>
        </w:trPr>
        <w:tc>
          <w:tcPr>
            <w:tcW w:w="3840" w:type="dxa"/>
            <w:vAlign w:val="bottom"/>
          </w:tcPr>
          <w:p>
            <w:pPr>
              <w:ind w:left="80"/>
              <w:spacing w:after="0" w:line="205" w:lineRule="exact"/>
              <w:rPr>
                <w:sz w:val="20"/>
                <w:szCs w:val="20"/>
                <w:color w:val="auto"/>
              </w:rPr>
            </w:pPr>
            <w:r>
              <w:rPr>
                <w:rFonts w:ascii="Arial" w:cs="Arial" w:eastAsia="Arial" w:hAnsi="Arial"/>
                <w:sz w:val="18"/>
                <w:szCs w:val="18"/>
                <w:color w:val="auto"/>
              </w:rPr>
              <w:t>David L. Cohen</w:t>
            </w:r>
          </w:p>
        </w:tc>
        <w:tc>
          <w:tcPr>
            <w:tcW w:w="1680" w:type="dxa"/>
            <w:vAlign w:val="bottom"/>
          </w:tcPr>
          <w:p>
            <w:pPr>
              <w:jc w:val="right"/>
              <w:ind w:right="70"/>
              <w:spacing w:after="0" w:line="205" w:lineRule="exact"/>
              <w:rPr>
                <w:sz w:val="20"/>
                <w:szCs w:val="20"/>
                <w:color w:val="auto"/>
              </w:rPr>
            </w:pPr>
            <w:r>
              <w:rPr>
                <w:rFonts w:ascii="Arial" w:cs="Arial" w:eastAsia="Arial" w:hAnsi="Arial"/>
                <w:sz w:val="18"/>
                <w:szCs w:val="18"/>
                <w:color w:val="auto"/>
              </w:rPr>
              <w:t>3,930,408</w:t>
            </w:r>
            <w:r>
              <w:rPr>
                <w:rFonts w:ascii="Arial" w:cs="Arial" w:eastAsia="Arial" w:hAnsi="Arial"/>
                <w:sz w:val="15"/>
                <w:szCs w:val="15"/>
                <w:color w:val="auto"/>
              </w:rPr>
              <w:t>(8)</w:t>
            </w:r>
          </w:p>
        </w:tc>
        <w:tc>
          <w:tcPr>
            <w:tcW w:w="2080" w:type="dxa"/>
            <w:vAlign w:val="bottom"/>
          </w:tcPr>
          <w:p>
            <w:pPr>
              <w:jc w:val="center"/>
              <w:ind w:right="410"/>
              <w:spacing w:after="0" w:line="205"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5"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5" w:lineRule="exact"/>
              <w:rPr>
                <w:sz w:val="20"/>
                <w:szCs w:val="20"/>
                <w:color w:val="auto"/>
              </w:rPr>
            </w:pPr>
            <w:r>
              <w:rPr>
                <w:rFonts w:ascii="Arial" w:cs="Arial" w:eastAsia="Arial" w:hAnsi="Arial"/>
                <w:sz w:val="18"/>
                <w:szCs w:val="18"/>
                <w:color w:val="auto"/>
              </w:rPr>
              <w:t>–</w:t>
            </w:r>
          </w:p>
        </w:tc>
      </w:tr>
      <w:tr>
        <w:trPr>
          <w:trHeight w:val="200"/>
        </w:trPr>
        <w:tc>
          <w:tcPr>
            <w:tcW w:w="3840" w:type="dxa"/>
            <w:vAlign w:val="bottom"/>
          </w:tcPr>
          <w:p>
            <w:pPr>
              <w:ind w:left="80"/>
              <w:spacing w:after="0" w:line="200" w:lineRule="exact"/>
              <w:rPr>
                <w:sz w:val="20"/>
                <w:szCs w:val="20"/>
                <w:color w:val="auto"/>
              </w:rPr>
            </w:pPr>
            <w:r>
              <w:rPr>
                <w:rFonts w:ascii="Arial" w:cs="Arial" w:eastAsia="Arial" w:hAnsi="Arial"/>
                <w:sz w:val="18"/>
                <w:szCs w:val="18"/>
                <w:color w:val="auto"/>
              </w:rPr>
              <w:t>Gerald L. Hassell</w:t>
            </w:r>
          </w:p>
        </w:tc>
        <w:tc>
          <w:tcPr>
            <w:tcW w:w="1680" w:type="dxa"/>
            <w:vAlign w:val="bottom"/>
          </w:tcPr>
          <w:p>
            <w:pPr>
              <w:jc w:val="right"/>
              <w:ind w:right="250"/>
              <w:spacing w:after="0" w:line="200" w:lineRule="exact"/>
              <w:rPr>
                <w:sz w:val="20"/>
                <w:szCs w:val="20"/>
                <w:color w:val="auto"/>
              </w:rPr>
            </w:pPr>
            <w:r>
              <w:rPr>
                <w:rFonts w:ascii="Arial" w:cs="Arial" w:eastAsia="Arial" w:hAnsi="Arial"/>
                <w:sz w:val="18"/>
                <w:szCs w:val="18"/>
                <w:color w:val="auto"/>
              </w:rPr>
              <w:t>140,996</w:t>
            </w:r>
          </w:p>
        </w:tc>
        <w:tc>
          <w:tcPr>
            <w:tcW w:w="2080" w:type="dxa"/>
            <w:vAlign w:val="bottom"/>
          </w:tcPr>
          <w:p>
            <w:pPr>
              <w:jc w:val="center"/>
              <w:ind w:right="410"/>
              <w:spacing w:after="0" w:line="200"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0"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Jeffrey A. Honickman</w:t>
            </w:r>
          </w:p>
        </w:tc>
        <w:tc>
          <w:tcPr>
            <w:tcW w:w="16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290,807</w:t>
            </w:r>
            <w:r>
              <w:rPr>
                <w:rFonts w:ascii="Arial" w:cs="Arial" w:eastAsia="Arial" w:hAnsi="Arial"/>
                <w:sz w:val="15"/>
                <w:szCs w:val="15"/>
                <w:color w:val="auto"/>
              </w:rPr>
              <w:t>(9)</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5"/>
        </w:trPr>
        <w:tc>
          <w:tcPr>
            <w:tcW w:w="3840" w:type="dxa"/>
            <w:vAlign w:val="bottom"/>
          </w:tcPr>
          <w:p>
            <w:pPr>
              <w:ind w:left="80"/>
              <w:spacing w:after="0" w:line="205" w:lineRule="exact"/>
              <w:rPr>
                <w:sz w:val="20"/>
                <w:szCs w:val="20"/>
                <w:color w:val="auto"/>
              </w:rPr>
            </w:pPr>
            <w:r>
              <w:rPr>
                <w:rFonts w:ascii="Arial" w:cs="Arial" w:eastAsia="Arial" w:hAnsi="Arial"/>
                <w:sz w:val="18"/>
                <w:szCs w:val="18"/>
                <w:color w:val="auto"/>
              </w:rPr>
              <w:t>Maritza G. Montiel</w:t>
            </w:r>
          </w:p>
        </w:tc>
        <w:tc>
          <w:tcPr>
            <w:tcW w:w="1680" w:type="dxa"/>
            <w:vAlign w:val="bottom"/>
          </w:tcPr>
          <w:p>
            <w:pPr>
              <w:jc w:val="right"/>
              <w:spacing w:after="0" w:line="205" w:lineRule="exact"/>
              <w:rPr>
                <w:sz w:val="20"/>
                <w:szCs w:val="20"/>
                <w:color w:val="auto"/>
              </w:rPr>
            </w:pPr>
            <w:r>
              <w:rPr>
                <w:rFonts w:ascii="Arial" w:cs="Arial" w:eastAsia="Arial" w:hAnsi="Arial"/>
                <w:sz w:val="18"/>
                <w:szCs w:val="18"/>
                <w:color w:val="auto"/>
              </w:rPr>
              <w:t>12,903</w:t>
            </w:r>
            <w:r>
              <w:rPr>
                <w:rFonts w:ascii="Arial" w:cs="Arial" w:eastAsia="Arial" w:hAnsi="Arial"/>
                <w:sz w:val="15"/>
                <w:szCs w:val="15"/>
                <w:color w:val="auto"/>
              </w:rPr>
              <w:t>(10)</w:t>
            </w:r>
          </w:p>
        </w:tc>
        <w:tc>
          <w:tcPr>
            <w:tcW w:w="2080" w:type="dxa"/>
            <w:vAlign w:val="bottom"/>
          </w:tcPr>
          <w:p>
            <w:pPr>
              <w:jc w:val="center"/>
              <w:ind w:right="410"/>
              <w:spacing w:after="0" w:line="205"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5"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5" w:lineRule="exact"/>
              <w:rPr>
                <w:sz w:val="20"/>
                <w:szCs w:val="20"/>
                <w:color w:val="auto"/>
              </w:rPr>
            </w:pPr>
            <w:r>
              <w:rPr>
                <w:rFonts w:ascii="Arial" w:cs="Arial" w:eastAsia="Arial" w:hAnsi="Arial"/>
                <w:sz w:val="18"/>
                <w:szCs w:val="18"/>
                <w:color w:val="auto"/>
              </w:rPr>
              <w:t>–</w:t>
            </w:r>
          </w:p>
        </w:tc>
      </w:tr>
      <w:tr>
        <w:trPr>
          <w:trHeight w:val="200"/>
        </w:trPr>
        <w:tc>
          <w:tcPr>
            <w:tcW w:w="3840" w:type="dxa"/>
            <w:vAlign w:val="bottom"/>
          </w:tcPr>
          <w:p>
            <w:pPr>
              <w:ind w:left="80"/>
              <w:spacing w:after="0" w:line="200" w:lineRule="exact"/>
              <w:rPr>
                <w:sz w:val="20"/>
                <w:szCs w:val="20"/>
                <w:color w:val="auto"/>
              </w:rPr>
            </w:pPr>
            <w:r>
              <w:rPr>
                <w:rFonts w:ascii="Arial" w:cs="Arial" w:eastAsia="Arial" w:hAnsi="Arial"/>
                <w:sz w:val="18"/>
                <w:szCs w:val="18"/>
                <w:color w:val="auto"/>
              </w:rPr>
              <w:t>Asuka Nakahara</w:t>
            </w:r>
          </w:p>
        </w:tc>
        <w:tc>
          <w:tcPr>
            <w:tcW w:w="1680" w:type="dxa"/>
            <w:vAlign w:val="bottom"/>
          </w:tcPr>
          <w:p>
            <w:pPr>
              <w:jc w:val="right"/>
              <w:ind w:right="250"/>
              <w:spacing w:after="0" w:line="200" w:lineRule="exact"/>
              <w:rPr>
                <w:sz w:val="20"/>
                <w:szCs w:val="20"/>
                <w:color w:val="auto"/>
              </w:rPr>
            </w:pPr>
            <w:r>
              <w:rPr>
                <w:rFonts w:ascii="Arial" w:cs="Arial" w:eastAsia="Arial" w:hAnsi="Arial"/>
                <w:sz w:val="18"/>
                <w:szCs w:val="18"/>
                <w:color w:val="auto"/>
              </w:rPr>
              <w:t>25,548</w:t>
            </w:r>
          </w:p>
        </w:tc>
        <w:tc>
          <w:tcPr>
            <w:tcW w:w="2080" w:type="dxa"/>
            <w:vAlign w:val="bottom"/>
          </w:tcPr>
          <w:p>
            <w:pPr>
              <w:jc w:val="center"/>
              <w:ind w:right="410"/>
              <w:spacing w:after="0" w:line="200"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0"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0"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David C. Novak</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347,536</w:t>
            </w:r>
            <w:r>
              <w:rPr>
                <w:rFonts w:ascii="Arial" w:cs="Arial" w:eastAsia="Arial" w:hAnsi="Arial"/>
                <w:sz w:val="15"/>
                <w:szCs w:val="15"/>
                <w:color w:val="auto"/>
              </w:rPr>
              <w:t>(11)</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Brian L. Roberts</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32,618,136</w:t>
            </w:r>
            <w:r>
              <w:rPr>
                <w:rFonts w:ascii="Arial" w:cs="Arial" w:eastAsia="Arial" w:hAnsi="Arial"/>
                <w:sz w:val="15"/>
                <w:szCs w:val="15"/>
                <w:color w:val="auto"/>
              </w:rPr>
              <w:t>(12)</w:t>
            </w:r>
          </w:p>
        </w:tc>
        <w:tc>
          <w:tcPr>
            <w:tcW w:w="2080" w:type="dxa"/>
            <w:vAlign w:val="bottom"/>
          </w:tcPr>
          <w:p>
            <w:pPr>
              <w:ind w:left="440"/>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5"/>
                <w:szCs w:val="15"/>
                <w:color w:val="auto"/>
              </w:rPr>
              <w:t>(13)</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(13)</w:t>
            </w:r>
          </w:p>
        </w:tc>
      </w:tr>
      <w:tr>
        <w:trPr>
          <w:trHeight w:val="202"/>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David N. Watson</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2,748,021</w:t>
            </w:r>
            <w:r>
              <w:rPr>
                <w:rFonts w:ascii="Arial" w:cs="Arial" w:eastAsia="Arial" w:hAnsi="Arial"/>
                <w:sz w:val="15"/>
                <w:szCs w:val="15"/>
                <w:color w:val="auto"/>
              </w:rPr>
              <w:t>(14)</w:t>
            </w:r>
          </w:p>
        </w:tc>
        <w:tc>
          <w:tcPr>
            <w:tcW w:w="2080" w:type="dxa"/>
            <w:vAlign w:val="bottom"/>
          </w:tcPr>
          <w:p>
            <w:pPr>
              <w:jc w:val="center"/>
              <w:ind w:right="410"/>
              <w:spacing w:after="0" w:line="202" w:lineRule="exact"/>
              <w:rPr>
                <w:sz w:val="20"/>
                <w:szCs w:val="20"/>
                <w:color w:val="auto"/>
              </w:rPr>
            </w:pPr>
            <w:r>
              <w:rPr>
                <w:rFonts w:ascii="Arial" w:cs="Arial" w:eastAsia="Arial" w:hAnsi="Arial"/>
                <w:sz w:val="18"/>
                <w:szCs w:val="18"/>
                <w:color w:val="auto"/>
                <w:w w:val="99"/>
              </w:rPr>
              <w:t>–</w:t>
            </w:r>
          </w:p>
        </w:tc>
        <w:tc>
          <w:tcPr>
            <w:tcW w:w="17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5"/>
        </w:trPr>
        <w:tc>
          <w:tcPr>
            <w:tcW w:w="3840" w:type="dxa"/>
            <w:vAlign w:val="bottom"/>
          </w:tcPr>
          <w:p>
            <w:pPr>
              <w:ind w:left="80"/>
              <w:spacing w:after="0" w:line="205" w:lineRule="exact"/>
              <w:rPr>
                <w:sz w:val="20"/>
                <w:szCs w:val="20"/>
                <w:color w:val="auto"/>
              </w:rPr>
            </w:pPr>
            <w:r>
              <w:rPr>
                <w:rFonts w:ascii="Arial" w:cs="Arial" w:eastAsia="Arial" w:hAnsi="Arial"/>
                <w:sz w:val="18"/>
                <w:szCs w:val="18"/>
                <w:color w:val="auto"/>
              </w:rPr>
              <w:t>All directors, nominees and executive officers</w:t>
            </w:r>
          </w:p>
        </w:tc>
        <w:tc>
          <w:tcPr>
            <w:tcW w:w="1680" w:type="dxa"/>
            <w:vAlign w:val="bottom"/>
          </w:tcPr>
          <w:p>
            <w:pPr>
              <w:jc w:val="right"/>
              <w:spacing w:after="0" w:line="205" w:lineRule="exact"/>
              <w:rPr>
                <w:sz w:val="20"/>
                <w:szCs w:val="20"/>
                <w:color w:val="auto"/>
              </w:rPr>
            </w:pPr>
            <w:r>
              <w:rPr>
                <w:rFonts w:ascii="Arial" w:cs="Arial" w:eastAsia="Arial" w:hAnsi="Arial"/>
                <w:sz w:val="18"/>
                <w:szCs w:val="18"/>
                <w:color w:val="auto"/>
              </w:rPr>
              <w:t>42,790,492</w:t>
            </w:r>
            <w:r>
              <w:rPr>
                <w:rFonts w:ascii="Arial" w:cs="Arial" w:eastAsia="Arial" w:hAnsi="Arial"/>
                <w:sz w:val="15"/>
                <w:szCs w:val="15"/>
                <w:color w:val="auto"/>
              </w:rPr>
              <w:t>(15)</w:t>
            </w:r>
          </w:p>
        </w:tc>
        <w:tc>
          <w:tcPr>
            <w:tcW w:w="2080" w:type="dxa"/>
            <w:vAlign w:val="bottom"/>
          </w:tcPr>
          <w:p>
            <w:pPr>
              <w:ind w:left="440"/>
              <w:spacing w:after="0" w:line="205" w:lineRule="exact"/>
              <w:rPr>
                <w:sz w:val="20"/>
                <w:szCs w:val="20"/>
                <w:color w:val="auto"/>
              </w:rPr>
            </w:pPr>
            <w:r>
              <w:rPr>
                <w:rFonts w:ascii="Arial" w:cs="Arial" w:eastAsia="Arial" w:hAnsi="Arial"/>
                <w:sz w:val="18"/>
                <w:szCs w:val="18"/>
                <w:color w:val="auto"/>
              </w:rPr>
              <w:t>9,444,375</w:t>
            </w:r>
          </w:p>
        </w:tc>
        <w:tc>
          <w:tcPr>
            <w:tcW w:w="1760" w:type="dxa"/>
            <w:vAlign w:val="bottom"/>
          </w:tcPr>
          <w:p>
            <w:pPr>
              <w:jc w:val="center"/>
              <w:ind w:right="50"/>
              <w:spacing w:after="0" w:line="205" w:lineRule="exact"/>
              <w:rPr>
                <w:sz w:val="20"/>
                <w:szCs w:val="20"/>
                <w:color w:val="auto"/>
              </w:rPr>
            </w:pPr>
            <w:r>
              <w:rPr>
                <w:rFonts w:ascii="Arial" w:cs="Arial" w:eastAsia="Arial" w:hAnsi="Arial"/>
                <w:sz w:val="18"/>
                <w:szCs w:val="18"/>
                <w:color w:val="auto"/>
                <w:w w:val="84"/>
              </w:rPr>
              <w:t>*</w:t>
            </w:r>
          </w:p>
        </w:tc>
        <w:tc>
          <w:tcPr>
            <w:tcW w:w="540" w:type="dxa"/>
            <w:vAlign w:val="bottom"/>
          </w:tcPr>
          <w:p>
            <w:pPr>
              <w:spacing w:after="0"/>
              <w:rPr>
                <w:sz w:val="17"/>
                <w:szCs w:val="17"/>
                <w:color w:val="auto"/>
              </w:rPr>
            </w:pPr>
          </w:p>
        </w:tc>
        <w:tc>
          <w:tcPr>
            <w:tcW w:w="1120" w:type="dxa"/>
            <w:vAlign w:val="bottom"/>
          </w:tcPr>
          <w:p>
            <w:pPr>
              <w:ind w:left="60"/>
              <w:spacing w:after="0" w:line="205" w:lineRule="exact"/>
              <w:rPr>
                <w:sz w:val="20"/>
                <w:szCs w:val="20"/>
                <w:color w:val="auto"/>
              </w:rPr>
            </w:pPr>
            <w:r>
              <w:rPr>
                <w:rFonts w:ascii="Arial" w:cs="Arial" w:eastAsia="Arial" w:hAnsi="Arial"/>
                <w:sz w:val="18"/>
                <w:szCs w:val="18"/>
                <w:color w:val="auto"/>
              </w:rPr>
              <w:t>100%</w:t>
            </w: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as a group (18 persons)</w:t>
            </w:r>
          </w:p>
        </w:tc>
        <w:tc>
          <w:tcPr>
            <w:tcW w:w="1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ind w:left="5580" w:right="5460" w:hanging="5464"/>
        <w:spacing w:after="0" w:line="348" w:lineRule="auto"/>
        <w:tabs>
          <w:tab w:leader="none" w:pos="662"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Less than 1% of the outstanding shares of the applicable class. 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620" w:hanging="424"/>
        <w:spacing w:after="0" w:line="246"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48" w:lineRule="exact"/>
        <w:rPr>
          <w:rFonts w:ascii="Arial" w:cs="Arial" w:eastAsia="Arial" w:hAnsi="Arial"/>
          <w:sz w:val="18"/>
          <w:szCs w:val="18"/>
          <w:color w:val="auto"/>
        </w:rPr>
      </w:pPr>
    </w:p>
    <w:p>
      <w:pPr>
        <w:ind w:left="540" w:right="60" w:hanging="424"/>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for which the following persons hold options exercisable on or within 60 days of March 10, 2020: Mr. Burke, 2,768,960; Mr. Cavanagh, 1,275,021; Mr. Cohen, 2,658,290; Mr. Roberts, 6,387,360;</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Mr. Watson, 1,815,589; and all executive officers as a group, 12,511,000.</w:t>
      </w:r>
    </w:p>
    <w:p>
      <w:pPr>
        <w:spacing w:after="0" w:line="49" w:lineRule="exact"/>
        <w:rPr>
          <w:rFonts w:ascii="Arial" w:cs="Arial" w:eastAsia="Arial" w:hAnsi="Arial"/>
          <w:sz w:val="18"/>
          <w:szCs w:val="18"/>
          <w:color w:val="auto"/>
        </w:rPr>
      </w:pPr>
    </w:p>
    <w:p>
      <w:pPr>
        <w:ind w:left="560" w:right="20"/>
        <w:spacing w:after="0"/>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underlying stock units held by the following persons that vest on or within 60 days of March 10, 2020: Mr. Burke, 180,914; Mr. Cavanagh, 81,591; Mr. Cohen, 104,129; Mr. Roberts, 68,608; Mr. Watson, 62,699; and all executive officers as a group, 322,412.</w:t>
      </w:r>
    </w:p>
    <w:p>
      <w:pPr>
        <w:spacing w:after="0" w:line="40" w:lineRule="exact"/>
        <w:rPr>
          <w:rFonts w:ascii="Arial" w:cs="Arial" w:eastAsia="Arial" w:hAnsi="Arial"/>
          <w:sz w:val="18"/>
          <w:szCs w:val="18"/>
          <w:color w:val="auto"/>
        </w:rPr>
      </w:pPr>
    </w:p>
    <w:p>
      <w:pPr>
        <w:jc w:val="both"/>
        <w:ind w:left="560" w:right="420"/>
        <w:spacing w:after="0"/>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cash and/or stock pursuant to an election made under our restricted stock plan for the following persons: Ms. Bell, 22,741; Mr. Hassell, 109,694; Mr. Honickman, 136,495; Ms. Montiel, 10,008; Mr. Nakahara, 17,206; and Mr. Novak, 13,842.</w:t>
      </w:r>
    </w:p>
    <w:p>
      <w:pPr>
        <w:spacing w:after="0" w:line="40" w:lineRule="exact"/>
        <w:rPr>
          <w:rFonts w:ascii="Arial" w:cs="Arial" w:eastAsia="Arial" w:hAnsi="Arial"/>
          <w:sz w:val="18"/>
          <w:szCs w:val="18"/>
          <w:color w:val="auto"/>
        </w:rPr>
      </w:pPr>
    </w:p>
    <w:p>
      <w:pPr>
        <w:ind w:left="560" w:right="120"/>
        <w:spacing w:after="0" w:line="234"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stock under our deferred compensation plans for the following persons: Ms. Bell, 4,032; Mr. Breen, 3,895; Mr. Hassell, 26,593; Mr. Honickman, 32,875; Ms. Montiel, 1,269;</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Mr. Nakahara, 4,150; and Mr. Novak, 4,144.</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2,200 shares held jointly by her and her spouse and 400 shares held by her spouse.</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300 shares held by a family trust.</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Bonovitz is not a nominee for director at the 2020 annual meeting. Includes 98,426 shares owned by family trusts of which he is a trustee; 33,860 shares owned by a family partnership; and 31,428 shares owned by a charitable foundation of which his spouse is a trustee.</w:t>
      </w:r>
    </w:p>
    <w:p>
      <w:pPr>
        <w:spacing w:after="0" w:line="54"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109,837 shares held by a grantor retained annuity trusts of which he is a trustee.</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23,885 shares held by a charitable foundation of which he and his spouse are trustees.</w:t>
      </w:r>
    </w:p>
    <w:p>
      <w:pPr>
        <w:spacing w:after="0" w:line="63" w:lineRule="exact"/>
        <w:rPr>
          <w:rFonts w:ascii="Arial" w:cs="Arial" w:eastAsia="Arial" w:hAnsi="Arial"/>
          <w:sz w:val="18"/>
          <w:szCs w:val="18"/>
          <w:color w:val="auto"/>
        </w:rPr>
      </w:pPr>
    </w:p>
    <w:p>
      <w:pPr>
        <w:jc w:val="both"/>
        <w:ind w:left="540" w:right="340" w:hanging="424"/>
        <w:spacing w:after="0" w:line="274"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798,389 shares owned in family trusts; 51,060 shares held by grantor retained annuity trusts of which he is a trustee; 80 shares held by his spouse; and 138,303 shares owned by a charitable foundation controlled by him, his spouse and his children.</w:t>
      </w:r>
    </w:p>
    <w:p>
      <w:pPr>
        <w:spacing w:after="0" w:line="26" w:lineRule="exact"/>
        <w:rPr>
          <w:rFonts w:ascii="Arial" w:cs="Arial" w:eastAsia="Arial" w:hAnsi="Arial"/>
          <w:sz w:val="17"/>
          <w:szCs w:val="17"/>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20,000 shares held by a grantor trust of which he is a trustee and 154 shares owned by his daughters.</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425 shares held in an individual retirement account.</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500 shares held by family trusts.</w:t>
      </w:r>
    </w:p>
    <w:p>
      <w:pPr>
        <w:spacing w:after="0" w:line="63" w:lineRule="exact"/>
        <w:rPr>
          <w:rFonts w:ascii="Arial" w:cs="Arial" w:eastAsia="Arial" w:hAnsi="Arial"/>
          <w:sz w:val="18"/>
          <w:szCs w:val="18"/>
          <w:color w:val="auto"/>
        </w:rPr>
      </w:pPr>
    </w:p>
    <w:p>
      <w:pPr>
        <w:ind w:left="540" w:right="220" w:hanging="424"/>
        <w:spacing w:after="0" w:line="23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286,044 shares owned by his spouse; 480 shares owned by his daughter; 1,081,336 shares owned by a family charitable foundation of which his spouse is a trustee; 13,712,646 shares owned by limited liability companies of which he is the managing member; and 8,114,490 shares owned by certain family trusts. Does not include shares of Class A common stock issuable upon conversion of Class B common stock beneficially owned by him; if he were to convert the Class B common stock into Class A common stock, he would beneficially own 42,062,511 shares of Class A common stock, representing approximately 1% of the Class A common stock.</w:t>
      </w:r>
    </w:p>
    <w:p>
      <w:pPr>
        <w:spacing w:after="0" w:line="56"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 (3) under “— Principal Shareholders” above.</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140 shares owned by his spouse; 5,328 shares owned by his children; and 440,842 shares held in family trusts.</w:t>
      </w:r>
    </w:p>
    <w:p>
      <w:pPr>
        <w:spacing w:after="0" w:line="6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 shares held by a family trust.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A33A5"/>
        </w:rPr>
        <w:t>CORPORATE GOVERNANCE</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CORPORATE GOVERNANCE HIGHLIGHTS</w:t>
      </w:r>
    </w:p>
    <w:p>
      <w:pPr>
        <w:spacing w:after="0" w:line="126"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As described in more detail elsewhere in this proxy statement, below are some highlights of our corporate governance structure. As this is only a summary, we encourage you to read the entire proxy statement for more information on our corporate governance structure.</w:t>
      </w:r>
    </w:p>
    <w:p>
      <w:pPr>
        <w:spacing w:after="0" w:line="102" w:lineRule="exact"/>
        <w:rPr>
          <w:sz w:val="20"/>
          <w:szCs w:val="20"/>
          <w:color w:val="auto"/>
        </w:rPr>
      </w:pPr>
    </w:p>
    <w:p>
      <w:pPr>
        <w:ind w:left="880" w:hanging="548"/>
        <w:spacing w:after="0"/>
        <w:tabs>
          <w:tab w:leader="none" w:pos="880" w:val="left"/>
        </w:tabs>
        <w:numPr>
          <w:ilvl w:val="0"/>
          <w:numId w:val="14"/>
        </w:numPr>
        <w:rPr>
          <w:rFonts w:ascii="MS PGothic" w:cs="MS PGothic" w:eastAsia="MS PGothic" w:hAnsi="MS PGothic"/>
          <w:sz w:val="18"/>
          <w:szCs w:val="18"/>
          <w:color w:val="0A33A5"/>
        </w:rPr>
      </w:pPr>
      <w:r>
        <w:rPr>
          <w:rFonts w:ascii="Arial" w:cs="Arial" w:eastAsia="Arial" w:hAnsi="Arial"/>
          <w:sz w:val="18"/>
          <w:szCs w:val="18"/>
          <w:color w:val="auto"/>
        </w:rPr>
        <w:t>Annual Director Elections</w:t>
      </w:r>
    </w:p>
    <w:p>
      <w:pPr>
        <w:spacing w:after="0" w:line="130" w:lineRule="exact"/>
        <w:rPr>
          <w:rFonts w:ascii="MS PGothic" w:cs="MS PGothic" w:eastAsia="MS PGothic" w:hAnsi="MS PGothic"/>
          <w:sz w:val="18"/>
          <w:szCs w:val="18"/>
          <w:color w:val="0A33A5"/>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Strong Lead Independent Director, with Defined Role and Responsibilities (see </w:t>
      </w:r>
      <w:hyperlink w:anchor="page12">
        <w:r>
          <w:rPr>
            <w:rFonts w:ascii="Arial" w:cs="Arial" w:eastAsia="Arial" w:hAnsi="Arial"/>
            <w:sz w:val="18"/>
            <w:szCs w:val="18"/>
            <w:u w:val="single" w:color="auto"/>
            <w:color w:val="0000EE"/>
          </w:rPr>
          <w:t>page 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90% of Director Nominees are Independent; Director Tenure Considered in Annual Board Director Independence Determinations (see </w:t>
      </w:r>
      <w:hyperlink w:anchor="page18">
        <w:r>
          <w:rPr>
            <w:rFonts w:ascii="Arial" w:cs="Arial" w:eastAsia="Arial" w:hAnsi="Arial"/>
            <w:sz w:val="18"/>
            <w:szCs w:val="18"/>
            <w:u w:val="single" w:color="auto"/>
            <w:color w:val="0000EE"/>
          </w:rPr>
          <w:t>page 15</w:t>
        </w:r>
      </w:hyperlink>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880" w:right="200" w:hanging="548"/>
        <w:spacing w:after="0" w:line="246" w:lineRule="auto"/>
        <w:tabs>
          <w:tab w:leader="none" w:pos="880" w:val="left"/>
        </w:tabs>
        <w:numPr>
          <w:ilvl w:val="0"/>
          <w:numId w:val="14"/>
        </w:numPr>
        <w:rPr>
          <w:rFonts w:ascii="Arial" w:cs="Arial" w:eastAsia="Arial" w:hAnsi="Arial"/>
          <w:sz w:val="18"/>
          <w:szCs w:val="18"/>
          <w:color w:val="0000EE"/>
        </w:rPr>
      </w:pPr>
      <w:r>
        <w:rPr>
          <w:rFonts w:ascii="Arial" w:cs="Arial" w:eastAsia="Arial" w:hAnsi="Arial"/>
          <w:sz w:val="18"/>
          <w:szCs w:val="18"/>
          <w:color w:val="auto"/>
        </w:rPr>
        <w:t xml:space="preserve">Audit, Compensation and Governance and Directors Nominating Committees Composed Solely of Independent Directors (see </w:t>
      </w:r>
      <w:hyperlink w:anchor="page16">
        <w:r>
          <w:rPr>
            <w:rFonts w:ascii="Arial" w:cs="Arial" w:eastAsia="Arial" w:hAnsi="Arial"/>
            <w:sz w:val="18"/>
            <w:szCs w:val="18"/>
            <w:u w:val="single" w:color="auto"/>
            <w:color w:val="0000EE"/>
          </w:rPr>
          <w:t>pages 13-14</w:t>
        </w:r>
      </w:hyperlink>
      <w:r>
        <w:rPr>
          <w:rFonts w:ascii="Arial" w:cs="Arial" w:eastAsia="Arial" w:hAnsi="Arial"/>
          <w:sz w:val="18"/>
          <w:szCs w:val="18"/>
          <w:color w:val="000000"/>
        </w:rPr>
        <w:t>)</w:t>
      </w:r>
    </w:p>
    <w:p>
      <w:pPr>
        <w:spacing w:after="0" w:line="102" w:lineRule="exact"/>
        <w:rPr>
          <w:rFonts w:ascii="Arial" w:cs="Arial" w:eastAsia="Arial" w:hAnsi="Arial"/>
          <w:sz w:val="18"/>
          <w:szCs w:val="18"/>
          <w:color w:val="0000EE"/>
        </w:rPr>
      </w:pPr>
    </w:p>
    <w:p>
      <w:pPr>
        <w:ind w:left="880" w:right="340" w:hanging="548"/>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Board Refreshment Achieved in Part through Mandatory Independent Director Retirement at 72 (see </w:t>
      </w:r>
      <w:hyperlink w:anchor="page15">
        <w:r>
          <w:rPr>
            <w:rFonts w:ascii="Arial" w:cs="Arial" w:eastAsia="Arial" w:hAnsi="Arial"/>
            <w:sz w:val="18"/>
            <w:szCs w:val="18"/>
            <w:u w:val="single" w:color="auto"/>
            <w:color w:val="0000EE"/>
          </w:rPr>
          <w:t>page 12</w:t>
        </w:r>
      </w:hyperlink>
      <w:r>
        <w:rPr>
          <w:rFonts w:ascii="Arial" w:cs="Arial" w:eastAsia="Arial" w:hAnsi="Arial"/>
          <w:sz w:val="18"/>
          <w:szCs w:val="18"/>
          <w:color w:val="auto"/>
        </w:rPr>
        <w:t>); If All Director Nominees Elected:</w:t>
      </w:r>
    </w:p>
    <w:p>
      <w:pPr>
        <w:spacing w:after="0" w:line="102" w:lineRule="exact"/>
        <w:rPr>
          <w:rFonts w:ascii="Arial" w:cs="Arial" w:eastAsia="Arial" w:hAnsi="Arial"/>
          <w:sz w:val="18"/>
          <w:szCs w:val="18"/>
          <w:color w:val="auto"/>
        </w:rPr>
      </w:pPr>
    </w:p>
    <w:p>
      <w:pPr>
        <w:ind w:left="1420" w:hanging="427"/>
        <w:spacing w:after="0"/>
        <w:tabs>
          <w:tab w:leader="none" w:pos="142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Five new independent directors within past five years</w:t>
      </w:r>
    </w:p>
    <w:p>
      <w:pPr>
        <w:spacing w:after="0" w:line="130" w:lineRule="exact"/>
        <w:rPr>
          <w:rFonts w:ascii="MS PGothic" w:cs="MS PGothic" w:eastAsia="MS PGothic" w:hAnsi="MS PGothic"/>
          <w:sz w:val="18"/>
          <w:szCs w:val="18"/>
          <w:color w:val="auto"/>
        </w:rPr>
      </w:pPr>
    </w:p>
    <w:p>
      <w:pPr>
        <w:ind w:left="1420" w:hanging="427"/>
        <w:spacing w:after="0"/>
        <w:tabs>
          <w:tab w:leader="none" w:pos="142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Average tenure of independent directors following the annual meeting is 7 years</w:t>
      </w:r>
    </w:p>
    <w:p>
      <w:pPr>
        <w:spacing w:after="0" w:line="130" w:lineRule="exact"/>
        <w:rPr>
          <w:rFonts w:ascii="MS PGothic" w:cs="MS PGothic" w:eastAsia="MS PGothic" w:hAnsi="MS PGothic"/>
          <w:sz w:val="18"/>
          <w:szCs w:val="18"/>
          <w:color w:val="auto"/>
        </w:rPr>
      </w:pPr>
    </w:p>
    <w:p>
      <w:pPr>
        <w:ind w:left="880" w:right="80" w:hanging="548"/>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50% of Director Nominees are Diverse by Gender or Race, Including Four of Last Five Directors; 30% of Director Nominees are Female (see </w:t>
      </w:r>
      <w:hyperlink w:anchor="page18">
        <w:r>
          <w:rPr>
            <w:rFonts w:ascii="Arial" w:cs="Arial" w:eastAsia="Arial" w:hAnsi="Arial"/>
            <w:sz w:val="18"/>
            <w:szCs w:val="18"/>
            <w:u w:val="single" w:color="auto"/>
            <w:color w:val="0000EE"/>
          </w:rPr>
          <w:t>page 15</w:t>
        </w:r>
      </w:hyperlink>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Annual Board and Committee Evaluation Process (see </w:t>
      </w:r>
      <w:hyperlink w:anchor="page14">
        <w:r>
          <w:rPr>
            <w:rFonts w:ascii="Arial" w:cs="Arial" w:eastAsia="Arial" w:hAnsi="Arial"/>
            <w:sz w:val="18"/>
            <w:szCs w:val="18"/>
            <w:u w:val="single" w:color="auto"/>
            <w:color w:val="0000EE"/>
          </w:rPr>
          <w:t>page 11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Proxy Access By-Law (see </w:t>
      </w:r>
      <w:hyperlink w:anchor="page15">
        <w:r>
          <w:rPr>
            <w:rFonts w:ascii="Arial" w:cs="Arial" w:eastAsia="Arial" w:hAnsi="Arial"/>
            <w:sz w:val="18"/>
            <w:szCs w:val="18"/>
            <w:u w:val="single" w:color="auto"/>
            <w:color w:val="0000EE"/>
          </w:rPr>
          <w:t>page 12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Appropriate Board/Committee Level Risk Oversight of Company Risks (see </w:t>
      </w:r>
      <w:hyperlink w:anchor="page12">
        <w:r>
          <w:rPr>
            <w:rFonts w:ascii="Arial" w:cs="Arial" w:eastAsia="Arial" w:hAnsi="Arial"/>
            <w:sz w:val="18"/>
            <w:szCs w:val="18"/>
            <w:u w:val="single" w:color="auto"/>
            <w:color w:val="0000EE"/>
          </w:rPr>
          <w:t>page 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Proactive Shareholder Engagement Program (see </w:t>
      </w:r>
      <w:hyperlink w:anchor="page6">
        <w:r>
          <w:rPr>
            <w:rFonts w:ascii="Arial" w:cs="Arial" w:eastAsia="Arial" w:hAnsi="Arial"/>
            <w:sz w:val="18"/>
            <w:szCs w:val="18"/>
            <w:u w:val="single" w:color="auto"/>
            <w:color w:val="0000EE"/>
          </w:rPr>
          <w:t>page 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Annual Board and Compensation Committee Discussion of Succession Planning for CEO and Senior Executives (see </w:t>
      </w:r>
      <w:hyperlink w:anchor="page13">
        <w:r>
          <w:rPr>
            <w:rFonts w:ascii="Arial" w:cs="Arial" w:eastAsia="Arial" w:hAnsi="Arial"/>
            <w:sz w:val="18"/>
            <w:szCs w:val="18"/>
            <w:u w:val="single" w:color="auto"/>
            <w:color w:val="0000EE"/>
          </w:rPr>
          <w:t>page 10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Compensation Committee Directly Retains Independent Compensation Consultant (see </w:t>
      </w:r>
      <w:hyperlink w:anchor="page14">
        <w:r>
          <w:rPr>
            <w:rFonts w:ascii="Arial" w:cs="Arial" w:eastAsia="Arial" w:hAnsi="Arial"/>
            <w:sz w:val="18"/>
            <w:szCs w:val="18"/>
            <w:u w:val="single" w:color="auto"/>
            <w:color w:val="0000EE"/>
          </w:rPr>
          <w:t>page 11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Opportunity for Executive Sessions at Every Board and Committee Meeting (see </w:t>
      </w:r>
      <w:hyperlink w:anchor="page11">
        <w:r>
          <w:rPr>
            <w:rFonts w:ascii="Arial" w:cs="Arial" w:eastAsia="Arial" w:hAnsi="Arial"/>
            <w:sz w:val="18"/>
            <w:szCs w:val="18"/>
            <w:u w:val="single" w:color="auto"/>
            <w:color w:val="0000EE"/>
          </w:rPr>
          <w:t>page 8)</w:t>
        </w:r>
      </w:hyperlink>
    </w:p>
    <w:p>
      <w:pPr>
        <w:spacing w:after="0" w:line="130" w:lineRule="exact"/>
        <w:rPr>
          <w:rFonts w:ascii="Arial" w:cs="Arial" w:eastAsia="Arial" w:hAnsi="Arial"/>
          <w:sz w:val="18"/>
          <w:szCs w:val="18"/>
          <w:color w:val="auto"/>
        </w:rPr>
      </w:pPr>
    </w:p>
    <w:p>
      <w:pPr>
        <w:ind w:left="880" w:right="160" w:hanging="548"/>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Robust Stock Ownership Requirements, with NEO Beneficial Shareholdings Significantly Exceeding Thresholds (see </w:t>
      </w:r>
      <w:hyperlink w:anchor="page15">
        <w:r>
          <w:rPr>
            <w:rFonts w:ascii="Arial" w:cs="Arial" w:eastAsia="Arial" w:hAnsi="Arial"/>
            <w:sz w:val="18"/>
            <w:szCs w:val="18"/>
            <w:u w:val="single" w:color="auto"/>
            <w:color w:val="0000EE"/>
          </w:rPr>
          <w:t>pages 12</w:t>
        </w:r>
      </w:hyperlink>
      <w:r>
        <w:rPr>
          <w:rFonts w:ascii="Arial" w:cs="Arial" w:eastAsia="Arial" w:hAnsi="Arial"/>
          <w:sz w:val="18"/>
          <w:szCs w:val="18"/>
          <w:color w:val="auto"/>
        </w:rPr>
        <w:t xml:space="preserve"> and </w:t>
      </w:r>
      <w:hyperlink w:anchor="page59">
        <w:r>
          <w:rPr>
            <w:rFonts w:ascii="Arial" w:cs="Arial" w:eastAsia="Arial" w:hAnsi="Arial"/>
            <w:sz w:val="18"/>
            <w:szCs w:val="18"/>
            <w:u w:val="single" w:color="auto"/>
            <w:color w:val="0000EE"/>
          </w:rPr>
          <w:t>56</w:t>
        </w:r>
      </w:hyperlink>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420" w:hanging="427"/>
        <w:spacing w:after="0"/>
        <w:tabs>
          <w:tab w:leader="none" w:pos="142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CEO = 10x Salary</w:t>
      </w:r>
    </w:p>
    <w:p>
      <w:pPr>
        <w:spacing w:after="0" w:line="130" w:lineRule="exact"/>
        <w:rPr>
          <w:rFonts w:ascii="MS PGothic" w:cs="MS PGothic" w:eastAsia="MS PGothic" w:hAnsi="MS PGothic"/>
          <w:sz w:val="18"/>
          <w:szCs w:val="18"/>
          <w:color w:val="auto"/>
        </w:rPr>
      </w:pPr>
    </w:p>
    <w:p>
      <w:pPr>
        <w:ind w:left="1420" w:hanging="427"/>
        <w:spacing w:after="0"/>
        <w:tabs>
          <w:tab w:leader="none" w:pos="142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Other Named Executive Officers = 3x Salary</w:t>
      </w:r>
    </w:p>
    <w:p>
      <w:pPr>
        <w:spacing w:after="0" w:line="130" w:lineRule="exact"/>
        <w:rPr>
          <w:rFonts w:ascii="MS PGothic" w:cs="MS PGothic" w:eastAsia="MS PGothic" w:hAnsi="MS PGothic"/>
          <w:sz w:val="18"/>
          <w:szCs w:val="18"/>
          <w:color w:val="auto"/>
        </w:rPr>
      </w:pPr>
    </w:p>
    <w:p>
      <w:pPr>
        <w:ind w:left="1420" w:hanging="427"/>
        <w:spacing w:after="0"/>
        <w:tabs>
          <w:tab w:leader="none" w:pos="142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Nonemployee Directors = 5x Annual Retainer</w:t>
      </w:r>
    </w:p>
    <w:p>
      <w:pPr>
        <w:spacing w:after="0" w:line="130" w:lineRule="exact"/>
        <w:rPr>
          <w:rFonts w:ascii="MS PGothic" w:cs="MS PGothic" w:eastAsia="MS PGothic" w:hAnsi="MS PGothic"/>
          <w:sz w:val="18"/>
          <w:szCs w:val="18"/>
          <w:color w:val="auto"/>
        </w:rPr>
      </w:pPr>
    </w:p>
    <w:p>
      <w:pPr>
        <w:ind w:left="880" w:hanging="548"/>
        <w:spacing w:after="0"/>
        <w:tabs>
          <w:tab w:leader="none" w:pos="880" w:val="left"/>
        </w:tabs>
        <w:numPr>
          <w:ilvl w:val="0"/>
          <w:numId w:val="14"/>
        </w:numPr>
        <w:rPr>
          <w:rFonts w:ascii="MS PGothic" w:cs="MS PGothic" w:eastAsia="MS PGothic" w:hAnsi="MS PGothic"/>
          <w:sz w:val="18"/>
          <w:szCs w:val="18"/>
          <w:color w:val="0A33A5"/>
        </w:rPr>
      </w:pPr>
      <w:r>
        <w:rPr>
          <w:rFonts w:ascii="Arial" w:cs="Arial" w:eastAsia="Arial" w:hAnsi="Arial"/>
          <w:sz w:val="18"/>
          <w:szCs w:val="18"/>
          <w:color w:val="auto"/>
        </w:rPr>
        <w:t>No Dividend Equivalents Paid on Unearned Restricted Stock Units or on Any Stock Options</w:t>
      </w:r>
    </w:p>
    <w:p>
      <w:pPr>
        <w:spacing w:after="0" w:line="130" w:lineRule="exact"/>
        <w:rPr>
          <w:rFonts w:ascii="MS PGothic" w:cs="MS PGothic" w:eastAsia="MS PGothic" w:hAnsi="MS PGothic"/>
          <w:sz w:val="18"/>
          <w:szCs w:val="18"/>
          <w:color w:val="0A33A5"/>
        </w:rPr>
      </w:pPr>
    </w:p>
    <w:p>
      <w:pPr>
        <w:ind w:left="880" w:right="400" w:hanging="548"/>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Prohibition on Hedging; Any Pledging Subject to Approval of Chair of Governance and Directors Nominating Committee; No Current Pledges (see </w:t>
      </w:r>
      <w:hyperlink w:anchor="page59">
        <w:r>
          <w:rPr>
            <w:rFonts w:ascii="Arial" w:cs="Arial" w:eastAsia="Arial" w:hAnsi="Arial"/>
            <w:sz w:val="18"/>
            <w:szCs w:val="18"/>
            <w:u w:val="single" w:color="auto"/>
            <w:color w:val="0000EE"/>
          </w:rPr>
          <w:t>page 56</w:t>
        </w:r>
      </w:hyperlink>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Recoupment (“Clawback”) Policy for Executive Compensation (see </w:t>
      </w:r>
      <w:hyperlink w:anchor="page60">
        <w:r>
          <w:rPr>
            <w:rFonts w:ascii="Arial" w:cs="Arial" w:eastAsia="Arial" w:hAnsi="Arial"/>
            <w:sz w:val="18"/>
            <w:szCs w:val="18"/>
            <w:u w:val="single" w:color="auto"/>
            <w:color w:val="0000EE"/>
          </w:rPr>
          <w:t>page 57</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80" w:hanging="54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 Automatic (“Single Trigger”) Acceleration of Vesting in Connection with a Change in Control (see </w:t>
      </w:r>
      <w:hyperlink w:anchor="page59">
        <w:r>
          <w:rPr>
            <w:rFonts w:ascii="Arial" w:cs="Arial" w:eastAsia="Arial" w:hAnsi="Arial"/>
            <w:sz w:val="18"/>
            <w:szCs w:val="18"/>
            <w:u w:val="single" w:color="auto"/>
            <w:color w:val="0000EE"/>
          </w:rPr>
          <w:t>page 56</w:t>
        </w:r>
      </w:hyperlink>
      <w:r>
        <w:rPr>
          <w:rFonts w:ascii="Arial" w:cs="Arial" w:eastAsia="Arial" w:hAnsi="Arial"/>
          <w:sz w:val="18"/>
          <w:szCs w:val="18"/>
          <w:color w:val="auto"/>
        </w:rPr>
        <w:t>)</w:t>
      </w:r>
    </w:p>
    <w:p>
      <w:pPr>
        <w:spacing w:after="0" w:line="203" w:lineRule="exact"/>
        <w:rPr>
          <w:rFonts w:ascii="MS PGothic" w:cs="MS PGothic" w:eastAsia="MS PGothic" w:hAnsi="MS PGothic"/>
          <w:sz w:val="18"/>
          <w:szCs w:val="18"/>
          <w:color w:val="0A33A5"/>
        </w:rPr>
      </w:pPr>
    </w:p>
    <w:p>
      <w:pPr>
        <w:ind w:left="120"/>
        <w:spacing w:after="0"/>
        <w:rPr>
          <w:sz w:val="20"/>
          <w:szCs w:val="20"/>
          <w:color w:val="auto"/>
        </w:rPr>
      </w:pPr>
      <w:r>
        <w:rPr>
          <w:rFonts w:ascii="Arial" w:cs="Arial" w:eastAsia="Arial" w:hAnsi="Arial"/>
          <w:sz w:val="18"/>
          <w:szCs w:val="18"/>
          <w:b w:val="1"/>
          <w:bCs w:val="1"/>
          <w:color w:val="0A33A5"/>
        </w:rPr>
        <w:t>OUR COMPANY</w:t>
      </w:r>
    </w:p>
    <w:p>
      <w:pPr>
        <w:spacing w:after="0" w:line="126" w:lineRule="exact"/>
        <w:rPr>
          <w:rFonts w:ascii="MS PGothic" w:cs="MS PGothic" w:eastAsia="MS PGothic" w:hAnsi="MS PGothic"/>
          <w:sz w:val="18"/>
          <w:szCs w:val="18"/>
          <w:color w:val="0A33A5"/>
        </w:rPr>
      </w:pPr>
    </w:p>
    <w:p>
      <w:pPr>
        <w:ind w:left="120" w:right="420"/>
        <w:spacing w:after="0" w:line="246" w:lineRule="auto"/>
        <w:rPr>
          <w:sz w:val="20"/>
          <w:szCs w:val="20"/>
          <w:color w:val="auto"/>
        </w:rPr>
      </w:pPr>
      <w:r>
        <w:rPr>
          <w:rFonts w:ascii="Arial" w:cs="Arial" w:eastAsia="Arial" w:hAnsi="Arial"/>
          <w:sz w:val="18"/>
          <w:szCs w:val="18"/>
          <w:color w:val="auto"/>
        </w:rPr>
        <w:t>We are a global media and technology company with three primary businesses, Comcast Cable Communications (“Comcast Cable”), NBCUniversal Media (“NBCUniversal”) and Sky Limited (“Sky”).</w:t>
      </w:r>
    </w:p>
    <w:p>
      <w:pPr>
        <w:spacing w:after="0" w:line="48" w:lineRule="exact"/>
        <w:rPr>
          <w:rFonts w:ascii="MS PGothic" w:cs="MS PGothic" w:eastAsia="MS PGothic" w:hAnsi="MS PGothic"/>
          <w:sz w:val="18"/>
          <w:szCs w:val="18"/>
          <w:color w:val="0A33A5"/>
        </w:rPr>
      </w:pPr>
    </w:p>
    <w:p>
      <w:pPr>
        <w:ind w:left="880" w:right="52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Comcast Cable is a leading provider of high-speed internet, video, voice, wireless and security and automation services to residential customers under the XFINITY brand; we also provide these and other services to business customers and sell advertising.</w:t>
      </w:r>
    </w:p>
    <w:p>
      <w:pPr>
        <w:spacing w:after="0" w:line="135" w:lineRule="exact"/>
        <w:rPr>
          <w:rFonts w:ascii="MS PGothic" w:cs="MS PGothic" w:eastAsia="MS PGothic" w:hAnsi="MS PGothic"/>
          <w:sz w:val="18"/>
          <w:szCs w:val="18"/>
          <w:color w:val="0A33A5"/>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2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54" w:lineRule="exact"/>
        <w:rPr>
          <w:rFonts w:ascii="Arial" w:cs="Arial" w:eastAsia="Arial" w:hAnsi="Arial"/>
          <w:sz w:val="18"/>
          <w:szCs w:val="18"/>
          <w:color w:val="auto"/>
        </w:rPr>
      </w:pPr>
    </w:p>
    <w:p>
      <w:pPr>
        <w:ind w:left="880" w:right="16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Sky is one of Europe’s leading entertainment companies that primarily includes a direct-to-consumer business, providing video, high-speed internet, voice and wireless phone services, and a content business, operating entertainment networks, the Sky News broadcast network and Sky Sports networks.</w:t>
      </w:r>
    </w:p>
    <w:p>
      <w:pPr>
        <w:spacing w:after="0" w:line="9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have a deep-rooted strategic focus on long-term growth. Our Board values and rewards our senior leadership team for thinking strategically and pursuing strategic pivotal transactions and initiatives for our overall long-term growth prospects, as well as for their ability to react swiftly and effectively in a time of crisis such as the unprecedented COVID-19 pandemic. Our senior leadership team is intently focused on protecting our company, employees and customers from severe economic damage as a result of the COVID-19 crisis. They have swiftly and effectively mobilized our company not only in transitioning our operations to address these challenges, but also in going above and beyond to help our employees, customers and local communities through financial and in-kind support, including by raising the internet service speed of our industry-leading low-income internet adoption program, Internet Essentials, generally to 25/3 Mbps to better facilitate children’s remote online learning experiences during this time. Our employees have been working tirelessly to keep our internet network running so our customers maintain vital internet connectivity, and our news organizations are working tirelessly to keep the world informed. Employees who are able to work from home have been doing so, and we have been adapting to make the work environment clean and safe for frontline employees who need to be in the office or the field.</w:t>
      </w:r>
    </w:p>
    <w:p>
      <w:pPr>
        <w:spacing w:after="0" w:line="97"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Underpinning our strategic focus on long-term growth and our efforts to respond to the COVID-19 crisis is our company’s culture, which is built on integrity and respect – with the goal of working together to drive our businesses to be creative, innovative and competitive. Our core values that guide our company include:</w:t>
      </w:r>
    </w:p>
    <w:p>
      <w:pPr>
        <w:spacing w:after="0" w:line="32" w:lineRule="exact"/>
        <w:rPr>
          <w:sz w:val="20"/>
          <w:szCs w:val="20"/>
          <w:color w:val="auto"/>
        </w:rPr>
      </w:pPr>
    </w:p>
    <w:p>
      <w:pPr>
        <w:ind w:left="760" w:right="260" w:hanging="428"/>
        <w:spacing w:after="0" w:line="27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0A33A5"/>
        </w:rPr>
        <w:t>Entrepreneurial spirit</w:t>
      </w:r>
      <w:r>
        <w:rPr>
          <w:rFonts w:ascii="Arial" w:cs="Arial" w:eastAsia="Arial" w:hAnsi="Arial"/>
          <w:sz w:val="18"/>
          <w:szCs w:val="18"/>
          <w:color w:val="000000"/>
        </w:rPr>
        <w:t>. We embrace good ideas, bring them to life quickly and constantly look for new ways to innovate for our</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customers.</w:t>
      </w:r>
    </w:p>
    <w:p>
      <w:pPr>
        <w:spacing w:after="0" w:line="5" w:lineRule="exact"/>
        <w:rPr>
          <w:rFonts w:ascii="Arial" w:cs="Arial" w:eastAsia="Arial" w:hAnsi="Arial"/>
          <w:sz w:val="18"/>
          <w:szCs w:val="18"/>
          <w:color w:val="auto"/>
        </w:rPr>
      </w:pPr>
    </w:p>
    <w:p>
      <w:pPr>
        <w:ind w:left="760" w:hanging="42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0A33A5"/>
        </w:rPr>
        <w:t>Acting with integrity</w:t>
      </w:r>
      <w:r>
        <w:rPr>
          <w:rFonts w:ascii="Arial" w:cs="Arial" w:eastAsia="Arial" w:hAnsi="Arial"/>
          <w:sz w:val="18"/>
          <w:szCs w:val="18"/>
          <w:color w:val="000000"/>
        </w:rPr>
        <w:t>. We strive to do what’s right and treat people the right way.</w:t>
      </w:r>
    </w:p>
    <w:p>
      <w:pPr>
        <w:spacing w:after="0" w:line="63" w:lineRule="exact"/>
        <w:rPr>
          <w:rFonts w:ascii="Arial" w:cs="Arial" w:eastAsia="Arial" w:hAnsi="Arial"/>
          <w:sz w:val="18"/>
          <w:szCs w:val="18"/>
          <w:color w:val="auto"/>
        </w:rPr>
      </w:pPr>
    </w:p>
    <w:p>
      <w:pPr>
        <w:ind w:left="760" w:right="40" w:hanging="428"/>
        <w:spacing w:after="0" w:line="24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0A33A5"/>
        </w:rPr>
        <w:t>Strong Company culture with respect for each other</w:t>
      </w:r>
      <w:r>
        <w:rPr>
          <w:rFonts w:ascii="Arial" w:cs="Arial" w:eastAsia="Arial" w:hAnsi="Arial"/>
          <w:sz w:val="18"/>
          <w:szCs w:val="18"/>
          <w:color w:val="000000"/>
        </w:rPr>
        <w:t>. We are committed to a culture of fairness, respect and inclusion: within</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our leadership and our workforce, with our suppliers, in our programming and in the communities we serve. We believe that a diverse and inclusive company creates a more effective company, leading us to approach diversity as a driver for business growth and innovation.</w:t>
      </w:r>
    </w:p>
    <w:p>
      <w:pPr>
        <w:spacing w:after="0" w:line="25" w:lineRule="exact"/>
        <w:rPr>
          <w:rFonts w:ascii="Arial" w:cs="Arial" w:eastAsia="Arial" w:hAnsi="Arial"/>
          <w:sz w:val="18"/>
          <w:szCs w:val="18"/>
          <w:color w:val="auto"/>
        </w:rPr>
      </w:pPr>
    </w:p>
    <w:p>
      <w:pPr>
        <w:jc w:val="both"/>
        <w:ind w:left="760" w:right="460" w:hanging="428"/>
        <w:spacing w:after="0" w:line="25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0A33A5"/>
        </w:rPr>
        <w:t>Giving back to the community</w:t>
      </w:r>
      <w:r>
        <w:rPr>
          <w:rFonts w:ascii="Arial" w:cs="Arial" w:eastAsia="Arial" w:hAnsi="Arial"/>
          <w:sz w:val="18"/>
          <w:szCs w:val="18"/>
          <w:color w:val="000000"/>
        </w:rPr>
        <w:t>. We have a long history of investing in and supporting local communities and organizations,</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developing programs and partnerships, and mobilizing our resources to connect people and inspire positive and substantive change.</w:t>
      </w:r>
    </w:p>
    <w:p>
      <w:pPr>
        <w:spacing w:after="0" w:line="65"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color w:val="auto"/>
        </w:rPr>
        <w:t xml:space="preserve">We provide additional information on our company and its values, including through our annual corporate social responsibility report,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Values in Action</w:t>
      </w:r>
      <w:r>
        <w:rPr>
          <w:rFonts w:ascii="Arial" w:cs="Arial" w:eastAsia="Arial" w:hAnsi="Arial"/>
          <w:sz w:val="18"/>
          <w:szCs w:val="18"/>
          <w:color w:val="auto"/>
        </w:rPr>
        <w:t>, on our website,</w:t>
      </w:r>
      <w:r>
        <w:rPr>
          <w:rFonts w:ascii="Arial" w:cs="Arial" w:eastAsia="Arial" w:hAnsi="Arial"/>
          <w:sz w:val="18"/>
          <w:szCs w:val="18"/>
          <w:i w:val="1"/>
          <w:iCs w:val="1"/>
          <w:color w:val="auto"/>
        </w:rPr>
        <w:t xml:space="preserve"> comcastcorporation.com. </w:t>
      </w:r>
      <w:r>
        <w:rPr>
          <w:rFonts w:ascii="Arial" w:cs="Arial" w:eastAsia="Arial" w:hAnsi="Arial"/>
          <w:sz w:val="18"/>
          <w:szCs w:val="18"/>
          <w:color w:val="auto"/>
        </w:rPr>
        <w:t>The information on our website noted in this proxy statement and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the website shall not be deemed part of, and is not incorporated by reference in, this proxy statement.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THE BOARD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2019, there were five meetings of our Board and a total of 19 committee meetings. Each director attended more than 75% of the aggregate number of Board meetings and the number of meetings held by all of the committees on which he or she served.</w:t>
      </w:r>
    </w:p>
    <w:p>
      <w:pPr>
        <w:spacing w:after="0" w:line="95"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Our independent directors have the opportunity to meet separately in executive session following each regularly scheduled Board meeting and, under our corporate governance guidelines, are required to meet in executive session at least two times each year.</w:t>
      </w:r>
    </w:p>
    <w:p>
      <w:pPr>
        <w:spacing w:after="0" w:line="89"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We require our directors to participate in the annual meeting of shareholders, barring unusual circumstances. Each director then in office attended the 2019 annual meeting of shareholders.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Board Leadership Structure</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Mr.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 Moreover, having an independent Chairman is a minority practice among major companies, and having one individual perform the roles of Chairman and Chief Executive Officer is not restricted or prohibited by current laws or regulations.</w:t>
      </w:r>
    </w:p>
    <w:p>
      <w:pPr>
        <w:spacing w:after="0" w:line="9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Board believes that Board independence and oversight of management are effectively maintained through the Board’s composition, where 90% of our director nominees are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 Additionally, all of our directors, including our Chairman, are bound by fiduciary obligations under law to act in a manner that they believe to be in our best interests and the best interests of our shareholders.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Lead Independent Director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our corporate governance guidelines, our Board has a strong Lead Independent Director position, currently filled by</w:t>
      </w:r>
    </w:p>
    <w:p>
      <w:pPr>
        <w:ind w:left="120"/>
        <w:spacing w:after="0"/>
        <w:rPr>
          <w:sz w:val="20"/>
          <w:szCs w:val="20"/>
          <w:color w:val="auto"/>
        </w:rPr>
      </w:pPr>
      <w:r>
        <w:rPr>
          <w:rFonts w:ascii="Arial" w:cs="Arial" w:eastAsia="Arial" w:hAnsi="Arial"/>
          <w:sz w:val="18"/>
          <w:szCs w:val="18"/>
          <w:color w:val="auto"/>
        </w:rPr>
        <w:t>Mr. Breen. The Lead Independent Director:</w:t>
      </w:r>
    </w:p>
    <w:p>
      <w:pPr>
        <w:spacing w:after="0" w:line="63" w:lineRule="exact"/>
        <w:rPr>
          <w:sz w:val="20"/>
          <w:szCs w:val="20"/>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Presides at any meetings of the Board at which the Chairman is not present.</w:t>
      </w:r>
    </w:p>
    <w:p>
      <w:pPr>
        <w:spacing w:after="0" w:line="63" w:lineRule="exact"/>
        <w:rPr>
          <w:rFonts w:ascii="Arial" w:cs="Arial" w:eastAsia="Arial" w:hAnsi="Arial"/>
          <w:sz w:val="18"/>
          <w:szCs w:val="18"/>
          <w:color w:val="auto"/>
        </w:rPr>
      </w:pPr>
    </w:p>
    <w:p>
      <w:pPr>
        <w:ind w:left="980" w:right="4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54" w:lineRule="exact"/>
        <w:rPr>
          <w:rFonts w:ascii="Arial" w:cs="Arial" w:eastAsia="Arial" w:hAnsi="Arial"/>
          <w:sz w:val="18"/>
          <w:szCs w:val="18"/>
          <w:color w:val="auto"/>
        </w:rPr>
      </w:pPr>
    </w:p>
    <w:p>
      <w:pPr>
        <w:ind w:left="980" w:right="600" w:hanging="432"/>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48" w:lineRule="exact"/>
        <w:rPr>
          <w:rFonts w:ascii="Arial" w:cs="Arial" w:eastAsia="Arial" w:hAnsi="Arial"/>
          <w:sz w:val="18"/>
          <w:szCs w:val="18"/>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authority to schedule meetings of the independent directors, including executive sessions of the independent directors.</w:t>
      </w:r>
    </w:p>
    <w:p>
      <w:pPr>
        <w:spacing w:after="0" w:line="63" w:lineRule="exact"/>
        <w:rPr>
          <w:rFonts w:ascii="Arial" w:cs="Arial" w:eastAsia="Arial" w:hAnsi="Arial"/>
          <w:sz w:val="18"/>
          <w:szCs w:val="18"/>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has the opportunity to provide input on meeting agendas and meeting schedules for the Board.</w:t>
      </w:r>
    </w:p>
    <w:p>
      <w:pPr>
        <w:spacing w:after="0" w:line="63" w:lineRule="exact"/>
        <w:rPr>
          <w:rFonts w:ascii="Arial" w:cs="Arial" w:eastAsia="Arial" w:hAnsi="Arial"/>
          <w:sz w:val="18"/>
          <w:szCs w:val="18"/>
          <w:color w:val="auto"/>
        </w:rPr>
      </w:pPr>
    </w:p>
    <w:p>
      <w:pPr>
        <w:ind w:left="980" w:right="180" w:hanging="432"/>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Compensation Committee, organizes the annual Board evaluation of the performance of our Chief Executive Officer and senior management.</w:t>
      </w:r>
    </w:p>
    <w:p>
      <w:pPr>
        <w:spacing w:after="0" w:line="48" w:lineRule="exact"/>
        <w:rPr>
          <w:rFonts w:ascii="Arial" w:cs="Arial" w:eastAsia="Arial" w:hAnsi="Arial"/>
          <w:sz w:val="18"/>
          <w:szCs w:val="18"/>
          <w:color w:val="auto"/>
        </w:rPr>
      </w:pPr>
    </w:p>
    <w:p>
      <w:pPr>
        <w:ind w:left="980" w:right="60" w:hanging="432"/>
        <w:spacing w:after="0" w:line="24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89"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The role of Lead Independent Director is filled by an independent director recommended by the Governance and Directors Nominating Committee and appointed by the Board annually.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Risk Oversight</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While risk management is primarily the responsibility of our management, our Board understands the significant risks facing our company and exercises, as a whole and through its committees, an appropriate degree of risk oversight. Our management, with involvement and input from our Board, performs a companywide enterprise risk management assessment to identify key risks and to manage and mitigate the significant strategic, operational and legal risk areas for our company. Our executive management team has the overall responsibility for, and oversight of, this process, and an enterprise risk management steering committee, composed of legal, financial, accounting and business executives, manages the process, with one or more senior business executives then monitoring and managing each of the identified risks.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and its committees exercise their respective roles in risk oversight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5734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5734685"/>
                    </a:xfrm>
                    <a:prstGeom prst="rect">
                      <a:avLst/>
                    </a:prstGeom>
                    <a:noFill/>
                  </pic:spPr>
                </pic:pic>
              </a:graphicData>
            </a:graphic>
          </wp:anchor>
        </w:drawing>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14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i w:val="1"/>
                <w:iCs w:val="1"/>
                <w:color w:val="0A33A5"/>
              </w:rPr>
              <w:t>Board</w:t>
            </w:r>
          </w:p>
        </w:tc>
        <w:tc>
          <w:tcPr>
            <w:tcW w:w="95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 Oversees the key risks identified through our enterprise risk management process for Board oversight:</w:t>
            </w: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p>
        </w:tc>
        <w:tc>
          <w:tcPr>
            <w:tcW w:w="956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competitive risks facing our businesses, including risks relating to the growth and diversification of our</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9560" w:type="dxa"/>
            <w:vAlign w:val="bottom"/>
          </w:tcPr>
          <w:p>
            <w:pPr>
              <w:ind w:left="660"/>
              <w:spacing w:after="0"/>
              <w:rPr>
                <w:sz w:val="20"/>
                <w:szCs w:val="20"/>
                <w:color w:val="auto"/>
              </w:rPr>
            </w:pPr>
            <w:r>
              <w:rPr>
                <w:rFonts w:ascii="Arial" w:cs="Arial" w:eastAsia="Arial" w:hAnsi="Arial"/>
                <w:sz w:val="18"/>
                <w:szCs w:val="18"/>
                <w:color w:val="auto"/>
              </w:rPr>
              <w:t>businesses;</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reputational and customer service risks;</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succession planning for our executive management team and other senior executives;</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cybersecurity risks; and</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4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legal and regulatory risks.</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Reviews other significant risks facing our company identified through the enterprise risk management process.</w:t>
            </w: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9560" w:type="dxa"/>
            <w:vAlign w:val="bottom"/>
          </w:tcPr>
          <w:p>
            <w:pPr>
              <w:ind w:left="440"/>
              <w:spacing w:after="0" w:line="202" w:lineRule="exact"/>
              <w:rPr>
                <w:sz w:val="20"/>
                <w:szCs w:val="20"/>
                <w:color w:val="auto"/>
              </w:rPr>
            </w:pPr>
            <w:r>
              <w:rPr>
                <w:rFonts w:ascii="Arial" w:cs="Arial" w:eastAsia="Arial" w:hAnsi="Arial"/>
                <w:sz w:val="18"/>
                <w:szCs w:val="18"/>
                <w:color w:val="auto"/>
              </w:rPr>
              <w:t>Among these are significant strategic, operational and legal risks, including privacy, human capital and business</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continuity risks.</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Receives annual report on our government affairs group’s political spending, lobbying and trade association</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0" w:type="dxa"/>
            <w:vAlign w:val="bottom"/>
          </w:tcPr>
          <w:p>
            <w:pPr>
              <w:spacing w:after="0"/>
              <w:rPr>
                <w:sz w:val="1"/>
                <w:szCs w:val="1"/>
                <w:color w:val="auto"/>
              </w:rPr>
            </w:pPr>
          </w:p>
        </w:tc>
      </w:tr>
      <w:tr>
        <w:trPr>
          <w:trHeight w:val="121"/>
        </w:trPr>
        <w:tc>
          <w:tcPr>
            <w:tcW w:w="1460" w:type="dxa"/>
            <w:vAlign w:val="bottom"/>
            <w:tcBorders>
              <w:bottom w:val="single" w:sz="8" w:color="auto"/>
            </w:tcBorders>
          </w:tcPr>
          <w:p>
            <w:pPr>
              <w:spacing w:after="0"/>
              <w:rPr>
                <w:sz w:val="10"/>
                <w:szCs w:val="10"/>
                <w:color w:val="auto"/>
              </w:rPr>
            </w:pPr>
          </w:p>
        </w:tc>
        <w:tc>
          <w:tcPr>
            <w:tcW w:w="9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240"/>
              <w:spacing w:after="0" w:line="173" w:lineRule="exact"/>
              <w:rPr>
                <w:sz w:val="20"/>
                <w:szCs w:val="20"/>
                <w:color w:val="auto"/>
              </w:rPr>
            </w:pPr>
            <w:r>
              <w:rPr>
                <w:rFonts w:ascii="Arial" w:cs="Arial" w:eastAsia="Arial" w:hAnsi="Arial"/>
                <w:sz w:val="18"/>
                <w:szCs w:val="18"/>
                <w:b w:val="1"/>
                <w:bCs w:val="1"/>
                <w:i w:val="1"/>
                <w:iCs w:val="1"/>
                <w:color w:val="0A33A5"/>
              </w:rPr>
              <w:t>Audit</w:t>
            </w:r>
          </w:p>
        </w:tc>
        <w:tc>
          <w:tcPr>
            <w:tcW w:w="9560" w:type="dxa"/>
            <w:vAlign w:val="bottom"/>
          </w:tcPr>
          <w:p>
            <w:pPr>
              <w:ind w:left="260"/>
              <w:spacing w:after="0" w:line="173" w:lineRule="exact"/>
              <w:rPr>
                <w:sz w:val="20"/>
                <w:szCs w:val="20"/>
                <w:color w:val="auto"/>
              </w:rPr>
            </w:pPr>
            <w:r>
              <w:rPr>
                <w:rFonts w:ascii="Arial" w:cs="Arial" w:eastAsia="Arial" w:hAnsi="Arial"/>
                <w:sz w:val="18"/>
                <w:szCs w:val="18"/>
                <w:color w:val="auto"/>
              </w:rPr>
              <w:t>• Reviews the quality and integrity of our financial statements.</w:t>
            </w:r>
          </w:p>
        </w:tc>
        <w:tc>
          <w:tcPr>
            <w:tcW w:w="0" w:type="dxa"/>
            <w:vAlign w:val="bottom"/>
          </w:tcPr>
          <w:p>
            <w:pPr>
              <w:spacing w:after="0"/>
              <w:rPr>
                <w:sz w:val="1"/>
                <w:szCs w:val="1"/>
                <w:color w:val="auto"/>
              </w:rPr>
            </w:pPr>
          </w:p>
        </w:tc>
      </w:tr>
      <w:tr>
        <w:trPr>
          <w:trHeight w:val="239"/>
        </w:trPr>
        <w:tc>
          <w:tcPr>
            <w:tcW w:w="1460" w:type="dxa"/>
            <w:vAlign w:val="bottom"/>
          </w:tcPr>
          <w:p>
            <w:pPr>
              <w:ind w:left="260"/>
              <w:spacing w:after="0"/>
              <w:rPr>
                <w:sz w:val="20"/>
                <w:szCs w:val="20"/>
                <w:color w:val="auto"/>
              </w:rPr>
            </w:pPr>
            <w:r>
              <w:rPr>
                <w:rFonts w:ascii="Arial" w:cs="Arial" w:eastAsia="Arial" w:hAnsi="Arial"/>
                <w:sz w:val="18"/>
                <w:szCs w:val="18"/>
                <w:b w:val="1"/>
                <w:bCs w:val="1"/>
                <w:i w:val="1"/>
                <w:iCs w:val="1"/>
                <w:color w:val="0A33A5"/>
              </w:rPr>
              <w:t>Committee</w:t>
            </w:r>
          </w:p>
        </w:tc>
        <w:tc>
          <w:tcPr>
            <w:tcW w:w="9560" w:type="dxa"/>
            <w:vAlign w:val="bottom"/>
            <w:vMerge w:val="restart"/>
          </w:tcPr>
          <w:p>
            <w:pPr>
              <w:ind w:left="260"/>
              <w:spacing w:after="0"/>
              <w:rPr>
                <w:sz w:val="20"/>
                <w:szCs w:val="20"/>
                <w:color w:val="auto"/>
              </w:rPr>
            </w:pPr>
            <w:r>
              <w:rPr>
                <w:rFonts w:ascii="Arial" w:cs="Arial" w:eastAsia="Arial" w:hAnsi="Arial"/>
                <w:sz w:val="18"/>
                <w:szCs w:val="18"/>
                <w:color w:val="auto"/>
              </w:rPr>
              <w:t>• Monitors our internal control over financial reporting and disclosure controls and procedures.</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9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Reviews the performance and responsibilities of our internal audit function and activities.</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Evaluates the qualification, performance and independence of our independent auditors.</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Reviews policies and practices with respect to financial risk assessment and management, including our major</w:t>
            </w:r>
          </w:p>
        </w:tc>
        <w:tc>
          <w:tcPr>
            <w:tcW w:w="0" w:type="dxa"/>
            <w:vAlign w:val="bottom"/>
          </w:tcPr>
          <w:p>
            <w:pPr>
              <w:spacing w:after="0"/>
              <w:rPr>
                <w:sz w:val="1"/>
                <w:szCs w:val="1"/>
                <w:color w:val="auto"/>
              </w:rPr>
            </w:pPr>
          </w:p>
        </w:tc>
      </w:tr>
      <w:tr>
        <w:trPr>
          <w:trHeight w:val="217"/>
        </w:trPr>
        <w:tc>
          <w:tcPr>
            <w:tcW w:w="1460" w:type="dxa"/>
            <w:vAlign w:val="bottom"/>
          </w:tcPr>
          <w:p>
            <w:pPr>
              <w:spacing w:after="0"/>
              <w:rPr>
                <w:sz w:val="18"/>
                <w:szCs w:val="18"/>
                <w:color w:val="auto"/>
              </w:rPr>
            </w:pPr>
          </w:p>
        </w:tc>
        <w:tc>
          <w:tcPr>
            <w:tcW w:w="9560" w:type="dxa"/>
            <w:vAlign w:val="bottom"/>
          </w:tcPr>
          <w:p>
            <w:pPr>
              <w:ind w:left="440"/>
              <w:spacing w:after="0"/>
              <w:rPr>
                <w:sz w:val="20"/>
                <w:szCs w:val="20"/>
                <w:color w:val="auto"/>
              </w:rPr>
            </w:pPr>
            <w:r>
              <w:rPr>
                <w:rFonts w:ascii="Arial" w:cs="Arial" w:eastAsia="Arial" w:hAnsi="Arial"/>
                <w:sz w:val="18"/>
                <w:szCs w:val="18"/>
                <w:color w:val="auto"/>
              </w:rPr>
              <w:t>financial risk exposures and steps taken to monitor and manage such exposures.</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Reviews processes and practices with respect to our enterprise risk management assessment.</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Reviews the risks disclosed in Part I, “Item 1A. Risk Factors,” in our Annual Reports on Form 10-K.</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560" w:type="dxa"/>
            <w:vAlign w:val="bottom"/>
          </w:tcPr>
          <w:p>
            <w:pPr>
              <w:ind w:left="260"/>
              <w:spacing w:after="0"/>
              <w:rPr>
                <w:sz w:val="20"/>
                <w:szCs w:val="20"/>
                <w:color w:val="auto"/>
              </w:rPr>
            </w:pPr>
            <w:r>
              <w:rPr>
                <w:rFonts w:ascii="Arial" w:cs="Arial" w:eastAsia="Arial" w:hAnsi="Arial"/>
                <w:sz w:val="18"/>
                <w:szCs w:val="18"/>
                <w:color w:val="auto"/>
              </w:rPr>
              <w:t>• Reports its discussions to the full Board for consideration and action when appropriate.</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80"/>
        <w:spacing w:after="0"/>
        <w:tabs>
          <w:tab w:leader="none" w:pos="1820" w:val="left"/>
        </w:tabs>
        <w:rPr>
          <w:sz w:val="20"/>
          <w:szCs w:val="20"/>
          <w:color w:val="auto"/>
        </w:rPr>
      </w:pPr>
      <w:r>
        <w:rPr>
          <w:rFonts w:ascii="Arial" w:cs="Arial" w:eastAsia="Arial" w:hAnsi="Arial"/>
          <w:sz w:val="18"/>
          <w:szCs w:val="18"/>
          <w:b w:val="1"/>
          <w:bCs w:val="1"/>
          <w:i w:val="1"/>
          <w:iCs w:val="1"/>
          <w:color w:val="0A33A5"/>
        </w:rPr>
        <w:t>Compensation</w:t>
      </w:r>
      <w:r>
        <w:rPr>
          <w:sz w:val="20"/>
          <w:szCs w:val="20"/>
          <w:color w:val="auto"/>
        </w:rPr>
        <w:tab/>
      </w:r>
      <w:r>
        <w:rPr>
          <w:rFonts w:ascii="Arial" w:cs="Arial" w:eastAsia="Arial" w:hAnsi="Arial"/>
          <w:sz w:val="18"/>
          <w:szCs w:val="18"/>
          <w:color w:val="auto"/>
        </w:rPr>
        <w:t>• Oversees risks associated with our compensation policies and practices with respect to our executive</w:t>
      </w:r>
    </w:p>
    <w:p>
      <w:pPr>
        <w:spacing w:after="0" w:line="22" w:lineRule="exact"/>
        <w:rPr>
          <w:sz w:val="20"/>
          <w:szCs w:val="20"/>
          <w:color w:val="auto"/>
        </w:rPr>
      </w:pPr>
    </w:p>
    <w:p>
      <w:pPr>
        <w:ind w:left="420"/>
        <w:spacing w:after="0"/>
        <w:tabs>
          <w:tab w:leader="none" w:pos="2000" w:val="left"/>
        </w:tabs>
        <w:rPr>
          <w:sz w:val="20"/>
          <w:szCs w:val="20"/>
          <w:color w:val="auto"/>
        </w:rPr>
      </w:pPr>
      <w:r>
        <w:rPr>
          <w:rFonts w:ascii="Arial" w:cs="Arial" w:eastAsia="Arial" w:hAnsi="Arial"/>
          <w:sz w:val="18"/>
          <w:szCs w:val="18"/>
          <w:b w:val="1"/>
          <w:bCs w:val="1"/>
          <w:i w:val="1"/>
          <w:iCs w:val="1"/>
          <w:color w:val="0A33A5"/>
        </w:rPr>
        <w:t>Committee</w:t>
      </w:r>
      <w:r>
        <w:rPr>
          <w:sz w:val="20"/>
          <w:szCs w:val="20"/>
          <w:color w:val="auto"/>
        </w:rPr>
        <w:tab/>
      </w:r>
      <w:r>
        <w:rPr>
          <w:rFonts w:ascii="Arial" w:cs="Arial" w:eastAsia="Arial" w:hAnsi="Arial"/>
          <w:sz w:val="18"/>
          <w:szCs w:val="18"/>
          <w:color w:val="auto"/>
        </w:rPr>
        <w:t>compensation program.</w:t>
      </w:r>
    </w:p>
    <w:p>
      <w:pPr>
        <w:spacing w:after="0" w:line="63" w:lineRule="exact"/>
        <w:rPr>
          <w:sz w:val="20"/>
          <w:szCs w:val="20"/>
          <w:color w:val="auto"/>
        </w:rPr>
      </w:pPr>
    </w:p>
    <w:p>
      <w:pPr>
        <w:ind w:left="2020" w:right="140" w:hanging="172"/>
        <w:spacing w:after="0" w:line="274" w:lineRule="auto"/>
        <w:tabs>
          <w:tab w:leader="none" w:pos="19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Oversees risks associated with compensation and benefit plans and policies generally, including with respect to recruitment, development, promotion, retention and compensation of our senior executives and other employees.</w:t>
      </w:r>
    </w:p>
    <w:p>
      <w:pPr>
        <w:spacing w:after="0" w:line="26" w:lineRule="exact"/>
        <w:rPr>
          <w:rFonts w:ascii="Arial" w:cs="Arial" w:eastAsia="Arial" w:hAnsi="Arial"/>
          <w:sz w:val="17"/>
          <w:szCs w:val="17"/>
          <w:color w:val="auto"/>
        </w:rPr>
      </w:pPr>
    </w:p>
    <w:p>
      <w:pPr>
        <w:ind w:left="1960" w:hanging="11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succession planning for senior management.</w:t>
      </w:r>
    </w:p>
    <w:p>
      <w:pPr>
        <w:spacing w:after="0" w:line="63" w:lineRule="exact"/>
        <w:rPr>
          <w:rFonts w:ascii="Arial" w:cs="Arial" w:eastAsia="Arial" w:hAnsi="Arial"/>
          <w:sz w:val="18"/>
          <w:szCs w:val="18"/>
          <w:color w:val="auto"/>
        </w:rPr>
      </w:pPr>
    </w:p>
    <w:p>
      <w:pPr>
        <w:ind w:left="1960" w:hanging="112"/>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its discussions to the full Board for consideration and action when appropriate.</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80" w:type="dxa"/>
            <w:vAlign w:val="bottom"/>
            <w:tcBorders>
              <w:top w:val="single" w:sz="8" w:color="auto"/>
            </w:tcBorders>
          </w:tcPr>
          <w:p>
            <w:pPr>
              <w:ind w:left="260"/>
              <w:spacing w:after="0" w:line="193" w:lineRule="exact"/>
              <w:rPr>
                <w:sz w:val="20"/>
                <w:szCs w:val="20"/>
                <w:color w:val="auto"/>
              </w:rPr>
            </w:pPr>
            <w:r>
              <w:rPr>
                <w:rFonts w:ascii="Arial" w:cs="Arial" w:eastAsia="Arial" w:hAnsi="Arial"/>
                <w:sz w:val="18"/>
                <w:szCs w:val="18"/>
                <w:b w:val="1"/>
                <w:bCs w:val="1"/>
                <w:i w:val="1"/>
                <w:iCs w:val="1"/>
                <w:color w:val="0A33A5"/>
              </w:rPr>
              <w:t>Governance</w:t>
            </w:r>
          </w:p>
        </w:tc>
        <w:tc>
          <w:tcPr>
            <w:tcW w:w="9440" w:type="dxa"/>
            <w:vAlign w:val="bottom"/>
            <w:tcBorders>
              <w:top w:val="single" w:sz="8" w:color="auto"/>
            </w:tcBorders>
          </w:tcPr>
          <w:p>
            <w:pPr>
              <w:ind w:left="140"/>
              <w:spacing w:after="0" w:line="193" w:lineRule="exact"/>
              <w:rPr>
                <w:sz w:val="20"/>
                <w:szCs w:val="20"/>
                <w:color w:val="auto"/>
              </w:rPr>
            </w:pPr>
            <w:r>
              <w:rPr>
                <w:rFonts w:ascii="Arial" w:cs="Arial" w:eastAsia="Arial" w:hAnsi="Arial"/>
                <w:sz w:val="18"/>
                <w:szCs w:val="18"/>
                <w:color w:val="auto"/>
              </w:rPr>
              <w:t>• Provides general oversight of corporate governance responsibilities, activities and functions.</w:t>
            </w:r>
          </w:p>
        </w:tc>
        <w:tc>
          <w:tcPr>
            <w:tcW w:w="0" w:type="dxa"/>
            <w:vAlign w:val="bottom"/>
          </w:tcPr>
          <w:p>
            <w:pPr>
              <w:spacing w:after="0"/>
              <w:rPr>
                <w:sz w:val="1"/>
                <w:szCs w:val="1"/>
                <w:color w:val="auto"/>
              </w:rPr>
            </w:pPr>
          </w:p>
        </w:tc>
      </w:tr>
      <w:tr>
        <w:trPr>
          <w:trHeight w:val="203"/>
        </w:trPr>
        <w:tc>
          <w:tcPr>
            <w:tcW w:w="1580" w:type="dxa"/>
            <w:vAlign w:val="bottom"/>
          </w:tcPr>
          <w:p>
            <w:pPr>
              <w:ind w:left="260"/>
              <w:spacing w:after="0" w:line="202" w:lineRule="exact"/>
              <w:rPr>
                <w:sz w:val="20"/>
                <w:szCs w:val="20"/>
                <w:color w:val="auto"/>
              </w:rPr>
            </w:pPr>
            <w:r>
              <w:rPr>
                <w:rFonts w:ascii="Arial" w:cs="Arial" w:eastAsia="Arial" w:hAnsi="Arial"/>
                <w:sz w:val="18"/>
                <w:szCs w:val="18"/>
                <w:b w:val="1"/>
                <w:bCs w:val="1"/>
                <w:i w:val="1"/>
                <w:iCs w:val="1"/>
                <w:color w:val="0A33A5"/>
              </w:rPr>
              <w:t>and Directors</w:t>
            </w:r>
          </w:p>
        </w:tc>
        <w:tc>
          <w:tcPr>
            <w:tcW w:w="9440" w:type="dxa"/>
            <w:vAlign w:val="bottom"/>
            <w:vMerge w:val="restart"/>
          </w:tcPr>
          <w:p>
            <w:pPr>
              <w:ind w:left="140"/>
              <w:spacing w:after="0"/>
              <w:rPr>
                <w:sz w:val="20"/>
                <w:szCs w:val="20"/>
                <w:color w:val="auto"/>
              </w:rPr>
            </w:pPr>
            <w:r>
              <w:rPr>
                <w:rFonts w:ascii="Arial" w:cs="Arial" w:eastAsia="Arial" w:hAnsi="Arial"/>
                <w:sz w:val="18"/>
                <w:szCs w:val="18"/>
                <w:color w:val="auto"/>
              </w:rPr>
              <w:t>• Monitors effectiveness of our compliance program.</w:t>
            </w:r>
          </w:p>
        </w:tc>
        <w:tc>
          <w:tcPr>
            <w:tcW w:w="0" w:type="dxa"/>
            <w:vAlign w:val="bottom"/>
          </w:tcPr>
          <w:p>
            <w:pPr>
              <w:spacing w:after="0"/>
              <w:rPr>
                <w:sz w:val="1"/>
                <w:szCs w:val="1"/>
                <w:color w:val="auto"/>
              </w:rPr>
            </w:pPr>
          </w:p>
        </w:tc>
      </w:tr>
      <w:tr>
        <w:trPr>
          <w:trHeight w:val="104"/>
        </w:trPr>
        <w:tc>
          <w:tcPr>
            <w:tcW w:w="1580" w:type="dxa"/>
            <w:vAlign w:val="bottom"/>
            <w:vMerge w:val="restart"/>
          </w:tcPr>
          <w:p>
            <w:pPr>
              <w:ind w:left="260"/>
              <w:spacing w:after="0" w:line="202" w:lineRule="exact"/>
              <w:rPr>
                <w:sz w:val="20"/>
                <w:szCs w:val="20"/>
                <w:color w:val="auto"/>
              </w:rPr>
            </w:pPr>
            <w:r>
              <w:rPr>
                <w:rFonts w:ascii="Arial" w:cs="Arial" w:eastAsia="Arial" w:hAnsi="Arial"/>
                <w:sz w:val="18"/>
                <w:szCs w:val="18"/>
                <w:b w:val="1"/>
                <w:bCs w:val="1"/>
                <w:i w:val="1"/>
                <w:iCs w:val="1"/>
                <w:color w:val="0A33A5"/>
              </w:rPr>
              <w:t>Nominating</w:t>
            </w: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80" w:type="dxa"/>
            <w:vAlign w:val="bottom"/>
            <w:vMerge w:val="continue"/>
          </w:tcPr>
          <w:p>
            <w:pPr>
              <w:spacing w:after="0"/>
              <w:rPr>
                <w:sz w:val="8"/>
                <w:szCs w:val="8"/>
                <w:color w:val="auto"/>
              </w:rPr>
            </w:pPr>
          </w:p>
        </w:tc>
        <w:tc>
          <w:tcPr>
            <w:tcW w:w="9440" w:type="dxa"/>
            <w:vAlign w:val="bottom"/>
            <w:vMerge w:val="restart"/>
          </w:tcPr>
          <w:p>
            <w:pPr>
              <w:ind w:left="140"/>
              <w:spacing w:after="0"/>
              <w:rPr>
                <w:sz w:val="20"/>
                <w:szCs w:val="20"/>
                <w:color w:val="auto"/>
              </w:rPr>
            </w:pPr>
            <w:r>
              <w:rPr>
                <w:rFonts w:ascii="Arial" w:cs="Arial" w:eastAsia="Arial" w:hAnsi="Arial"/>
                <w:sz w:val="18"/>
                <w:szCs w:val="18"/>
                <w:color w:val="auto"/>
              </w:rPr>
              <w:t>• Reviews and assesses our business resiliency programs.</w:t>
            </w:r>
          </w:p>
        </w:tc>
        <w:tc>
          <w:tcPr>
            <w:tcW w:w="0" w:type="dxa"/>
            <w:vAlign w:val="bottom"/>
          </w:tcPr>
          <w:p>
            <w:pPr>
              <w:spacing w:after="0"/>
              <w:rPr>
                <w:sz w:val="1"/>
                <w:szCs w:val="1"/>
                <w:color w:val="auto"/>
              </w:rPr>
            </w:pPr>
          </w:p>
        </w:tc>
      </w:tr>
      <w:tr>
        <w:trPr>
          <w:trHeight w:val="225"/>
        </w:trPr>
        <w:tc>
          <w:tcPr>
            <w:tcW w:w="1580" w:type="dxa"/>
            <w:vAlign w:val="bottom"/>
          </w:tcPr>
          <w:p>
            <w:pPr>
              <w:ind w:left="260"/>
              <w:spacing w:after="0"/>
              <w:rPr>
                <w:sz w:val="20"/>
                <w:szCs w:val="20"/>
                <w:color w:val="auto"/>
              </w:rPr>
            </w:pPr>
            <w:r>
              <w:rPr>
                <w:rFonts w:ascii="Arial" w:cs="Arial" w:eastAsia="Arial" w:hAnsi="Arial"/>
                <w:sz w:val="18"/>
                <w:szCs w:val="18"/>
                <w:b w:val="1"/>
                <w:bCs w:val="1"/>
                <w:i w:val="1"/>
                <w:iCs w:val="1"/>
                <w:color w:val="0A33A5"/>
              </w:rPr>
              <w:t>Committee</w:t>
            </w:r>
          </w:p>
        </w:tc>
        <w:tc>
          <w:tcPr>
            <w:tcW w:w="9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9440" w:type="dxa"/>
            <w:vAlign w:val="bottom"/>
          </w:tcPr>
          <w:p>
            <w:pPr>
              <w:ind w:left="140"/>
              <w:spacing w:after="0"/>
              <w:rPr>
                <w:sz w:val="20"/>
                <w:szCs w:val="20"/>
                <w:color w:val="auto"/>
              </w:rPr>
            </w:pPr>
            <w:r>
              <w:rPr>
                <w:rFonts w:ascii="Arial" w:cs="Arial" w:eastAsia="Arial" w:hAnsi="Arial"/>
                <w:sz w:val="18"/>
                <w:szCs w:val="18"/>
                <w:color w:val="auto"/>
              </w:rPr>
              <w:t>• Periodically reviews our Statement on Political and Trade Association Activity.</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9440" w:type="dxa"/>
            <w:vAlign w:val="bottom"/>
          </w:tcPr>
          <w:p>
            <w:pPr>
              <w:ind w:left="140"/>
              <w:spacing w:after="0"/>
              <w:rPr>
                <w:sz w:val="20"/>
                <w:szCs w:val="20"/>
                <w:color w:val="auto"/>
              </w:rPr>
            </w:pPr>
            <w:r>
              <w:rPr>
                <w:rFonts w:ascii="Arial" w:cs="Arial" w:eastAsia="Arial" w:hAnsi="Arial"/>
                <w:sz w:val="18"/>
                <w:szCs w:val="18"/>
                <w:color w:val="auto"/>
              </w:rPr>
              <w:t>• Periodically reviews and assesses our corporate social responsibility report.</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9440" w:type="dxa"/>
            <w:vAlign w:val="bottom"/>
          </w:tcPr>
          <w:p>
            <w:pPr>
              <w:ind w:left="140"/>
              <w:spacing w:after="0"/>
              <w:rPr>
                <w:sz w:val="20"/>
                <w:szCs w:val="20"/>
                <w:color w:val="auto"/>
              </w:rPr>
            </w:pPr>
            <w:r>
              <w:rPr>
                <w:rFonts w:ascii="Arial" w:cs="Arial" w:eastAsia="Arial" w:hAnsi="Arial"/>
                <w:sz w:val="18"/>
                <w:szCs w:val="18"/>
                <w:color w:val="auto"/>
              </w:rPr>
              <w:t>• Reports its discussions to the full Board for consideration and action when appropriate.</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A33A5"/>
        </w:rPr>
        <w:t>Regular business presentations throughout the year highlight significant relevant risks and exposures.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Succession Planning and Talent Management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Assuring that we have the appropriate senior management talent to successfully pursue our strategies is one of the Board’s primary responsibilities. To this end, at least once a year, the Board discusses succession planning for our CEO and the remainder of our senior executive management team. To help fulfill the Board’s responsibility, our Compensation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61" w:lineRule="auto"/>
        <w:rPr>
          <w:sz w:val="20"/>
          <w:szCs w:val="20"/>
          <w:color w:val="auto"/>
        </w:rPr>
      </w:pPr>
      <w:r>
        <w:rPr>
          <w:rFonts w:ascii="Arial" w:cs="Arial" w:eastAsia="Arial" w:hAnsi="Arial"/>
          <w:sz w:val="17"/>
          <w:szCs w:val="17"/>
          <w:color w:val="auto"/>
        </w:rPr>
        <w:t>candidates. Our corporate governance guidelines also require that our Compensation Committee ensure that we have appropriate succession planning for the remainder of our senior executive management team, including our NEOs. Each year, our Board and Compensation Committee discuss succession planning for our senior executive management team and their respective direct reports.</w:t>
      </w:r>
    </w:p>
    <w:p>
      <w:pPr>
        <w:spacing w:after="0" w:line="7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2020 marks a year of transition and change for our senior leadership team with the transition of responsibilities of Mr. Cohen and the retirement of Mr. Burke. While Messrs. Burke and Cohen have been instrumental in shaping and guiding our company for many years, we are excited about our next generation of leaders who will continue to help us navigate evolving consumer, technological and regulatory trends and address competitive challenges. Our succession planning has facilitated a seamless transition process to date, including with respect to our senior management team’s leadership and response to the COVID-19 pandemic.</w:t>
      </w:r>
    </w:p>
    <w:p>
      <w:pPr>
        <w:spacing w:after="0" w:line="94"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Recruiting, developing, promoting and retaining top talent is a key priority for our company. Throughout the year, our executive management team, as well as a broader array of executives throughout our businesses, make presentations to the Board and its committees and also interact with our directors during Board dinners before our five regularly scheduled Board meetings. This engagement between directors and our current and future leaders gives our directors meaningful insight into our current pool of talent, what attracts and retains our executives, and our company culture.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Board and Committee Evaluations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responses based on numerical ratings and also seeks qualitative comments on each question and any other general comments. The Governance and Directors Nominating Committee reviews and approves the process and the questionnaires to be used, with outside counsel also reviewing the questionnaires. The results of the assessments are compiled anonymously, with the average numerical response and any qualitative responses to each question, as well as a general summary of the results, being reviewed and discussed at the Board and the Governance and Directors Nominating Committee (as it relates to both the Board and all committees), each committee (as it relates to such committee) and, as appropriate, with any individual director. The Governance and Directors Nominating Committee develops action plans for items that may require follow up.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Compensation Consultant</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Compensation Committee retained Korn Ferry as its independent compensation consultant for 2019. 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Korn Ferry to determine and approve the parameters used to conduct the assessment work, including items such as the composition of peer groups, the relevant market statistical reference points within the data (e.g., median) and the elements of compensation. Korn Ferry did not determin</w:t>
      </w:r>
      <w:r>
        <w:rPr>
          <w:rFonts w:ascii="Arial" w:cs="Arial" w:eastAsia="Arial" w:hAnsi="Arial"/>
          <w:sz w:val="18"/>
          <w:szCs w:val="18"/>
          <w:color w:val="auto"/>
          <w:strike w:val="1"/>
        </w:rPr>
        <w:t>e</w:t>
      </w:r>
      <w:r>
        <w:rPr>
          <w:rFonts w:ascii="Arial" w:cs="Arial" w:eastAsia="Arial" w:hAnsi="Arial"/>
          <w:sz w:val="18"/>
          <w:szCs w:val="18"/>
          <w:color w:val="auto"/>
        </w:rPr>
        <w:t xml:space="preserve"> or recommend the form or amount of compensation of our NEOs for 2019.</w:t>
      </w:r>
    </w:p>
    <w:p>
      <w:pPr>
        <w:spacing w:after="0" w:line="100"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In 2019, we paid Korn Ferry approximately $536,000 for services related to executive and director compensation and paid Korn Ferry approximately $1,146,000 for leadership and talent consulting and executive search services.</w:t>
      </w:r>
    </w:p>
    <w:p>
      <w:pPr>
        <w:spacing w:after="0" w:line="89" w:lineRule="exact"/>
        <w:rPr>
          <w:sz w:val="20"/>
          <w:szCs w:val="20"/>
          <w:color w:val="auto"/>
        </w:rPr>
      </w:pPr>
    </w:p>
    <w:p>
      <w:pPr>
        <w:ind w:left="120" w:right="280"/>
        <w:spacing w:after="0" w:line="253" w:lineRule="auto"/>
        <w:rPr>
          <w:sz w:val="20"/>
          <w:szCs w:val="20"/>
          <w:color w:val="auto"/>
        </w:rPr>
      </w:pPr>
      <w:r>
        <w:rPr>
          <w:rFonts w:ascii="Arial" w:cs="Arial" w:eastAsia="Arial" w:hAnsi="Arial"/>
          <w:sz w:val="17"/>
          <w:szCs w:val="17"/>
          <w:color w:val="auto"/>
        </w:rPr>
        <w:t>Our Compensation Committee has determined that Korn Ferry’s work for us does not raise any conflicts of interest. Our Compensation Committee reached this determination by reviewing the fees paid to Korn Ferry and evaluating its work under applicable SEC and NASDAQ Global Select Market rules on conflicts of interest. This evaluation included considering all of the services provided to us, the amount of fees received as a percentage of Korn Ferry’s annual revenue, its policies and procedures designed to prevent conflicts of interest, any business or personal relationships between Korn Ferry and the members of our Compensation Committee or executive officers and any ownership of our stock by Korn Ferry’s team that provided our executive and director compensation services.</w:t>
      </w:r>
    </w:p>
    <w:p>
      <w:pPr>
        <w:spacing w:after="0" w:line="87" w:lineRule="exact"/>
        <w:rPr>
          <w:sz w:val="20"/>
          <w:szCs w:val="20"/>
          <w:color w:val="auto"/>
        </w:rPr>
      </w:pPr>
    </w:p>
    <w:p>
      <w:pPr>
        <w:ind w:left="120" w:right="960"/>
        <w:spacing w:after="0" w:line="246" w:lineRule="auto"/>
        <w:rPr>
          <w:sz w:val="20"/>
          <w:szCs w:val="20"/>
          <w:color w:val="auto"/>
        </w:rPr>
      </w:pPr>
      <w:r>
        <w:rPr>
          <w:rFonts w:ascii="Arial" w:cs="Arial" w:eastAsia="Arial" w:hAnsi="Arial"/>
          <w:sz w:val="18"/>
          <w:szCs w:val="18"/>
          <w:color w:val="auto"/>
        </w:rPr>
        <w:t>As part of their job responsibilities, certain of our executive officers participate both in gathering and presenting facts related to compensation and benefits matters as requested by the Compensation Committee and in formulating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Director Stock Ownership Policy</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does not include any stock held in margin accounts or pledged as collateral for a loan. In addition, “ownership” includes 60% of any deferred shares.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All nonemployee directors satisfied the requirements of our stock ownership policy in 2019.</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Retirement Age/ Director Tenure/ Director Emeritus Program</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corporate governance guidelines require that our nonemployee directors who are also 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 If all of our director nominees are elected at the annual meeting, the average tenure of our independent directors will be 7 years.</w:t>
      </w:r>
    </w:p>
    <w:p>
      <w:pPr>
        <w:spacing w:after="0" w:line="95"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Following our 2020 annual meeting of shareholders, Mr. Bonovitz will become a director emeritus for a period of one year.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Corporate Governance Guidelines and Code of Conduct</w:t>
      </w:r>
    </w:p>
    <w:p>
      <w:pPr>
        <w:spacing w:after="0" w:line="126"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 xml:space="preserve">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 We will disclose under “Corporate Governance” in the Investors section of our website any amendments to, or any waivers under, the code of conduct that are required to be disclosed by the rules of the SEC.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Director Nominations</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Governance and Directors Nominating Committee will consider director candidates nominated by shareholders and will evaluate any such candidates in a similar manner as any other candidates. To submit a nomination, shareholders must provide a written notice in accordance with the requirements in our by-laws within the following time periods. For the election of directors at the 2021 annual meeting of shareholders, if such meeting is called for a date between May 4, 2021 and July 3, 2021, we must receive written notice at the address given on page 3 on or after February 3, 2021 and on or before March 5, 2021. If such meeting is called for any other date, we must receive written notice by the close of business on the tenth day following the day we mailed notice of, or announced publicly, the date of the meeting, whichever occurs first.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addition,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Notice of proxy access director nominees for the election of directors at the 2021 annual meeting of shareholders, if such meeting is called for a date between May 4, 2021 and July 3, 2021, must be received on or after November 25, 2020 and on or before December 25, 2020. If such meeting is called for any other date, we must receive written notice by the later of the close of business on the date that is 180 days prior to such meeting or the tenth day following the date the meeting is first publicly announced or disclosed.</w:t>
      </w:r>
    </w:p>
    <w:p>
      <w:pPr>
        <w:spacing w:after="0" w:line="95"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 xml:space="preserve">Shareholders can obtain a copy of our by-laws by writing to Thomas J. Reid, Secretary, Comcast Corporation, at the address given on page 3. A copy of our by-laws also has been filed with the SEC as an exhibit to our Annual Report on Form 10-K for the year ended December 31, 2019 and is posted on our website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COMMITTEES OF OUR BOARD</w:t>
      </w:r>
    </w:p>
    <w:p>
      <w:pPr>
        <w:spacing w:after="0" w:line="126"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current membership and meeting information for each of these committees.</w:t>
      </w:r>
      <w:r>
        <w:rPr>
          <w:rFonts w:ascii="Arial" w:cs="Arial" w:eastAsia="Arial" w:hAnsi="Arial"/>
          <w:sz w:val="15"/>
          <w:szCs w:val="15"/>
          <w:color w:val="auto"/>
        </w:rPr>
        <w:t>1</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040" w:type="dxa"/>
            <w:vAlign w:val="bottom"/>
            <w:tcBorders>
              <w:top w:val="single" w:sz="8" w:color="auto"/>
            </w:tcBorders>
            <w:shd w:val="clear" w:color="auto" w:fill="DDF2F9"/>
          </w:tcPr>
          <w:p>
            <w:pPr>
              <w:spacing w:after="0"/>
              <w:rPr>
                <w:sz w:val="16"/>
                <w:szCs w:val="16"/>
                <w:color w:val="auto"/>
              </w:rPr>
            </w:pPr>
          </w:p>
        </w:tc>
        <w:tc>
          <w:tcPr>
            <w:tcW w:w="2320" w:type="dxa"/>
            <w:vAlign w:val="bottom"/>
            <w:tcBorders>
              <w:top w:val="single" w:sz="8" w:color="auto"/>
            </w:tcBorders>
            <w:shd w:val="clear" w:color="auto" w:fill="DDF2F9"/>
          </w:tcPr>
          <w:p>
            <w:pPr>
              <w:spacing w:after="0"/>
              <w:rPr>
                <w:sz w:val="16"/>
                <w:szCs w:val="16"/>
                <w:color w:val="auto"/>
              </w:rPr>
            </w:pPr>
          </w:p>
        </w:tc>
        <w:tc>
          <w:tcPr>
            <w:tcW w:w="1820" w:type="dxa"/>
            <w:vAlign w:val="bottom"/>
            <w:tcBorders>
              <w:top w:val="single" w:sz="8" w:color="auto"/>
            </w:tcBorders>
            <w:shd w:val="clear" w:color="auto" w:fill="DDF2F9"/>
          </w:tcPr>
          <w:p>
            <w:pPr>
              <w:spacing w:after="0"/>
              <w:rPr>
                <w:sz w:val="16"/>
                <w:szCs w:val="16"/>
                <w:color w:val="auto"/>
              </w:rPr>
            </w:pPr>
          </w:p>
        </w:tc>
        <w:tc>
          <w:tcPr>
            <w:tcW w:w="1400" w:type="dxa"/>
            <w:vAlign w:val="bottom"/>
            <w:tcBorders>
              <w:top w:val="single" w:sz="8" w:color="auto"/>
            </w:tcBorders>
            <w:shd w:val="clear" w:color="auto" w:fill="DDF2F9"/>
          </w:tcPr>
          <w:p>
            <w:pPr>
              <w:spacing w:after="0"/>
              <w:rPr>
                <w:sz w:val="16"/>
                <w:szCs w:val="16"/>
                <w:color w:val="auto"/>
              </w:rPr>
            </w:pPr>
          </w:p>
        </w:tc>
        <w:tc>
          <w:tcPr>
            <w:tcW w:w="1440" w:type="dxa"/>
            <w:vAlign w:val="bottom"/>
            <w:tcBorders>
              <w:top w:val="single" w:sz="8" w:color="auto"/>
            </w:tcBorders>
            <w:shd w:val="clear" w:color="auto" w:fill="DDF2F9"/>
          </w:tcPr>
          <w:p>
            <w:pPr>
              <w:jc w:val="center"/>
              <w:spacing w:after="0" w:line="193" w:lineRule="exact"/>
              <w:rPr>
                <w:sz w:val="20"/>
                <w:szCs w:val="20"/>
                <w:color w:val="auto"/>
              </w:rPr>
            </w:pPr>
            <w:r>
              <w:rPr>
                <w:rFonts w:ascii="Arial" w:cs="Arial" w:eastAsia="Arial" w:hAnsi="Arial"/>
                <w:sz w:val="18"/>
                <w:szCs w:val="18"/>
                <w:b w:val="1"/>
                <w:bCs w:val="1"/>
                <w:color w:val="0A33A5"/>
                <w:w w:val="99"/>
              </w:rPr>
              <w:t>Governance</w:t>
            </w:r>
          </w:p>
        </w:tc>
        <w:tc>
          <w:tcPr>
            <w:tcW w:w="0" w:type="dxa"/>
            <w:vAlign w:val="bottom"/>
          </w:tcPr>
          <w:p>
            <w:pPr>
              <w:spacing w:after="0"/>
              <w:rPr>
                <w:sz w:val="1"/>
                <w:szCs w:val="1"/>
                <w:color w:val="auto"/>
              </w:rPr>
            </w:pPr>
          </w:p>
        </w:tc>
      </w:tr>
      <w:tr>
        <w:trPr>
          <w:trHeight w:val="203"/>
        </w:trPr>
        <w:tc>
          <w:tcPr>
            <w:tcW w:w="4040" w:type="dxa"/>
            <w:vAlign w:val="bottom"/>
            <w:shd w:val="clear" w:color="auto" w:fill="DDF2F9"/>
          </w:tcPr>
          <w:p>
            <w:pPr>
              <w:spacing w:after="0"/>
              <w:rPr>
                <w:sz w:val="17"/>
                <w:szCs w:val="17"/>
                <w:color w:val="auto"/>
              </w:rPr>
            </w:pPr>
          </w:p>
        </w:tc>
        <w:tc>
          <w:tcPr>
            <w:tcW w:w="2320" w:type="dxa"/>
            <w:vAlign w:val="bottom"/>
            <w:shd w:val="clear" w:color="auto" w:fill="DDF2F9"/>
          </w:tcPr>
          <w:p>
            <w:pPr>
              <w:spacing w:after="0"/>
              <w:rPr>
                <w:sz w:val="17"/>
                <w:szCs w:val="17"/>
                <w:color w:val="auto"/>
              </w:rPr>
            </w:pPr>
          </w:p>
        </w:tc>
        <w:tc>
          <w:tcPr>
            <w:tcW w:w="1820" w:type="dxa"/>
            <w:vAlign w:val="bottom"/>
            <w:shd w:val="clear" w:color="auto" w:fill="DDF2F9"/>
          </w:tcPr>
          <w:p>
            <w:pPr>
              <w:spacing w:after="0"/>
              <w:rPr>
                <w:sz w:val="17"/>
                <w:szCs w:val="17"/>
                <w:color w:val="auto"/>
              </w:rPr>
            </w:pPr>
          </w:p>
        </w:tc>
        <w:tc>
          <w:tcPr>
            <w:tcW w:w="1400" w:type="dxa"/>
            <w:vAlign w:val="bottom"/>
            <w:shd w:val="clear" w:color="auto" w:fill="DDF2F9"/>
          </w:tcPr>
          <w:p>
            <w:pPr>
              <w:spacing w:after="0"/>
              <w:rPr>
                <w:sz w:val="17"/>
                <w:szCs w:val="17"/>
                <w:color w:val="auto"/>
              </w:rPr>
            </w:pPr>
          </w:p>
        </w:tc>
        <w:tc>
          <w:tcPr>
            <w:tcW w:w="144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and Directors</w:t>
            </w:r>
          </w:p>
        </w:tc>
        <w:tc>
          <w:tcPr>
            <w:tcW w:w="0" w:type="dxa"/>
            <w:vAlign w:val="bottom"/>
          </w:tcPr>
          <w:p>
            <w:pPr>
              <w:spacing w:after="0"/>
              <w:rPr>
                <w:sz w:val="1"/>
                <w:szCs w:val="1"/>
                <w:color w:val="auto"/>
              </w:rPr>
            </w:pPr>
          </w:p>
        </w:tc>
      </w:tr>
      <w:tr>
        <w:trPr>
          <w:trHeight w:val="203"/>
        </w:trPr>
        <w:tc>
          <w:tcPr>
            <w:tcW w:w="4040" w:type="dxa"/>
            <w:vAlign w:val="bottom"/>
            <w:shd w:val="clear" w:color="auto" w:fill="DDF2F9"/>
          </w:tcPr>
          <w:p>
            <w:pPr>
              <w:spacing w:after="0"/>
              <w:rPr>
                <w:sz w:val="17"/>
                <w:szCs w:val="17"/>
                <w:color w:val="auto"/>
              </w:rPr>
            </w:pPr>
          </w:p>
        </w:tc>
        <w:tc>
          <w:tcPr>
            <w:tcW w:w="2320" w:type="dxa"/>
            <w:vAlign w:val="bottom"/>
            <w:shd w:val="clear" w:color="auto" w:fill="DDF2F9"/>
          </w:tcPr>
          <w:p>
            <w:pPr>
              <w:jc w:val="center"/>
              <w:ind w:left="730"/>
              <w:spacing w:after="0" w:line="202" w:lineRule="exact"/>
              <w:rPr>
                <w:sz w:val="20"/>
                <w:szCs w:val="20"/>
                <w:color w:val="auto"/>
              </w:rPr>
            </w:pPr>
            <w:r>
              <w:rPr>
                <w:rFonts w:ascii="Arial" w:cs="Arial" w:eastAsia="Arial" w:hAnsi="Arial"/>
                <w:sz w:val="18"/>
                <w:szCs w:val="18"/>
                <w:b w:val="1"/>
                <w:bCs w:val="1"/>
                <w:color w:val="0A33A5"/>
                <w:w w:val="99"/>
              </w:rPr>
              <w:t>Audit</w:t>
            </w:r>
          </w:p>
        </w:tc>
        <w:tc>
          <w:tcPr>
            <w:tcW w:w="182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Compensation</w:t>
            </w:r>
          </w:p>
        </w:tc>
        <w:tc>
          <w:tcPr>
            <w:tcW w:w="1400" w:type="dxa"/>
            <w:vAlign w:val="bottom"/>
            <w:shd w:val="clear" w:color="auto" w:fill="DDF2F9"/>
          </w:tcPr>
          <w:p>
            <w:pPr>
              <w:jc w:val="center"/>
              <w:ind w:left="30"/>
              <w:spacing w:after="0" w:line="202" w:lineRule="exact"/>
              <w:rPr>
                <w:sz w:val="20"/>
                <w:szCs w:val="20"/>
                <w:color w:val="auto"/>
              </w:rPr>
            </w:pPr>
            <w:r>
              <w:rPr>
                <w:rFonts w:ascii="Arial" w:cs="Arial" w:eastAsia="Arial" w:hAnsi="Arial"/>
                <w:sz w:val="18"/>
                <w:szCs w:val="18"/>
                <w:b w:val="1"/>
                <w:bCs w:val="1"/>
                <w:color w:val="0A33A5"/>
                <w:w w:val="99"/>
              </w:rPr>
              <w:t>Finance</w:t>
            </w:r>
          </w:p>
        </w:tc>
        <w:tc>
          <w:tcPr>
            <w:tcW w:w="144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8"/>
              </w:rPr>
              <w:t>Nominating</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auto"/>
            </w:tcBorders>
            <w:shd w:val="clear" w:color="auto" w:fill="DDF2F9"/>
          </w:tcPr>
          <w:p>
            <w:pPr>
              <w:spacing w:after="0"/>
              <w:rPr>
                <w:sz w:val="20"/>
                <w:szCs w:val="20"/>
                <w:color w:val="auto"/>
              </w:rPr>
            </w:pPr>
          </w:p>
        </w:tc>
        <w:tc>
          <w:tcPr>
            <w:tcW w:w="2320" w:type="dxa"/>
            <w:vAlign w:val="bottom"/>
            <w:tcBorders>
              <w:bottom w:val="single" w:sz="8" w:color="auto"/>
            </w:tcBorders>
            <w:shd w:val="clear" w:color="auto" w:fill="DDF2F9"/>
          </w:tcPr>
          <w:p>
            <w:pPr>
              <w:jc w:val="center"/>
              <w:ind w:left="750"/>
              <w:spacing w:after="0"/>
              <w:rPr>
                <w:sz w:val="20"/>
                <w:szCs w:val="20"/>
                <w:color w:val="auto"/>
              </w:rPr>
            </w:pPr>
            <w:r>
              <w:rPr>
                <w:rFonts w:ascii="Arial" w:cs="Arial" w:eastAsia="Arial" w:hAnsi="Arial"/>
                <w:sz w:val="18"/>
                <w:szCs w:val="18"/>
                <w:b w:val="1"/>
                <w:bCs w:val="1"/>
                <w:color w:val="0A33A5"/>
                <w:w w:val="98"/>
              </w:rPr>
              <w:t>Committee</w:t>
            </w:r>
          </w:p>
        </w:tc>
        <w:tc>
          <w:tcPr>
            <w:tcW w:w="18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8"/>
              </w:rPr>
              <w:t>Committee</w:t>
            </w:r>
          </w:p>
        </w:tc>
        <w:tc>
          <w:tcPr>
            <w:tcW w:w="1400" w:type="dxa"/>
            <w:vAlign w:val="bottom"/>
            <w:tcBorders>
              <w:bottom w:val="single" w:sz="8" w:color="auto"/>
            </w:tcBorders>
            <w:shd w:val="clear" w:color="auto" w:fill="DDF2F9"/>
          </w:tcPr>
          <w:p>
            <w:pPr>
              <w:jc w:val="center"/>
              <w:ind w:left="30"/>
              <w:spacing w:after="0"/>
              <w:rPr>
                <w:sz w:val="20"/>
                <w:szCs w:val="20"/>
                <w:color w:val="auto"/>
              </w:rPr>
            </w:pPr>
            <w:r>
              <w:rPr>
                <w:rFonts w:ascii="Arial" w:cs="Arial" w:eastAsia="Arial" w:hAnsi="Arial"/>
                <w:sz w:val="18"/>
                <w:szCs w:val="18"/>
                <w:b w:val="1"/>
                <w:bCs w:val="1"/>
                <w:color w:val="0A33A5"/>
                <w:w w:val="98"/>
              </w:rPr>
              <w:t>Committee</w:t>
            </w:r>
          </w:p>
        </w:tc>
        <w:tc>
          <w:tcPr>
            <w:tcW w:w="14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8"/>
                <w:szCs w:val="18"/>
                <w:b w:val="1"/>
                <w:bCs w:val="1"/>
                <w:color w:val="0A33A5"/>
              </w:rPr>
              <w:t>Committee</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J. Bacon</w:t>
            </w:r>
          </w:p>
        </w:tc>
        <w:tc>
          <w:tcPr>
            <w:tcW w:w="2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0A33A5"/>
              </w:rPr>
              <w:t>Chair</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Madeline S. Bell</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0A33A5"/>
                <w:w w:val="85"/>
              </w:rPr>
              <w:t>Ö</w:t>
            </w: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Sheldon M. Bonovitz</w:t>
            </w:r>
          </w:p>
        </w:tc>
        <w:tc>
          <w:tcPr>
            <w:tcW w:w="2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0A33A5"/>
              </w:rPr>
              <w:t>Ö</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D. Breen</w:t>
            </w:r>
          </w:p>
        </w:tc>
        <w:tc>
          <w:tcPr>
            <w:tcW w:w="2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0A33A5"/>
              </w:rPr>
              <w:t>Chair</w:t>
            </w: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Gerald L. Hassell</w:t>
            </w:r>
          </w:p>
        </w:tc>
        <w:tc>
          <w:tcPr>
            <w:tcW w:w="2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0A33A5"/>
                <w:w w:val="85"/>
              </w:rPr>
              <w:t>Ö</w:t>
            </w:r>
          </w:p>
        </w:tc>
        <w:tc>
          <w:tcPr>
            <w:tcW w:w="14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0A33A5"/>
              </w:rPr>
              <w:t>Chair</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Jeffrey A. Honickman</w:t>
            </w:r>
            <w:r>
              <w:rPr>
                <w:rFonts w:ascii="MS PGothic" w:cs="MS PGothic" w:eastAsia="MS PGothic" w:hAnsi="MS PGothic"/>
                <w:sz w:val="18"/>
                <w:szCs w:val="18"/>
                <w:color w:val="auto"/>
              </w:rPr>
              <w:t>❖</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0A33A5"/>
              </w:rPr>
              <w:t>Chair</w:t>
            </w: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Maritza G. Montiel</w:t>
            </w:r>
            <w:r>
              <w:rPr>
                <w:rFonts w:ascii="MS PGothic" w:cs="MS PGothic" w:eastAsia="MS PGothic" w:hAnsi="MS PGothic"/>
                <w:sz w:val="18"/>
                <w:szCs w:val="18"/>
                <w:color w:val="auto"/>
              </w:rPr>
              <w:t>❖</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0A33A5"/>
                <w:w w:val="85"/>
              </w:rPr>
              <w:t>Ö</w:t>
            </w: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Asuka Nakahara</w:t>
            </w:r>
          </w:p>
        </w:tc>
        <w:tc>
          <w:tcPr>
            <w:tcW w:w="23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0A33A5"/>
                <w:w w:val="85"/>
              </w:rPr>
              <w:t>Ö</w:t>
            </w:r>
          </w:p>
        </w:tc>
        <w:tc>
          <w:tcPr>
            <w:tcW w:w="18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8"/>
                <w:szCs w:val="18"/>
                <w:color w:val="auto"/>
              </w:rPr>
              <w:t>David C. Novak</w:t>
            </w:r>
          </w:p>
        </w:tc>
        <w:tc>
          <w:tcPr>
            <w:tcW w:w="232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04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DDF2F9"/>
          </w:tcPr>
          <w:p>
            <w:pPr>
              <w:ind w:left="100"/>
              <w:spacing w:after="0"/>
              <w:rPr>
                <w:sz w:val="20"/>
                <w:szCs w:val="20"/>
                <w:color w:val="auto"/>
              </w:rPr>
            </w:pPr>
            <w:r>
              <w:rPr>
                <w:rFonts w:ascii="Arial" w:cs="Arial" w:eastAsia="Arial" w:hAnsi="Arial"/>
                <w:sz w:val="18"/>
                <w:szCs w:val="18"/>
                <w:b w:val="1"/>
                <w:bCs w:val="1"/>
                <w:color w:val="0A33A5"/>
              </w:rPr>
              <w:t>Number of Meetings Held in 2019</w:t>
            </w:r>
          </w:p>
        </w:tc>
        <w:tc>
          <w:tcPr>
            <w:tcW w:w="2320" w:type="dxa"/>
            <w:vAlign w:val="bottom"/>
            <w:shd w:val="clear" w:color="auto" w:fill="DDF2F9"/>
          </w:tcPr>
          <w:p>
            <w:pPr>
              <w:jc w:val="center"/>
              <w:ind w:left="730"/>
              <w:spacing w:after="0"/>
              <w:rPr>
                <w:sz w:val="20"/>
                <w:szCs w:val="20"/>
                <w:color w:val="auto"/>
              </w:rPr>
            </w:pPr>
            <w:r>
              <w:rPr>
                <w:rFonts w:ascii="Arial" w:cs="Arial" w:eastAsia="Arial" w:hAnsi="Arial"/>
                <w:sz w:val="18"/>
                <w:szCs w:val="18"/>
                <w:b w:val="1"/>
                <w:bCs w:val="1"/>
                <w:color w:val="0A33A5"/>
                <w:w w:val="99"/>
              </w:rPr>
              <w:t>9</w:t>
            </w:r>
          </w:p>
        </w:tc>
        <w:tc>
          <w:tcPr>
            <w:tcW w:w="1820" w:type="dxa"/>
            <w:vAlign w:val="bottom"/>
            <w:shd w:val="clear" w:color="auto" w:fill="DDF2F9"/>
          </w:tcPr>
          <w:p>
            <w:pPr>
              <w:jc w:val="center"/>
              <w:spacing w:after="0"/>
              <w:rPr>
                <w:sz w:val="20"/>
                <w:szCs w:val="20"/>
                <w:color w:val="auto"/>
              </w:rPr>
            </w:pPr>
            <w:r>
              <w:rPr>
                <w:rFonts w:ascii="Arial" w:cs="Arial" w:eastAsia="Arial" w:hAnsi="Arial"/>
                <w:sz w:val="18"/>
                <w:szCs w:val="18"/>
                <w:b w:val="1"/>
                <w:bCs w:val="1"/>
                <w:color w:val="0A33A5"/>
                <w:w w:val="99"/>
              </w:rPr>
              <w:t>5</w:t>
            </w:r>
          </w:p>
        </w:tc>
        <w:tc>
          <w:tcPr>
            <w:tcW w:w="1400" w:type="dxa"/>
            <w:vAlign w:val="bottom"/>
            <w:shd w:val="clear" w:color="auto" w:fill="DDF2F9"/>
          </w:tcPr>
          <w:p>
            <w:pPr>
              <w:jc w:val="right"/>
              <w:ind w:right="510"/>
              <w:spacing w:after="0"/>
              <w:rPr>
                <w:sz w:val="20"/>
                <w:szCs w:val="20"/>
                <w:color w:val="auto"/>
              </w:rPr>
            </w:pPr>
            <w:r>
              <w:rPr>
                <w:rFonts w:ascii="Arial" w:cs="Arial" w:eastAsia="Arial" w:hAnsi="Arial"/>
                <w:sz w:val="18"/>
                <w:szCs w:val="18"/>
                <w:b w:val="1"/>
                <w:bCs w:val="1"/>
                <w:color w:val="0A33A5"/>
              </w:rPr>
              <w:t>0</w:t>
            </w:r>
          </w:p>
        </w:tc>
        <w:tc>
          <w:tcPr>
            <w:tcW w:w="1440" w:type="dxa"/>
            <w:vAlign w:val="bottom"/>
            <w:shd w:val="clear" w:color="auto" w:fill="DDF2F9"/>
          </w:tcPr>
          <w:p>
            <w:pPr>
              <w:jc w:val="center"/>
              <w:ind w:left="50"/>
              <w:spacing w:after="0"/>
              <w:rPr>
                <w:sz w:val="20"/>
                <w:szCs w:val="20"/>
                <w:color w:val="auto"/>
              </w:rPr>
            </w:pPr>
            <w:r>
              <w:rPr>
                <w:rFonts w:ascii="Arial" w:cs="Arial" w:eastAsia="Arial" w:hAnsi="Arial"/>
                <w:sz w:val="18"/>
                <w:szCs w:val="18"/>
                <w:b w:val="1"/>
                <w:bCs w:val="1"/>
                <w:color w:val="0A33A5"/>
                <w:w w:val="99"/>
              </w:rPr>
              <w:t>5</w:t>
            </w:r>
          </w:p>
        </w:tc>
        <w:tc>
          <w:tcPr>
            <w:tcW w:w="0" w:type="dxa"/>
            <w:vAlign w:val="bottom"/>
          </w:tcPr>
          <w:p>
            <w:pPr>
              <w:spacing w:after="0"/>
              <w:rPr>
                <w:sz w:val="1"/>
                <w:szCs w:val="1"/>
                <w:color w:val="auto"/>
              </w:rPr>
            </w:pPr>
          </w:p>
        </w:tc>
      </w:tr>
      <w:tr>
        <w:trPr>
          <w:trHeight w:val="40"/>
        </w:trPr>
        <w:tc>
          <w:tcPr>
            <w:tcW w:w="4040" w:type="dxa"/>
            <w:vAlign w:val="bottom"/>
            <w:shd w:val="clear" w:color="auto" w:fill="DDF2F9"/>
          </w:tcPr>
          <w:p>
            <w:pPr>
              <w:spacing w:after="0"/>
              <w:rPr>
                <w:sz w:val="3"/>
                <w:szCs w:val="3"/>
                <w:color w:val="auto"/>
              </w:rPr>
            </w:pPr>
          </w:p>
        </w:tc>
        <w:tc>
          <w:tcPr>
            <w:tcW w:w="2320" w:type="dxa"/>
            <w:vAlign w:val="bottom"/>
            <w:shd w:val="clear" w:color="auto" w:fill="DDF2F9"/>
          </w:tcPr>
          <w:p>
            <w:pPr>
              <w:spacing w:after="0"/>
              <w:rPr>
                <w:sz w:val="3"/>
                <w:szCs w:val="3"/>
                <w:color w:val="auto"/>
              </w:rPr>
            </w:pPr>
          </w:p>
        </w:tc>
        <w:tc>
          <w:tcPr>
            <w:tcW w:w="1820" w:type="dxa"/>
            <w:vAlign w:val="bottom"/>
            <w:shd w:val="clear" w:color="auto" w:fill="DDF2F9"/>
          </w:tcPr>
          <w:p>
            <w:pPr>
              <w:spacing w:after="0"/>
              <w:rPr>
                <w:sz w:val="3"/>
                <w:szCs w:val="3"/>
                <w:color w:val="auto"/>
              </w:rPr>
            </w:pPr>
          </w:p>
        </w:tc>
        <w:tc>
          <w:tcPr>
            <w:tcW w:w="1400" w:type="dxa"/>
            <w:vAlign w:val="bottom"/>
            <w:shd w:val="clear" w:color="auto" w:fill="DDF2F9"/>
          </w:tcPr>
          <w:p>
            <w:pPr>
              <w:spacing w:after="0"/>
              <w:rPr>
                <w:sz w:val="3"/>
                <w:szCs w:val="3"/>
                <w:color w:val="auto"/>
              </w:rPr>
            </w:pPr>
          </w:p>
        </w:tc>
        <w:tc>
          <w:tcPr>
            <w:tcW w:w="1440" w:type="dxa"/>
            <w:vAlign w:val="bottom"/>
            <w:shd w:val="clear" w:color="auto" w:fill="DDF2F9"/>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hanging="424"/>
        <w:spacing w:after="0"/>
        <w:tabs>
          <w:tab w:leader="none" w:pos="540" w:val="left"/>
        </w:tabs>
        <w:numPr>
          <w:ilvl w:val="0"/>
          <w:numId w:val="20"/>
        </w:numPr>
        <w:rPr>
          <w:rFonts w:ascii="MS PGothic" w:cs="MS PGothic" w:eastAsia="MS PGothic" w:hAnsi="MS PGothic"/>
          <w:sz w:val="16"/>
          <w:szCs w:val="16"/>
          <w:color w:val="0A33A5"/>
        </w:rPr>
      </w:pPr>
      <w:r>
        <w:rPr>
          <w:rFonts w:ascii="Arial" w:cs="Arial" w:eastAsia="Arial" w:hAnsi="Arial"/>
          <w:sz w:val="16"/>
          <w:szCs w:val="16"/>
          <w:i w:val="1"/>
          <w:iCs w:val="1"/>
          <w:color w:val="0A33A5"/>
        </w:rPr>
        <w:t>Audit Committee Financial Expert</w:t>
      </w:r>
    </w:p>
    <w:p>
      <w:pPr>
        <w:spacing w:after="0" w:line="34" w:lineRule="exact"/>
        <w:rPr>
          <w:sz w:val="20"/>
          <w:szCs w:val="20"/>
          <w:color w:val="auto"/>
        </w:rPr>
      </w:pPr>
    </w:p>
    <w:p>
      <w:pPr>
        <w:ind w:left="540" w:right="200" w:hanging="424"/>
        <w:spacing w:after="0" w:line="260"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Bonovitz is not a director nominee at the 2020 annual meeting. Ms. Bergman, a director nominee, is not reflected in the table above, as she is not yet a director.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1400" w:type="dxa"/>
            <w:vAlign w:val="bottom"/>
            <w:tcBorders>
              <w:top w:val="single" w:sz="8" w:color="auto"/>
              <w:bottom w:val="single" w:sz="8" w:color="auto"/>
            </w:tcBorders>
            <w:shd w:val="clear" w:color="auto" w:fill="DDF2F9"/>
          </w:tcPr>
          <w:p>
            <w:pPr>
              <w:ind w:left="100"/>
              <w:spacing w:after="0"/>
              <w:rPr>
                <w:sz w:val="20"/>
                <w:szCs w:val="20"/>
                <w:color w:val="auto"/>
              </w:rPr>
            </w:pPr>
            <w:r>
              <w:rPr>
                <w:rFonts w:ascii="Arial" w:cs="Arial" w:eastAsia="Arial" w:hAnsi="Arial"/>
                <w:sz w:val="18"/>
                <w:szCs w:val="18"/>
                <w:b w:val="1"/>
                <w:bCs w:val="1"/>
                <w:color w:val="0A33A5"/>
              </w:rPr>
              <w:t>Committee</w:t>
            </w:r>
          </w:p>
        </w:tc>
        <w:tc>
          <w:tcPr>
            <w:tcW w:w="9620" w:type="dxa"/>
            <w:vAlign w:val="bottom"/>
            <w:tcBorders>
              <w:top w:val="single" w:sz="8" w:color="auto"/>
              <w:bottom w:val="single" w:sz="8" w:color="auto"/>
            </w:tcBorders>
            <w:shd w:val="clear" w:color="auto" w:fill="DDF2F9"/>
          </w:tcPr>
          <w:p>
            <w:pPr>
              <w:ind w:left="360"/>
              <w:spacing w:after="0"/>
              <w:rPr>
                <w:sz w:val="20"/>
                <w:szCs w:val="20"/>
                <w:color w:val="auto"/>
              </w:rPr>
            </w:pPr>
            <w:r>
              <w:rPr>
                <w:rFonts w:ascii="Arial" w:cs="Arial" w:eastAsia="Arial" w:hAnsi="Arial"/>
                <w:sz w:val="18"/>
                <w:szCs w:val="18"/>
                <w:b w:val="1"/>
                <w:bCs w:val="1"/>
                <w:color w:val="0A33A5"/>
              </w:rPr>
              <w:t>Committee Description</w:t>
            </w:r>
          </w:p>
        </w:tc>
      </w:tr>
      <w:tr>
        <w:trPr>
          <w:trHeight w:val="196"/>
        </w:trPr>
        <w:tc>
          <w:tcPr>
            <w:tcW w:w="1400" w:type="dxa"/>
            <w:vAlign w:val="bottom"/>
          </w:tcPr>
          <w:p>
            <w:pPr>
              <w:ind w:left="80"/>
              <w:spacing w:after="0" w:line="196" w:lineRule="exact"/>
              <w:rPr>
                <w:sz w:val="20"/>
                <w:szCs w:val="20"/>
                <w:color w:val="auto"/>
              </w:rPr>
            </w:pPr>
            <w:r>
              <w:rPr>
                <w:rFonts w:ascii="Arial" w:cs="Arial" w:eastAsia="Arial" w:hAnsi="Arial"/>
                <w:sz w:val="18"/>
                <w:szCs w:val="18"/>
                <w:color w:val="0A33A5"/>
              </w:rPr>
              <w:t>Audit</w:t>
            </w:r>
          </w:p>
        </w:tc>
        <w:tc>
          <w:tcPr>
            <w:tcW w:w="9620" w:type="dxa"/>
            <w:vAlign w:val="bottom"/>
          </w:tcPr>
          <w:p>
            <w:pPr>
              <w:ind w:left="500"/>
              <w:spacing w:after="0" w:line="196" w:lineRule="exact"/>
              <w:rPr>
                <w:sz w:val="20"/>
                <w:szCs w:val="20"/>
                <w:color w:val="auto"/>
              </w:rPr>
            </w:pPr>
            <w:r>
              <w:rPr>
                <w:rFonts w:ascii="Arial" w:cs="Arial" w:eastAsia="Arial" w:hAnsi="Arial"/>
                <w:sz w:val="18"/>
                <w:szCs w:val="18"/>
                <w:color w:val="auto"/>
              </w:rPr>
              <w:t>Each member is independent and financially literate for audit committee purposes under NASDAQ Global Select</w:t>
            </w:r>
          </w:p>
        </w:tc>
      </w:tr>
      <w:tr>
        <w:trPr>
          <w:trHeight w:val="257"/>
        </w:trPr>
        <w:tc>
          <w:tcPr>
            <w:tcW w:w="1400" w:type="dxa"/>
            <w:vAlign w:val="bottom"/>
          </w:tcPr>
          <w:p>
            <w:pPr>
              <w:ind w:left="100"/>
              <w:spacing w:after="0"/>
              <w:rPr>
                <w:sz w:val="20"/>
                <w:szCs w:val="20"/>
                <w:color w:val="auto"/>
              </w:rPr>
            </w:pPr>
            <w:r>
              <w:rPr>
                <w:rFonts w:ascii="Arial" w:cs="Arial" w:eastAsia="Arial" w:hAnsi="Arial"/>
                <w:sz w:val="18"/>
                <w:szCs w:val="18"/>
                <w:color w:val="0A33A5"/>
              </w:rPr>
              <w:t>Committee</w:t>
            </w:r>
          </w:p>
        </w:tc>
        <w:tc>
          <w:tcPr>
            <w:tcW w:w="9620" w:type="dxa"/>
            <w:vAlign w:val="bottom"/>
          </w:tcPr>
          <w:p>
            <w:pPr>
              <w:ind w:left="500"/>
              <w:spacing w:after="0"/>
              <w:rPr>
                <w:sz w:val="20"/>
                <w:szCs w:val="20"/>
                <w:color w:val="auto"/>
              </w:rPr>
            </w:pPr>
            <w:r>
              <w:rPr>
                <w:rFonts w:ascii="Arial" w:cs="Arial" w:eastAsia="Arial" w:hAnsi="Arial"/>
                <w:sz w:val="18"/>
                <w:szCs w:val="18"/>
                <w:color w:val="auto"/>
              </w:rPr>
              <w:t>Market rules.</w:t>
            </w:r>
          </w:p>
        </w:tc>
      </w:tr>
      <w:tr>
        <w:trPr>
          <w:trHeight w:val="256"/>
        </w:trPr>
        <w:tc>
          <w:tcPr>
            <w:tcW w:w="1400" w:type="dxa"/>
            <w:vAlign w:val="bottom"/>
          </w:tcPr>
          <w:p>
            <w:pPr>
              <w:spacing w:after="0"/>
              <w:rPr>
                <w:sz w:val="22"/>
                <w:szCs w:val="22"/>
                <w:color w:val="auto"/>
              </w:rPr>
            </w:pPr>
          </w:p>
        </w:tc>
        <w:tc>
          <w:tcPr>
            <w:tcW w:w="9620" w:type="dxa"/>
            <w:vAlign w:val="bottom"/>
          </w:tcPr>
          <w:p>
            <w:pPr>
              <w:ind w:left="500"/>
              <w:spacing w:after="0"/>
              <w:rPr>
                <w:sz w:val="20"/>
                <w:szCs w:val="20"/>
                <w:color w:val="auto"/>
              </w:rPr>
            </w:pPr>
            <w:r>
              <w:rPr>
                <w:rFonts w:ascii="Arial" w:cs="Arial" w:eastAsia="Arial" w:hAnsi="Arial"/>
                <w:sz w:val="18"/>
                <w:szCs w:val="18"/>
                <w:color w:val="auto"/>
              </w:rPr>
              <w:t>Our Board has concluded that Jeffrey A. Honickman and Maritza G. Montiel qualify as audit committee financial</w:t>
            </w:r>
          </w:p>
        </w:tc>
      </w:tr>
      <w:tr>
        <w:trPr>
          <w:trHeight w:val="217"/>
        </w:trPr>
        <w:tc>
          <w:tcPr>
            <w:tcW w:w="14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color w:val="auto"/>
              </w:rPr>
              <w:t>experts.</w:t>
            </w:r>
          </w:p>
        </w:tc>
      </w:tr>
      <w:tr>
        <w:trPr>
          <w:trHeight w:val="270"/>
        </w:trPr>
        <w:tc>
          <w:tcPr>
            <w:tcW w:w="1400" w:type="dxa"/>
            <w:vAlign w:val="bottom"/>
          </w:tcPr>
          <w:p>
            <w:pPr>
              <w:spacing w:after="0"/>
              <w:rPr>
                <w:sz w:val="23"/>
                <w:szCs w:val="23"/>
                <w:color w:val="auto"/>
              </w:rPr>
            </w:pPr>
          </w:p>
        </w:tc>
        <w:tc>
          <w:tcPr>
            <w:tcW w:w="9620" w:type="dxa"/>
            <w:vAlign w:val="bottom"/>
          </w:tcPr>
          <w:p>
            <w:pPr>
              <w:ind w:left="500"/>
              <w:spacing w:after="0"/>
              <w:rPr>
                <w:sz w:val="20"/>
                <w:szCs w:val="20"/>
                <w:color w:val="auto"/>
              </w:rPr>
            </w:pPr>
            <w:r>
              <w:rPr>
                <w:rFonts w:ascii="Arial" w:cs="Arial" w:eastAsia="Arial" w:hAnsi="Arial"/>
                <w:sz w:val="18"/>
                <w:szCs w:val="18"/>
                <w:color w:val="auto"/>
              </w:rPr>
              <w:t>The Audit Committee is responsible for the oversight and evaluation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-770890</wp:posOffset>
            </wp:positionV>
            <wp:extent cx="1054100" cy="1457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54100" cy="1457325"/>
                    </a:xfrm>
                    <a:prstGeom prst="rect">
                      <a:avLst/>
                    </a:prstGeom>
                    <a:noFill/>
                  </pic:spPr>
                </pic:pic>
              </a:graphicData>
            </a:graphic>
          </wp:anchor>
        </w:drawing>
      </w:r>
    </w:p>
    <w:p>
      <w:pPr>
        <w:spacing w:after="0" w:line="33" w:lineRule="exact"/>
        <w:rPr>
          <w:sz w:val="20"/>
          <w:szCs w:val="20"/>
          <w:color w:val="auto"/>
        </w:rPr>
      </w:pPr>
    </w:p>
    <w:p>
      <w:pPr>
        <w:ind w:left="2300" w:hanging="272"/>
        <w:spacing w:after="0"/>
        <w:tabs>
          <w:tab w:leader="none" w:pos="2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auditors;</w:t>
      </w:r>
    </w:p>
    <w:p>
      <w:pPr>
        <w:spacing w:after="0" w:line="63" w:lineRule="exact"/>
        <w:rPr>
          <w:rFonts w:ascii="Arial" w:cs="Arial" w:eastAsia="Arial" w:hAnsi="Arial"/>
          <w:sz w:val="18"/>
          <w:szCs w:val="18"/>
          <w:color w:val="auto"/>
        </w:rPr>
      </w:pPr>
    </w:p>
    <w:p>
      <w:pPr>
        <w:ind w:left="2300" w:hanging="272"/>
        <w:spacing w:after="0"/>
        <w:tabs>
          <w:tab w:leader="none" w:pos="2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qualifications and performance of our internal audit function; and</w:t>
      </w:r>
    </w:p>
    <w:p>
      <w:pPr>
        <w:spacing w:after="0" w:line="63" w:lineRule="exact"/>
        <w:rPr>
          <w:rFonts w:ascii="Arial" w:cs="Arial" w:eastAsia="Arial" w:hAnsi="Arial"/>
          <w:sz w:val="18"/>
          <w:szCs w:val="18"/>
          <w:color w:val="auto"/>
        </w:rPr>
      </w:pPr>
    </w:p>
    <w:p>
      <w:pPr>
        <w:ind w:left="2360" w:right="240" w:hanging="332"/>
        <w:spacing w:after="0" w:line="246" w:lineRule="auto"/>
        <w:tabs>
          <w:tab w:leader="none" w:pos="2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4972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4972050"/>
                    </a:xfrm>
                    <a:prstGeom prst="rect">
                      <a:avLst/>
                    </a:prstGeom>
                    <a:noFill/>
                  </pic:spPr>
                </pic:pic>
              </a:graphicData>
            </a:graphic>
          </wp:anchor>
        </w:drawing>
      </w:r>
    </w:p>
    <w:p>
      <w:pPr>
        <w:spacing w:after="0" w:line="330" w:lineRule="exact"/>
        <w:rPr>
          <w:sz w:val="20"/>
          <w:szCs w:val="20"/>
          <w:color w:val="auto"/>
        </w:rPr>
      </w:pPr>
    </w:p>
    <w:p>
      <w:pPr>
        <w:ind w:left="220"/>
        <w:spacing w:after="0"/>
        <w:tabs>
          <w:tab w:leader="none" w:pos="2000" w:val="left"/>
        </w:tabs>
        <w:rPr>
          <w:sz w:val="20"/>
          <w:szCs w:val="20"/>
          <w:color w:val="auto"/>
        </w:rPr>
      </w:pPr>
      <w:r>
        <w:rPr>
          <w:rFonts w:ascii="Arial" w:cs="Arial" w:eastAsia="Arial" w:hAnsi="Arial"/>
          <w:sz w:val="18"/>
          <w:szCs w:val="18"/>
          <w:b w:val="1"/>
          <w:bCs w:val="1"/>
          <w:i w:val="1"/>
          <w:iCs w:val="1"/>
          <w:color w:val="0A33A5"/>
        </w:rPr>
        <w:t>Compensation</w:t>
      </w:r>
      <w:r>
        <w:rPr>
          <w:sz w:val="20"/>
          <w:szCs w:val="20"/>
          <w:color w:val="auto"/>
        </w:rPr>
        <w:tab/>
      </w:r>
      <w:r>
        <w:rPr>
          <w:rFonts w:ascii="Arial" w:cs="Arial" w:eastAsia="Arial" w:hAnsi="Arial"/>
          <w:sz w:val="18"/>
          <w:szCs w:val="18"/>
          <w:color w:val="auto"/>
        </w:rPr>
        <w:t>Each member is independent under NASDAQ Global Select Market rules and qualifies as a “non-employee</w:t>
      </w:r>
    </w:p>
    <w:p>
      <w:pPr>
        <w:spacing w:after="0" w:line="22" w:lineRule="exact"/>
        <w:rPr>
          <w:sz w:val="20"/>
          <w:szCs w:val="20"/>
          <w:color w:val="auto"/>
        </w:rPr>
      </w:pPr>
    </w:p>
    <w:p>
      <w:pPr>
        <w:ind w:left="2020" w:right="800" w:hanging="1799"/>
        <w:spacing w:after="0" w:line="246" w:lineRule="auto"/>
        <w:tabs>
          <w:tab w:leader="none" w:pos="2000" w:val="left"/>
        </w:tabs>
        <w:rPr>
          <w:sz w:val="20"/>
          <w:szCs w:val="20"/>
          <w:color w:val="auto"/>
        </w:rPr>
      </w:pPr>
      <w:r>
        <w:rPr>
          <w:rFonts w:ascii="Arial" w:cs="Arial" w:eastAsia="Arial" w:hAnsi="Arial"/>
          <w:sz w:val="18"/>
          <w:szCs w:val="18"/>
          <w:b w:val="1"/>
          <w:bCs w:val="1"/>
          <w:i w:val="1"/>
          <w:iCs w:val="1"/>
          <w:color w:val="0A33A5"/>
        </w:rPr>
        <w:t>Committee</w:t>
      </w:r>
      <w:r>
        <w:rPr>
          <w:sz w:val="20"/>
          <w:szCs w:val="20"/>
          <w:color w:val="auto"/>
        </w:rPr>
        <w:tab/>
      </w:r>
      <w:r>
        <w:rPr>
          <w:rFonts w:ascii="Arial" w:cs="Arial" w:eastAsia="Arial" w:hAnsi="Arial"/>
          <w:sz w:val="18"/>
          <w:szCs w:val="18"/>
          <w:color w:val="auto"/>
        </w:rPr>
        <w:t>director” (as defined under Rule 16b-3 under the Exchange Act) and an “outside director” (as defined in Section 162(m) of the Internal Revenue Code of 1986).</w:t>
      </w:r>
    </w:p>
    <w:p>
      <w:pPr>
        <w:spacing w:after="0" w:line="4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2360" w:right="600" w:hanging="332"/>
        <w:spacing w:after="0" w:line="246" w:lineRule="auto"/>
        <w:tabs>
          <w:tab w:leader="none" w:pos="2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Reviews and approves our compensation and benefit programs, ensures the competitiveness of these programs and oversees and sets compensation for our senior executives.</w:t>
      </w:r>
    </w:p>
    <w:p>
      <w:pPr>
        <w:spacing w:after="0" w:line="48" w:lineRule="exact"/>
        <w:rPr>
          <w:rFonts w:ascii="Arial" w:cs="Arial" w:eastAsia="Arial" w:hAnsi="Arial"/>
          <w:sz w:val="18"/>
          <w:szCs w:val="18"/>
          <w:color w:val="auto"/>
        </w:rPr>
      </w:pPr>
    </w:p>
    <w:p>
      <w:pPr>
        <w:ind w:left="2360" w:hanging="332"/>
        <w:spacing w:after="0" w:line="238" w:lineRule="auto"/>
        <w:tabs>
          <w:tab w:leader="none" w:pos="2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responsible for approving the nature and amount of compensation paid to, and the employment and related agreements entered into with, our senior executives, establishing and evaluating performance-based goals related to compensation, overseeing our cash bonus and equity-based plans, approving guidelines for grants of awards under these plans and determining and overseeing our compensation and benefits policies generally.</w:t>
      </w:r>
    </w:p>
    <w:p>
      <w:pPr>
        <w:spacing w:after="0" w:line="53" w:lineRule="exact"/>
        <w:rPr>
          <w:rFonts w:ascii="Arial" w:cs="Arial" w:eastAsia="Arial" w:hAnsi="Arial"/>
          <w:sz w:val="18"/>
          <w:szCs w:val="18"/>
          <w:color w:val="auto"/>
        </w:rPr>
      </w:pPr>
    </w:p>
    <w:p>
      <w:pPr>
        <w:ind w:left="2360" w:right="40" w:hanging="332"/>
        <w:spacing w:after="0"/>
        <w:tabs>
          <w:tab w:leader="none" w:pos="2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Performs an annual review of our compensation philosophy, our executive compensation programs, including any material risks related to our programs, and the performance of our NEOs. The Compensation Committee’s determinations are reviewed annually by the independent directors.</w:t>
      </w:r>
    </w:p>
    <w:p>
      <w:pPr>
        <w:spacing w:after="0" w:line="54" w:lineRule="exact"/>
        <w:rPr>
          <w:rFonts w:ascii="Arial" w:cs="Arial" w:eastAsia="Arial" w:hAnsi="Arial"/>
          <w:sz w:val="18"/>
          <w:szCs w:val="18"/>
          <w:color w:val="auto"/>
        </w:rPr>
      </w:pPr>
    </w:p>
    <w:p>
      <w:pPr>
        <w:ind w:left="2300" w:hanging="272"/>
        <w:spacing w:after="0"/>
        <w:tabs>
          <w:tab w:leader="none" w:pos="2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Oversees succession planning for our senior management (including our Chief Executive Officer).</w:t>
      </w:r>
    </w:p>
    <w:p>
      <w:pPr>
        <w:sectPr>
          <w:pgSz w:w="11900" w:h="16838" w:orient="portrait"/>
          <w:cols w:equalWidth="0" w:num="1">
            <w:col w:w="11020"/>
          </w:cols>
          <w:pgMar w:left="320" w:top="459" w:right="559" w:bottom="1440" w:gutter="0" w:footer="0" w:header="0"/>
        </w:sectPr>
      </w:pPr>
    </w:p>
    <w:p>
      <w:pPr>
        <w:spacing w:after="0" w:line="1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A33A5"/>
        </w:rPr>
        <w:t>Finance</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0A33A5"/>
        </w:rPr>
        <w:t>Committee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Finance Committee provides advice and assistance to us as requested by the Board.</w:t>
      </w:r>
    </w:p>
    <w:p>
      <w:pPr>
        <w:spacing w:after="0" w:line="63" w:lineRule="exact"/>
        <w:rPr>
          <w:sz w:val="20"/>
          <w:szCs w:val="20"/>
          <w:color w:val="auto"/>
        </w:rPr>
      </w:pPr>
    </w:p>
    <w:p>
      <w:pPr>
        <w:jc w:val="both"/>
        <w:ind w:left="340" w:right="360" w:hanging="332"/>
        <w:spacing w:after="0"/>
        <w:tabs>
          <w:tab w:leader="none" w:pos="2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Finance Committee may act for the directors in the intervals between Board meetings with respect to matters delegated to it from time to time by our Board in connection with a range of financial and related matters.</w:t>
      </w:r>
    </w:p>
    <w:p>
      <w:pPr>
        <w:spacing w:after="0" w:line="54" w:lineRule="exact"/>
        <w:rPr>
          <w:rFonts w:ascii="Arial" w:cs="Arial" w:eastAsia="Arial" w:hAnsi="Arial"/>
          <w:sz w:val="18"/>
          <w:szCs w:val="18"/>
          <w:color w:val="auto"/>
        </w:rPr>
      </w:pPr>
    </w:p>
    <w:p>
      <w:pPr>
        <w:ind w:left="340" w:right="40" w:hanging="332"/>
        <w:spacing w:after="0"/>
        <w:tabs>
          <w:tab w:leader="none" w:pos="2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100" w:lineRule="exact"/>
        <w:rPr>
          <w:sz w:val="20"/>
          <w:szCs w:val="20"/>
          <w:color w:val="auto"/>
        </w:rPr>
      </w:pPr>
    </w:p>
    <w:p>
      <w:pPr>
        <w:sectPr>
          <w:pgSz w:w="11900" w:h="16838" w:orient="portrait"/>
          <w:cols w:equalWidth="0" w:num="2">
            <w:col w:w="1300" w:space="720"/>
            <w:col w:w="9000"/>
          </w:cols>
          <w:pgMar w:left="320" w:top="459" w:right="559" w:bottom="1440" w:gutter="0" w:footer="0" w:header="0"/>
          <w:type w:val="continuous"/>
        </w:sectPr>
      </w:pPr>
    </w:p>
    <w:p>
      <w:pPr>
        <w:ind w:left="220"/>
        <w:spacing w:after="0" w:line="247" w:lineRule="auto"/>
        <w:rPr>
          <w:sz w:val="20"/>
          <w:szCs w:val="20"/>
          <w:color w:val="auto"/>
        </w:rPr>
      </w:pPr>
      <w:r>
        <w:rPr>
          <w:rFonts w:ascii="Arial" w:cs="Arial" w:eastAsia="Arial" w:hAnsi="Arial"/>
          <w:sz w:val="18"/>
          <w:szCs w:val="18"/>
          <w:b w:val="1"/>
          <w:bCs w:val="1"/>
          <w:i w:val="1"/>
          <w:iCs w:val="1"/>
          <w:color w:val="0A33A5"/>
        </w:rPr>
        <w:t>Governance and Directors Nominating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Each member is independent under NASDAQ Global Select Market rules.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Governance and Directors Nominating Committee:</w:t>
      </w:r>
    </w:p>
    <w:p>
      <w:pPr>
        <w:spacing w:after="0" w:line="63" w:lineRule="exact"/>
        <w:rPr>
          <w:sz w:val="20"/>
          <w:szCs w:val="20"/>
          <w:color w:val="auto"/>
        </w:rPr>
      </w:pPr>
    </w:p>
    <w:p>
      <w:pPr>
        <w:ind w:left="340" w:right="280" w:hanging="332"/>
        <w:spacing w:after="0" w:line="246"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Exercises general oversight with respect to the governance of our Board, as well as corporate governance matters involving us and our directors and executive officers.</w:t>
      </w:r>
    </w:p>
    <w:p>
      <w:pPr>
        <w:spacing w:after="0" w:line="48" w:lineRule="exact"/>
        <w:rPr>
          <w:rFonts w:ascii="Arial" w:cs="Arial" w:eastAsia="Arial" w:hAnsi="Arial"/>
          <w:sz w:val="18"/>
          <w:szCs w:val="18"/>
          <w:color w:val="auto"/>
        </w:rPr>
      </w:pPr>
    </w:p>
    <w:p>
      <w:pPr>
        <w:ind w:left="340" w:right="40" w:hanging="332"/>
        <w:spacing w:after="0" w:line="246"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responsible for periodically leading reviews and evaluations of the performance, size and responsibilities of our Board and its committees.</w:t>
      </w:r>
    </w:p>
    <w:p>
      <w:pPr>
        <w:spacing w:after="0" w:line="48" w:lineRule="exact"/>
        <w:rPr>
          <w:rFonts w:ascii="Arial" w:cs="Arial" w:eastAsia="Arial" w:hAnsi="Arial"/>
          <w:sz w:val="18"/>
          <w:szCs w:val="18"/>
          <w:color w:val="auto"/>
        </w:rPr>
      </w:pPr>
    </w:p>
    <w:p>
      <w:pPr>
        <w:ind w:left="340" w:right="60" w:hanging="332"/>
        <w:spacing w:after="0" w:line="238"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43180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00"/>
            <w:col w:w="9000"/>
          </w:cols>
          <w:pgMar w:left="320" w:top="459" w:right="559" w:bottom="1440" w:gutter="0" w:footer="0" w:header="0"/>
          <w:type w:val="continuous"/>
        </w:sectPr>
      </w:pP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20"/>
          </w:cols>
          <w:pgMar w:left="320" w:top="459" w:right="5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PROPOSAL 1: ELECTION OF DIRECTORS</w:t>
      </w:r>
    </w:p>
    <w:p>
      <w:pPr>
        <w:spacing w:after="0" w:line="126"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Based on the recommendation of our Board’s Governance and Directors Nominating Committee, our Board has nominated the director candidates named below in “Director Biographies.” Other than Ms. Bergman, all of the nominees for director currently serve as our directors. All of our directors are elected annually.</w:t>
      </w:r>
    </w:p>
    <w:p>
      <w:pPr>
        <w:spacing w:after="0" w:line="9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 or the Board may reduce its size.</w:t>
      </w:r>
    </w:p>
    <w:p>
      <w:pPr>
        <w:spacing w:after="0" w:line="67" w:lineRule="exact"/>
        <w:rPr>
          <w:sz w:val="20"/>
          <w:szCs w:val="20"/>
          <w:color w:val="auto"/>
        </w:rPr>
      </w:pPr>
    </w:p>
    <w:p>
      <w:pPr>
        <w:ind w:left="120" w:right="980"/>
        <w:spacing w:after="0" w:line="271"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INDEPENDENCE DETERMINATIONS</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Following the annual meeting of shareholders, if all director nominees are elected to serve as our directors, nine of our ten directors will be independent, and the average tenure of our independent directors will be 7 years.</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Our Board has determined that each of our nonemployee directors, other than Mr. Bonovitz, who is married to a first cousin of Mr. Roberts and is not standing for reelection at the 2020 annual meeting, is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 In making its independence 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at which some of our directors are currently an executive officer or a significant shareholder. In each case, the amount paid or donated to or received from these companies was below 1% of the recipient company’s total consolidated gross revenues, which is far below the 5% limit prescribed by NASDAQ Global Select Market rules.</w:t>
      </w:r>
    </w:p>
    <w:p>
      <w:pPr>
        <w:spacing w:after="0" w:line="97"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Although neither of our corporate governance guidelines nor NASDAQ Global Select Market rules deem a long-tenured director not independent, our Board reviewed director tenure in connection with making its independence determinations.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DIRECTOR CHARACTERISTICS</w:t>
      </w:r>
    </w:p>
    <w:p>
      <w:pPr>
        <w:spacing w:after="0" w:line="126"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gender and minority representation (50% of our director nominees are diverse by gender or race, including four of our last five directors; 30% of our director nominees are female).</w:t>
      </w:r>
    </w:p>
    <w:p>
      <w:pPr>
        <w:spacing w:after="0" w:line="82" w:lineRule="exact"/>
        <w:rPr>
          <w:sz w:val="20"/>
          <w:szCs w:val="20"/>
          <w:color w:val="auto"/>
        </w:rPr>
      </w:pPr>
    </w:p>
    <w:p>
      <w:pPr>
        <w:ind w:left="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As described in more detail on </w:t>
      </w:r>
      <w:hyperlink w:anchor="page14">
        <w:r>
          <w:rPr>
            <w:rFonts w:ascii="Arial" w:cs="Arial" w:eastAsia="Arial" w:hAnsi="Arial"/>
            <w:sz w:val="18"/>
            <w:szCs w:val="18"/>
            <w:u w:val="single" w:color="auto"/>
            <w:color w:val="0000EE"/>
          </w:rPr>
          <w:t>page 11</w:t>
        </w:r>
      </w:hyperlink>
      <w:r>
        <w:rPr>
          <w:rFonts w:ascii="Arial" w:cs="Arial" w:eastAsia="Arial" w:hAnsi="Arial"/>
          <w:sz w:val="18"/>
          <w:szCs w:val="18"/>
          <w:color w:val="auto"/>
        </w:rPr>
        <w:t>, our Board and each of its committees perform an annual self-assessment, which among other things, evaluates the overall composition of our Board, including the diversity of skills and backgrounds of our directors. Our Governance and Directors Nominating Committee focuses on certain specific director qualifications and skills, including those highlighted below, to help ensure that our directors bring to the Board a diversity of experience, qualifications and skills to oversee and address the current issues facing our company. Our Governance and Directors Nominating Committee also considers these qualifications, including with respect to gender and minority diversity, as it seeks to identify and evaluate potential new directors.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80" w:type="dxa"/>
            <w:vAlign w:val="bottom"/>
            <w:tcBorders>
              <w:top w:val="single" w:sz="8" w:color="auto"/>
            </w:tcBorders>
            <w:shd w:val="clear" w:color="auto" w:fill="DDF2F9"/>
          </w:tcPr>
          <w:p>
            <w:pPr>
              <w:spacing w:after="0"/>
              <w:rPr>
                <w:sz w:val="14"/>
                <w:szCs w:val="14"/>
                <w:color w:val="auto"/>
              </w:rPr>
            </w:pPr>
          </w:p>
        </w:tc>
        <w:tc>
          <w:tcPr>
            <w:tcW w:w="70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Internet/</w:t>
            </w:r>
          </w:p>
        </w:tc>
        <w:tc>
          <w:tcPr>
            <w:tcW w:w="700" w:type="dxa"/>
            <w:vAlign w:val="bottom"/>
            <w:tcBorders>
              <w:top w:val="single" w:sz="8" w:color="auto"/>
            </w:tcBorders>
            <w:shd w:val="clear" w:color="auto" w:fill="DDF2F9"/>
          </w:tcPr>
          <w:p>
            <w:pPr>
              <w:spacing w:after="0"/>
              <w:rPr>
                <w:sz w:val="14"/>
                <w:szCs w:val="14"/>
                <w:color w:val="auto"/>
              </w:rPr>
            </w:pPr>
          </w:p>
        </w:tc>
        <w:tc>
          <w:tcPr>
            <w:tcW w:w="920" w:type="dxa"/>
            <w:vAlign w:val="bottom"/>
            <w:tcBorders>
              <w:top w:val="single" w:sz="8" w:color="auto"/>
            </w:tcBorders>
            <w:shd w:val="clear" w:color="auto" w:fill="DDF2F9"/>
          </w:tcPr>
          <w:p>
            <w:pPr>
              <w:spacing w:after="0"/>
              <w:rPr>
                <w:sz w:val="14"/>
                <w:szCs w:val="14"/>
                <w:color w:val="auto"/>
              </w:rPr>
            </w:pPr>
          </w:p>
        </w:tc>
        <w:tc>
          <w:tcPr>
            <w:tcW w:w="84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Consumer</w:t>
            </w:r>
          </w:p>
        </w:tc>
        <w:tc>
          <w:tcPr>
            <w:tcW w:w="980" w:type="dxa"/>
            <w:vAlign w:val="bottom"/>
            <w:tcBorders>
              <w:top w:val="single" w:sz="8" w:color="auto"/>
            </w:tcBorders>
            <w:shd w:val="clear" w:color="auto" w:fill="DDF2F9"/>
          </w:tcPr>
          <w:p>
            <w:pPr>
              <w:spacing w:after="0"/>
              <w:rPr>
                <w:sz w:val="14"/>
                <w:szCs w:val="14"/>
                <w:color w:val="auto"/>
              </w:rPr>
            </w:pPr>
          </w:p>
        </w:tc>
        <w:tc>
          <w:tcPr>
            <w:tcW w:w="700" w:type="dxa"/>
            <w:vAlign w:val="bottom"/>
            <w:tcBorders>
              <w:top w:val="single" w:sz="8" w:color="auto"/>
            </w:tcBorders>
            <w:shd w:val="clear" w:color="auto" w:fill="DDF2F9"/>
          </w:tcPr>
          <w:p>
            <w:pPr>
              <w:spacing w:after="0"/>
              <w:rPr>
                <w:sz w:val="14"/>
                <w:szCs w:val="14"/>
                <w:color w:val="auto"/>
              </w:rPr>
            </w:pPr>
          </w:p>
        </w:tc>
        <w:tc>
          <w:tcPr>
            <w:tcW w:w="74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Talent</w:t>
            </w:r>
          </w:p>
        </w:tc>
        <w:tc>
          <w:tcPr>
            <w:tcW w:w="560" w:type="dxa"/>
            <w:vAlign w:val="bottom"/>
            <w:tcBorders>
              <w:top w:val="single" w:sz="8" w:color="auto"/>
            </w:tcBorders>
            <w:shd w:val="clear" w:color="auto" w:fill="DDF2F9"/>
          </w:tcPr>
          <w:p>
            <w:pPr>
              <w:spacing w:after="0"/>
              <w:rPr>
                <w:sz w:val="14"/>
                <w:szCs w:val="14"/>
                <w:color w:val="auto"/>
              </w:rPr>
            </w:pPr>
          </w:p>
        </w:tc>
        <w:tc>
          <w:tcPr>
            <w:tcW w:w="110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Non-Profit/</w:t>
            </w:r>
          </w:p>
        </w:tc>
        <w:tc>
          <w:tcPr>
            <w:tcW w:w="118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Current/Former</w:t>
            </w:r>
          </w:p>
        </w:tc>
        <w:tc>
          <w:tcPr>
            <w:tcW w:w="1020" w:type="dxa"/>
            <w:vAlign w:val="bottom"/>
            <w:tcBorders>
              <w:top w:val="single" w:sz="8" w:color="auto"/>
            </w:tcBorders>
            <w:shd w:val="clear" w:color="auto" w:fill="DDF2F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80" w:type="dxa"/>
            <w:vAlign w:val="bottom"/>
            <w:vMerge w:val="restart"/>
            <w:shd w:val="clear" w:color="auto" w:fill="DDF2F9"/>
          </w:tcPr>
          <w:p>
            <w:pPr>
              <w:ind w:left="460"/>
              <w:spacing w:after="0"/>
              <w:rPr>
                <w:sz w:val="20"/>
                <w:szCs w:val="20"/>
                <w:color w:val="auto"/>
              </w:rPr>
            </w:pPr>
            <w:r>
              <w:rPr>
                <w:rFonts w:ascii="Arial" w:cs="Arial" w:eastAsia="Arial" w:hAnsi="Arial"/>
                <w:sz w:val="14"/>
                <w:szCs w:val="14"/>
                <w:b w:val="1"/>
                <w:bCs w:val="1"/>
                <w:color w:val="0A33A5"/>
              </w:rPr>
              <w:t>Director</w:t>
            </w:r>
          </w:p>
        </w:tc>
        <w:tc>
          <w:tcPr>
            <w:tcW w:w="70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w w:val="99"/>
              </w:rPr>
              <w:t>Video/</w:t>
            </w:r>
          </w:p>
        </w:tc>
        <w:tc>
          <w:tcPr>
            <w:tcW w:w="70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Media</w:t>
            </w:r>
          </w:p>
        </w:tc>
        <w:tc>
          <w:tcPr>
            <w:tcW w:w="92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Financial/</w:t>
            </w:r>
          </w:p>
        </w:tc>
        <w:tc>
          <w:tcPr>
            <w:tcW w:w="84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Products/</w:t>
            </w:r>
          </w:p>
        </w:tc>
        <w:tc>
          <w:tcPr>
            <w:tcW w:w="98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Government</w:t>
            </w:r>
          </w:p>
        </w:tc>
        <w:tc>
          <w:tcPr>
            <w:tcW w:w="70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Internat-</w:t>
            </w:r>
          </w:p>
        </w:tc>
        <w:tc>
          <w:tcPr>
            <w:tcW w:w="740" w:type="dxa"/>
            <w:vAlign w:val="bottom"/>
            <w:vMerge w:val="continue"/>
            <w:shd w:val="clear" w:color="auto" w:fill="DDF2F9"/>
          </w:tcPr>
          <w:p>
            <w:pPr>
              <w:spacing w:after="0"/>
              <w:rPr>
                <w:sz w:val="7"/>
                <w:szCs w:val="7"/>
                <w:color w:val="auto"/>
              </w:rPr>
            </w:pPr>
          </w:p>
        </w:tc>
        <w:tc>
          <w:tcPr>
            <w:tcW w:w="560" w:type="dxa"/>
            <w:vAlign w:val="bottom"/>
            <w:vMerge w:val="restart"/>
            <w:shd w:val="clear" w:color="auto" w:fill="DDF2F9"/>
          </w:tcPr>
          <w:p>
            <w:pPr>
              <w:ind w:left="80"/>
              <w:spacing w:after="0"/>
              <w:rPr>
                <w:sz w:val="20"/>
                <w:szCs w:val="20"/>
                <w:color w:val="auto"/>
              </w:rPr>
            </w:pPr>
            <w:r>
              <w:rPr>
                <w:rFonts w:ascii="Arial" w:cs="Arial" w:eastAsia="Arial" w:hAnsi="Arial"/>
                <w:sz w:val="14"/>
                <w:szCs w:val="14"/>
                <w:b w:val="1"/>
                <w:bCs w:val="1"/>
                <w:color w:val="0A33A5"/>
              </w:rPr>
              <w:t>Tech-</w:t>
            </w:r>
          </w:p>
        </w:tc>
        <w:tc>
          <w:tcPr>
            <w:tcW w:w="1100" w:type="dxa"/>
            <w:vAlign w:val="bottom"/>
            <w:vMerge w:val="continue"/>
            <w:shd w:val="clear" w:color="auto" w:fill="DDF2F9"/>
          </w:tcPr>
          <w:p>
            <w:pPr>
              <w:spacing w:after="0"/>
              <w:rPr>
                <w:sz w:val="7"/>
                <w:szCs w:val="7"/>
                <w:color w:val="auto"/>
              </w:rPr>
            </w:pPr>
          </w:p>
        </w:tc>
        <w:tc>
          <w:tcPr>
            <w:tcW w:w="118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CEO/President/</w:t>
            </w:r>
          </w:p>
        </w:tc>
        <w:tc>
          <w:tcPr>
            <w:tcW w:w="1020" w:type="dxa"/>
            <w:vAlign w:val="bottom"/>
            <w:vMerge w:val="restart"/>
            <w:shd w:val="clear" w:color="auto" w:fill="DDF2F9"/>
          </w:tcPr>
          <w:p>
            <w:pPr>
              <w:jc w:val="center"/>
              <w:spacing w:after="0"/>
              <w:rPr>
                <w:sz w:val="20"/>
                <w:szCs w:val="20"/>
                <w:color w:val="auto"/>
              </w:rPr>
            </w:pPr>
            <w:r>
              <w:rPr>
                <w:rFonts w:ascii="Arial" w:cs="Arial" w:eastAsia="Arial" w:hAnsi="Arial"/>
                <w:sz w:val="14"/>
                <w:szCs w:val="14"/>
                <w:b w:val="1"/>
                <w:bCs w:val="1"/>
                <w:color w:val="0A33A5"/>
              </w:rPr>
              <w:t>Diversity</w:t>
            </w:r>
          </w:p>
        </w:tc>
        <w:tc>
          <w:tcPr>
            <w:tcW w:w="0" w:type="dxa"/>
            <w:vAlign w:val="bottom"/>
          </w:tcPr>
          <w:p>
            <w:pPr>
              <w:spacing w:after="0"/>
              <w:rPr>
                <w:sz w:val="1"/>
                <w:szCs w:val="1"/>
                <w:color w:val="auto"/>
              </w:rPr>
            </w:pPr>
          </w:p>
        </w:tc>
      </w:tr>
      <w:tr>
        <w:trPr>
          <w:trHeight w:val="148"/>
        </w:trPr>
        <w:tc>
          <w:tcPr>
            <w:tcW w:w="1580" w:type="dxa"/>
            <w:vAlign w:val="bottom"/>
            <w:vMerge w:val="continue"/>
            <w:shd w:val="clear" w:color="auto" w:fill="DDF2F9"/>
          </w:tcPr>
          <w:p>
            <w:pPr>
              <w:spacing w:after="0"/>
              <w:rPr>
                <w:sz w:val="12"/>
                <w:szCs w:val="12"/>
                <w:color w:val="auto"/>
              </w:rPr>
            </w:pPr>
          </w:p>
        </w:tc>
        <w:tc>
          <w:tcPr>
            <w:tcW w:w="700" w:type="dxa"/>
            <w:vAlign w:val="bottom"/>
            <w:vMerge w:val="continue"/>
            <w:shd w:val="clear" w:color="auto" w:fill="DDF2F9"/>
          </w:tcPr>
          <w:p>
            <w:pPr>
              <w:spacing w:after="0"/>
              <w:rPr>
                <w:sz w:val="12"/>
                <w:szCs w:val="12"/>
                <w:color w:val="auto"/>
              </w:rPr>
            </w:pPr>
          </w:p>
        </w:tc>
        <w:tc>
          <w:tcPr>
            <w:tcW w:w="700" w:type="dxa"/>
            <w:vAlign w:val="bottom"/>
            <w:vMerge w:val="continue"/>
            <w:shd w:val="clear" w:color="auto" w:fill="DDF2F9"/>
          </w:tcPr>
          <w:p>
            <w:pPr>
              <w:spacing w:after="0"/>
              <w:rPr>
                <w:sz w:val="12"/>
                <w:szCs w:val="12"/>
                <w:color w:val="auto"/>
              </w:rPr>
            </w:pPr>
          </w:p>
        </w:tc>
        <w:tc>
          <w:tcPr>
            <w:tcW w:w="920" w:type="dxa"/>
            <w:vAlign w:val="bottom"/>
            <w:vMerge w:val="continue"/>
            <w:shd w:val="clear" w:color="auto" w:fill="DDF2F9"/>
          </w:tcPr>
          <w:p>
            <w:pPr>
              <w:spacing w:after="0"/>
              <w:rPr>
                <w:sz w:val="12"/>
                <w:szCs w:val="12"/>
                <w:color w:val="auto"/>
              </w:rPr>
            </w:pPr>
          </w:p>
        </w:tc>
        <w:tc>
          <w:tcPr>
            <w:tcW w:w="840" w:type="dxa"/>
            <w:vAlign w:val="bottom"/>
            <w:vMerge w:val="continue"/>
            <w:shd w:val="clear" w:color="auto" w:fill="DDF2F9"/>
          </w:tcPr>
          <w:p>
            <w:pPr>
              <w:spacing w:after="0"/>
              <w:rPr>
                <w:sz w:val="12"/>
                <w:szCs w:val="12"/>
                <w:color w:val="auto"/>
              </w:rPr>
            </w:pPr>
          </w:p>
        </w:tc>
        <w:tc>
          <w:tcPr>
            <w:tcW w:w="980" w:type="dxa"/>
            <w:vAlign w:val="bottom"/>
            <w:vMerge w:val="continue"/>
            <w:shd w:val="clear" w:color="auto" w:fill="DDF2F9"/>
          </w:tcPr>
          <w:p>
            <w:pPr>
              <w:spacing w:after="0"/>
              <w:rPr>
                <w:sz w:val="12"/>
                <w:szCs w:val="12"/>
                <w:color w:val="auto"/>
              </w:rPr>
            </w:pPr>
          </w:p>
        </w:tc>
        <w:tc>
          <w:tcPr>
            <w:tcW w:w="700" w:type="dxa"/>
            <w:vAlign w:val="bottom"/>
            <w:vMerge w:val="continue"/>
            <w:shd w:val="clear" w:color="auto" w:fill="DDF2F9"/>
          </w:tcPr>
          <w:p>
            <w:pPr>
              <w:spacing w:after="0"/>
              <w:rPr>
                <w:sz w:val="12"/>
                <w:szCs w:val="12"/>
                <w:color w:val="auto"/>
              </w:rPr>
            </w:pPr>
          </w:p>
        </w:tc>
        <w:tc>
          <w:tcPr>
            <w:tcW w:w="740" w:type="dxa"/>
            <w:vAlign w:val="bottom"/>
            <w:shd w:val="clear" w:color="auto" w:fill="DDF2F9"/>
          </w:tcPr>
          <w:p>
            <w:pPr>
              <w:jc w:val="center"/>
              <w:spacing w:after="0" w:line="148" w:lineRule="exact"/>
              <w:rPr>
                <w:sz w:val="20"/>
                <w:szCs w:val="20"/>
                <w:color w:val="auto"/>
              </w:rPr>
            </w:pPr>
            <w:r>
              <w:rPr>
                <w:rFonts w:ascii="Arial" w:cs="Arial" w:eastAsia="Arial" w:hAnsi="Arial"/>
                <w:sz w:val="14"/>
                <w:szCs w:val="14"/>
                <w:b w:val="1"/>
                <w:bCs w:val="1"/>
                <w:color w:val="0A33A5"/>
              </w:rPr>
              <w:t>Manage-</w:t>
            </w:r>
          </w:p>
        </w:tc>
        <w:tc>
          <w:tcPr>
            <w:tcW w:w="560" w:type="dxa"/>
            <w:vAlign w:val="bottom"/>
            <w:vMerge w:val="continue"/>
            <w:shd w:val="clear" w:color="auto" w:fill="DDF2F9"/>
          </w:tcPr>
          <w:p>
            <w:pPr>
              <w:spacing w:after="0"/>
              <w:rPr>
                <w:sz w:val="12"/>
                <w:szCs w:val="12"/>
                <w:color w:val="auto"/>
              </w:rPr>
            </w:pPr>
          </w:p>
        </w:tc>
        <w:tc>
          <w:tcPr>
            <w:tcW w:w="1100" w:type="dxa"/>
            <w:vAlign w:val="bottom"/>
            <w:shd w:val="clear" w:color="auto" w:fill="DDF2F9"/>
          </w:tcPr>
          <w:p>
            <w:pPr>
              <w:jc w:val="center"/>
              <w:spacing w:after="0" w:line="148" w:lineRule="exact"/>
              <w:rPr>
                <w:sz w:val="20"/>
                <w:szCs w:val="20"/>
                <w:color w:val="auto"/>
              </w:rPr>
            </w:pPr>
            <w:r>
              <w:rPr>
                <w:rFonts w:ascii="Arial" w:cs="Arial" w:eastAsia="Arial" w:hAnsi="Arial"/>
                <w:sz w:val="14"/>
                <w:szCs w:val="14"/>
                <w:b w:val="1"/>
                <w:bCs w:val="1"/>
                <w:color w:val="0A33A5"/>
              </w:rPr>
              <w:t>Educational/</w:t>
            </w:r>
          </w:p>
        </w:tc>
        <w:tc>
          <w:tcPr>
            <w:tcW w:w="1180" w:type="dxa"/>
            <w:vAlign w:val="bottom"/>
            <w:vMerge w:val="continue"/>
            <w:shd w:val="clear" w:color="auto" w:fill="DDF2F9"/>
          </w:tcPr>
          <w:p>
            <w:pPr>
              <w:spacing w:after="0"/>
              <w:rPr>
                <w:sz w:val="12"/>
                <w:szCs w:val="12"/>
                <w:color w:val="auto"/>
              </w:rPr>
            </w:pPr>
          </w:p>
        </w:tc>
        <w:tc>
          <w:tcPr>
            <w:tcW w:w="1020" w:type="dxa"/>
            <w:vAlign w:val="bottom"/>
            <w:vMerge w:val="continue"/>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DDF2F9"/>
          </w:tcPr>
          <w:p>
            <w:pPr>
              <w:ind w:left="400"/>
              <w:spacing w:after="0"/>
              <w:rPr>
                <w:sz w:val="20"/>
                <w:szCs w:val="20"/>
                <w:color w:val="auto"/>
              </w:rPr>
            </w:pPr>
            <w:r>
              <w:rPr>
                <w:rFonts w:ascii="Arial" w:cs="Arial" w:eastAsia="Arial" w:hAnsi="Arial"/>
                <w:sz w:val="14"/>
                <w:szCs w:val="14"/>
                <w:b w:val="1"/>
                <w:bCs w:val="1"/>
                <w:color w:val="0A33A5"/>
              </w:rPr>
              <w:t>Nominees</w:t>
            </w:r>
          </w:p>
        </w:tc>
        <w:tc>
          <w:tcPr>
            <w:tcW w:w="7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Wireless</w:t>
            </w:r>
          </w:p>
        </w:tc>
        <w:tc>
          <w:tcPr>
            <w:tcW w:w="7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Industry</w:t>
            </w:r>
          </w:p>
        </w:tc>
        <w:tc>
          <w:tcPr>
            <w:tcW w:w="9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Accounting</w:t>
            </w:r>
          </w:p>
        </w:tc>
        <w:tc>
          <w:tcPr>
            <w:tcW w:w="8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Customer-</w:t>
            </w:r>
          </w:p>
        </w:tc>
        <w:tc>
          <w:tcPr>
            <w:tcW w:w="9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Affairs</w:t>
            </w:r>
          </w:p>
        </w:tc>
        <w:tc>
          <w:tcPr>
            <w:tcW w:w="7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ional</w:t>
            </w:r>
          </w:p>
        </w:tc>
        <w:tc>
          <w:tcPr>
            <w:tcW w:w="7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ment</w:t>
            </w:r>
          </w:p>
        </w:tc>
        <w:tc>
          <w:tcPr>
            <w:tcW w:w="560" w:type="dxa"/>
            <w:vAlign w:val="bottom"/>
            <w:shd w:val="clear" w:color="auto" w:fill="DDF2F9"/>
          </w:tcPr>
          <w:p>
            <w:pPr>
              <w:ind w:left="40"/>
              <w:spacing w:after="0"/>
              <w:rPr>
                <w:sz w:val="20"/>
                <w:szCs w:val="20"/>
                <w:color w:val="auto"/>
              </w:rPr>
            </w:pPr>
            <w:r>
              <w:rPr>
                <w:rFonts w:ascii="Arial" w:cs="Arial" w:eastAsia="Arial" w:hAnsi="Arial"/>
                <w:sz w:val="14"/>
                <w:szCs w:val="14"/>
                <w:b w:val="1"/>
                <w:bCs w:val="1"/>
                <w:color w:val="0A33A5"/>
              </w:rPr>
              <w:t>nology</w:t>
            </w:r>
          </w:p>
        </w:tc>
        <w:tc>
          <w:tcPr>
            <w:tcW w:w="11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Philanthropic</w:t>
            </w:r>
          </w:p>
        </w:tc>
        <w:tc>
          <w:tcPr>
            <w:tcW w:w="11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Executive</w:t>
            </w:r>
          </w:p>
        </w:tc>
        <w:tc>
          <w:tcPr>
            <w:tcW w:w="10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(Gender/Race)</w:t>
            </w:r>
          </w:p>
        </w:tc>
        <w:tc>
          <w:tcPr>
            <w:tcW w:w="0" w:type="dxa"/>
            <w:vAlign w:val="bottom"/>
          </w:tcPr>
          <w:p>
            <w:pPr>
              <w:spacing w:after="0"/>
              <w:rPr>
                <w:sz w:val="1"/>
                <w:szCs w:val="1"/>
                <w:color w:val="auto"/>
              </w:rPr>
            </w:pPr>
          </w:p>
        </w:tc>
      </w:tr>
      <w:tr>
        <w:trPr>
          <w:trHeight w:val="122"/>
        </w:trPr>
        <w:tc>
          <w:tcPr>
            <w:tcW w:w="1580" w:type="dxa"/>
            <w:vAlign w:val="bottom"/>
            <w:tcBorders>
              <w:bottom w:val="single" w:sz="8" w:color="auto"/>
            </w:tcBorders>
            <w:shd w:val="clear" w:color="auto" w:fill="DDF2F9"/>
          </w:tcPr>
          <w:p>
            <w:pPr>
              <w:spacing w:after="0"/>
              <w:rPr>
                <w:sz w:val="10"/>
                <w:szCs w:val="10"/>
                <w:color w:val="auto"/>
              </w:rPr>
            </w:pPr>
          </w:p>
        </w:tc>
        <w:tc>
          <w:tcPr>
            <w:tcW w:w="700" w:type="dxa"/>
            <w:vAlign w:val="bottom"/>
            <w:tcBorders>
              <w:bottom w:val="single" w:sz="8" w:color="auto"/>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0A33A5"/>
              </w:rPr>
              <w:t>Industry</w:t>
            </w:r>
          </w:p>
        </w:tc>
        <w:tc>
          <w:tcPr>
            <w:tcW w:w="700" w:type="dxa"/>
            <w:vAlign w:val="bottom"/>
            <w:tcBorders>
              <w:bottom w:val="single" w:sz="8" w:color="auto"/>
            </w:tcBorders>
            <w:shd w:val="clear" w:color="auto" w:fill="DDF2F9"/>
          </w:tcPr>
          <w:p>
            <w:pPr>
              <w:spacing w:after="0"/>
              <w:rPr>
                <w:sz w:val="10"/>
                <w:szCs w:val="10"/>
                <w:color w:val="auto"/>
              </w:rPr>
            </w:pPr>
          </w:p>
        </w:tc>
        <w:tc>
          <w:tcPr>
            <w:tcW w:w="920" w:type="dxa"/>
            <w:vAlign w:val="bottom"/>
            <w:tcBorders>
              <w:bottom w:val="single" w:sz="8" w:color="auto"/>
            </w:tcBorders>
            <w:shd w:val="clear" w:color="auto" w:fill="DDF2F9"/>
          </w:tcPr>
          <w:p>
            <w:pPr>
              <w:spacing w:after="0"/>
              <w:rPr>
                <w:sz w:val="10"/>
                <w:szCs w:val="10"/>
                <w:color w:val="auto"/>
              </w:rPr>
            </w:pPr>
          </w:p>
        </w:tc>
        <w:tc>
          <w:tcPr>
            <w:tcW w:w="840" w:type="dxa"/>
            <w:vAlign w:val="bottom"/>
            <w:tcBorders>
              <w:bottom w:val="single" w:sz="8" w:color="auto"/>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0A33A5"/>
              </w:rPr>
              <w:t>Oriented</w:t>
            </w:r>
          </w:p>
        </w:tc>
        <w:tc>
          <w:tcPr>
            <w:tcW w:w="980" w:type="dxa"/>
            <w:vAlign w:val="bottom"/>
            <w:tcBorders>
              <w:bottom w:val="single" w:sz="8" w:color="auto"/>
            </w:tcBorders>
            <w:shd w:val="clear" w:color="auto" w:fill="DDF2F9"/>
          </w:tcPr>
          <w:p>
            <w:pPr>
              <w:spacing w:after="0"/>
              <w:rPr>
                <w:sz w:val="10"/>
                <w:szCs w:val="10"/>
                <w:color w:val="auto"/>
              </w:rPr>
            </w:pPr>
          </w:p>
        </w:tc>
        <w:tc>
          <w:tcPr>
            <w:tcW w:w="700" w:type="dxa"/>
            <w:vAlign w:val="bottom"/>
            <w:tcBorders>
              <w:bottom w:val="single" w:sz="8" w:color="auto"/>
            </w:tcBorders>
            <w:shd w:val="clear" w:color="auto" w:fill="DDF2F9"/>
          </w:tcPr>
          <w:p>
            <w:pPr>
              <w:spacing w:after="0"/>
              <w:rPr>
                <w:sz w:val="10"/>
                <w:szCs w:val="10"/>
                <w:color w:val="auto"/>
              </w:rPr>
            </w:pPr>
          </w:p>
        </w:tc>
        <w:tc>
          <w:tcPr>
            <w:tcW w:w="740" w:type="dxa"/>
            <w:vAlign w:val="bottom"/>
            <w:tcBorders>
              <w:bottom w:val="single" w:sz="8" w:color="auto"/>
            </w:tcBorders>
            <w:shd w:val="clear" w:color="auto" w:fill="DDF2F9"/>
          </w:tcPr>
          <w:p>
            <w:pPr>
              <w:spacing w:after="0"/>
              <w:rPr>
                <w:sz w:val="10"/>
                <w:szCs w:val="10"/>
                <w:color w:val="auto"/>
              </w:rPr>
            </w:pPr>
          </w:p>
        </w:tc>
        <w:tc>
          <w:tcPr>
            <w:tcW w:w="560" w:type="dxa"/>
            <w:vAlign w:val="bottom"/>
            <w:tcBorders>
              <w:bottom w:val="single" w:sz="8" w:color="auto"/>
            </w:tcBorders>
            <w:shd w:val="clear" w:color="auto" w:fill="DDF2F9"/>
          </w:tcPr>
          <w:p>
            <w:pPr>
              <w:spacing w:after="0"/>
              <w:rPr>
                <w:sz w:val="10"/>
                <w:szCs w:val="10"/>
                <w:color w:val="auto"/>
              </w:rPr>
            </w:pPr>
          </w:p>
        </w:tc>
        <w:tc>
          <w:tcPr>
            <w:tcW w:w="1100" w:type="dxa"/>
            <w:vAlign w:val="bottom"/>
            <w:tcBorders>
              <w:bottom w:val="single" w:sz="8" w:color="auto"/>
            </w:tcBorders>
            <w:shd w:val="clear" w:color="auto" w:fill="DDF2F9"/>
          </w:tcPr>
          <w:p>
            <w:pPr>
              <w:spacing w:after="0"/>
              <w:rPr>
                <w:sz w:val="10"/>
                <w:szCs w:val="10"/>
                <w:color w:val="auto"/>
              </w:rPr>
            </w:pPr>
          </w:p>
        </w:tc>
        <w:tc>
          <w:tcPr>
            <w:tcW w:w="1180" w:type="dxa"/>
            <w:vAlign w:val="bottom"/>
            <w:tcBorders>
              <w:bottom w:val="single" w:sz="8" w:color="auto"/>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0A33A5"/>
              </w:rPr>
              <w:t>Officer</w:t>
            </w:r>
          </w:p>
        </w:tc>
        <w:tc>
          <w:tcPr>
            <w:tcW w:w="1020" w:type="dxa"/>
            <w:vAlign w:val="bottom"/>
            <w:tcBorders>
              <w:bottom w:val="single" w:sz="8" w:color="auto"/>
            </w:tcBorders>
            <w:shd w:val="clear" w:color="auto" w:fill="DDF2F9"/>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40"/>
              <w:spacing w:after="0"/>
              <w:rPr>
                <w:sz w:val="20"/>
                <w:szCs w:val="20"/>
                <w:color w:val="auto"/>
              </w:rPr>
            </w:pPr>
            <w:r>
              <w:rPr>
                <w:rFonts w:ascii="Arial" w:cs="Arial" w:eastAsia="Arial" w:hAnsi="Arial"/>
                <w:sz w:val="14"/>
                <w:szCs w:val="14"/>
                <w:color w:val="auto"/>
              </w:rPr>
              <w:t>Kenneth J.</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8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Bacon*</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40"/>
              <w:spacing w:after="0"/>
              <w:rPr>
                <w:sz w:val="20"/>
                <w:szCs w:val="20"/>
                <w:color w:val="auto"/>
              </w:rPr>
            </w:pPr>
            <w:r>
              <w:rPr>
                <w:rFonts w:ascii="Arial" w:cs="Arial" w:eastAsia="Arial" w:hAnsi="Arial"/>
                <w:sz w:val="14"/>
                <w:szCs w:val="14"/>
                <w:color w:val="auto"/>
              </w:rPr>
              <w:t>Madeline S.</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103"/>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Bell*</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40"/>
              <w:spacing w:after="0"/>
              <w:rPr>
                <w:sz w:val="20"/>
                <w:szCs w:val="20"/>
                <w:color w:val="auto"/>
              </w:rPr>
            </w:pPr>
            <w:r>
              <w:rPr>
                <w:rFonts w:ascii="Arial" w:cs="Arial" w:eastAsia="Arial" w:hAnsi="Arial"/>
                <w:sz w:val="14"/>
                <w:szCs w:val="14"/>
                <w:color w:val="auto"/>
              </w:rPr>
              <w:t>Naomi M.</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vMerge w:val="restart"/>
          </w:tcPr>
          <w:p>
            <w:pPr>
              <w:ind w:left="200"/>
              <w:spacing w:after="0"/>
              <w:rPr>
                <w:sz w:val="20"/>
                <w:szCs w:val="20"/>
                <w:color w:val="auto"/>
              </w:rPr>
            </w:pPr>
            <w:r>
              <w:rPr>
                <w:rFonts w:ascii="Arial" w:cs="Arial" w:eastAsia="Arial" w:hAnsi="Arial"/>
                <w:sz w:val="18"/>
                <w:szCs w:val="18"/>
                <w:color w:val="0A33A5"/>
              </w:rPr>
              <w:t>Ö</w:t>
            </w:r>
          </w:p>
        </w:tc>
        <w:tc>
          <w:tcPr>
            <w:tcW w:w="1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Bergman*</w:t>
            </w: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40"/>
              <w:spacing w:after="0"/>
              <w:rPr>
                <w:sz w:val="20"/>
                <w:szCs w:val="20"/>
                <w:color w:val="auto"/>
              </w:rPr>
            </w:pPr>
            <w:r>
              <w:rPr>
                <w:rFonts w:ascii="Arial" w:cs="Arial" w:eastAsia="Arial" w:hAnsi="Arial"/>
                <w:sz w:val="14"/>
                <w:szCs w:val="14"/>
                <w:color w:val="auto"/>
              </w:rPr>
              <w:t>Edward 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740" w:type="dxa"/>
            <w:vAlign w:val="bottom"/>
          </w:tcPr>
          <w:p>
            <w:pPr>
              <w:spacing w:after="0"/>
              <w:rPr>
                <w:sz w:val="14"/>
                <w:szCs w:val="14"/>
                <w:color w:val="auto"/>
              </w:rPr>
            </w:pPr>
          </w:p>
        </w:tc>
        <w:tc>
          <w:tcPr>
            <w:tcW w:w="560" w:type="dxa"/>
            <w:vAlign w:val="bottom"/>
            <w:vMerge w:val="restart"/>
          </w:tcPr>
          <w:p>
            <w:pPr>
              <w:ind w:left="200"/>
              <w:spacing w:after="0"/>
              <w:rPr>
                <w:sz w:val="20"/>
                <w:szCs w:val="20"/>
                <w:color w:val="auto"/>
              </w:rPr>
            </w:pPr>
            <w:r>
              <w:rPr>
                <w:rFonts w:ascii="Arial" w:cs="Arial" w:eastAsia="Arial" w:hAnsi="Arial"/>
                <w:sz w:val="18"/>
                <w:szCs w:val="18"/>
                <w:color w:val="0A33A5"/>
              </w:rPr>
              <w:t>Ö</w:t>
            </w:r>
          </w:p>
        </w:tc>
        <w:tc>
          <w:tcPr>
            <w:tcW w:w="1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Breen*</w:t>
            </w:r>
          </w:p>
        </w:tc>
        <w:tc>
          <w:tcPr>
            <w:tcW w:w="7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580" w:type="dxa"/>
            <w:vAlign w:val="bottom"/>
          </w:tcPr>
          <w:p>
            <w:pPr>
              <w:ind w:left="40"/>
              <w:spacing w:after="0"/>
              <w:rPr>
                <w:sz w:val="20"/>
                <w:szCs w:val="20"/>
                <w:color w:val="auto"/>
              </w:rPr>
            </w:pPr>
            <w:r>
              <w:rPr>
                <w:rFonts w:ascii="Arial" w:cs="Arial" w:eastAsia="Arial" w:hAnsi="Arial"/>
                <w:sz w:val="14"/>
                <w:szCs w:val="14"/>
                <w:color w:val="auto"/>
              </w:rPr>
              <w:t>Gerald L.</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Hassell*</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40"/>
              <w:spacing w:after="0"/>
              <w:rPr>
                <w:sz w:val="20"/>
                <w:szCs w:val="20"/>
                <w:color w:val="auto"/>
              </w:rPr>
            </w:pPr>
            <w:r>
              <w:rPr>
                <w:rFonts w:ascii="Arial" w:cs="Arial" w:eastAsia="Arial" w:hAnsi="Arial"/>
                <w:sz w:val="14"/>
                <w:szCs w:val="14"/>
                <w:color w:val="auto"/>
              </w:rPr>
              <w:t>Jeffrey A.</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Honickman*</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580" w:type="dxa"/>
            <w:vAlign w:val="bottom"/>
          </w:tcPr>
          <w:p>
            <w:pPr>
              <w:ind w:left="40"/>
              <w:spacing w:after="0"/>
              <w:rPr>
                <w:sz w:val="20"/>
                <w:szCs w:val="20"/>
                <w:color w:val="auto"/>
              </w:rPr>
            </w:pPr>
            <w:r>
              <w:rPr>
                <w:rFonts w:ascii="Arial" w:cs="Arial" w:eastAsia="Arial" w:hAnsi="Arial"/>
                <w:sz w:val="14"/>
                <w:szCs w:val="14"/>
                <w:color w:val="auto"/>
              </w:rPr>
              <w:t>Maritza G.</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84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7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107"/>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Montiel*</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20"/>
              <w:spacing w:after="0"/>
              <w:rPr>
                <w:sz w:val="20"/>
                <w:szCs w:val="20"/>
                <w:color w:val="auto"/>
              </w:rPr>
            </w:pPr>
            <w:r>
              <w:rPr>
                <w:rFonts w:ascii="Arial" w:cs="Arial" w:eastAsia="Arial" w:hAnsi="Arial"/>
                <w:sz w:val="14"/>
                <w:szCs w:val="14"/>
                <w:color w:val="auto"/>
              </w:rPr>
              <w:t>Asuka</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0" w:type="dxa"/>
            <w:vAlign w:val="bottom"/>
          </w:tcPr>
          <w:p>
            <w:pPr>
              <w:spacing w:after="0"/>
              <w:rPr>
                <w:sz w:val="1"/>
                <w:szCs w:val="1"/>
                <w:color w:val="auto"/>
              </w:rPr>
            </w:pPr>
          </w:p>
        </w:tc>
      </w:tr>
      <w:tr>
        <w:trPr>
          <w:trHeight w:val="103"/>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Nakahara*</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40"/>
              <w:spacing w:after="0"/>
              <w:rPr>
                <w:sz w:val="20"/>
                <w:szCs w:val="20"/>
                <w:color w:val="auto"/>
              </w:rPr>
            </w:pPr>
            <w:r>
              <w:rPr>
                <w:rFonts w:ascii="Arial" w:cs="Arial" w:eastAsia="Arial" w:hAnsi="Arial"/>
                <w:sz w:val="14"/>
                <w:szCs w:val="14"/>
                <w:color w:val="auto"/>
              </w:rPr>
              <w:t>David C.</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5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Novak*</w:t>
            </w: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580" w:type="dxa"/>
            <w:vAlign w:val="bottom"/>
          </w:tcPr>
          <w:p>
            <w:pPr>
              <w:ind w:left="40"/>
              <w:spacing w:after="0"/>
              <w:rPr>
                <w:sz w:val="20"/>
                <w:szCs w:val="20"/>
                <w:color w:val="auto"/>
              </w:rPr>
            </w:pPr>
            <w:r>
              <w:rPr>
                <w:rFonts w:ascii="Arial" w:cs="Arial" w:eastAsia="Arial" w:hAnsi="Arial"/>
                <w:sz w:val="14"/>
                <w:szCs w:val="14"/>
                <w:color w:val="auto"/>
              </w:rPr>
              <w:t>Brian L.</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0A33A5"/>
                <w:w w:val="85"/>
              </w:rPr>
              <w:t>Ö</w:t>
            </w: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A33A5"/>
                <w:w w:val="99"/>
              </w:rPr>
              <w:t>Ö</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Roberts</w:t>
            </w: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8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rPr>
                <w:sz w:val="20"/>
                <w:szCs w:val="20"/>
                <w:color w:val="auto"/>
              </w:rPr>
            </w:pPr>
            <w:r>
              <w:rPr>
                <w:rFonts w:ascii="Arial" w:cs="Arial" w:eastAsia="Arial" w:hAnsi="Arial"/>
                <w:sz w:val="14"/>
                <w:szCs w:val="14"/>
                <w:b w:val="1"/>
                <w:bCs w:val="1"/>
                <w:color w:val="auto"/>
              </w:rPr>
              <w:t>* Independent Director</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3900" w:type="dxa"/>
            <w:vAlign w:val="bottom"/>
            <w:gridSpan w:val="4"/>
          </w:tcPr>
          <w:p>
            <w:pPr>
              <w:spacing w:after="0"/>
              <w:rPr>
                <w:sz w:val="20"/>
                <w:szCs w:val="20"/>
                <w:color w:val="auto"/>
              </w:rPr>
            </w:pPr>
            <w:r>
              <w:rPr>
                <w:rFonts w:ascii="Arial" w:cs="Arial" w:eastAsia="Arial" w:hAnsi="Arial"/>
                <w:sz w:val="18"/>
                <w:szCs w:val="18"/>
                <w:b w:val="1"/>
                <w:bCs w:val="1"/>
                <w:color w:val="0A33A5"/>
              </w:rPr>
              <w:t>DIRECTOR NOMINEE BIOGRAPHIES</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160" w:type="dxa"/>
            <w:vAlign w:val="bottom"/>
            <w:tcBorders>
              <w:bottom w:val="single" w:sz="8" w:color="auto"/>
            </w:tcBorders>
            <w:gridSpan w:val="8"/>
          </w:tcPr>
          <w:p>
            <w:pPr>
              <w:spacing w:after="0"/>
              <w:rPr>
                <w:sz w:val="5"/>
                <w:szCs w:val="5"/>
                <w:color w:val="auto"/>
              </w:rPr>
            </w:pPr>
          </w:p>
        </w:tc>
        <w:tc>
          <w:tcPr>
            <w:tcW w:w="1660" w:type="dxa"/>
            <w:vAlign w:val="bottom"/>
            <w:tcBorders>
              <w:bottom w:val="single" w:sz="8" w:color="auto"/>
            </w:tcBorders>
            <w:gridSpan w:val="2"/>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160" w:type="dxa"/>
            <w:vAlign w:val="bottom"/>
            <w:gridSpan w:val="8"/>
          </w:tcPr>
          <w:p>
            <w:pPr>
              <w:spacing w:after="0"/>
              <w:rPr>
                <w:sz w:val="20"/>
                <w:szCs w:val="20"/>
                <w:color w:val="auto"/>
              </w:rPr>
            </w:pPr>
            <w:r>
              <w:rPr>
                <w:rFonts w:ascii="Arial" w:cs="Arial" w:eastAsia="Arial" w:hAnsi="Arial"/>
                <w:sz w:val="18"/>
                <w:szCs w:val="18"/>
                <w:b w:val="1"/>
                <w:bCs w:val="1"/>
                <w:i w:val="1"/>
                <w:iCs w:val="1"/>
                <w:color w:val="0A33A5"/>
              </w:rPr>
              <w:t xml:space="preserve">Kenneth J. Bacon: </w:t>
            </w:r>
            <w:r>
              <w:rPr>
                <w:rFonts w:ascii="Arial" w:cs="Arial" w:eastAsia="Arial" w:hAnsi="Arial"/>
                <w:sz w:val="18"/>
                <w:szCs w:val="18"/>
                <w:color w:val="000000"/>
              </w:rPr>
              <w:t>Mr. Bacon has been a partner at RailField Partners, a financial</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65</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advisory and asset management firm, since his retirement from Fannie Mae in March</w:t>
            </w:r>
          </w:p>
        </w:tc>
        <w:tc>
          <w:tcPr>
            <w:tcW w:w="284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November 2002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2012, where he had served as the Executive Vice President of the multifamily mortgage</w:t>
            </w:r>
          </w:p>
        </w:tc>
        <w:tc>
          <w:tcPr>
            <w:tcW w:w="284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business since July 2005. From January 2005 to July 2005, he served as the interim</w:t>
            </w:r>
          </w:p>
        </w:tc>
        <w:tc>
          <w:tcPr>
            <w:tcW w:w="386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Executive Vice President of Housing and Community Development. Mr. Bacon is a</w:t>
            </w:r>
          </w:p>
        </w:tc>
        <w:tc>
          <w:tcPr>
            <w:tcW w:w="38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2" w:lineRule="exact"/>
              <w:rPr>
                <w:sz w:val="20"/>
                <w:szCs w:val="20"/>
                <w:color w:val="auto"/>
              </w:rPr>
            </w:pPr>
            <w:r>
              <w:rPr>
                <w:rFonts w:ascii="Arial" w:cs="Arial" w:eastAsia="Arial" w:hAnsi="Arial"/>
                <w:sz w:val="18"/>
                <w:szCs w:val="18"/>
                <w:color w:val="auto"/>
              </w:rPr>
              <w:t>member of the National Multifamily Housing Council.</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Ally Financial Inc.</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60" w:type="dxa"/>
            <w:vAlign w:val="bottom"/>
            <w:gridSpan w:val="8"/>
            <w:vMerge w:val="restart"/>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Bacon’s significant experience in government affairs,</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Welltower Inc.</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7160" w:type="dxa"/>
            <w:vAlign w:val="bottom"/>
            <w:gridSpan w:val="8"/>
            <w:vMerge w:val="continue"/>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the financial and housing industries and the non-profit, educational and philanthropic</w:t>
            </w:r>
          </w:p>
        </w:tc>
        <w:tc>
          <w:tcPr>
            <w:tcW w:w="386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0A33A5"/>
              </w:rPr>
              <w:t>Former Public Company Directorships:</w:t>
            </w:r>
          </w:p>
        </w:tc>
        <w:tc>
          <w:tcPr>
            <w:tcW w:w="0" w:type="dxa"/>
            <w:vAlign w:val="bottom"/>
          </w:tcPr>
          <w:p>
            <w:pPr>
              <w:spacing w:after="0"/>
              <w:rPr>
                <w:sz w:val="1"/>
                <w:szCs w:val="1"/>
                <w:color w:val="auto"/>
              </w:rPr>
            </w:pPr>
          </w:p>
        </w:tc>
      </w:tr>
      <w:tr>
        <w:trPr>
          <w:trHeight w:val="81"/>
        </w:trPr>
        <w:tc>
          <w:tcPr>
            <w:tcW w:w="7160" w:type="dxa"/>
            <w:vAlign w:val="bottom"/>
            <w:gridSpan w:val="8"/>
            <w:vMerge w:val="restart"/>
          </w:tcPr>
          <w:p>
            <w:pPr>
              <w:spacing w:after="0"/>
              <w:rPr>
                <w:sz w:val="20"/>
                <w:szCs w:val="20"/>
                <w:color w:val="auto"/>
              </w:rPr>
            </w:pPr>
            <w:r>
              <w:rPr>
                <w:rFonts w:ascii="Arial" w:cs="Arial" w:eastAsia="Arial" w:hAnsi="Arial"/>
                <w:sz w:val="18"/>
                <w:szCs w:val="18"/>
                <w:color w:val="auto"/>
              </w:rPr>
              <w:t>communities as noted above renders him qualified to serve as one of our directors.</w:t>
            </w:r>
          </w:p>
        </w:tc>
        <w:tc>
          <w:tcPr>
            <w:tcW w:w="3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7160" w:type="dxa"/>
            <w:vAlign w:val="bottom"/>
            <w:gridSpan w:val="8"/>
            <w:vMerge w:val="continue"/>
          </w:tcPr>
          <w:p>
            <w:pPr>
              <w:spacing w:after="0"/>
              <w:rPr>
                <w:sz w:val="11"/>
                <w:szCs w:val="11"/>
                <w:color w:val="auto"/>
              </w:rPr>
            </w:pPr>
          </w:p>
        </w:tc>
        <w:tc>
          <w:tcPr>
            <w:tcW w:w="2840" w:type="dxa"/>
            <w:vAlign w:val="bottom"/>
            <w:gridSpan w:val="3"/>
            <w:vMerge w:val="restart"/>
          </w:tcPr>
          <w:p>
            <w:pPr>
              <w:ind w:left="220"/>
              <w:spacing w:after="0"/>
              <w:rPr>
                <w:sz w:val="20"/>
                <w:szCs w:val="20"/>
                <w:color w:val="auto"/>
              </w:rPr>
            </w:pPr>
            <w:r>
              <w:rPr>
                <w:rFonts w:ascii="Arial" w:cs="Arial" w:eastAsia="Arial" w:hAnsi="Arial"/>
                <w:sz w:val="18"/>
                <w:szCs w:val="18"/>
                <w:color w:val="auto"/>
              </w:rPr>
              <w:t>Forest City Realty Trust</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4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7160" w:type="dxa"/>
            <w:vAlign w:val="bottom"/>
            <w:tcBorders>
              <w:bottom w:val="single" w:sz="8" w:color="auto"/>
            </w:tcBorders>
            <w:gridSpan w:val="8"/>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160" w:type="dxa"/>
            <w:vAlign w:val="bottom"/>
            <w:gridSpan w:val="8"/>
          </w:tcPr>
          <w:p>
            <w:pPr>
              <w:spacing w:after="0"/>
              <w:rPr>
                <w:sz w:val="20"/>
                <w:szCs w:val="20"/>
                <w:color w:val="auto"/>
              </w:rPr>
            </w:pPr>
            <w:r>
              <w:rPr>
                <w:rFonts w:ascii="Arial" w:cs="Arial" w:eastAsia="Arial" w:hAnsi="Arial"/>
                <w:sz w:val="18"/>
                <w:szCs w:val="18"/>
                <w:b w:val="1"/>
                <w:bCs w:val="1"/>
                <w:i w:val="1"/>
                <w:iCs w:val="1"/>
                <w:color w:val="0A33A5"/>
              </w:rPr>
              <w:t xml:space="preserve">Madeline S. Bell: </w:t>
            </w:r>
            <w:r>
              <w:rPr>
                <w:rFonts w:ascii="Arial" w:cs="Arial" w:eastAsia="Arial" w:hAnsi="Arial"/>
                <w:sz w:val="18"/>
                <w:szCs w:val="18"/>
                <w:color w:val="000000"/>
              </w:rPr>
              <w:t>Ms. Bell is the President and Chief Executive Officer of The Children’s</w:t>
            </w: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58</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Hospital of Philadelphia (CHOP), a top-ranked children’s hospital in the United States.</w:t>
            </w:r>
          </w:p>
        </w:tc>
        <w:tc>
          <w:tcPr>
            <w:tcW w:w="284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February 2016</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Prior to being promoted to Chief Executive Officer in July 2015, Ms. Bell served as</w:t>
            </w:r>
          </w:p>
        </w:tc>
        <w:tc>
          <w:tcPr>
            <w:tcW w:w="284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CHOP’s Chief Operating Officer for eight years. Ms. Bell began her career as a pediatric</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nurse and moved from a variety of different nursing roles into hospital administration in</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1989, and holds a Master of Science degree in organizational dynamics. Ms. Bell serves</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on the boards of the Federal Reserve Bank of Philadelphia, the Children’s Hospital</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Association, the Leonard Davis Institute of Health Economics and Solutions for Patient</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w w:val="99"/>
              </w:rPr>
              <w:t>Safety, and also serves on the Executive Committee of the Greater Philadelphia Chamber</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8"/>
          </w:tcPr>
          <w:p>
            <w:pPr>
              <w:spacing w:after="0" w:line="202" w:lineRule="exact"/>
              <w:rPr>
                <w:sz w:val="20"/>
                <w:szCs w:val="20"/>
                <w:color w:val="auto"/>
              </w:rPr>
            </w:pPr>
            <w:r>
              <w:rPr>
                <w:rFonts w:ascii="Arial" w:cs="Arial" w:eastAsia="Arial" w:hAnsi="Arial"/>
                <w:sz w:val="18"/>
                <w:szCs w:val="18"/>
                <w:color w:val="auto"/>
              </w:rPr>
              <w:t>of Commerce and is a member of the Chamber’s CEO Council for Growth. Ms. Bell also</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420" w:type="dxa"/>
            <w:vAlign w:val="bottom"/>
            <w:gridSpan w:val="7"/>
          </w:tcPr>
          <w:p>
            <w:pPr>
              <w:spacing w:after="0"/>
              <w:rPr>
                <w:sz w:val="20"/>
                <w:szCs w:val="20"/>
                <w:color w:val="auto"/>
              </w:rPr>
            </w:pPr>
            <w:r>
              <w:rPr>
                <w:rFonts w:ascii="Arial" w:cs="Arial" w:eastAsia="Arial" w:hAnsi="Arial"/>
                <w:sz w:val="18"/>
                <w:szCs w:val="18"/>
                <w:color w:val="auto"/>
              </w:rPr>
              <w:t>serves on the Villanova University College of Nursing Board of Consultors.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right="4000"/>
        <w:spacing w:after="0" w:line="253" w:lineRule="auto"/>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Ms. Bell’s experience and leadership of CHOP as noted</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above and her experience in the non-profit community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Naomi M. Bergman: </w:t>
            </w:r>
            <w:r>
              <w:rPr>
                <w:rFonts w:ascii="Arial" w:cs="Arial" w:eastAsia="Arial" w:hAnsi="Arial"/>
                <w:sz w:val="18"/>
                <w:szCs w:val="18"/>
                <w:color w:val="000000"/>
              </w:rPr>
              <w:t>Ms. Bergman has been a senior executive of Advance, a private</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56</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business that invests in a broad range of media, entertainment, technology,</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w w:val="99"/>
              </w:rPr>
              <w:t xml:space="preserve">Director since: </w:t>
            </w:r>
            <w:r>
              <w:rPr>
                <w:rFonts w:ascii="Arial" w:cs="Arial" w:eastAsia="Arial" w:hAnsi="Arial"/>
                <w:sz w:val="18"/>
                <w:szCs w:val="18"/>
                <w:color w:val="000000"/>
                <w:w w:val="99"/>
              </w:rPr>
              <w:t>Current Nominee for Election</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communications and education companies, since 2016. In her role, Ms. Bergman</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provides strategic guidance to Advance operating companies and investments, and</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focuses on corporate development. Previously, Ms. Bergman was President of Bright</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House Networks, a cable company, from 2010 until 2016, and prior thereto, served in</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Visteon Corporation</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multiple leadership roles at Bright House Networks and Time Warner Cable. Ms. Bergman</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Former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currently serves on the Federal Communications Commission Technological Advisory</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Committee, the board of trustees of the University of Rochester and the boards of</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Cable One, Inc.</w:t>
            </w: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directors of The Cable Center and Adaptive Spirit.</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Ms. Bergman’s extensive experience and leadership in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the cable industry and in providing strategic guidance to companies as noted above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render her qualified to serve as one 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Edward D. Breen: </w:t>
            </w:r>
            <w:r>
              <w:rPr>
                <w:rFonts w:ascii="Arial" w:cs="Arial" w:eastAsia="Arial" w:hAnsi="Arial"/>
                <w:sz w:val="18"/>
                <w:szCs w:val="18"/>
                <w:color w:val="000000"/>
              </w:rPr>
              <w:t>Mr. Breen is the Chief Executive Officer and Executive Chairman of</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64</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DuPont de Nemours, Inc. Before becoming CEO, he was executive chairman of DuPont</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February 2014</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previously served as CEO of DowDuPont and DuPont since 2015. Mr. Breen was the</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Chief Executive Officer of Tyco International Ltd. from July 2002 until September 2012,</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was the Chairman of its Board until March 2016 and was one of its directors until</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260" w:type="dxa"/>
            <w:vAlign w:val="bottom"/>
          </w:tcPr>
          <w:p>
            <w:pPr>
              <w:spacing w:after="0" w:line="184" w:lineRule="exact"/>
              <w:rPr>
                <w:sz w:val="20"/>
                <w:szCs w:val="20"/>
                <w:color w:val="auto"/>
              </w:rPr>
            </w:pPr>
            <w:r>
              <w:rPr>
                <w:rFonts w:ascii="Arial" w:cs="Arial" w:eastAsia="Arial" w:hAnsi="Arial"/>
                <w:sz w:val="18"/>
                <w:szCs w:val="18"/>
                <w:color w:val="auto"/>
              </w:rPr>
              <w:t>September 2016. Prior to joining Tyco International, Mr. Breen was President and Chief</w:t>
            </w:r>
          </w:p>
        </w:tc>
        <w:tc>
          <w:tcPr>
            <w:tcW w:w="3760" w:type="dxa"/>
            <w:vAlign w:val="bottom"/>
          </w:tcPr>
          <w:p>
            <w:pPr>
              <w:ind w:left="120"/>
              <w:spacing w:after="0" w:line="184" w:lineRule="exact"/>
              <w:rPr>
                <w:sz w:val="20"/>
                <w:szCs w:val="20"/>
                <w:color w:val="auto"/>
              </w:rPr>
            </w:pPr>
            <w:r>
              <w:rPr>
                <w:rFonts w:ascii="Arial" w:cs="Arial" w:eastAsia="Arial" w:hAnsi="Arial"/>
                <w:sz w:val="18"/>
                <w:szCs w:val="18"/>
                <w:color w:val="auto"/>
              </w:rPr>
              <w:t>DuPont de Nemours, Inc.</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Operating Officer of Motorola from January 2002 to July 2002; Executive Vice President</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 xml:space="preserve">Corteva, Inc. </w:t>
            </w:r>
            <w:r>
              <w:rPr>
                <w:rFonts w:ascii="Arial" w:cs="Arial" w:eastAsia="Arial" w:hAnsi="Arial"/>
                <w:sz w:val="18"/>
                <w:szCs w:val="18"/>
                <w:i w:val="1"/>
                <w:iCs w:val="1"/>
                <w:color w:val="auto"/>
              </w:rPr>
              <w:t>(not standing for reelection at</w:t>
            </w:r>
          </w:p>
        </w:tc>
        <w:tc>
          <w:tcPr>
            <w:tcW w:w="0" w:type="dxa"/>
            <w:vAlign w:val="bottom"/>
          </w:tcPr>
          <w:p>
            <w:pPr>
              <w:spacing w:after="0"/>
              <w:rPr>
                <w:sz w:val="1"/>
                <w:szCs w:val="1"/>
                <w:color w:val="auto"/>
              </w:rPr>
            </w:pPr>
          </w:p>
        </w:tc>
      </w:tr>
      <w:tr>
        <w:trPr>
          <w:trHeight w:val="221"/>
        </w:trPr>
        <w:tc>
          <w:tcPr>
            <w:tcW w:w="7260" w:type="dxa"/>
            <w:vAlign w:val="bottom"/>
          </w:tcPr>
          <w:p>
            <w:pPr>
              <w:spacing w:after="0"/>
              <w:rPr>
                <w:sz w:val="20"/>
                <w:szCs w:val="20"/>
                <w:color w:val="auto"/>
              </w:rPr>
            </w:pPr>
            <w:r>
              <w:rPr>
                <w:rFonts w:ascii="Arial" w:cs="Arial" w:eastAsia="Arial" w:hAnsi="Arial"/>
                <w:sz w:val="18"/>
                <w:szCs w:val="18"/>
                <w:color w:val="auto"/>
              </w:rPr>
              <w:t>and President of Motorola’s Networks Sector from January 2001 to January 2002;</w:t>
            </w:r>
          </w:p>
        </w:tc>
        <w:tc>
          <w:tcPr>
            <w:tcW w:w="3760" w:type="dxa"/>
            <w:vAlign w:val="bottom"/>
          </w:tcPr>
          <w:p>
            <w:pPr>
              <w:ind w:left="120"/>
              <w:spacing w:after="0"/>
              <w:rPr>
                <w:sz w:val="20"/>
                <w:szCs w:val="20"/>
                <w:color w:val="auto"/>
              </w:rPr>
            </w:pPr>
            <w:r>
              <w:rPr>
                <w:rFonts w:ascii="Arial" w:cs="Arial" w:eastAsia="Arial" w:hAnsi="Arial"/>
                <w:sz w:val="18"/>
                <w:szCs w:val="18"/>
                <w:i w:val="1"/>
                <w:iCs w:val="1"/>
                <w:color w:val="auto"/>
              </w:rPr>
              <w:t>2020 Annual Meeting of Stockholders)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President of Motorola’s Broadband Communications Sector</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Former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from January 2000 to January 2001; Chairman, President and Chief Executive Officer of</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General Instrument Corporation from December 1997 to January 2000; and, prior to</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DowDuPont Inc.</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December 1997, President of General Instrument’s Broadband Networks Group.</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Mr. Breen is a member of the advisory board of New Mountain Capital, and had</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previously served as one of our directors from June 2005 until November 2011.</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Breen’s extensive experience in the technology,</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equipment supplier and consumer product sectors, notably as those sectors relate to the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internet, video and wireless industries, including his various experiences as a president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chief executive officer as noted above, renders him qualified to serve as one of our</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Gerald L. Hassell: </w:t>
            </w:r>
            <w:r>
              <w:rPr>
                <w:rFonts w:ascii="Arial" w:cs="Arial" w:eastAsia="Arial" w:hAnsi="Arial"/>
                <w:sz w:val="18"/>
                <w:szCs w:val="18"/>
                <w:color w:val="000000"/>
              </w:rPr>
              <w:t>Mr. Hassell was the Chief Executive Officer of The Bank of New York</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68</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Mellon from 2011 until July 2017, and was Chairman of its Board until December 2017.</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May 2008</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Prior to the merger of The Bank of New York Company, Inc. and Mellon Financial</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Corporation in July 2007, Mr. Hassell was President of The Bank of New York Company,</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Inc. and The Bank of New York. Mr. Hassell is a member of the board of trustees of Duke</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University, a member of the board of directors of Duke University Health System, Vice</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MetLife, Inc.</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Chairman of Big Brothers/Big Sisters of New York and a member of the board of the</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Former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Lincoln Center for the Performing Arts.</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vMerge w:val="restart"/>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Hassell’s significant experience and leadership in the</w:t>
            </w:r>
          </w:p>
        </w:tc>
        <w:tc>
          <w:tcPr>
            <w:tcW w:w="3760" w:type="dxa"/>
            <w:vAlign w:val="bottom"/>
          </w:tcPr>
          <w:p>
            <w:pPr>
              <w:ind w:left="12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107"/>
        </w:trPr>
        <w:tc>
          <w:tcPr>
            <w:tcW w:w="7260" w:type="dxa"/>
            <w:vAlign w:val="bottom"/>
            <w:vMerge w:val="continue"/>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financial industry, including with respect to consumer financial products and his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experience as a president and chief executive officer as noted above, render him qualified</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to serve as one 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7260" w:type="dxa"/>
            <w:vAlign w:val="bottom"/>
          </w:tcPr>
          <w:p>
            <w:pPr>
              <w:ind w:left="5400"/>
              <w:spacing w:after="0"/>
              <w:rPr>
                <w:sz w:val="20"/>
                <w:szCs w:val="20"/>
                <w:color w:val="auto"/>
              </w:rPr>
            </w:pPr>
            <w:r>
              <w:rPr>
                <w:rFonts w:ascii="Arial" w:cs="Arial" w:eastAsia="Arial" w:hAnsi="Arial"/>
                <w:sz w:val="18"/>
                <w:szCs w:val="18"/>
                <w:color w:val="auto"/>
              </w:rPr>
              <w:t>17</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Jeffrey A. Honickman: </w:t>
            </w:r>
            <w:r>
              <w:rPr>
                <w:rFonts w:ascii="Arial" w:cs="Arial" w:eastAsia="Arial" w:hAnsi="Arial"/>
                <w:sz w:val="18"/>
                <w:szCs w:val="18"/>
                <w:color w:val="000000"/>
              </w:rPr>
              <w:t>Mr. Honickman has served since 1990 as the Chief Executive</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63</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Officer of Pepsi-Cola &amp; National Brand Beverages, Ltd., a bottling and distribution</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December 2005</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company, which includes among its affiliates Pepsi-Cola Bottling Company of New York,</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Inc. and Canada Dry bottling companies from New York to Virginia. He is also the Vice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President and Secretary of Antonio Origlio Inc., a beverage distributor based in</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Philadelphia, Pennsylvania, which does business as Origlio Beverages. He previously</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served as Chairman of the American Beverage Association Board of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Honickman’s significant experience in the wholesale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consumer products industries, including his experience as a chief executive officer as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noted above, renders him qualified to serve as one 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Maritza G. Montiel: </w:t>
            </w:r>
            <w:r>
              <w:rPr>
                <w:rFonts w:ascii="Arial" w:cs="Arial" w:eastAsia="Arial" w:hAnsi="Arial"/>
                <w:sz w:val="18"/>
                <w:szCs w:val="18"/>
                <w:color w:val="000000"/>
              </w:rPr>
              <w:t>Ms. Montiel served as Deputy Chief Executive Officer and Vice</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68</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Chairman of Deloitte LLP from 2011 through her retirement in May 2014. As Deputy Chief</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June 2018</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Executive Officer, among other things, Ms. Montiel led a variety of strategic initiatives,</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including the transformation of the firm’s Federal Government Services Practice. During</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her tenure at Deloitte, she held numerous senior management roles, including Managing</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Partner (Leadership Development and Succession, Deloitte University) from 2009 to 2011</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AptarGroup, Inc.</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Regional Managing Partner from 2001 to 2009, and she was the Advisory Partner for</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McCormick &amp; Company, Incorporated</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many public company clients in which Deloitte was the principal auditor. She also served</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Royal Caribbean Cruises Ltd.</w:t>
            </w: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as a member of Deloitte’s U.S. and Global Board of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Ms. Montiel’s extensive experience and leadership in the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accounting profession, including her experience as the former Deputy Chief Executive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Officer and Vice Chairman of Deloitte, coupled with her skills in corporate governance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matters, render her qualified to serve as one 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Asuka Nakahara: </w:t>
            </w:r>
            <w:r>
              <w:rPr>
                <w:rFonts w:ascii="Arial" w:cs="Arial" w:eastAsia="Arial" w:hAnsi="Arial"/>
                <w:sz w:val="18"/>
                <w:szCs w:val="18"/>
                <w:color w:val="000000"/>
              </w:rPr>
              <w:t>Mr. Nakahara has been a partner of Triton Atlantic Partners, a real</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64</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estate advisory firm and investment vehicle that he co-founded, since 2009. He also has</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February 2017</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served as an Associate Director of the Zell-Lurie Real Estate Center at the Wharton</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60" w:type="dxa"/>
            <w:vAlign w:val="bottom"/>
          </w:tcPr>
          <w:p>
            <w:pPr>
              <w:spacing w:after="0" w:line="202" w:lineRule="exact"/>
              <w:rPr>
                <w:sz w:val="20"/>
                <w:szCs w:val="20"/>
                <w:color w:val="auto"/>
              </w:rPr>
            </w:pPr>
            <w:r>
              <w:rPr>
                <w:rFonts w:ascii="Arial" w:cs="Arial" w:eastAsia="Arial" w:hAnsi="Arial"/>
                <w:sz w:val="18"/>
                <w:szCs w:val="18"/>
                <w:color w:val="auto"/>
              </w:rPr>
              <w:t>School of the University of Pennsylvania for the past 19 years. Mr. Nakahara began his</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Current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career at Trammell Crow Company as a leasing agent in 1980, was named a partner in</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1983 and was promoted to its Chief Financial Officer in 1996, overseeing finance, capital</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CBRE Clarion Global Real Estate Income</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markets, mergers and acquisitions, marketing, Trammell Crow University, human</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Fund</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resources and other new business initiatives. He retired from Trammell Crow in 1999.</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Mr. Nakahara served on the board of, and was the chair of the Investment Committee of,</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the United States Golf Association, and also is a past board member of the PGA of</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America.</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Nakahara’s extensive knowledge of real estate and</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general advisory matters, including his leadership and academic experiences, as well as</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his prior experience as a chief financial officer as noted above, render him qualified to</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serve as one 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7260" w:type="dxa"/>
            <w:vAlign w:val="bottom"/>
          </w:tcPr>
          <w:p>
            <w:pPr>
              <w:ind w:left="5400"/>
              <w:spacing w:after="0"/>
              <w:rPr>
                <w:sz w:val="20"/>
                <w:szCs w:val="20"/>
                <w:color w:val="auto"/>
              </w:rPr>
            </w:pPr>
            <w:r>
              <w:rPr>
                <w:rFonts w:ascii="Arial" w:cs="Arial" w:eastAsia="Arial" w:hAnsi="Arial"/>
                <w:sz w:val="18"/>
                <w:szCs w:val="18"/>
                <w:color w:val="auto"/>
              </w:rPr>
              <w:t>18</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David C. Novak: </w:t>
            </w:r>
            <w:r>
              <w:rPr>
                <w:rFonts w:ascii="Arial" w:cs="Arial" w:eastAsia="Arial" w:hAnsi="Arial"/>
                <w:sz w:val="18"/>
                <w:szCs w:val="18"/>
                <w:color w:val="000000"/>
              </w:rPr>
              <w:t>Mr. Novak is the founder of David Novak Leadership, LLC, which</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67</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provides online leadership training to transform managers into confident, capable</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December 2016</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engaging leaders. Prior to that, Mr. Novak was the Chief Executive Officer of YUM!</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Brands, Inc. from January 2000 until December 2014, and was the Chairman of its Board</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Former Public Company Directorships:</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from January 2001 until December 2014 and the Executive Chairman of its Board from</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January 2015 until May 2016. He also is on the board of Lift-a-Life Novak Family</w:t>
            </w:r>
          </w:p>
        </w:tc>
        <w:tc>
          <w:tcPr>
            <w:tcW w:w="3760" w:type="dxa"/>
            <w:vAlign w:val="bottom"/>
          </w:tcPr>
          <w:p>
            <w:pPr>
              <w:ind w:left="120"/>
              <w:spacing w:after="0" w:line="202" w:lineRule="exact"/>
              <w:rPr>
                <w:sz w:val="20"/>
                <w:szCs w:val="20"/>
                <w:color w:val="auto"/>
              </w:rPr>
            </w:pPr>
            <w:r>
              <w:rPr>
                <w:rFonts w:ascii="Arial" w:cs="Arial" w:eastAsia="Arial" w:hAnsi="Arial"/>
                <w:sz w:val="18"/>
                <w:szCs w:val="18"/>
                <w:color w:val="auto"/>
              </w:rPr>
              <w:t>YUM! Brands, Inc.</w:t>
            </w: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Foundation.</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Novak’s extensive knowledge of customer service-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oriented business practices and talent management, as well as his prior experience as a</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chief executive officer and chairman as noted above, render him qualified to serve as one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of our 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Brian L. Roberts: </w:t>
            </w:r>
            <w:r>
              <w:rPr>
                <w:rFonts w:ascii="Arial" w:cs="Arial" w:eastAsia="Arial" w:hAnsi="Arial"/>
                <w:sz w:val="18"/>
                <w:szCs w:val="18"/>
                <w:color w:val="000000"/>
              </w:rPr>
              <w:t>Mr. Roberts has served as our President since February 1990, as our</w:t>
            </w:r>
          </w:p>
        </w:tc>
        <w:tc>
          <w:tcPr>
            <w:tcW w:w="3760" w:type="dxa"/>
            <w:vAlign w:val="bottom"/>
          </w:tcPr>
          <w:p>
            <w:pPr>
              <w:ind w:left="120"/>
              <w:spacing w:after="0"/>
              <w:rPr>
                <w:sz w:val="20"/>
                <w:szCs w:val="20"/>
                <w:color w:val="auto"/>
              </w:rPr>
            </w:pPr>
            <w:r>
              <w:rPr>
                <w:rFonts w:ascii="Arial" w:cs="Arial" w:eastAsia="Arial" w:hAnsi="Arial"/>
                <w:sz w:val="18"/>
                <w:szCs w:val="18"/>
                <w:b w:val="1"/>
                <w:bCs w:val="1"/>
                <w:color w:val="0A33A5"/>
              </w:rPr>
              <w:t xml:space="preserve">Age: </w:t>
            </w:r>
            <w:r>
              <w:rPr>
                <w:rFonts w:ascii="Arial" w:cs="Arial" w:eastAsia="Arial" w:hAnsi="Arial"/>
                <w:sz w:val="18"/>
                <w:szCs w:val="18"/>
                <w:color w:val="000000"/>
              </w:rPr>
              <w:t>60</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Chief Executive Officer since November 2002 and as our Chairman of the Board since</w:t>
            </w:r>
          </w:p>
        </w:tc>
        <w:tc>
          <w:tcPr>
            <w:tcW w:w="3760" w:type="dxa"/>
            <w:vAlign w:val="bottom"/>
            <w:vMerge w:val="restart"/>
          </w:tcPr>
          <w:p>
            <w:pPr>
              <w:ind w:left="120"/>
              <w:spacing w:after="0"/>
              <w:rPr>
                <w:sz w:val="20"/>
                <w:szCs w:val="20"/>
                <w:color w:val="auto"/>
              </w:rPr>
            </w:pPr>
            <w:r>
              <w:rPr>
                <w:rFonts w:ascii="Arial" w:cs="Arial" w:eastAsia="Arial" w:hAnsi="Arial"/>
                <w:sz w:val="18"/>
                <w:szCs w:val="18"/>
                <w:b w:val="1"/>
                <w:bCs w:val="1"/>
                <w:color w:val="0A33A5"/>
              </w:rPr>
              <w:t xml:space="preserve">Director since: </w:t>
            </w:r>
            <w:r>
              <w:rPr>
                <w:rFonts w:ascii="Arial" w:cs="Arial" w:eastAsia="Arial" w:hAnsi="Arial"/>
                <w:sz w:val="18"/>
                <w:szCs w:val="18"/>
                <w:color w:val="000000"/>
              </w:rPr>
              <w:t>March 1988</w:t>
            </w: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May 2004. As of December 31, 2019, Mr. Roberts, through his ownership of our Class B</w:t>
            </w: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common stock, had sole voting power over 33</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combined voting power of our</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two classes of voting common stock. Mr. Roberts is also a director of the National Cable</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Telecommunications Association, the principal trade association of the cable industry,</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and is a director emeritus of CableLabs, the cable industry’s research and development</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organization.</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260" w:type="dxa"/>
            <w:vAlign w:val="bottom"/>
          </w:tcPr>
          <w:p>
            <w:pPr>
              <w:spacing w:after="0"/>
              <w:rPr>
                <w:sz w:val="20"/>
                <w:szCs w:val="20"/>
                <w:color w:val="auto"/>
              </w:rPr>
            </w:pPr>
            <w:r>
              <w:rPr>
                <w:rFonts w:ascii="Arial" w:cs="Arial" w:eastAsia="Arial" w:hAnsi="Arial"/>
                <w:sz w:val="18"/>
                <w:szCs w:val="18"/>
                <w:b w:val="1"/>
                <w:bCs w:val="1"/>
                <w:i w:val="1"/>
                <w:iCs w:val="1"/>
                <w:color w:val="0A33A5"/>
              </w:rPr>
              <w:t xml:space="preserve">Qualifications: </w:t>
            </w:r>
            <w:r>
              <w:rPr>
                <w:rFonts w:ascii="Arial" w:cs="Arial" w:eastAsia="Arial" w:hAnsi="Arial"/>
                <w:sz w:val="18"/>
                <w:szCs w:val="18"/>
                <w:color w:val="000000"/>
              </w:rPr>
              <w:t>We believe that Mr. Roberts’ extensive experience and leadership in the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internet, video, phone, media and entertainment and wireless industries, including as our</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Chief Executive Officer and President, render him qualified to serve as one of our</w:t>
            </w: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spacing w:after="0"/>
              <w:rPr>
                <w:sz w:val="20"/>
                <w:szCs w:val="20"/>
                <w:color w:val="auto"/>
              </w:rPr>
            </w:pPr>
            <w:r>
              <w:rPr>
                <w:rFonts w:ascii="Arial" w:cs="Arial" w:eastAsia="Arial" w:hAnsi="Arial"/>
                <w:sz w:val="18"/>
                <w:szCs w:val="18"/>
                <w:color w:val="auto"/>
              </w:rPr>
              <w:t>directors.</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26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7260" w:type="dxa"/>
            <w:vAlign w:val="bottom"/>
          </w:tcPr>
          <w:p>
            <w:pPr>
              <w:ind w:left="5400"/>
              <w:spacing w:after="0"/>
              <w:rPr>
                <w:sz w:val="20"/>
                <w:szCs w:val="20"/>
                <w:color w:val="auto"/>
              </w:rPr>
            </w:pPr>
            <w:r>
              <w:rPr>
                <w:rFonts w:ascii="Arial" w:cs="Arial" w:eastAsia="Arial" w:hAnsi="Arial"/>
                <w:sz w:val="18"/>
                <w:szCs w:val="18"/>
                <w:color w:val="auto"/>
              </w:rPr>
              <w:t>19</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PROPOSAL 2: RATIFICATION OF THE APPOINTMENT OF OUR INDEPENDENT AUDITORS</w:t>
      </w:r>
    </w:p>
    <w:p>
      <w:pPr>
        <w:spacing w:after="0" w:line="23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95"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Following the Audit Committee’s review of Deloitte’s performance, the Audit Committee appointed Deloitte to serve as our independent auditors for the year ending December 31, 2020. The Audit Committee and our Board recommend that you ratify this appointment, although your ratification is not required. A partner of Deloitte will be present at the annual meeting and will be available to respond to appropriate questions.</w:t>
      </w:r>
    </w:p>
    <w:p>
      <w:pPr>
        <w:spacing w:after="0" w:line="75"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68" w:lineRule="exact"/>
        <w:rPr>
          <w:sz w:val="20"/>
          <w:szCs w:val="20"/>
          <w:color w:val="auto"/>
        </w:rPr>
      </w:pPr>
    </w:p>
    <w:p>
      <w:pPr>
        <w:ind w:left="120" w:right="820"/>
        <w:spacing w:after="0" w:line="246"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2019 and 2018.</w:t>
      </w:r>
    </w:p>
    <w:p>
      <w:pPr>
        <w:spacing w:after="0" w:line="83"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160" w:type="dxa"/>
            <w:vAlign w:val="bottom"/>
            <w:tcBorders>
              <w:top w:val="single" w:sz="8" w:color="0A33A5"/>
              <w:bottom w:val="single" w:sz="8" w:color="0A33A5"/>
            </w:tcBorders>
            <w:gridSpan w:val="2"/>
            <w:shd w:val="clear" w:color="auto" w:fill="DDF2F9"/>
          </w:tcPr>
          <w:p>
            <w:pPr>
              <w:jc w:val="right"/>
              <w:ind w:right="10"/>
              <w:spacing w:after="0"/>
              <w:rPr>
                <w:sz w:val="20"/>
                <w:szCs w:val="20"/>
                <w:color w:val="auto"/>
              </w:rPr>
            </w:pPr>
            <w:r>
              <w:rPr>
                <w:rFonts w:ascii="Arial" w:cs="Arial" w:eastAsia="Arial" w:hAnsi="Arial"/>
                <w:sz w:val="18"/>
                <w:szCs w:val="18"/>
                <w:color w:val="0A33A5"/>
              </w:rPr>
              <w:t>2019</w:t>
            </w:r>
          </w:p>
        </w:tc>
        <w:tc>
          <w:tcPr>
            <w:tcW w:w="1840" w:type="dxa"/>
            <w:vAlign w:val="bottom"/>
            <w:tcBorders>
              <w:top w:val="single" w:sz="8" w:color="0A33A5"/>
              <w:bottom w:val="single" w:sz="8" w:color="0A33A5"/>
            </w:tcBorders>
            <w:gridSpan w:val="3"/>
            <w:shd w:val="clear" w:color="auto" w:fill="DDF2F9"/>
          </w:tcPr>
          <w:p>
            <w:pPr>
              <w:jc w:val="right"/>
              <w:ind w:right="330"/>
              <w:spacing w:after="0"/>
              <w:rPr>
                <w:sz w:val="20"/>
                <w:szCs w:val="20"/>
                <w:color w:val="auto"/>
              </w:rPr>
            </w:pPr>
            <w:r>
              <w:rPr>
                <w:rFonts w:ascii="Arial" w:cs="Arial" w:eastAsia="Arial" w:hAnsi="Arial"/>
                <w:sz w:val="18"/>
                <w:szCs w:val="18"/>
                <w:color w:val="0A33A5"/>
              </w:rPr>
              <w:t>2018</w:t>
            </w:r>
          </w:p>
        </w:tc>
        <w:tc>
          <w:tcPr>
            <w:tcW w:w="60" w:type="dxa"/>
            <w:vAlign w:val="bottom"/>
            <w:tcBorders>
              <w:top w:val="single" w:sz="8" w:color="0A33A5"/>
              <w:bottom w:val="single" w:sz="8" w:color="0A33A5"/>
            </w:tcBorders>
            <w:shd w:val="clear" w:color="auto" w:fill="DDF2F9"/>
          </w:tcPr>
          <w:p>
            <w:pPr>
              <w:spacing w:after="0"/>
              <w:rPr>
                <w:sz w:val="18"/>
                <w:szCs w:val="18"/>
                <w:color w:val="auto"/>
              </w:rPr>
            </w:pPr>
          </w:p>
        </w:tc>
      </w:tr>
      <w:tr>
        <w:trPr>
          <w:trHeight w:val="195"/>
        </w:trPr>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(in millions)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Audit fees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840" w:type="dxa"/>
            <w:vAlign w:val="bottom"/>
            <w:gridSpan w:val="3"/>
          </w:tcPr>
          <w:p>
            <w:pPr>
              <w:jc w:val="right"/>
              <w:ind w:right="21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Audit-related fees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40" w:type="dxa"/>
            <w:vAlign w:val="bottom"/>
            <w:gridSpan w:val="3"/>
          </w:tcPr>
          <w:p>
            <w:pPr>
              <w:jc w:val="right"/>
              <w:ind w:right="21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Tax fees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40" w:type="dxa"/>
            <w:vAlign w:val="bottom"/>
            <w:gridSpan w:val="3"/>
          </w:tcPr>
          <w:p>
            <w:pPr>
              <w:jc w:val="right"/>
              <w:ind w:right="21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All other fees</w:t>
            </w:r>
          </w:p>
        </w:tc>
        <w:tc>
          <w:tcPr>
            <w:tcW w:w="2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23"/>
        </w:trPr>
        <w:tc>
          <w:tcPr>
            <w:tcW w:w="2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840" w:type="dxa"/>
            <w:vAlign w:val="bottom"/>
            <w:gridSpan w:val="3"/>
          </w:tcPr>
          <w:p>
            <w:pPr>
              <w:jc w:val="right"/>
              <w:ind w:right="21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The increase in audit fees in 2019 is primarily due to fees paid or accrued for incremental audit work related to Sky following the acquisition in the fourth quarter of 2018.</w:t>
      </w:r>
    </w:p>
    <w:p>
      <w:pPr>
        <w:spacing w:after="0" w:line="94"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Audit-related fees consisted of fees paid or accrued for financial due diligence services and attestation services related to contractual and regulatory compliance.</w:t>
      </w:r>
    </w:p>
    <w:p>
      <w:pPr>
        <w:spacing w:after="0" w:line="89"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There were no fees paid or accrued in 2019 and 2018 for tax planning.</w:t>
      </w:r>
    </w:p>
    <w:p>
      <w:pPr>
        <w:spacing w:after="0" w:line="89"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Other fees in 2019 and 2018 primarily consisted of consulting fees paid or accrued relating to previous Sky engagements. Other fees in 2019 and 2018 also included fees paid or accrued for subscription services.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PREAPPROVAL POLICY OF AUDIT COMMITTEE OF SERVICES PERFORMED BY INDEPENDENT AUDITORS</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REPORT OF THE AUDIT COMMITTEE</w:t>
      </w:r>
    </w:p>
    <w:p>
      <w:pPr>
        <w:spacing w:after="0" w:line="12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Global Select Market rules.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p>
    <w:p>
      <w:pPr>
        <w:spacing w:after="0" w:line="9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9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95"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Public Company Accounting Oversight Board (“PCAOB”) AS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and Rule 2-07,</w:t>
      </w:r>
      <w:r>
        <w:rPr>
          <w:rFonts w:ascii="Arial" w:cs="Arial" w:eastAsia="Arial" w:hAnsi="Arial"/>
          <w:sz w:val="18"/>
          <w:szCs w:val="18"/>
          <w:i w:val="1"/>
          <w:iCs w:val="1"/>
          <w:color w:val="auto"/>
        </w:rPr>
        <w:t xml:space="preserve"> Communication with Audit Committees</w:t>
      </w:r>
      <w:r>
        <w:rPr>
          <w:rFonts w:ascii="Arial" w:cs="Arial" w:eastAsia="Arial" w:hAnsi="Arial"/>
          <w:sz w:val="18"/>
          <w:szCs w:val="18"/>
          <w:color w:val="auto"/>
        </w:rPr>
        <w:t>, of Regulation S-X.</w:t>
      </w:r>
    </w:p>
    <w:p>
      <w:pPr>
        <w:spacing w:after="0" w:line="9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9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9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required to be discussed by the applicable requirements of the PCAOB and SEC.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9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Based on the reviews and discussions referred to above, we recommended to the Board, and the Board approved, that the audited consolidated financial statements be included in Comcast’s Annual Report on Form 10-K for the year ended December 31, 2019, filed with the SEC.</w:t>
      </w:r>
    </w:p>
    <w:p>
      <w:pPr>
        <w:spacing w:after="0" w:line="9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2020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2020 and are recommending that Comcast’s shareholders ratify this appointment.</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Members of the Audit Committee</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Jeffrey A. Honickman (Chair)</w:t>
      </w:r>
    </w:p>
    <w:p>
      <w:pPr>
        <w:jc w:val="center"/>
        <w:ind w:right="-119"/>
        <w:spacing w:after="0" w:line="234" w:lineRule="auto"/>
        <w:rPr>
          <w:sz w:val="20"/>
          <w:szCs w:val="20"/>
          <w:color w:val="auto"/>
        </w:rPr>
      </w:pPr>
      <w:r>
        <w:rPr>
          <w:rFonts w:ascii="Arial" w:cs="Arial" w:eastAsia="Arial" w:hAnsi="Arial"/>
          <w:sz w:val="18"/>
          <w:szCs w:val="18"/>
          <w:color w:val="auto"/>
        </w:rPr>
        <w:t>Madeline S. Bell</w:t>
      </w:r>
    </w:p>
    <w:p>
      <w:pPr>
        <w:jc w:val="center"/>
        <w:ind w:right="-119"/>
        <w:spacing w:after="0" w:line="235" w:lineRule="auto"/>
        <w:rPr>
          <w:sz w:val="20"/>
          <w:szCs w:val="20"/>
          <w:color w:val="auto"/>
        </w:rPr>
      </w:pPr>
      <w:r>
        <w:rPr>
          <w:rFonts w:ascii="Arial" w:cs="Arial" w:eastAsia="Arial" w:hAnsi="Arial"/>
          <w:sz w:val="18"/>
          <w:szCs w:val="18"/>
          <w:color w:val="auto"/>
        </w:rPr>
        <w:t>Maritza G. Montiel</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Asuka Nakahara</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PROPOSAL 3: APPROVAL OF AMENDED AND RESTATED 2003 STOCK OPTION PLAN</w:t>
      </w:r>
    </w:p>
    <w:p>
      <w:pPr>
        <w:spacing w:after="0" w:line="126" w:lineRule="exact"/>
        <w:rPr>
          <w:sz w:val="20"/>
          <w:szCs w:val="20"/>
          <w:color w:val="auto"/>
        </w:rPr>
      </w:pPr>
    </w:p>
    <w:p>
      <w:pPr>
        <w:ind w:left="120" w:right="100"/>
        <w:spacing w:after="0" w:line="257" w:lineRule="auto"/>
        <w:rPr>
          <w:sz w:val="20"/>
          <w:szCs w:val="20"/>
          <w:color w:val="auto"/>
        </w:rPr>
      </w:pPr>
      <w:r>
        <w:rPr>
          <w:rFonts w:ascii="Arial" w:cs="Arial" w:eastAsia="Arial" w:hAnsi="Arial"/>
          <w:sz w:val="17"/>
          <w:szCs w:val="17"/>
          <w:color w:val="auto"/>
        </w:rPr>
        <w:t>Our 2003 Stock Option Plan (the “Option Plan”) was adopted by our Board on February 26, 2003 and approved by our shareholders in 2003, 2009, 2011 and, most recently, in 2016. We have used a substantial portion of the current authorized share pool under the Option Plan for existing awards. As a result, on April 10, 2020, the Board approved an amendment to the Option Plan to increase the number of shares available for issuance under the Option Plan by 351,000,000 from 688,000,000 to 1,039,000,000, subject to shareholder approval.</w:t>
      </w:r>
    </w:p>
    <w:p>
      <w:pPr>
        <w:spacing w:after="0" w:line="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connection with the Compensation Committee’s periodic evaluation of the Option Plan and the approval of the amendment to the Option Plan, our Board and Compensation Committee have considered our anticipated future equity needs, our historical equity incentive compensation practices and the advice of the Compensation Committee’s independent compensation consultant. Our Board believes that the increased number of shares available for issuance under the Option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Key Aspects of the Option Plan</w:t>
      </w:r>
    </w:p>
    <w:p>
      <w:pPr>
        <w:spacing w:after="0" w:line="126"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following sets forth key aspects of the Option Plan, and a summary of its material features is provided in “Description of the Option Plan” below.</w:t>
      </w:r>
    </w:p>
    <w:p>
      <w:pPr>
        <w:spacing w:after="0" w:line="48"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Option Plan is administered by our Compensation Committee composed entirely of independent directors.</w:t>
      </w:r>
    </w:p>
    <w:p>
      <w:pPr>
        <w:spacing w:after="0" w:line="63" w:lineRule="exact"/>
        <w:rPr>
          <w:rFonts w:ascii="Arial" w:cs="Arial" w:eastAsia="Arial" w:hAnsi="Arial"/>
          <w:sz w:val="18"/>
          <w:szCs w:val="18"/>
          <w:color w:val="auto"/>
        </w:rPr>
      </w:pPr>
    </w:p>
    <w:p>
      <w:pPr>
        <w:ind w:left="980" w:right="2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Taken together, the proposed increases to the number of shares available for issuance under the Option Plan and RSU Plan (as defined and described in Proposal 4 below), represent approximately 8.5% of our Class A common shares and Class B common shares outstanding (“CSO”) as of the close of business on December 31, 2019 and March 10, 2020.</w:t>
      </w:r>
    </w:p>
    <w:p>
      <w:pPr>
        <w:spacing w:after="0" w:line="54" w:lineRule="exact"/>
        <w:rPr>
          <w:rFonts w:ascii="Arial" w:cs="Arial" w:eastAsia="Arial" w:hAnsi="Arial"/>
          <w:sz w:val="18"/>
          <w:szCs w:val="18"/>
          <w:color w:val="auto"/>
        </w:rPr>
      </w:pPr>
    </w:p>
    <w:p>
      <w:pPr>
        <w:jc w:val="both"/>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Taken together, (i) awards currently outstanding and available for grant under the Option Plan and RSU Plan give rise to dilution of 8.7% of CSO as of December 31, 2019, and (ii) our run rate for 2019 (the percentage of CSO that were granted in 2019) was 1.3% of CSO as of December 31, 2019.</w:t>
      </w:r>
    </w:p>
    <w:p>
      <w:pPr>
        <w:spacing w:after="0" w:line="54" w:lineRule="exact"/>
        <w:rPr>
          <w:rFonts w:ascii="Arial" w:cs="Arial" w:eastAsia="Arial" w:hAnsi="Arial"/>
          <w:sz w:val="18"/>
          <w:szCs w:val="18"/>
          <w:color w:val="auto"/>
        </w:rPr>
      </w:pPr>
    </w:p>
    <w:p>
      <w:pPr>
        <w:ind w:left="980" w:right="100" w:hanging="432"/>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of the close of business on December 31, 2019, 191,607,722 nonqualified stock options were outstanding under the Option Plan, with a weighted average exercise price of $31.84 and a weighted average term of 6.42 years.</w:t>
      </w:r>
    </w:p>
    <w:p>
      <w:pPr>
        <w:spacing w:after="0" w:line="48" w:lineRule="exact"/>
        <w:rPr>
          <w:rFonts w:ascii="Arial" w:cs="Arial" w:eastAsia="Arial" w:hAnsi="Arial"/>
          <w:sz w:val="18"/>
          <w:szCs w:val="18"/>
          <w:color w:val="auto"/>
        </w:rPr>
      </w:pPr>
    </w:p>
    <w:p>
      <w:pPr>
        <w:ind w:left="980" w:right="760" w:hanging="432"/>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14,300 employees received grants under the Option Plan in 2019, including almost all exempt Comcast corporate and Comcast Cable employees with an annual base salary of at least $91,000.</w:t>
      </w:r>
    </w:p>
    <w:p>
      <w:pPr>
        <w:spacing w:after="0" w:line="48" w:lineRule="exact"/>
        <w:rPr>
          <w:rFonts w:ascii="Arial" w:cs="Arial" w:eastAsia="Arial" w:hAnsi="Arial"/>
          <w:sz w:val="18"/>
          <w:szCs w:val="18"/>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dividend equivalents are granted or accrue on any option award.</w:t>
      </w:r>
    </w:p>
    <w:p>
      <w:pPr>
        <w:spacing w:after="0" w:line="63" w:lineRule="exact"/>
        <w:rPr>
          <w:rFonts w:ascii="Arial" w:cs="Arial" w:eastAsia="Arial" w:hAnsi="Arial"/>
          <w:sz w:val="18"/>
          <w:szCs w:val="18"/>
          <w:color w:val="auto"/>
        </w:rPr>
      </w:pPr>
    </w:p>
    <w:p>
      <w:pPr>
        <w:ind w:left="980" w:right="80" w:hanging="432"/>
        <w:spacing w:after="0" w:line="23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awards with a grant date value of $750,000 or more, the award vests in installments over 9.5 years, generally vesting as follows: 30% on the second anniversary of the date of grant, 15% on each of the third through fifth anniversaries of the date of grant; 5% on each of the sixth through ninth anniversaries of the date of grant and 5% on the nine and one-half year anniversary of the date of grant. For awards with a grant date value of less than $750,000, the award vests in installments over five years, generally vesting as follows: 40% on the second anniversary of the date of grant and 20% on each of the third through fifth anniversaries of the date of grant.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60" w:hanging="432"/>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 Plan continues to incorporate a number of corporate governance best practices to further align our equity compensation program with the interests of our shareholders, including:</w:t>
      </w:r>
    </w:p>
    <w:p>
      <w:pPr>
        <w:spacing w:after="0" w:line="30" w:lineRule="exact"/>
        <w:rPr>
          <w:rFonts w:ascii="Arial" w:cs="Arial" w:eastAsia="Arial" w:hAnsi="Arial"/>
          <w:sz w:val="18"/>
          <w:szCs w:val="18"/>
          <w:color w:val="auto"/>
        </w:rPr>
      </w:pPr>
    </w:p>
    <w:p>
      <w:pPr>
        <w:ind w:left="1420" w:right="40" w:hanging="427"/>
        <w:spacing w:after="0" w:line="250" w:lineRule="auto"/>
        <w:tabs>
          <w:tab w:leader="none" w:pos="1420" w:val="left"/>
        </w:tabs>
        <w:numPr>
          <w:ilvl w:val="1"/>
          <w:numId w:val="27"/>
        </w:numPr>
        <w:rPr>
          <w:rFonts w:ascii="Arial" w:cs="Arial" w:eastAsia="Arial" w:hAnsi="Arial"/>
          <w:sz w:val="15"/>
          <w:szCs w:val="15"/>
          <w:color w:val="auto"/>
        </w:rPr>
      </w:pPr>
      <w:r>
        <w:rPr>
          <w:rFonts w:ascii="Arial" w:cs="Arial" w:eastAsia="Arial" w:hAnsi="Arial"/>
          <w:sz w:val="18"/>
          <w:szCs w:val="18"/>
          <w:i w:val="1"/>
          <w:iCs w:val="1"/>
          <w:color w:val="0A33A5"/>
        </w:rPr>
        <w:t xml:space="preserve">No “liberal” share recycling. </w:t>
      </w:r>
      <w:r>
        <w:rPr>
          <w:rFonts w:ascii="Arial" w:cs="Arial" w:eastAsia="Arial" w:hAnsi="Arial"/>
          <w:sz w:val="18"/>
          <w:szCs w:val="18"/>
          <w:color w:val="000000"/>
        </w:rPr>
        <w:t>Shares that are (i) tendered or withheld to satisfy any tax withholding obligations or as</w:t>
      </w:r>
      <w:r>
        <w:rPr>
          <w:rFonts w:ascii="Arial" w:cs="Arial" w:eastAsia="Arial" w:hAnsi="Arial"/>
          <w:sz w:val="18"/>
          <w:szCs w:val="18"/>
          <w:i w:val="1"/>
          <w:iCs w:val="1"/>
          <w:color w:val="0A33A5"/>
        </w:rPr>
        <w:t xml:space="preserve"> </w:t>
      </w:r>
      <w:r>
        <w:rPr>
          <w:rFonts w:ascii="Arial" w:cs="Arial" w:eastAsia="Arial" w:hAnsi="Arial"/>
          <w:sz w:val="18"/>
          <w:szCs w:val="18"/>
          <w:color w:val="000000"/>
        </w:rPr>
        <w:t>payment of an option exercise price or (ii) repurchased on the open market with the proceeds of the option exercise price, in each case, may not again be available for issuance under the Option Plan.</w:t>
      </w:r>
    </w:p>
    <w:p>
      <w:pPr>
        <w:spacing w:after="0" w:line="28" w:lineRule="exact"/>
        <w:rPr>
          <w:rFonts w:ascii="Arial" w:cs="Arial" w:eastAsia="Arial" w:hAnsi="Arial"/>
          <w:sz w:val="15"/>
          <w:szCs w:val="15"/>
          <w:color w:val="auto"/>
        </w:rPr>
      </w:pPr>
    </w:p>
    <w:p>
      <w:pPr>
        <w:ind w:left="1420" w:right="20" w:hanging="427"/>
        <w:spacing w:after="0" w:line="267" w:lineRule="auto"/>
        <w:tabs>
          <w:tab w:leader="none" w:pos="1420" w:val="left"/>
        </w:tabs>
        <w:numPr>
          <w:ilvl w:val="1"/>
          <w:numId w:val="27"/>
        </w:numPr>
        <w:rPr>
          <w:rFonts w:ascii="Arial" w:cs="Arial" w:eastAsia="Arial" w:hAnsi="Arial"/>
          <w:sz w:val="15"/>
          <w:szCs w:val="15"/>
          <w:color w:val="auto"/>
        </w:rPr>
      </w:pPr>
      <w:r>
        <w:rPr>
          <w:rFonts w:ascii="Arial" w:cs="Arial" w:eastAsia="Arial" w:hAnsi="Arial"/>
          <w:sz w:val="18"/>
          <w:szCs w:val="18"/>
          <w:i w:val="1"/>
          <w:iCs w:val="1"/>
          <w:color w:val="0A33A5"/>
        </w:rPr>
        <w:t xml:space="preserve">No “evergreen” feature. </w:t>
      </w:r>
      <w:r>
        <w:rPr>
          <w:rFonts w:ascii="Arial" w:cs="Arial" w:eastAsia="Arial" w:hAnsi="Arial"/>
          <w:sz w:val="18"/>
          <w:szCs w:val="18"/>
          <w:color w:val="000000"/>
        </w:rPr>
        <w:t>The Option Plan does not contain an “evergreen” feature pursuant to which the shares authorized</w:t>
      </w:r>
      <w:r>
        <w:rPr>
          <w:rFonts w:ascii="Arial" w:cs="Arial" w:eastAsia="Arial" w:hAnsi="Arial"/>
          <w:sz w:val="18"/>
          <w:szCs w:val="18"/>
          <w:i w:val="1"/>
          <w:iCs w:val="1"/>
          <w:color w:val="0A33A5"/>
        </w:rPr>
        <w:t xml:space="preserve"> </w:t>
      </w:r>
      <w:r>
        <w:rPr>
          <w:rFonts w:ascii="Arial" w:cs="Arial" w:eastAsia="Arial" w:hAnsi="Arial"/>
          <w:sz w:val="18"/>
          <w:szCs w:val="18"/>
          <w:color w:val="000000"/>
        </w:rPr>
        <w:t>for issuance under the Option Plan can be increased automatically without shareholder approval</w:t>
      </w:r>
    </w:p>
    <w:p>
      <w:pPr>
        <w:spacing w:after="0" w:line="11" w:lineRule="exact"/>
        <w:rPr>
          <w:rFonts w:ascii="Arial" w:cs="Arial" w:eastAsia="Arial" w:hAnsi="Arial"/>
          <w:sz w:val="15"/>
          <w:szCs w:val="15"/>
          <w:color w:val="auto"/>
        </w:rPr>
      </w:pPr>
    </w:p>
    <w:p>
      <w:pPr>
        <w:ind w:left="1420" w:right="80" w:hanging="427"/>
        <w:spacing w:after="0" w:line="267" w:lineRule="auto"/>
        <w:tabs>
          <w:tab w:leader="none" w:pos="1420" w:val="left"/>
        </w:tabs>
        <w:numPr>
          <w:ilvl w:val="1"/>
          <w:numId w:val="27"/>
        </w:numPr>
        <w:rPr>
          <w:rFonts w:ascii="Arial" w:cs="Arial" w:eastAsia="Arial" w:hAnsi="Arial"/>
          <w:sz w:val="15"/>
          <w:szCs w:val="15"/>
          <w:color w:val="auto"/>
        </w:rPr>
      </w:pPr>
      <w:r>
        <w:rPr>
          <w:rFonts w:ascii="Arial" w:cs="Arial" w:eastAsia="Arial" w:hAnsi="Arial"/>
          <w:sz w:val="18"/>
          <w:szCs w:val="18"/>
          <w:i w:val="1"/>
          <w:iCs w:val="1"/>
          <w:color w:val="0A33A5"/>
        </w:rPr>
        <w:t xml:space="preserve">No “liberal” change in control definition. </w:t>
      </w:r>
      <w:r>
        <w:rPr>
          <w:rFonts w:ascii="Arial" w:cs="Arial" w:eastAsia="Arial" w:hAnsi="Arial"/>
          <w:sz w:val="18"/>
          <w:szCs w:val="18"/>
          <w:color w:val="000000"/>
        </w:rPr>
        <w:t>Our change in control definition does not permit acceleration of options unless an</w:t>
      </w:r>
      <w:r>
        <w:rPr>
          <w:rFonts w:ascii="Arial" w:cs="Arial" w:eastAsia="Arial" w:hAnsi="Arial"/>
          <w:sz w:val="18"/>
          <w:szCs w:val="18"/>
          <w:i w:val="1"/>
          <w:iCs w:val="1"/>
          <w:color w:val="0A33A5"/>
        </w:rPr>
        <w:t xml:space="preserve"> </w:t>
      </w:r>
      <w:r>
        <w:rPr>
          <w:rFonts w:ascii="Arial" w:cs="Arial" w:eastAsia="Arial" w:hAnsi="Arial"/>
          <w:sz w:val="18"/>
          <w:szCs w:val="18"/>
          <w:color w:val="000000"/>
        </w:rPr>
        <w:t>actual change in control occurs (see “Terminating Events” below for our definition of a change in control)</w:t>
      </w:r>
    </w:p>
    <w:p>
      <w:pPr>
        <w:spacing w:after="0" w:line="11" w:lineRule="exact"/>
        <w:rPr>
          <w:rFonts w:ascii="Arial" w:cs="Arial" w:eastAsia="Arial" w:hAnsi="Arial"/>
          <w:sz w:val="15"/>
          <w:szCs w:val="15"/>
          <w:color w:val="auto"/>
        </w:rPr>
      </w:pPr>
    </w:p>
    <w:p>
      <w:pPr>
        <w:ind w:left="1420" w:right="540" w:hanging="427"/>
        <w:spacing w:after="0" w:line="267" w:lineRule="auto"/>
        <w:tabs>
          <w:tab w:leader="none" w:pos="1420" w:val="left"/>
        </w:tabs>
        <w:numPr>
          <w:ilvl w:val="1"/>
          <w:numId w:val="27"/>
        </w:numPr>
        <w:rPr>
          <w:rFonts w:ascii="Arial" w:cs="Arial" w:eastAsia="Arial" w:hAnsi="Arial"/>
          <w:sz w:val="15"/>
          <w:szCs w:val="15"/>
          <w:color w:val="auto"/>
        </w:rPr>
      </w:pPr>
      <w:r>
        <w:rPr>
          <w:rFonts w:ascii="Arial" w:cs="Arial" w:eastAsia="Arial" w:hAnsi="Arial"/>
          <w:sz w:val="18"/>
          <w:szCs w:val="18"/>
          <w:i w:val="1"/>
          <w:iCs w:val="1"/>
          <w:color w:val="0A33A5"/>
        </w:rPr>
        <w:t xml:space="preserve">No repricings. </w:t>
      </w:r>
      <w:r>
        <w:rPr>
          <w:rFonts w:ascii="Arial" w:cs="Arial" w:eastAsia="Arial" w:hAnsi="Arial"/>
          <w:sz w:val="18"/>
          <w:szCs w:val="18"/>
          <w:color w:val="000000"/>
        </w:rPr>
        <w:t>No repricing of options or cash rights of any kind is permitted without shareholder approval, including</w:t>
      </w:r>
      <w:r>
        <w:rPr>
          <w:rFonts w:ascii="Arial" w:cs="Arial" w:eastAsia="Arial" w:hAnsi="Arial"/>
          <w:sz w:val="18"/>
          <w:szCs w:val="18"/>
          <w:i w:val="1"/>
          <w:iCs w:val="1"/>
          <w:color w:val="0A33A5"/>
        </w:rPr>
        <w:t xml:space="preserve"> </w:t>
      </w:r>
      <w:r>
        <w:rPr>
          <w:rFonts w:ascii="Arial" w:cs="Arial" w:eastAsia="Arial" w:hAnsi="Arial"/>
          <w:sz w:val="18"/>
          <w:szCs w:val="18"/>
          <w:color w:val="000000"/>
        </w:rPr>
        <w:t>through cancellation and regrant, or repurchase of any option or cash right that is “out of the money.”</w:t>
      </w:r>
    </w:p>
    <w:p>
      <w:pPr>
        <w:spacing w:after="0" w:line="11" w:lineRule="exact"/>
        <w:rPr>
          <w:rFonts w:ascii="Arial" w:cs="Arial" w:eastAsia="Arial" w:hAnsi="Arial"/>
          <w:sz w:val="15"/>
          <w:szCs w:val="15"/>
          <w:color w:val="auto"/>
        </w:rPr>
      </w:pPr>
    </w:p>
    <w:p>
      <w:pPr>
        <w:ind w:left="1420" w:hanging="427"/>
        <w:spacing w:after="0"/>
        <w:tabs>
          <w:tab w:leader="none" w:pos="1420" w:val="left"/>
        </w:tabs>
        <w:numPr>
          <w:ilvl w:val="1"/>
          <w:numId w:val="27"/>
        </w:numPr>
        <w:rPr>
          <w:rFonts w:ascii="Arial" w:cs="Arial" w:eastAsia="Arial" w:hAnsi="Arial"/>
          <w:sz w:val="15"/>
          <w:szCs w:val="15"/>
          <w:color w:val="auto"/>
        </w:rPr>
      </w:pPr>
      <w:r>
        <w:rPr>
          <w:rFonts w:ascii="Arial" w:cs="Arial" w:eastAsia="Arial" w:hAnsi="Arial"/>
          <w:sz w:val="18"/>
          <w:szCs w:val="18"/>
          <w:i w:val="1"/>
          <w:iCs w:val="1"/>
          <w:color w:val="0A33A5"/>
        </w:rPr>
        <w:t xml:space="preserve">No discounted options. </w:t>
      </w:r>
      <w:r>
        <w:rPr>
          <w:rFonts w:ascii="Arial" w:cs="Arial" w:eastAsia="Arial" w:hAnsi="Arial"/>
          <w:sz w:val="18"/>
          <w:szCs w:val="18"/>
          <w:color w:val="000000"/>
        </w:rPr>
        <w:t>No discounted options may be granted under the Option Plan.</w:t>
      </w:r>
    </w:p>
    <w:p>
      <w:pPr>
        <w:spacing w:after="0" w:line="135" w:lineRule="exact"/>
        <w:rPr>
          <w:rFonts w:ascii="Arial" w:cs="Arial" w:eastAsia="Arial" w:hAnsi="Arial"/>
          <w:sz w:val="15"/>
          <w:szCs w:val="15"/>
          <w:color w:val="auto"/>
        </w:rPr>
      </w:pPr>
    </w:p>
    <w:p>
      <w:pPr>
        <w:ind w:left="980" w:hanging="432"/>
        <w:spacing w:after="0" w:line="23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 robust stock ownership policy for our executive officers and other key employees, as well as nonemployee directors. This policy is designed to increase the executives’ ownership stakes in our company and align their interests with the interests of our shareholders. A person who is not in compliance with these guidelines cannot sell or otherwise dispose of any stock until he or she meets the applicable ownership requirement. Information on our stock ownership policy can be found, for our executive officers, below in “Executive Compensation — Compensation Discussion and Analysis — Other Policies and Considerations — Executive Stock Ownership Policy” and for our nonemployee directors, above in “About Our Board and Its Committees — Director Stock Ownership Policy.”</w:t>
      </w:r>
    </w:p>
    <w:p>
      <w:pPr>
        <w:spacing w:after="0" w:line="108" w:lineRule="exact"/>
        <w:rPr>
          <w:rFonts w:ascii="Arial" w:cs="Arial" w:eastAsia="Arial" w:hAnsi="Arial"/>
          <w:sz w:val="18"/>
          <w:szCs w:val="18"/>
          <w:color w:val="auto"/>
        </w:rPr>
      </w:pPr>
    </w:p>
    <w:p>
      <w:pPr>
        <w:ind w:left="980" w:right="40" w:hanging="432"/>
        <w:spacing w:after="0" w:line="23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an incentive compensation recoupment (or “clawback”) policy that may require reimbursement by an executive officer or former executive officer of options granted under the Option Plan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below in “Executive Compensation — Compensation Discussion and Analysis — Other Policies and Considerations — Recoupment (or “Clawback”) Policy.”</w:t>
      </w:r>
    </w:p>
    <w:p>
      <w:pPr>
        <w:spacing w:after="0" w:line="97"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In accordance with applicable NASDAQ Global Select Market rules, our Board is asking shareholders to approve the Option Plan, as so amended and restated. If the Option Plan is not approved, we will not be able to make the proposed additional 351,000,000 shares available for issuance under the Option Plan, but it will otherwise remain in effect. As a result, we will be unable to maintain our current equity grant practices and will be at a significant competitive disadvantage in attracting, retaining and motivating talented individuals who contribute to our success. We may also be compelled to replace equity incentive awards with cash awards, which may not align the interests of our executives and employees with those of our shareholders as effectively as equity incentive awards.</w:t>
      </w:r>
    </w:p>
    <w:p>
      <w:pPr>
        <w:spacing w:after="0" w:line="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shareholders approve the Option Plan, we will file a registration statement on Form S-8 with the SEC, as soon as reasonably practicable after the approval, to register the additional shares available for issuance under the Option Plan.</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Description of the Option Plan</w:t>
      </w:r>
    </w:p>
    <w:p>
      <w:pPr>
        <w:spacing w:after="0" w:line="12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 xml:space="preserve">The following is a summary of the material features of the Option Plan. This summary does not purport to be complete and is qualified in its entirety by reference to the terms of the Option Plan, which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7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0A33A5"/>
        </w:rPr>
        <w:t xml:space="preserve">Types of Awards. </w:t>
      </w:r>
      <w:r>
        <w:rPr>
          <w:rFonts w:ascii="Arial" w:cs="Arial" w:eastAsia="Arial" w:hAnsi="Arial"/>
          <w:sz w:val="18"/>
          <w:szCs w:val="18"/>
          <w:color w:val="000000"/>
        </w:rPr>
        <w:t>The Option Plan provides for the grant of options to purchase shares of Class A common stock. Options granted may be</w:t>
      </w:r>
      <w:r>
        <w:rPr>
          <w:rFonts w:ascii="Arial" w:cs="Arial" w:eastAsia="Arial" w:hAnsi="Arial"/>
          <w:sz w:val="18"/>
          <w:szCs w:val="18"/>
          <w:i w:val="1"/>
          <w:iCs w:val="1"/>
          <w:color w:val="0A33A5"/>
        </w:rPr>
        <w:t xml:space="preserve"> </w:t>
      </w:r>
      <w:r>
        <w:rPr>
          <w:rFonts w:ascii="Arial" w:cs="Arial" w:eastAsia="Arial" w:hAnsi="Arial"/>
          <w:sz w:val="18"/>
          <w:szCs w:val="18"/>
          <w:color w:val="000000"/>
        </w:rPr>
        <w:t>incentive stock options as defined under Section 422(b) of the Internal Revenue Code (“ISOs”), although we have not issued any ISOs since 2003 and have no intention to do so. Options which do not qualify as ISOs and are referred to as nonqualified stock options (together with ISOs, “Options”) may also be granted under the Option Plan. The Option Plan also provides for the grant of tandem cash rights, which are rights to receive a cash payment of an amount per share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determined by the Compensation Committee and specified in the Option document, in lieu of exercising a nonqualified stock option. The tandem cash right cash payment amount per share is limited to not more than the fair market value of a share at the time of exercise over the fair market value of a share on the date of grant. Although provided for under the Option Plan, we have not granted, nor do we currently intend to grant, any such tandem cash rights under the Option Plan. Individuals who receive Options are referred to as “Optionees.”</w:t>
      </w:r>
    </w:p>
    <w:p>
      <w:pPr>
        <w:spacing w:after="0" w:line="7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0A33A5"/>
        </w:rPr>
        <w:t xml:space="preserve">Eligibility. </w:t>
      </w:r>
      <w:r>
        <w:rPr>
          <w:rFonts w:ascii="Arial" w:cs="Arial" w:eastAsia="Arial" w:hAnsi="Arial"/>
          <w:sz w:val="18"/>
          <w:szCs w:val="18"/>
          <w:color w:val="000000"/>
        </w:rPr>
        <w:t>Our employees and employees of our participating subsidiaries, as well as our nonemployee directors, are eligible to receive</w:t>
      </w:r>
      <w:r>
        <w:rPr>
          <w:rFonts w:ascii="Arial" w:cs="Arial" w:eastAsia="Arial" w:hAnsi="Arial"/>
          <w:sz w:val="18"/>
          <w:szCs w:val="18"/>
          <w:i w:val="1"/>
          <w:iCs w:val="1"/>
          <w:color w:val="0A33A5"/>
        </w:rPr>
        <w:t xml:space="preserve"> </w:t>
      </w:r>
      <w:r>
        <w:rPr>
          <w:rFonts w:ascii="Arial" w:cs="Arial" w:eastAsia="Arial" w:hAnsi="Arial"/>
          <w:sz w:val="18"/>
          <w:szCs w:val="18"/>
          <w:color w:val="000000"/>
        </w:rPr>
        <w:t>Options under the Option Plan, although we do not currently grant options to our nine nonemployee directors. Based on the Compensation Committee’s current grant guidelines, the number of employees, including our NEOs, eligible to participate in the Option Plan as of March 10, 2020 is approximately 15,300. The basis for participation in the Option Plan is the Compensation Committee’s decision, in its sole discretion, that an award of Options to an eligible participant will further the Option Plan’s purposes of retaining valued employees, officers and directors by offering them a greater stake in the Company’s success and a closer identity with it, and attracting individuals whose services would be helpful to the Company and would contribute to its success. In exercising its discretion, the Compensation Committee will consider the recommendations of management and the purpose of the Option Plan. The maximum number of shares for which Options may be granted to any single individual in any calendar year is 30 million shares, subject to adjustment in the event of certain corporate events. Employees other than officers are eligible to receive tandem cash rights under the Option Plan. ISOs may only be granted to employees of our company and our subsidiaries.</w:t>
      </w:r>
    </w:p>
    <w:p>
      <w:pPr>
        <w:spacing w:after="0" w:line="7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0A33A5"/>
        </w:rPr>
        <w:t xml:space="preserve">Shares Subject to the Plan. </w:t>
      </w:r>
      <w:r>
        <w:rPr>
          <w:rFonts w:ascii="Arial" w:cs="Arial" w:eastAsia="Arial" w:hAnsi="Arial"/>
          <w:sz w:val="18"/>
          <w:szCs w:val="18"/>
          <w:color w:val="000000"/>
        </w:rPr>
        <w:t>The aggregate number of shares that may be issued under the Option Plan is currently 688,000,000 shares of</w:t>
      </w:r>
      <w:r>
        <w:rPr>
          <w:rFonts w:ascii="Arial" w:cs="Arial" w:eastAsia="Arial" w:hAnsi="Arial"/>
          <w:sz w:val="18"/>
          <w:szCs w:val="18"/>
          <w:i w:val="1"/>
          <w:iCs w:val="1"/>
          <w:color w:val="0A33A5"/>
        </w:rPr>
        <w:t xml:space="preserve"> </w:t>
      </w:r>
      <w:r>
        <w:rPr>
          <w:rFonts w:ascii="Arial" w:cs="Arial" w:eastAsia="Arial" w:hAnsi="Arial"/>
          <w:sz w:val="18"/>
          <w:szCs w:val="18"/>
          <w:color w:val="000000"/>
        </w:rPr>
        <w:t>Class A common stock, subject to adjustment in the event of certain corporate events. Under the amended Option Plan, the number of shares authorized for issuance is 1,039,000,000. As of the close of business on December 31, 2019, of this aggregate amount, 567,983,432 shares had been issued or reserved for issuance under the Option Plan and 120,016,568 Options remained available for grant under the Option Plan. Under the amended Option Plan, such number of Options available for grant would be 471,016,568. Shares deliverable under the Option Plan may consist of either treasury shares or originally issued shares. If an Option granted under the Option Plan is forfeited, terminates or expires without having been exercised in full, the shares subject to such Option will be available again for grant under the Option Plan. The following shares may not again be made available for issuance under the Option Plan: (i) shares not issued or delivered as a result of a “cashless exercise” or shares used to pay the exercise price, (ii) shares withheld to satisfy any tax withholding liabilities of a participant or (iii) shares repurchased on the open market with the proceeds of the option exercise price. As of March 10, 2020, the fair market value of a share of Class A common stock was $39.10.</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A33A5"/>
        </w:rPr>
        <w:t xml:space="preserve">Term of the Plan. </w:t>
      </w:r>
      <w:r>
        <w:rPr>
          <w:rFonts w:ascii="Arial" w:cs="Arial" w:eastAsia="Arial" w:hAnsi="Arial"/>
          <w:sz w:val="18"/>
          <w:szCs w:val="18"/>
          <w:color w:val="000000"/>
        </w:rPr>
        <w:t>The Option Plan will terminate no later than May 19, 2026.</w:t>
      </w:r>
    </w:p>
    <w:p>
      <w:pPr>
        <w:spacing w:after="0" w:line="104"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i w:val="1"/>
          <w:iCs w:val="1"/>
          <w:color w:val="0A33A5"/>
        </w:rPr>
        <w:t xml:space="preserve">Administration. </w:t>
      </w:r>
      <w:r>
        <w:rPr>
          <w:rFonts w:ascii="Arial" w:cs="Arial" w:eastAsia="Arial" w:hAnsi="Arial"/>
          <w:sz w:val="18"/>
          <w:szCs w:val="18"/>
          <w:color w:val="000000"/>
        </w:rPr>
        <w:t>The Option Plan is currently administered by the Compensation Committee, but may be administered by any other</w:t>
      </w:r>
      <w:r>
        <w:rPr>
          <w:rFonts w:ascii="Arial" w:cs="Arial" w:eastAsia="Arial" w:hAnsi="Arial"/>
          <w:sz w:val="18"/>
          <w:szCs w:val="18"/>
          <w:i w:val="1"/>
          <w:iCs w:val="1"/>
          <w:color w:val="0A33A5"/>
        </w:rPr>
        <w:t xml:space="preserve"> </w:t>
      </w:r>
      <w:r>
        <w:rPr>
          <w:rFonts w:ascii="Arial" w:cs="Arial" w:eastAsia="Arial" w:hAnsi="Arial"/>
          <w:sz w:val="18"/>
          <w:szCs w:val="18"/>
          <w:color w:val="000000"/>
        </w:rPr>
        <w:t>committee or subcommittee designated by the Board, provided such committee or subcommittee is composed of two or more nonemployee members of the Board. The Compensation Committee may, in its discretion, delegate its authority under the Option Plan to any person, persons or committee. Our Board is responsible for granting awards under the Option Plan to nonemployee directors.</w:t>
      </w:r>
    </w:p>
    <w:p>
      <w:pPr>
        <w:spacing w:after="0" w:line="91"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Compensation Committee has the authority to interpret the terms of the Option Plan, prescribe, amend and rescind rules and regulations of the Option Plan and make all other determinations necessary or advisable for the administration of the Option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Compensation Committee may have the power to accelerate the vesting date of outstanding Options.</w:t>
      </w:r>
    </w:p>
    <w:p>
      <w:pPr>
        <w:spacing w:after="0" w:line="79" w:lineRule="exact"/>
        <w:rPr>
          <w:sz w:val="20"/>
          <w:szCs w:val="20"/>
          <w:color w:val="auto"/>
        </w:rPr>
      </w:pPr>
    </w:p>
    <w:p>
      <w:pPr>
        <w:ind w:left="120" w:right="260"/>
        <w:spacing w:after="0" w:line="267" w:lineRule="auto"/>
        <w:rPr>
          <w:sz w:val="20"/>
          <w:szCs w:val="20"/>
          <w:color w:val="auto"/>
        </w:rPr>
      </w:pPr>
      <w:r>
        <w:rPr>
          <w:rFonts w:ascii="Arial" w:cs="Arial" w:eastAsia="Arial" w:hAnsi="Arial"/>
          <w:sz w:val="18"/>
          <w:szCs w:val="18"/>
          <w:i w:val="1"/>
          <w:iCs w:val="1"/>
          <w:color w:val="0A33A5"/>
        </w:rPr>
        <w:t xml:space="preserve">Rights as a Shareholder. </w:t>
      </w:r>
      <w:r>
        <w:rPr>
          <w:rFonts w:ascii="Arial" w:cs="Arial" w:eastAsia="Arial" w:hAnsi="Arial"/>
          <w:sz w:val="18"/>
          <w:szCs w:val="18"/>
          <w:color w:val="000000"/>
        </w:rPr>
        <w:t>An Optionee will not have any rights as a shareholder with respect to any shares underlying their Options until</w:t>
      </w:r>
      <w:r>
        <w:rPr>
          <w:rFonts w:ascii="Arial" w:cs="Arial" w:eastAsia="Arial" w:hAnsi="Arial"/>
          <w:sz w:val="18"/>
          <w:szCs w:val="18"/>
          <w:i w:val="1"/>
          <w:iCs w:val="1"/>
          <w:color w:val="0A33A5"/>
        </w:rPr>
        <w:t xml:space="preserve"> </w:t>
      </w:r>
      <w:r>
        <w:rPr>
          <w:rFonts w:ascii="Arial" w:cs="Arial" w:eastAsia="Arial" w:hAnsi="Arial"/>
          <w:sz w:val="18"/>
          <w:szCs w:val="18"/>
          <w:color w:val="000000"/>
        </w:rPr>
        <w:t>the Option is exercised and the Optionee has paid the full purchase price and any applicable taxes relating to such exercise.</w:t>
      </w:r>
    </w:p>
    <w:p>
      <w:pPr>
        <w:spacing w:after="0" w:line="52" w:lineRule="exact"/>
        <w:rPr>
          <w:sz w:val="20"/>
          <w:szCs w:val="20"/>
          <w:color w:val="auto"/>
        </w:rPr>
      </w:pPr>
    </w:p>
    <w:p>
      <w:pPr>
        <w:ind w:left="120" w:right="160"/>
        <w:spacing w:after="0" w:line="250" w:lineRule="auto"/>
        <w:rPr>
          <w:sz w:val="20"/>
          <w:szCs w:val="20"/>
          <w:color w:val="auto"/>
        </w:rPr>
      </w:pPr>
      <w:r>
        <w:rPr>
          <w:rFonts w:ascii="Arial" w:cs="Arial" w:eastAsia="Arial" w:hAnsi="Arial"/>
          <w:sz w:val="18"/>
          <w:szCs w:val="18"/>
          <w:i w:val="1"/>
          <w:iCs w:val="1"/>
          <w:color w:val="0A33A5"/>
        </w:rPr>
        <w:t xml:space="preserve">Exercise Price. </w:t>
      </w:r>
      <w:r>
        <w:rPr>
          <w:rFonts w:ascii="Arial" w:cs="Arial" w:eastAsia="Arial" w:hAnsi="Arial"/>
          <w:sz w:val="18"/>
          <w:szCs w:val="18"/>
          <w:color w:val="000000"/>
        </w:rPr>
        <w:t>The exercise price for each Option will be determined by the Compensation Committee, but will not be less than 100% of</w:t>
      </w:r>
      <w:r>
        <w:rPr>
          <w:rFonts w:ascii="Arial" w:cs="Arial" w:eastAsia="Arial" w:hAnsi="Arial"/>
          <w:sz w:val="18"/>
          <w:szCs w:val="18"/>
          <w:i w:val="1"/>
          <w:iCs w:val="1"/>
          <w:color w:val="0A33A5"/>
        </w:rPr>
        <w:t xml:space="preserve"> </w:t>
      </w:r>
      <w:r>
        <w:rPr>
          <w:rFonts w:ascii="Arial" w:cs="Arial" w:eastAsia="Arial" w:hAnsi="Arial"/>
          <w:sz w:val="18"/>
          <w:szCs w:val="18"/>
          <w:color w:val="000000"/>
        </w:rPr>
        <w:t>the fair market value of a share on the date of grant for any Option. If an ISO is granted to a holder of more than 10% of the combined voting power of our company, the exercise price will be at least 110% of the fair market value of a share on the date of grant.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0A33A5"/>
        </w:rPr>
        <w:t xml:space="preserve">Method of Exercise. </w:t>
      </w:r>
      <w:r>
        <w:rPr>
          <w:rFonts w:ascii="Arial" w:cs="Arial" w:eastAsia="Arial" w:hAnsi="Arial"/>
          <w:sz w:val="18"/>
          <w:szCs w:val="18"/>
          <w:color w:val="000000"/>
        </w:rPr>
        <w:t>Options will be exercisable, and the payment of the exercise price will be made, in such manner as determined by the</w:t>
      </w:r>
      <w:r>
        <w:rPr>
          <w:rFonts w:ascii="Arial" w:cs="Arial" w:eastAsia="Arial" w:hAnsi="Arial"/>
          <w:sz w:val="18"/>
          <w:szCs w:val="18"/>
          <w:i w:val="1"/>
          <w:iCs w:val="1"/>
          <w:color w:val="0A33A5"/>
        </w:rPr>
        <w:t xml:space="preserve"> </w:t>
      </w:r>
      <w:r>
        <w:rPr>
          <w:rFonts w:ascii="Arial" w:cs="Arial" w:eastAsia="Arial" w:hAnsi="Arial"/>
          <w:sz w:val="18"/>
          <w:szCs w:val="18"/>
          <w:color w:val="000000"/>
        </w:rPr>
        <w:t>Compensation Committee. Currently, payment of the exercise price for an Option is by cashless exercise, whereby we withhold shares to cover the exercise price and taxes instead of selling those shares into the market.</w:t>
      </w:r>
    </w:p>
    <w:p>
      <w:pPr>
        <w:spacing w:after="0" w:line="69" w:lineRule="exact"/>
        <w:rPr>
          <w:sz w:val="20"/>
          <w:szCs w:val="20"/>
          <w:color w:val="auto"/>
        </w:rPr>
      </w:pPr>
    </w:p>
    <w:p>
      <w:pPr>
        <w:ind w:left="120" w:right="20"/>
        <w:spacing w:after="0" w:line="251" w:lineRule="auto"/>
        <w:rPr>
          <w:sz w:val="20"/>
          <w:szCs w:val="20"/>
          <w:color w:val="auto"/>
        </w:rPr>
      </w:pPr>
      <w:r>
        <w:rPr>
          <w:rFonts w:ascii="Arial" w:cs="Arial" w:eastAsia="Arial" w:hAnsi="Arial"/>
          <w:sz w:val="17"/>
          <w:szCs w:val="17"/>
          <w:i w:val="1"/>
          <w:iCs w:val="1"/>
          <w:color w:val="0A33A5"/>
        </w:rPr>
        <w:t xml:space="preserve">Limits on Exercisability. </w:t>
      </w:r>
      <w:r>
        <w:rPr>
          <w:rFonts w:ascii="Arial" w:cs="Arial" w:eastAsia="Arial" w:hAnsi="Arial"/>
          <w:sz w:val="17"/>
          <w:szCs w:val="17"/>
          <w:color w:val="000000"/>
        </w:rPr>
        <w:t>No Option will be exercisable after the expiration of ten years from the date an Option is granted (five years with</w:t>
      </w:r>
      <w:r>
        <w:rPr>
          <w:rFonts w:ascii="Arial" w:cs="Arial" w:eastAsia="Arial" w:hAnsi="Arial"/>
          <w:sz w:val="17"/>
          <w:szCs w:val="17"/>
          <w:i w:val="1"/>
          <w:iCs w:val="1"/>
          <w:color w:val="0A33A5"/>
        </w:rPr>
        <w:t xml:space="preserve"> </w:t>
      </w:r>
      <w:r>
        <w:rPr>
          <w:rFonts w:ascii="Arial" w:cs="Arial" w:eastAsia="Arial" w:hAnsi="Arial"/>
          <w:sz w:val="17"/>
          <w:szCs w:val="17"/>
          <w:color w:val="000000"/>
        </w:rPr>
        <w:t>respect to an ISO held by an Optionee who is a 10% shareholder). Options will be exercisable at such times as determined by the Compensation Committee, but generally an Option will expire on the first to occur of: (i) 90 days after the date of a termination of employment for any reason other than disability, death or “Cause” (as defined in the Option Plan); provided that the Compensation Committee may specify in the document governing the Option that an Option may be exercisable during a longer period after the Optionee ceases to be an employee, but in no event later than the expiration of the Option term specified in such document; (ii) one year (unless a longer period is established by the Compensation Committee) after the date of termination of employment due to death or disability; or</w:t>
      </w:r>
    </w:p>
    <w:p>
      <w:pPr>
        <w:spacing w:after="0" w:line="4" w:lineRule="exact"/>
        <w:rPr>
          <w:sz w:val="20"/>
          <w:szCs w:val="20"/>
          <w:color w:val="auto"/>
        </w:rPr>
      </w:pPr>
    </w:p>
    <w:p>
      <w:pPr>
        <w:ind w:left="120" w:hanging="4"/>
        <w:spacing w:after="0"/>
        <w:tabs>
          <w:tab w:leader="none" w:pos="4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employment for “Cause.” In the event of a termination for “Cause,” in addition to immediate termination of the Option, the Optionee, upon a determination by the Compensation Committee, will forfeit all shares resulting from the exercise of an Option for which we have not yet delivered stock, upon refund by us of the exercise price of the Option.</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A33A5"/>
        </w:rPr>
        <w:t xml:space="preserve">Cash Rights. </w:t>
      </w:r>
      <w:r>
        <w:rPr>
          <w:rFonts w:ascii="Arial" w:cs="Arial" w:eastAsia="Arial" w:hAnsi="Arial"/>
          <w:sz w:val="18"/>
          <w:szCs w:val="18"/>
          <w:color w:val="000000"/>
        </w:rPr>
        <w:t>As described above, the Option Plan provides that the Compensation Committee may, in its sole discretion, give an Optionee</w:t>
      </w:r>
      <w:r>
        <w:rPr>
          <w:rFonts w:ascii="Arial" w:cs="Arial" w:eastAsia="Arial" w:hAnsi="Arial"/>
          <w:sz w:val="18"/>
          <w:szCs w:val="18"/>
          <w:i w:val="1"/>
          <w:iCs w:val="1"/>
          <w:color w:val="0A33A5"/>
        </w:rPr>
        <w:t xml:space="preserve"> </w:t>
      </w:r>
      <w:r>
        <w:rPr>
          <w:rFonts w:ascii="Arial" w:cs="Arial" w:eastAsia="Arial" w:hAnsi="Arial"/>
          <w:sz w:val="18"/>
          <w:szCs w:val="18"/>
          <w:color w:val="000000"/>
        </w:rPr>
        <w:t>the right to receive a cash payment of an amount per share determined by the Compensation Committee and specified in the Option document, in lieu of exercising a nonqualified stock option. Such rights are subject to the same vesting, expiration and transferability terms as the Options to which they are attached. Tandem cash rights may only be granted in connection with Options and may not be exercised separately. The per share cash payment amount for tandem cash rights provided under the Option Plan is limited to not more than the fair market value of a share at the time of exercise over the fair market value of a share on the date of grant. Officers are not eligible to receive tandem cash rights under the Option Plan.</w:t>
      </w:r>
    </w:p>
    <w:p>
      <w:pPr>
        <w:spacing w:after="0" w:line="77"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i w:val="1"/>
          <w:iCs w:val="1"/>
          <w:color w:val="0A33A5"/>
        </w:rPr>
        <w:t xml:space="preserve">Transferability. </w:t>
      </w:r>
      <w:r>
        <w:rPr>
          <w:rFonts w:ascii="Arial" w:cs="Arial" w:eastAsia="Arial" w:hAnsi="Arial"/>
          <w:sz w:val="18"/>
          <w:szCs w:val="18"/>
          <w:color w:val="000000"/>
        </w:rPr>
        <w:t>In general, Options are not transferable by the Optionee except by will or by the laws of descent and distribution, and,</w:t>
      </w:r>
      <w:r>
        <w:rPr>
          <w:rFonts w:ascii="Arial" w:cs="Arial" w:eastAsia="Arial" w:hAnsi="Arial"/>
          <w:sz w:val="18"/>
          <w:szCs w:val="18"/>
          <w:i w:val="1"/>
          <w:iCs w:val="1"/>
          <w:color w:val="0A33A5"/>
        </w:rPr>
        <w:t xml:space="preserve"> </w:t>
      </w:r>
      <w:r>
        <w:rPr>
          <w:rFonts w:ascii="Arial" w:cs="Arial" w:eastAsia="Arial" w:hAnsi="Arial"/>
          <w:sz w:val="18"/>
          <w:szCs w:val="18"/>
          <w:color w:val="000000"/>
        </w:rPr>
        <w:t>during the lifetime of the Optionee, Options may be exercised only by the Optionee or for the Optionee’s benefit by the Optionee’s attorney-in-fact or guardian. However, the Option Plan provides that the Compensation Committee may, in its discretion, provide that Options may be transferred to a Family Member (as defined in the Option Plan by reference to in General Instruction A.1(a)(5) to Form S-8 under the Securities Act of 1933) of the Optionee, provided that such transfer is without consideration.</w:t>
      </w:r>
    </w:p>
    <w:p>
      <w:pPr>
        <w:spacing w:after="0" w:line="77" w:lineRule="exact"/>
        <w:rPr>
          <w:sz w:val="20"/>
          <w:szCs w:val="20"/>
          <w:color w:val="auto"/>
        </w:rPr>
      </w:pPr>
    </w:p>
    <w:p>
      <w:pPr>
        <w:ind w:left="120" w:right="280"/>
        <w:spacing w:after="0" w:line="245" w:lineRule="auto"/>
        <w:rPr>
          <w:sz w:val="20"/>
          <w:szCs w:val="20"/>
          <w:color w:val="auto"/>
        </w:rPr>
      </w:pPr>
      <w:r>
        <w:rPr>
          <w:rFonts w:ascii="Arial" w:cs="Arial" w:eastAsia="Arial" w:hAnsi="Arial"/>
          <w:sz w:val="18"/>
          <w:szCs w:val="18"/>
          <w:i w:val="1"/>
          <w:iCs w:val="1"/>
          <w:color w:val="0A33A5"/>
        </w:rPr>
        <w:t xml:space="preserve">Termination of Employment. </w:t>
      </w:r>
      <w:r>
        <w:rPr>
          <w:rFonts w:ascii="Arial" w:cs="Arial" w:eastAsia="Arial" w:hAnsi="Arial"/>
          <w:sz w:val="18"/>
          <w:szCs w:val="18"/>
          <w:color w:val="000000"/>
        </w:rPr>
        <w:t>Except as otherwise provided by a retirement policy or in an applicable award or employment or other</w:t>
      </w:r>
      <w:r>
        <w:rPr>
          <w:rFonts w:ascii="Arial" w:cs="Arial" w:eastAsia="Arial" w:hAnsi="Arial"/>
          <w:sz w:val="18"/>
          <w:szCs w:val="18"/>
          <w:i w:val="1"/>
          <w:iCs w:val="1"/>
          <w:color w:val="0A33A5"/>
        </w:rPr>
        <w:t xml:space="preserve"> </w:t>
      </w:r>
      <w:r>
        <w:rPr>
          <w:rFonts w:ascii="Arial" w:cs="Arial" w:eastAsia="Arial" w:hAnsi="Arial"/>
          <w:sz w:val="18"/>
          <w:szCs w:val="18"/>
          <w:color w:val="000000"/>
        </w:rPr>
        <w:t>agreement, upon termination of employment, all awards that are then still subject to restrictions or that have not vested will be forfeited. Please see “Executive Compensation — Potential Payments upon Termination or Change in Control” for information on our retirement policy applicable to our NEOs as it relates to the continued vesting and exercisability of awards following retirement.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A33A5"/>
        </w:rPr>
        <w:t xml:space="preserve">Withholding. </w:t>
      </w:r>
      <w:r>
        <w:rPr>
          <w:rFonts w:ascii="Arial" w:cs="Arial" w:eastAsia="Arial" w:hAnsi="Arial"/>
          <w:sz w:val="18"/>
          <w:szCs w:val="18"/>
          <w:color w:val="000000"/>
        </w:rPr>
        <w:t>Unless otherwise determined by the Compensation Committee, generally any tax liabilities incurred by employees in</w:t>
      </w:r>
      <w:r>
        <w:rPr>
          <w:rFonts w:ascii="Arial" w:cs="Arial" w:eastAsia="Arial" w:hAnsi="Arial"/>
          <w:sz w:val="18"/>
          <w:szCs w:val="18"/>
          <w:i w:val="1"/>
          <w:iCs w:val="1"/>
          <w:color w:val="0A33A5"/>
        </w:rPr>
        <w:t xml:space="preserve"> </w:t>
      </w:r>
      <w:r>
        <w:rPr>
          <w:rFonts w:ascii="Arial" w:cs="Arial" w:eastAsia="Arial" w:hAnsi="Arial"/>
          <w:sz w:val="18"/>
          <w:szCs w:val="18"/>
          <w:color w:val="000000"/>
        </w:rPr>
        <w:t>connection with the exercise of a nonqualified stock option will be satisfied by our withholding a portion of the shares underlying the Option that have a fair market value approximately equal to the minimum amount of taxes required to be withheld by us under applicable law. Subject to certain conditions specified in the Option Plan, an Optionee may elect to have taxes withheld in excess of the minimum amount required to be withheld or may satisfy his or her tax withholding in cash. Tax liabilities incurred in connection with the exercise of an ISO will be satisfied by the Optionee’s payment to us of an amount in cash equal to all taxes required to be withheld, unless otherwise determined by the Compensation Committee.</w:t>
      </w:r>
    </w:p>
    <w:p>
      <w:pPr>
        <w:spacing w:after="0" w:line="77" w:lineRule="exact"/>
        <w:rPr>
          <w:sz w:val="20"/>
          <w:szCs w:val="20"/>
          <w:color w:val="auto"/>
        </w:rPr>
      </w:pPr>
    </w:p>
    <w:p>
      <w:pPr>
        <w:ind w:left="120" w:right="380"/>
        <w:spacing w:after="0" w:line="245" w:lineRule="auto"/>
        <w:rPr>
          <w:sz w:val="20"/>
          <w:szCs w:val="20"/>
          <w:color w:val="auto"/>
        </w:rPr>
      </w:pPr>
      <w:r>
        <w:rPr>
          <w:rFonts w:ascii="Arial" w:cs="Arial" w:eastAsia="Arial" w:hAnsi="Arial"/>
          <w:sz w:val="18"/>
          <w:szCs w:val="18"/>
          <w:i w:val="1"/>
          <w:iCs w:val="1"/>
          <w:color w:val="0A33A5"/>
        </w:rPr>
        <w:t xml:space="preserve">Adjustments. </w:t>
      </w:r>
      <w:r>
        <w:rPr>
          <w:rFonts w:ascii="Arial" w:cs="Arial" w:eastAsia="Arial" w:hAnsi="Arial"/>
          <w:sz w:val="18"/>
          <w:szCs w:val="18"/>
          <w:color w:val="000000"/>
        </w:rPr>
        <w:t>If shares are exchanged for a different number or kind of shares of our company through merger, recapitalization, stock</w:t>
      </w:r>
      <w:r>
        <w:rPr>
          <w:rFonts w:ascii="Arial" w:cs="Arial" w:eastAsia="Arial" w:hAnsi="Arial"/>
          <w:sz w:val="18"/>
          <w:szCs w:val="18"/>
          <w:i w:val="1"/>
          <w:iCs w:val="1"/>
          <w:color w:val="0A33A5"/>
        </w:rPr>
        <w:t xml:space="preserve"> </w:t>
      </w:r>
      <w:r>
        <w:rPr>
          <w:rFonts w:ascii="Arial" w:cs="Arial" w:eastAsia="Arial" w:hAnsi="Arial"/>
          <w:sz w:val="18"/>
          <w:szCs w:val="18"/>
          <w:color w:val="000000"/>
        </w:rPr>
        <w:t>dividend, stock split or other similar capital adjustments, the Board will make such adjustments as it deems appropriate. The Board’s determination will be binding for all purposes of the Option Plan. The Board or Compensation Committee may not reduce the exercise price of an outstanding Option without shareholder approval, except as described in this paragraph.</w:t>
      </w:r>
    </w:p>
    <w:p>
      <w:pPr>
        <w:spacing w:after="0" w:line="73" w:lineRule="exact"/>
        <w:rPr>
          <w:sz w:val="20"/>
          <w:szCs w:val="20"/>
          <w:color w:val="auto"/>
        </w:rPr>
      </w:pPr>
    </w:p>
    <w:p>
      <w:pPr>
        <w:ind w:left="120" w:right="340"/>
        <w:spacing w:after="0" w:line="267" w:lineRule="auto"/>
        <w:rPr>
          <w:sz w:val="20"/>
          <w:szCs w:val="20"/>
          <w:color w:val="auto"/>
        </w:rPr>
      </w:pPr>
      <w:r>
        <w:rPr>
          <w:rFonts w:ascii="Arial" w:cs="Arial" w:eastAsia="Arial" w:hAnsi="Arial"/>
          <w:sz w:val="18"/>
          <w:szCs w:val="18"/>
          <w:i w:val="1"/>
          <w:iCs w:val="1"/>
          <w:color w:val="0A33A5"/>
        </w:rPr>
        <w:t xml:space="preserve">Terminating Events. </w:t>
      </w:r>
      <w:r>
        <w:rPr>
          <w:rFonts w:ascii="Arial" w:cs="Arial" w:eastAsia="Arial" w:hAnsi="Arial"/>
          <w:sz w:val="18"/>
          <w:szCs w:val="18"/>
          <w:color w:val="000000"/>
        </w:rPr>
        <w:t>In the event of a change in control of our company, the Compensation Committee may provide that the Option will</w:t>
      </w:r>
      <w:r>
        <w:rPr>
          <w:rFonts w:ascii="Arial" w:cs="Arial" w:eastAsia="Arial" w:hAnsi="Arial"/>
          <w:sz w:val="18"/>
          <w:szCs w:val="18"/>
          <w:i w:val="1"/>
          <w:iCs w:val="1"/>
          <w:color w:val="0A33A5"/>
        </w:rPr>
        <w:t xml:space="preserve"> </w:t>
      </w:r>
      <w:r>
        <w:rPr>
          <w:rFonts w:ascii="Arial" w:cs="Arial" w:eastAsia="Arial" w:hAnsi="Arial"/>
          <w:sz w:val="18"/>
          <w:szCs w:val="18"/>
          <w:color w:val="000000"/>
        </w:rPr>
        <w:t>become exercisable in full or we may provide that an Optionee must exercise any then-exercisable Options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forfeit such Options. A change in control means the occurrence of any one or more of the following events (i) 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twelve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87"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0A33A5"/>
        </w:rPr>
        <w:t xml:space="preserve">Amendment or Termination. </w:t>
      </w:r>
      <w:r>
        <w:rPr>
          <w:rFonts w:ascii="Arial" w:cs="Arial" w:eastAsia="Arial" w:hAnsi="Arial"/>
          <w:sz w:val="18"/>
          <w:szCs w:val="18"/>
          <w:color w:val="000000"/>
        </w:rPr>
        <w:t>The Option Plan may be amended by our Board or the Compensation Committee and may be terminated by</w:t>
      </w:r>
      <w:r>
        <w:rPr>
          <w:rFonts w:ascii="Arial" w:cs="Arial" w:eastAsia="Arial" w:hAnsi="Arial"/>
          <w:sz w:val="18"/>
          <w:szCs w:val="18"/>
          <w:i w:val="1"/>
          <w:iCs w:val="1"/>
          <w:color w:val="0A33A5"/>
        </w:rPr>
        <w:t xml:space="preserve"> </w:t>
      </w:r>
      <w:r>
        <w:rPr>
          <w:rFonts w:ascii="Arial" w:cs="Arial" w:eastAsia="Arial" w:hAnsi="Arial"/>
          <w:sz w:val="18"/>
          <w:szCs w:val="18"/>
          <w:color w:val="000000"/>
        </w:rPr>
        <w:t>our Board at any time, provided that amendments to change the class of individuals eligible to receive ISOs, extend the expiration date of the Option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Shareholder approval will be obtained for an Option Plan amendment if it is determined to be required by or advisable under applicable law, regulation or NASDAQ Global Select Market rules.</w:t>
      </w:r>
    </w:p>
    <w:p>
      <w:pPr>
        <w:spacing w:after="0" w:line="76" w:lineRule="exact"/>
        <w:rPr>
          <w:sz w:val="20"/>
          <w:szCs w:val="20"/>
          <w:color w:val="auto"/>
        </w:rPr>
      </w:pPr>
    </w:p>
    <w:p>
      <w:pPr>
        <w:ind w:left="120" w:right="20"/>
        <w:spacing w:after="0" w:line="296" w:lineRule="auto"/>
        <w:rPr>
          <w:sz w:val="20"/>
          <w:szCs w:val="20"/>
          <w:color w:val="auto"/>
        </w:rPr>
      </w:pPr>
      <w:r>
        <w:rPr>
          <w:rFonts w:ascii="Arial" w:cs="Arial" w:eastAsia="Arial" w:hAnsi="Arial"/>
          <w:sz w:val="17"/>
          <w:szCs w:val="17"/>
          <w:i w:val="1"/>
          <w:iCs w:val="1"/>
          <w:color w:val="0A33A5"/>
        </w:rPr>
        <w:t xml:space="preserve">New Plan Benefits. </w:t>
      </w:r>
      <w:r>
        <w:rPr>
          <w:rFonts w:ascii="Arial" w:cs="Arial" w:eastAsia="Arial" w:hAnsi="Arial"/>
          <w:sz w:val="17"/>
          <w:szCs w:val="17"/>
          <w:color w:val="000000"/>
        </w:rPr>
        <w:t>Future grants of Options, if any, that will be made to eligible employees are subject to the discretion of the</w:t>
      </w:r>
      <w:r>
        <w:rPr>
          <w:rFonts w:ascii="Arial" w:cs="Arial" w:eastAsia="Arial" w:hAnsi="Arial"/>
          <w:sz w:val="17"/>
          <w:szCs w:val="17"/>
          <w:i w:val="1"/>
          <w:iCs w:val="1"/>
          <w:color w:val="0A33A5"/>
        </w:rPr>
        <w:t xml:space="preserve"> </w:t>
      </w:r>
      <w:r>
        <w:rPr>
          <w:rFonts w:ascii="Arial" w:cs="Arial" w:eastAsia="Arial" w:hAnsi="Arial"/>
          <w:sz w:val="17"/>
          <w:szCs w:val="17"/>
          <w:color w:val="000000"/>
        </w:rPr>
        <w:t>Compensation Committee and, therefore, are not determinable at this time. The following table reflects awards of Options granted in 2019.</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2019 Option Grants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62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0A33A5"/>
              </w:rPr>
              <w:t>Name and Position</w:t>
            </w:r>
          </w:p>
        </w:tc>
        <w:tc>
          <w:tcPr>
            <w:tcW w:w="47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0A33A5"/>
              </w:rPr>
              <w:t>Number of Shares Underlying Options</w:t>
            </w:r>
          </w:p>
        </w:tc>
      </w:tr>
      <w:tr>
        <w:trPr>
          <w:trHeight w:val="28"/>
        </w:trPr>
        <w:tc>
          <w:tcPr>
            <w:tcW w:w="62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184"/>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Brian L. Roberts</w:t>
            </w:r>
          </w:p>
        </w:tc>
        <w:tc>
          <w:tcPr>
            <w:tcW w:w="4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676,400</w:t>
            </w:r>
          </w:p>
        </w:tc>
      </w:tr>
      <w:tr>
        <w:trPr>
          <w:trHeight w:val="201"/>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Chairman of the Board, President and Chief Executive Officer</w:t>
            </w:r>
          </w:p>
        </w:tc>
        <w:tc>
          <w:tcPr>
            <w:tcW w:w="4760" w:type="dxa"/>
            <w:vAlign w:val="bottom"/>
            <w:shd w:val="clear" w:color="auto" w:fill="CCEEFF"/>
          </w:tcPr>
          <w:p>
            <w:pPr>
              <w:spacing w:after="0"/>
              <w:rPr>
                <w:sz w:val="17"/>
                <w:szCs w:val="17"/>
                <w:color w:val="auto"/>
              </w:rPr>
            </w:pPr>
          </w:p>
        </w:tc>
      </w:tr>
      <w:tr>
        <w:trPr>
          <w:trHeight w:val="191"/>
        </w:trPr>
        <w:tc>
          <w:tcPr>
            <w:tcW w:w="6260" w:type="dxa"/>
            <w:vAlign w:val="bottom"/>
          </w:tcPr>
          <w:p>
            <w:pPr>
              <w:ind w:left="80"/>
              <w:spacing w:after="0"/>
              <w:rPr>
                <w:sz w:val="20"/>
                <w:szCs w:val="20"/>
                <w:color w:val="auto"/>
              </w:rPr>
            </w:pPr>
            <w:r>
              <w:rPr>
                <w:rFonts w:ascii="Arial" w:cs="Arial" w:eastAsia="Arial" w:hAnsi="Arial"/>
                <w:sz w:val="16"/>
                <w:szCs w:val="16"/>
                <w:b w:val="1"/>
                <w:bCs w:val="1"/>
                <w:color w:val="auto"/>
              </w:rPr>
              <w:t>Michael J. Cavanagh</w:t>
            </w:r>
          </w:p>
        </w:tc>
        <w:tc>
          <w:tcPr>
            <w:tcW w:w="4760" w:type="dxa"/>
            <w:vAlign w:val="bottom"/>
          </w:tcPr>
          <w:p>
            <w:pPr>
              <w:jc w:val="right"/>
              <w:ind w:right="339"/>
              <w:spacing w:after="0"/>
              <w:rPr>
                <w:sz w:val="20"/>
                <w:szCs w:val="20"/>
                <w:color w:val="auto"/>
              </w:rPr>
            </w:pPr>
            <w:r>
              <w:rPr>
                <w:rFonts w:ascii="Arial" w:cs="Arial" w:eastAsia="Arial" w:hAnsi="Arial"/>
                <w:sz w:val="16"/>
                <w:szCs w:val="16"/>
                <w:color w:val="auto"/>
              </w:rPr>
              <w:t>600,500</w:t>
            </w:r>
          </w:p>
        </w:tc>
      </w:tr>
      <w:tr>
        <w:trPr>
          <w:trHeight w:val="198"/>
        </w:trPr>
        <w:tc>
          <w:tcPr>
            <w:tcW w:w="6260" w:type="dxa"/>
            <w:vAlign w:val="bottom"/>
          </w:tcPr>
          <w:p>
            <w:pPr>
              <w:ind w:left="80"/>
              <w:spacing w:after="0"/>
              <w:rPr>
                <w:sz w:val="20"/>
                <w:szCs w:val="20"/>
                <w:color w:val="auto"/>
              </w:rPr>
            </w:pPr>
            <w:r>
              <w:rPr>
                <w:rFonts w:ascii="Arial" w:cs="Arial" w:eastAsia="Arial" w:hAnsi="Arial"/>
                <w:sz w:val="16"/>
                <w:szCs w:val="16"/>
                <w:color w:val="auto"/>
              </w:rPr>
              <w:t>Chief Financial Officer</w:t>
            </w:r>
          </w:p>
        </w:tc>
        <w:tc>
          <w:tcPr>
            <w:tcW w:w="4760" w:type="dxa"/>
            <w:vAlign w:val="bottom"/>
          </w:tcPr>
          <w:p>
            <w:pPr>
              <w:spacing w:after="0"/>
              <w:rPr>
                <w:sz w:val="17"/>
                <w:szCs w:val="17"/>
                <w:color w:val="auto"/>
              </w:rPr>
            </w:pPr>
          </w:p>
        </w:tc>
      </w:tr>
      <w:tr>
        <w:trPr>
          <w:trHeight w:val="194"/>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Stephen B. Burke</w:t>
            </w:r>
          </w:p>
        </w:tc>
        <w:tc>
          <w:tcPr>
            <w:tcW w:w="4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676,400</w:t>
            </w:r>
          </w:p>
        </w:tc>
      </w:tr>
      <w:tr>
        <w:trPr>
          <w:trHeight w:val="201"/>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Chief Executive Officer, NBCUniversal</w:t>
            </w:r>
          </w:p>
        </w:tc>
        <w:tc>
          <w:tcPr>
            <w:tcW w:w="4760" w:type="dxa"/>
            <w:vAlign w:val="bottom"/>
            <w:shd w:val="clear" w:color="auto" w:fill="CCEEFF"/>
          </w:tcPr>
          <w:p>
            <w:pPr>
              <w:spacing w:after="0"/>
              <w:rPr>
                <w:sz w:val="17"/>
                <w:szCs w:val="17"/>
                <w:color w:val="auto"/>
              </w:rPr>
            </w:pPr>
          </w:p>
        </w:tc>
      </w:tr>
      <w:tr>
        <w:trPr>
          <w:trHeight w:val="191"/>
        </w:trPr>
        <w:tc>
          <w:tcPr>
            <w:tcW w:w="6260" w:type="dxa"/>
            <w:vAlign w:val="bottom"/>
          </w:tcPr>
          <w:p>
            <w:pPr>
              <w:ind w:left="80"/>
              <w:spacing w:after="0"/>
              <w:rPr>
                <w:sz w:val="20"/>
                <w:szCs w:val="20"/>
                <w:color w:val="auto"/>
              </w:rPr>
            </w:pPr>
            <w:r>
              <w:rPr>
                <w:rFonts w:ascii="Arial" w:cs="Arial" w:eastAsia="Arial" w:hAnsi="Arial"/>
                <w:sz w:val="16"/>
                <w:szCs w:val="16"/>
                <w:b w:val="1"/>
                <w:bCs w:val="1"/>
                <w:color w:val="auto"/>
              </w:rPr>
              <w:t>David L. Cohen</w:t>
            </w:r>
          </w:p>
        </w:tc>
        <w:tc>
          <w:tcPr>
            <w:tcW w:w="4760" w:type="dxa"/>
            <w:vAlign w:val="bottom"/>
          </w:tcPr>
          <w:p>
            <w:pPr>
              <w:jc w:val="right"/>
              <w:ind w:right="339"/>
              <w:spacing w:after="0"/>
              <w:rPr>
                <w:sz w:val="20"/>
                <w:szCs w:val="20"/>
                <w:color w:val="auto"/>
              </w:rPr>
            </w:pPr>
            <w:r>
              <w:rPr>
                <w:rFonts w:ascii="Arial" w:cs="Arial" w:eastAsia="Arial" w:hAnsi="Arial"/>
                <w:sz w:val="16"/>
                <w:szCs w:val="16"/>
                <w:color w:val="auto"/>
              </w:rPr>
              <w:t>347,500</w:t>
            </w:r>
          </w:p>
        </w:tc>
      </w:tr>
      <w:tr>
        <w:trPr>
          <w:trHeight w:val="198"/>
        </w:trPr>
        <w:tc>
          <w:tcPr>
            <w:tcW w:w="6260" w:type="dxa"/>
            <w:vAlign w:val="bottom"/>
          </w:tcPr>
          <w:p>
            <w:pPr>
              <w:ind w:left="80"/>
              <w:spacing w:after="0"/>
              <w:rPr>
                <w:sz w:val="20"/>
                <w:szCs w:val="20"/>
                <w:color w:val="auto"/>
              </w:rPr>
            </w:pPr>
            <w:r>
              <w:rPr>
                <w:rFonts w:ascii="Arial" w:cs="Arial" w:eastAsia="Arial" w:hAnsi="Arial"/>
                <w:sz w:val="16"/>
                <w:szCs w:val="16"/>
                <w:color w:val="auto"/>
              </w:rPr>
              <w:t>Senior Executive Vice President</w:t>
            </w:r>
          </w:p>
        </w:tc>
        <w:tc>
          <w:tcPr>
            <w:tcW w:w="4760" w:type="dxa"/>
            <w:vAlign w:val="bottom"/>
          </w:tcPr>
          <w:p>
            <w:pPr>
              <w:spacing w:after="0"/>
              <w:rPr>
                <w:sz w:val="17"/>
                <w:szCs w:val="17"/>
                <w:color w:val="auto"/>
              </w:rPr>
            </w:pPr>
          </w:p>
        </w:tc>
      </w:tr>
      <w:tr>
        <w:trPr>
          <w:trHeight w:val="194"/>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David N. Watson</w:t>
            </w:r>
          </w:p>
        </w:tc>
        <w:tc>
          <w:tcPr>
            <w:tcW w:w="4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411,000</w:t>
            </w:r>
          </w:p>
        </w:tc>
      </w:tr>
      <w:tr>
        <w:trPr>
          <w:trHeight w:val="201"/>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Chief Executive Officer, Comcast Cable</w:t>
            </w:r>
          </w:p>
        </w:tc>
        <w:tc>
          <w:tcPr>
            <w:tcW w:w="4760" w:type="dxa"/>
            <w:vAlign w:val="bottom"/>
            <w:shd w:val="clear" w:color="auto" w:fill="CCEEFF"/>
          </w:tcPr>
          <w:p>
            <w:pPr>
              <w:spacing w:after="0"/>
              <w:rPr>
                <w:sz w:val="17"/>
                <w:szCs w:val="17"/>
                <w:color w:val="auto"/>
              </w:rPr>
            </w:pPr>
          </w:p>
        </w:tc>
      </w:tr>
      <w:tr>
        <w:trPr>
          <w:trHeight w:val="189"/>
        </w:trPr>
        <w:tc>
          <w:tcPr>
            <w:tcW w:w="6260" w:type="dxa"/>
            <w:vAlign w:val="bottom"/>
          </w:tcPr>
          <w:p>
            <w:pPr>
              <w:ind w:left="80"/>
              <w:spacing w:after="0"/>
              <w:rPr>
                <w:sz w:val="20"/>
                <w:szCs w:val="20"/>
                <w:color w:val="auto"/>
              </w:rPr>
            </w:pPr>
            <w:r>
              <w:rPr>
                <w:rFonts w:ascii="Arial" w:cs="Arial" w:eastAsia="Arial" w:hAnsi="Arial"/>
                <w:sz w:val="16"/>
                <w:szCs w:val="16"/>
                <w:b w:val="1"/>
                <w:bCs w:val="1"/>
                <w:color w:val="auto"/>
              </w:rPr>
              <w:t>All executive officers as a group</w:t>
            </w:r>
          </w:p>
        </w:tc>
        <w:tc>
          <w:tcPr>
            <w:tcW w:w="4760" w:type="dxa"/>
            <w:vAlign w:val="bottom"/>
          </w:tcPr>
          <w:p>
            <w:pPr>
              <w:jc w:val="right"/>
              <w:ind w:right="339"/>
              <w:spacing w:after="0"/>
              <w:rPr>
                <w:sz w:val="20"/>
                <w:szCs w:val="20"/>
                <w:color w:val="auto"/>
              </w:rPr>
            </w:pPr>
            <w:r>
              <w:rPr>
                <w:rFonts w:ascii="Arial" w:cs="Arial" w:eastAsia="Arial" w:hAnsi="Arial"/>
                <w:sz w:val="16"/>
                <w:szCs w:val="16"/>
                <w:color w:val="auto"/>
              </w:rPr>
              <w:t>2,385,740</w:t>
            </w:r>
          </w:p>
        </w:tc>
      </w:tr>
      <w:tr>
        <w:trPr>
          <w:trHeight w:val="189"/>
        </w:trPr>
        <w:tc>
          <w:tcPr>
            <w:tcW w:w="62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All nonemployee directors as a group</w:t>
            </w:r>
          </w:p>
        </w:tc>
        <w:tc>
          <w:tcPr>
            <w:tcW w:w="47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w:t>
            </w:r>
          </w:p>
        </w:tc>
      </w:tr>
      <w:tr>
        <w:trPr>
          <w:trHeight w:val="189"/>
        </w:trPr>
        <w:tc>
          <w:tcPr>
            <w:tcW w:w="6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Company employees other than executive officers, as a group</w:t>
            </w:r>
          </w:p>
        </w:tc>
        <w:tc>
          <w:tcPr>
            <w:tcW w:w="4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39,831,350</w:t>
            </w: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Federal Income Taxation</w:t>
      </w:r>
    </w:p>
    <w:p>
      <w:pPr>
        <w:spacing w:after="0" w:line="12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Options granted under the Option Plan. This summary deals with the general tax principles that apply to Options and is provided only for general information. Certain kinds of taxes, such as foreign taxes, state and local income taxes, payroll taxes and the alternative minimum tax, are not discussed.</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0A33A5"/>
        </w:rPr>
        <w:t xml:space="preserve">Nonqualified Options. </w:t>
      </w:r>
      <w:r>
        <w:rPr>
          <w:rFonts w:ascii="Arial" w:cs="Arial" w:eastAsia="Arial" w:hAnsi="Arial"/>
          <w:sz w:val="18"/>
          <w:szCs w:val="18"/>
          <w:color w:val="000000"/>
        </w:rPr>
        <w:t>The grant of a nonqualified option will not be a taxable event. The Optionee generally will recognize ordinary income</w:t>
      </w:r>
      <w:r>
        <w:rPr>
          <w:rFonts w:ascii="Arial" w:cs="Arial" w:eastAsia="Arial" w:hAnsi="Arial"/>
          <w:sz w:val="18"/>
          <w:szCs w:val="18"/>
          <w:i w:val="1"/>
          <w:iCs w:val="1"/>
          <w:color w:val="0A33A5"/>
        </w:rPr>
        <w:t xml:space="preserve"> </w:t>
      </w:r>
      <w:r>
        <w:rPr>
          <w:rFonts w:ascii="Arial" w:cs="Arial" w:eastAsia="Arial" w:hAnsi="Arial"/>
          <w:sz w:val="18"/>
          <w:szCs w:val="18"/>
          <w:color w:val="000000"/>
        </w:rPr>
        <w:t>upon exercise of the nonqualified Option, in an amount equal to the excess of the fair market value of the shares received at the time of exercise (including option shares withheld by us to satisfy tax withholding obligations) over the exercise price of the nonqualified Option, and we will be allowed a deduction in this amount. Upon disposition of the shares received upon exercise, the Optionee will recognize long-term or short-term capital gain or loss, depending upon the length of time he or she held such shares. The amount of long-term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 Special tax rules may apply if an Optionee uses previously owned shares to pay the exercise price of an Option.</w:t>
      </w:r>
    </w:p>
    <w:p>
      <w:pPr>
        <w:spacing w:after="0" w:line="8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i w:val="1"/>
          <w:iCs w:val="1"/>
          <w:color w:val="0A33A5"/>
        </w:rPr>
        <w:t xml:space="preserve">Incentive Stock Options. </w:t>
      </w:r>
      <w:r>
        <w:rPr>
          <w:rFonts w:ascii="Arial" w:cs="Arial" w:eastAsia="Arial" w:hAnsi="Arial"/>
          <w:sz w:val="18"/>
          <w:szCs w:val="18"/>
          <w:color w:val="000000"/>
        </w:rPr>
        <w:t>Neither the grant nor the exercise of an ISO will be a taxable event, except that the alternative minimum tax may</w:t>
      </w:r>
      <w:r>
        <w:rPr>
          <w:rFonts w:ascii="Arial" w:cs="Arial" w:eastAsia="Arial" w:hAnsi="Arial"/>
          <w:sz w:val="18"/>
          <w:szCs w:val="18"/>
          <w:i w:val="1"/>
          <w:iCs w:val="1"/>
          <w:color w:val="0A33A5"/>
        </w:rPr>
        <w:t xml:space="preserve"> </w:t>
      </w:r>
      <w:r>
        <w:rPr>
          <w:rFonts w:ascii="Arial" w:cs="Arial" w:eastAsia="Arial" w:hAnsi="Arial"/>
          <w:sz w:val="18"/>
          <w:szCs w:val="18"/>
          <w:color w:val="000000"/>
        </w:rPr>
        <w:t>apply at the time of exercise. 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we will not be allowed a deduction by reason of the exercise of the ISO. 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we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74"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color w:val="auto"/>
        </w:rPr>
        <w:t>OUR BOARD UNANIMOUSLY RECOMMENDS THAT SHAREHOLDERS VOTE “FOR” THE APPROVAL OF THE AMENDED AND RESTATED 2003 STOCK OPTION PLAN.</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A33A5"/>
        </w:rPr>
        <w:t>PROPOSAL 4: APPROVAL OF AMENDED AND RESTATED 2002 RESTRICTED STOCK PLAN</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2002 Restricted Stock Plan (“RSU Plan”) was ratified by our Board on November 20, 2002 and approved by our shareholders in 2003, 2009, 2011 and, most recently, in 2016. We have used a substantial portion of the current authorized share pool under the RSU Plan for existing awards. As a result, on April 10, 2020, the Board approved an amendment to the RSU Plan to increase the number of shares available for issuance by 36,000,000 from 268,000,000 to 304,000,000, subject to shareholder approval.</w:t>
      </w:r>
    </w:p>
    <w:p>
      <w:pPr>
        <w:spacing w:after="0" w:line="9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connection with the Compensation Committee’s periodic evaluation of the RSU Plan and the approval of the amendment to the RSU Plan, our Board and Compensation Committee have considered our anticipated future equity needs, our historical equity incentive compensation practices and the advice of the Compensation Committee’s independent compensation consultant. Our Board believes that the increased number of shares available for issuance under the RSU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Key Aspects of the RSU Plan</w:t>
      </w:r>
    </w:p>
    <w:p>
      <w:pPr>
        <w:spacing w:after="0" w:line="126"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The following sets forth key aspects of the RSU Plan, and a summary of its material features is provided in “Description of the RSU Plan” below.</w:t>
      </w:r>
    </w:p>
    <w:p>
      <w:pPr>
        <w:spacing w:after="0" w:line="48" w:lineRule="exact"/>
        <w:rPr>
          <w:sz w:val="20"/>
          <w:szCs w:val="20"/>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RSU Plan is administered by our Compensation Committee composed entirely of independent directors.</w:t>
      </w:r>
    </w:p>
    <w:p>
      <w:pPr>
        <w:spacing w:after="0" w:line="63" w:lineRule="exact"/>
        <w:rPr>
          <w:rFonts w:ascii="Arial" w:cs="Arial" w:eastAsia="Arial" w:hAnsi="Arial"/>
          <w:sz w:val="18"/>
          <w:szCs w:val="18"/>
          <w:color w:val="auto"/>
        </w:rPr>
      </w:pPr>
    </w:p>
    <w:p>
      <w:pPr>
        <w:jc w:val="both"/>
        <w:ind w:left="980" w:right="36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Taken together, the proposed increases to the number of shares available for issuance under the RSU Plan and the Option Plan (as described in Proposal 3 above), both of which have been approved by our Board, subject to shareholder approval, represent approximately 8.5% of CSO as of the close of business on December 31, 2019 and March 10, 2020.</w:t>
      </w:r>
    </w:p>
    <w:p>
      <w:pPr>
        <w:spacing w:after="0" w:line="54" w:lineRule="exact"/>
        <w:rPr>
          <w:rFonts w:ascii="Arial" w:cs="Arial" w:eastAsia="Arial" w:hAnsi="Arial"/>
          <w:sz w:val="18"/>
          <w:szCs w:val="18"/>
          <w:color w:val="auto"/>
        </w:rPr>
      </w:pPr>
    </w:p>
    <w:p>
      <w:pPr>
        <w:jc w:val="both"/>
        <w:ind w:left="980" w:right="26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Taken together, (i) awards currently outstanding and available for grant under the RSU Plan and the Option Plan give rise to dilution of 8.7% of CSO as of December 31, 2019, and (ii) our run rate for 2019 (the percentage of CSO that were granted in 2019) was 1.3% of CSO as of December 31, 2019.</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hanging="432"/>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Approximately 16,800 employees received awards as part of our annual award program under the RSU Plan in 2019, including almost all exempt Comcast corporate and Comcast Cable employees with an annual base salary of at least $91,000.</w:t>
      </w:r>
    </w:p>
    <w:p>
      <w:pPr>
        <w:spacing w:after="0" w:line="48" w:lineRule="exact"/>
        <w:rPr>
          <w:rFonts w:ascii="Arial" w:cs="Arial" w:eastAsia="Arial" w:hAnsi="Arial"/>
          <w:sz w:val="18"/>
          <w:szCs w:val="18"/>
          <w:color w:val="auto"/>
        </w:rPr>
      </w:pPr>
    </w:p>
    <w:p>
      <w:pPr>
        <w:jc w:val="both"/>
        <w:ind w:left="980" w:right="520" w:hanging="432"/>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awards granted under the RSU Plan in 2019 to our NEOs were subject to a performance-based vesting metric as discussed in more detail below in “Executive Compensation — Compensation Discussion and Analysis — Compensation Decisions for 2019 — Equity Based Incentive Compensation.”</w:t>
      </w:r>
    </w:p>
    <w:p>
      <w:pPr>
        <w:spacing w:after="0" w:line="54" w:lineRule="exact"/>
        <w:rPr>
          <w:rFonts w:ascii="Arial" w:cs="Arial" w:eastAsia="Arial" w:hAnsi="Arial"/>
          <w:sz w:val="18"/>
          <w:szCs w:val="18"/>
          <w:color w:val="auto"/>
        </w:rPr>
      </w:pPr>
    </w:p>
    <w:p>
      <w:pPr>
        <w:ind w:left="980" w:right="1000" w:hanging="432"/>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RSU Plan continues to incorporate a number of corporate governance best practices to further align our equity compensation program with the interests of our shareholders, including:</w:t>
      </w:r>
    </w:p>
    <w:p>
      <w:pPr>
        <w:spacing w:after="0" w:line="30" w:lineRule="exact"/>
        <w:rPr>
          <w:rFonts w:ascii="Arial" w:cs="Arial" w:eastAsia="Arial" w:hAnsi="Arial"/>
          <w:sz w:val="18"/>
          <w:szCs w:val="18"/>
          <w:color w:val="auto"/>
        </w:rPr>
      </w:pPr>
    </w:p>
    <w:p>
      <w:pPr>
        <w:ind w:left="1420" w:right="80" w:hanging="427"/>
        <w:spacing w:after="0" w:line="267" w:lineRule="auto"/>
        <w:tabs>
          <w:tab w:leader="none" w:pos="1420" w:val="left"/>
        </w:tabs>
        <w:numPr>
          <w:ilvl w:val="1"/>
          <w:numId w:val="30"/>
        </w:numPr>
        <w:rPr>
          <w:rFonts w:ascii="Arial" w:cs="Arial" w:eastAsia="Arial" w:hAnsi="Arial"/>
          <w:sz w:val="15"/>
          <w:szCs w:val="15"/>
          <w:color w:val="auto"/>
        </w:rPr>
      </w:pPr>
      <w:r>
        <w:rPr>
          <w:rFonts w:ascii="Arial" w:cs="Arial" w:eastAsia="Arial" w:hAnsi="Arial"/>
          <w:sz w:val="18"/>
          <w:szCs w:val="18"/>
          <w:i w:val="1"/>
          <w:iCs w:val="1"/>
          <w:color w:val="0A33A5"/>
        </w:rPr>
        <w:t xml:space="preserve">No “liberal” share recycling. </w:t>
      </w:r>
      <w:r>
        <w:rPr>
          <w:rFonts w:ascii="Arial" w:cs="Arial" w:eastAsia="Arial" w:hAnsi="Arial"/>
          <w:sz w:val="18"/>
          <w:szCs w:val="18"/>
          <w:color w:val="000000"/>
        </w:rPr>
        <w:t>Shares that are withheld to satisfy any tax withholding obligations may not again be available</w:t>
      </w:r>
      <w:r>
        <w:rPr>
          <w:rFonts w:ascii="Arial" w:cs="Arial" w:eastAsia="Arial" w:hAnsi="Arial"/>
          <w:sz w:val="18"/>
          <w:szCs w:val="18"/>
          <w:i w:val="1"/>
          <w:iCs w:val="1"/>
          <w:color w:val="0A33A5"/>
        </w:rPr>
        <w:t xml:space="preserve"> </w:t>
      </w:r>
      <w:r>
        <w:rPr>
          <w:rFonts w:ascii="Arial" w:cs="Arial" w:eastAsia="Arial" w:hAnsi="Arial"/>
          <w:sz w:val="18"/>
          <w:szCs w:val="18"/>
          <w:color w:val="000000"/>
        </w:rPr>
        <w:t>for issuance under the RSU Plan.</w:t>
      </w:r>
    </w:p>
    <w:p>
      <w:pPr>
        <w:spacing w:after="0" w:line="11" w:lineRule="exact"/>
        <w:rPr>
          <w:rFonts w:ascii="Arial" w:cs="Arial" w:eastAsia="Arial" w:hAnsi="Arial"/>
          <w:sz w:val="15"/>
          <w:szCs w:val="15"/>
          <w:color w:val="auto"/>
        </w:rPr>
      </w:pPr>
    </w:p>
    <w:p>
      <w:pPr>
        <w:ind w:left="1420" w:right="180" w:hanging="427"/>
        <w:spacing w:after="0" w:line="267" w:lineRule="auto"/>
        <w:tabs>
          <w:tab w:leader="none" w:pos="1420" w:val="left"/>
        </w:tabs>
        <w:numPr>
          <w:ilvl w:val="1"/>
          <w:numId w:val="30"/>
        </w:numPr>
        <w:rPr>
          <w:rFonts w:ascii="Arial" w:cs="Arial" w:eastAsia="Arial" w:hAnsi="Arial"/>
          <w:sz w:val="15"/>
          <w:szCs w:val="15"/>
          <w:color w:val="auto"/>
        </w:rPr>
      </w:pPr>
      <w:r>
        <w:rPr>
          <w:rFonts w:ascii="Arial" w:cs="Arial" w:eastAsia="Arial" w:hAnsi="Arial"/>
          <w:sz w:val="18"/>
          <w:szCs w:val="18"/>
          <w:i w:val="1"/>
          <w:iCs w:val="1"/>
          <w:color w:val="0A33A5"/>
        </w:rPr>
        <w:t xml:space="preserve">No “evergreen” feature. </w:t>
      </w:r>
      <w:r>
        <w:rPr>
          <w:rFonts w:ascii="Arial" w:cs="Arial" w:eastAsia="Arial" w:hAnsi="Arial"/>
          <w:sz w:val="18"/>
          <w:szCs w:val="18"/>
          <w:color w:val="000000"/>
        </w:rPr>
        <w:t>The RSU Plan does not contain an “evergreen” feature pursuant to which the shares authorized</w:t>
      </w:r>
      <w:r>
        <w:rPr>
          <w:rFonts w:ascii="Arial" w:cs="Arial" w:eastAsia="Arial" w:hAnsi="Arial"/>
          <w:sz w:val="18"/>
          <w:szCs w:val="18"/>
          <w:i w:val="1"/>
          <w:iCs w:val="1"/>
          <w:color w:val="0A33A5"/>
        </w:rPr>
        <w:t xml:space="preserve"> </w:t>
      </w:r>
      <w:r>
        <w:rPr>
          <w:rFonts w:ascii="Arial" w:cs="Arial" w:eastAsia="Arial" w:hAnsi="Arial"/>
          <w:sz w:val="18"/>
          <w:szCs w:val="18"/>
          <w:color w:val="000000"/>
        </w:rPr>
        <w:t>for issuance under the RSU Plan can be increased automatically without shareholder approval.</w:t>
      </w:r>
    </w:p>
    <w:p>
      <w:pPr>
        <w:spacing w:after="0" w:line="11" w:lineRule="exact"/>
        <w:rPr>
          <w:rFonts w:ascii="Arial" w:cs="Arial" w:eastAsia="Arial" w:hAnsi="Arial"/>
          <w:sz w:val="15"/>
          <w:szCs w:val="15"/>
          <w:color w:val="auto"/>
        </w:rPr>
      </w:pPr>
    </w:p>
    <w:p>
      <w:pPr>
        <w:ind w:left="1420" w:right="360" w:hanging="427"/>
        <w:spacing w:after="0" w:line="267" w:lineRule="auto"/>
        <w:tabs>
          <w:tab w:leader="none" w:pos="1420" w:val="left"/>
        </w:tabs>
        <w:numPr>
          <w:ilvl w:val="1"/>
          <w:numId w:val="30"/>
        </w:numPr>
        <w:rPr>
          <w:rFonts w:ascii="Arial" w:cs="Arial" w:eastAsia="Arial" w:hAnsi="Arial"/>
          <w:sz w:val="15"/>
          <w:szCs w:val="15"/>
          <w:color w:val="auto"/>
        </w:rPr>
      </w:pPr>
      <w:r>
        <w:rPr>
          <w:rFonts w:ascii="Arial" w:cs="Arial" w:eastAsia="Arial" w:hAnsi="Arial"/>
          <w:sz w:val="18"/>
          <w:szCs w:val="18"/>
          <w:i w:val="1"/>
          <w:iCs w:val="1"/>
          <w:color w:val="0A33A5"/>
        </w:rPr>
        <w:t xml:space="preserve">No “liberal” change in control definition. </w:t>
      </w:r>
      <w:r>
        <w:rPr>
          <w:rFonts w:ascii="Arial" w:cs="Arial" w:eastAsia="Arial" w:hAnsi="Arial"/>
          <w:sz w:val="18"/>
          <w:szCs w:val="18"/>
          <w:color w:val="000000"/>
        </w:rPr>
        <w:t>Our change in control definition does not permit acceleration of equity awards</w:t>
      </w:r>
      <w:r>
        <w:rPr>
          <w:rFonts w:ascii="Arial" w:cs="Arial" w:eastAsia="Arial" w:hAnsi="Arial"/>
          <w:sz w:val="18"/>
          <w:szCs w:val="18"/>
          <w:i w:val="1"/>
          <w:iCs w:val="1"/>
          <w:color w:val="0A33A5"/>
        </w:rPr>
        <w:t xml:space="preserve"> </w:t>
      </w:r>
      <w:r>
        <w:rPr>
          <w:rFonts w:ascii="Arial" w:cs="Arial" w:eastAsia="Arial" w:hAnsi="Arial"/>
          <w:sz w:val="18"/>
          <w:szCs w:val="18"/>
          <w:color w:val="000000"/>
        </w:rPr>
        <w:t>unless an actual change in control occurs (see “Terminating Events” below for our definition of a change in control).</w:t>
      </w:r>
    </w:p>
    <w:p>
      <w:pPr>
        <w:spacing w:after="0" w:line="11" w:lineRule="exact"/>
        <w:rPr>
          <w:rFonts w:ascii="Arial" w:cs="Arial" w:eastAsia="Arial" w:hAnsi="Arial"/>
          <w:sz w:val="15"/>
          <w:szCs w:val="15"/>
          <w:color w:val="auto"/>
        </w:rPr>
      </w:pPr>
    </w:p>
    <w:p>
      <w:pPr>
        <w:ind w:left="1420" w:right="180" w:hanging="427"/>
        <w:spacing w:after="0" w:line="267" w:lineRule="auto"/>
        <w:tabs>
          <w:tab w:leader="none" w:pos="1420" w:val="left"/>
        </w:tabs>
        <w:numPr>
          <w:ilvl w:val="1"/>
          <w:numId w:val="30"/>
        </w:numPr>
        <w:rPr>
          <w:rFonts w:ascii="Arial" w:cs="Arial" w:eastAsia="Arial" w:hAnsi="Arial"/>
          <w:sz w:val="15"/>
          <w:szCs w:val="15"/>
          <w:color w:val="auto"/>
        </w:rPr>
      </w:pPr>
      <w:r>
        <w:rPr>
          <w:rFonts w:ascii="Arial" w:cs="Arial" w:eastAsia="Arial" w:hAnsi="Arial"/>
          <w:sz w:val="18"/>
          <w:szCs w:val="18"/>
          <w:i w:val="1"/>
          <w:iCs w:val="1"/>
          <w:color w:val="0A33A5"/>
        </w:rPr>
        <w:t xml:space="preserve">Dividend equivalents. </w:t>
      </w:r>
      <w:r>
        <w:rPr>
          <w:rFonts w:ascii="Arial" w:cs="Arial" w:eastAsia="Arial" w:hAnsi="Arial"/>
          <w:sz w:val="18"/>
          <w:szCs w:val="18"/>
          <w:color w:val="000000"/>
        </w:rPr>
        <w:t>Dividend equivalents accrue on shares underlying restricted stock units (“RSUs”) that are payable</w:t>
      </w:r>
      <w:r>
        <w:rPr>
          <w:rFonts w:ascii="Arial" w:cs="Arial" w:eastAsia="Arial" w:hAnsi="Arial"/>
          <w:sz w:val="18"/>
          <w:szCs w:val="18"/>
          <w:i w:val="1"/>
          <w:iCs w:val="1"/>
          <w:color w:val="0A33A5"/>
        </w:rPr>
        <w:t xml:space="preserve"> </w:t>
      </w:r>
      <w:r>
        <w:rPr>
          <w:rFonts w:ascii="Arial" w:cs="Arial" w:eastAsia="Arial" w:hAnsi="Arial"/>
          <w:sz w:val="18"/>
          <w:szCs w:val="18"/>
          <w:color w:val="000000"/>
        </w:rPr>
        <w:t>(without interest) only if and when the shares underlying the RSUs vest.</w:t>
      </w:r>
    </w:p>
    <w:p>
      <w:pPr>
        <w:spacing w:after="0" w:line="29" w:lineRule="exact"/>
        <w:rPr>
          <w:rFonts w:ascii="Arial" w:cs="Arial" w:eastAsia="Arial" w:hAnsi="Arial"/>
          <w:sz w:val="15"/>
          <w:szCs w:val="15"/>
          <w:color w:val="auto"/>
        </w:rPr>
      </w:pPr>
    </w:p>
    <w:p>
      <w:pPr>
        <w:ind w:left="980" w:hanging="432"/>
        <w:spacing w:after="0" w:line="23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 robust stock ownership policy for our executive officers and other key employees, as well as nonemployee directors. This policy is designed to increase the executives’ ownership stakes in our company and align their interests with the interests of our shareholders. A person who is not in compliance with these guidelines cannot sell or otherwise dispose of any stock until he or she meets the applicable ownership requirement. Information on our stock ownership policy can be found, for our executive officers, below in “Executive Compensation — Compensation Discussion and Analysis — Other Policies and Considerations — Executive Stock Ownership Policy” and for our nonemployee directors, above in “About Our Board and Its Committees — Director Stock Ownership Policy.”</w:t>
      </w:r>
    </w:p>
    <w:p>
      <w:pPr>
        <w:spacing w:after="0" w:line="54" w:lineRule="exact"/>
        <w:rPr>
          <w:rFonts w:ascii="Arial" w:cs="Arial" w:eastAsia="Arial" w:hAnsi="Arial"/>
          <w:sz w:val="18"/>
          <w:szCs w:val="18"/>
          <w:color w:val="auto"/>
        </w:rPr>
      </w:pPr>
    </w:p>
    <w:p>
      <w:pPr>
        <w:ind w:left="980" w:right="60" w:hanging="432"/>
        <w:spacing w:after="0" w:line="23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an incentive compensation recoupment (or “clawback”) policy that may require reimbursement by an executive officer or former executive officer of vested and unvested awards granted under the RSU Plan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below in “Executive Compensation — Compensation Discussion and Analysis — Other Policies and Considerations — Recoupment (or “Clawback”) Policy.”</w:t>
      </w:r>
    </w:p>
    <w:p>
      <w:pPr>
        <w:spacing w:after="0" w:line="4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accordance with applicable NASDAQ Global Select Market rules, our Board is asking shareholders to approve the RSU Plan, as amended and restated. If the RSU Plan is not approved, we will not be able to make the proposed additional 36,000,000 shares available for issuance under the RSU Plan, but the RSU Plan will otherwise remain in effect. As a result, we will be unable to maintain our current equity grant practices and will be at a significant competitive disadvantage in attracting, retaining and motivating talented individuals who contribute to our success. We may also be compelled to replace equity incentive awards with cash awards, which may not align the interests of our executives and employees with those of our shareholders as effectively as equity incentive awards.</w:t>
      </w:r>
    </w:p>
    <w:p>
      <w:pPr>
        <w:spacing w:after="0" w:line="4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If shareholders approve the RSU Plan, we will file a registration statement on Form S-8 with the SEC, as soon as reasonably practicable after the approval, to register the additional shares available for issuance under the RSU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Description of the RSU Plan</w:t>
      </w:r>
    </w:p>
    <w:p>
      <w:pPr>
        <w:spacing w:after="0" w:line="126"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 xml:space="preserve">The following is a summary of the material features of the RSU Plan. The following summary does not purport to be complete and is qualified in its entirety by reference to the terms of the RSU Plan, which is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71" w:lineRule="exact"/>
        <w:rPr>
          <w:sz w:val="20"/>
          <w:szCs w:val="20"/>
          <w:color w:val="auto"/>
        </w:rPr>
      </w:pPr>
    </w:p>
    <w:p>
      <w:pPr>
        <w:ind w:left="120" w:right="300"/>
        <w:spacing w:after="0" w:line="250" w:lineRule="auto"/>
        <w:rPr>
          <w:sz w:val="20"/>
          <w:szCs w:val="20"/>
          <w:color w:val="auto"/>
        </w:rPr>
      </w:pPr>
      <w:r>
        <w:rPr>
          <w:rFonts w:ascii="Arial" w:cs="Arial" w:eastAsia="Arial" w:hAnsi="Arial"/>
          <w:sz w:val="18"/>
          <w:szCs w:val="18"/>
          <w:i w:val="1"/>
          <w:iCs w:val="1"/>
          <w:color w:val="0A33A5"/>
        </w:rPr>
        <w:t xml:space="preserve">Types of Awards. </w:t>
      </w:r>
      <w:r>
        <w:rPr>
          <w:rFonts w:ascii="Arial" w:cs="Arial" w:eastAsia="Arial" w:hAnsi="Arial"/>
          <w:sz w:val="18"/>
          <w:szCs w:val="18"/>
          <w:color w:val="000000"/>
        </w:rPr>
        <w:t>Awards of RSUs and restricted stock may be granted under the RSU Plan. However, we have not granted, nor do we</w:t>
      </w:r>
      <w:r>
        <w:rPr>
          <w:rFonts w:ascii="Arial" w:cs="Arial" w:eastAsia="Arial" w:hAnsi="Arial"/>
          <w:sz w:val="18"/>
          <w:szCs w:val="18"/>
          <w:i w:val="1"/>
          <w:iCs w:val="1"/>
          <w:color w:val="0A33A5"/>
        </w:rPr>
        <w:t xml:space="preserve"> </w:t>
      </w:r>
      <w:r>
        <w:rPr>
          <w:rFonts w:ascii="Arial" w:cs="Arial" w:eastAsia="Arial" w:hAnsi="Arial"/>
          <w:sz w:val="18"/>
          <w:szCs w:val="18"/>
          <w:color w:val="000000"/>
        </w:rPr>
        <w:t>currently intend to grant, any restricted stock awards under the RSU Plan. Awards of RSUs are units valued by reference to shares of Class A common stock that entitle a participant to receive, upon the settlement of the unit, one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share for each unit. Awards of restricted stock are shares of Class A common stock that are awarded subject to such restrictions on transfer as the Compensation Committee or Board may establish.</w:t>
      </w:r>
    </w:p>
    <w:p>
      <w:pPr>
        <w:spacing w:after="0" w:line="7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0A33A5"/>
        </w:rPr>
        <w:t xml:space="preserve">Eligibility. </w:t>
      </w:r>
      <w:r>
        <w:rPr>
          <w:rFonts w:ascii="Arial" w:cs="Arial" w:eastAsia="Arial" w:hAnsi="Arial"/>
          <w:sz w:val="18"/>
          <w:szCs w:val="18"/>
          <w:color w:val="000000"/>
        </w:rPr>
        <w:t>Our employees and employees of our participating subsidiaries, as well as our nonemployee directors, are eligible to receive</w:t>
      </w:r>
      <w:r>
        <w:rPr>
          <w:rFonts w:ascii="Arial" w:cs="Arial" w:eastAsia="Arial" w:hAnsi="Arial"/>
          <w:sz w:val="18"/>
          <w:szCs w:val="18"/>
          <w:i w:val="1"/>
          <w:iCs w:val="1"/>
          <w:color w:val="0A33A5"/>
        </w:rPr>
        <w:t xml:space="preserve"> </w:t>
      </w:r>
      <w:r>
        <w:rPr>
          <w:rFonts w:ascii="Arial" w:cs="Arial" w:eastAsia="Arial" w:hAnsi="Arial"/>
          <w:sz w:val="18"/>
          <w:szCs w:val="18"/>
          <w:color w:val="000000"/>
        </w:rPr>
        <w:t>awards under the RSU Plan. Based on the Compensation Committee’s current grant guidelines, the number of employees, including our NEOs, eligible to receive annual awards under the RSU Plan as of March 10, 2020 is approximately 18,500, and our nine nonemployee directors are currently eligible as well. The basis for participation in the RSU Plan is the Compensation Committee’s decision, in its sole discretion, that an award under the RSU Plan to an eligible participant will further the RSU Plan’s purposes of promoting the ability of the Company to recruit and retain employees and enhance the growth and profitability of the Company by providing the incentive of long-term awards for continued employment and the attainment of performance objectives. In exercising its discretion, the Compensation Committee will consider the recommendations of management and the purpose of the RSU Plan. Currently, no individual may be awarded more than four million RSUs or restricted shares in any calendar year.</w:t>
      </w:r>
    </w:p>
    <w:p>
      <w:pPr>
        <w:spacing w:after="0" w:line="8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0A33A5"/>
        </w:rPr>
        <w:t xml:space="preserve">Shares Subject to the Plan. </w:t>
      </w:r>
      <w:r>
        <w:rPr>
          <w:rFonts w:ascii="Arial" w:cs="Arial" w:eastAsia="Arial" w:hAnsi="Arial"/>
          <w:sz w:val="18"/>
          <w:szCs w:val="18"/>
          <w:color w:val="000000"/>
        </w:rPr>
        <w:t>The aggregate maximum number of shares that may be issued pursuant to awards under the RSU Plan is</w:t>
      </w:r>
      <w:r>
        <w:rPr>
          <w:rFonts w:ascii="Arial" w:cs="Arial" w:eastAsia="Arial" w:hAnsi="Arial"/>
          <w:sz w:val="18"/>
          <w:szCs w:val="18"/>
          <w:i w:val="1"/>
          <w:iCs w:val="1"/>
          <w:color w:val="0A33A5"/>
        </w:rPr>
        <w:t xml:space="preserve"> </w:t>
      </w:r>
      <w:r>
        <w:rPr>
          <w:rFonts w:ascii="Arial" w:cs="Arial" w:eastAsia="Arial" w:hAnsi="Arial"/>
          <w:sz w:val="18"/>
          <w:szCs w:val="18"/>
          <w:color w:val="000000"/>
        </w:rPr>
        <w:t>currently 268,000,000 shares of Class A common stock, subject to adjustment in the event of certain corporate events. Under the amended RSU Plan, the number of shares authorized for issuance is 304,000,000. As of the close of business on December 31, 2019, of the current aggregate amount, 201,287,987 shares had been issued or reserved for issuance under the RSU Plan. As of the close of business on December 31, 2019, 55,149,852 RSUs were outstanding under the RSU Plan, 751,848 shares were reserved for issuance under the RSU Plan in respect of deferred shares and incremental shares that may be awarded pursuant to outstanding performance-based RSUs if goal attainment exceeds the target award, and 66,712,011 RSUs remained available for grant under the RSU Plan. Under the amended RSU Plan, the number of RSUs available for grant would be 102,712,011. Shares issued under the RSU Plan may be either treasury shares or originally issued shares. Rights to receive shares forfeited pursuant to the terms of an award will be returned to the pool of shares available for grant under the RSU Plan. Shares withheld to satisfy tax withholding obligations will not again be available for awards under the RSU Plan.</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A33A5"/>
        </w:rPr>
        <w:t xml:space="preserve">Term of the Plan. </w:t>
      </w:r>
      <w:r>
        <w:rPr>
          <w:rFonts w:ascii="Arial" w:cs="Arial" w:eastAsia="Arial" w:hAnsi="Arial"/>
          <w:sz w:val="18"/>
          <w:szCs w:val="18"/>
          <w:color w:val="000000"/>
        </w:rPr>
        <w:t>No awards may be granted under the RSU Plan after May 19, 2026.</w:t>
      </w:r>
    </w:p>
    <w:p>
      <w:pPr>
        <w:spacing w:after="0" w:line="104"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i w:val="1"/>
          <w:iCs w:val="1"/>
          <w:color w:val="0A33A5"/>
        </w:rPr>
        <w:t xml:space="preserve">Administration. </w:t>
      </w:r>
      <w:r>
        <w:rPr>
          <w:rFonts w:ascii="Arial" w:cs="Arial" w:eastAsia="Arial" w:hAnsi="Arial"/>
          <w:sz w:val="18"/>
          <w:szCs w:val="18"/>
          <w:color w:val="000000"/>
        </w:rPr>
        <w:t>The RSU Plan is administered by the Compensation Committee. The Compensation Committee has the authority to</w:t>
      </w:r>
      <w:r>
        <w:rPr>
          <w:rFonts w:ascii="Arial" w:cs="Arial" w:eastAsia="Arial" w:hAnsi="Arial"/>
          <w:sz w:val="18"/>
          <w:szCs w:val="18"/>
          <w:i w:val="1"/>
          <w:iCs w:val="1"/>
          <w:color w:val="0A33A5"/>
        </w:rPr>
        <w:t xml:space="preserve"> </w:t>
      </w:r>
      <w:r>
        <w:rPr>
          <w:rFonts w:ascii="Arial" w:cs="Arial" w:eastAsia="Arial" w:hAnsi="Arial"/>
          <w:sz w:val="18"/>
          <w:szCs w:val="18"/>
          <w:color w:val="000000"/>
        </w:rPr>
        <w:t>determine who is eligible to participate in the RSU Plan, select individuals to whom awards will be granted, interpret the RSU Plan, prescribe, amend and rescind rules and regulations relating to the RSU Plan and make any other determinations necessary or advisable for the administration of the RSU Plan. The Compensation Committee may, in its discretion, delegate its authority under the RSU Plan to any person, persons or committee. Our Board is responsible for granting awards under the RSU Plan to nonemployee directors.</w:t>
      </w:r>
    </w:p>
    <w:p>
      <w:pPr>
        <w:spacing w:after="0" w:line="77" w:lineRule="exact"/>
        <w:rPr>
          <w:sz w:val="20"/>
          <w:szCs w:val="20"/>
          <w:color w:val="auto"/>
        </w:rPr>
      </w:pPr>
    </w:p>
    <w:p>
      <w:pPr>
        <w:jc w:val="both"/>
        <w:ind w:left="120"/>
        <w:spacing w:after="0" w:line="245" w:lineRule="auto"/>
        <w:rPr>
          <w:sz w:val="20"/>
          <w:szCs w:val="20"/>
          <w:color w:val="auto"/>
        </w:rPr>
      </w:pPr>
      <w:r>
        <w:rPr>
          <w:rFonts w:ascii="Arial" w:cs="Arial" w:eastAsia="Arial" w:hAnsi="Arial"/>
          <w:sz w:val="18"/>
          <w:szCs w:val="18"/>
          <w:i w:val="1"/>
          <w:iCs w:val="1"/>
          <w:color w:val="0A33A5"/>
        </w:rPr>
        <w:t xml:space="preserve">Terms of Awards. </w:t>
      </w:r>
      <w:r>
        <w:rPr>
          <w:rFonts w:ascii="Arial" w:cs="Arial" w:eastAsia="Arial" w:hAnsi="Arial"/>
          <w:sz w:val="18"/>
          <w:szCs w:val="18"/>
          <w:color w:val="000000"/>
        </w:rPr>
        <w:t>The Compensation Committee determines the terms and conditions of each award granted to participants, including the</w:t>
      </w:r>
      <w:r>
        <w:rPr>
          <w:rFonts w:ascii="Arial" w:cs="Arial" w:eastAsia="Arial" w:hAnsi="Arial"/>
          <w:sz w:val="18"/>
          <w:szCs w:val="18"/>
          <w:i w:val="1"/>
          <w:iCs w:val="1"/>
          <w:color w:val="0A33A5"/>
        </w:rPr>
        <w:t xml:space="preserve"> </w:t>
      </w:r>
      <w:r>
        <w:rPr>
          <w:rFonts w:ascii="Arial" w:cs="Arial" w:eastAsia="Arial" w:hAnsi="Arial"/>
          <w:sz w:val="18"/>
          <w:szCs w:val="18"/>
          <w:color w:val="000000"/>
        </w:rPr>
        <w:t>vesting terms applicable to RSUs, as well as the restrictions applicable to shares underlying awards of restricted stock and the dates these restrictions lapse and the award vests. When an award vests, we arrange for the recording of the participant’s ownership of the shares on a book entry recordkeeping system maintained on our behalf.</w:t>
      </w:r>
    </w:p>
    <w:p>
      <w:pPr>
        <w:spacing w:after="0" w:line="91" w:lineRule="exact"/>
        <w:rPr>
          <w:sz w:val="20"/>
          <w:szCs w:val="20"/>
          <w:color w:val="auto"/>
        </w:rPr>
      </w:pPr>
    </w:p>
    <w:p>
      <w:pPr>
        <w:jc w:val="both"/>
        <w:ind w:left="120" w:right="320"/>
        <w:spacing w:after="0"/>
        <w:rPr>
          <w:sz w:val="20"/>
          <w:szCs w:val="20"/>
          <w:color w:val="auto"/>
        </w:rPr>
      </w:pPr>
      <w:r>
        <w:rPr>
          <w:rFonts w:ascii="Arial" w:cs="Arial" w:eastAsia="Arial" w:hAnsi="Arial"/>
          <w:sz w:val="18"/>
          <w:szCs w:val="18"/>
          <w:color w:val="auto"/>
        </w:rPr>
        <w:t>The Compensation Committee may provide, with respect to an award, the right to receive dividends or dividend equivalents. Currently, dividend equivalents accrue on shares underlying RSUs not are payable (without interest) if and when the shares underlying the RSUs vest.</w:t>
      </w:r>
    </w:p>
    <w:p>
      <w:pPr>
        <w:spacing w:after="0" w:line="9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Compensation Committee may condition the vesting of any award of RSUs or restricted shares upon the satisfaction of performance targets or goals as described below. The Compensation Committee is authorized to establish company-wide, division-wide or individual goals, which may be quantitative performance standards or qualitative performance standards. The quantitative performance standards may include financial measurements, such as revenue, income, expense, operating cash flow, free cash flow, numbers of customers of or subscribers for various services and products offered by us or one of our divisions, customer service measurements and other objective financial or service-based standards relevant to our business as may be established by the Compensation Committee. The qualitative performance standards may include customer satisfaction, management effectiveness, workforce diversity and other qualitative performance standards relevant to our business. After the close of the performance period, the Compensation Committee will determine whether the performance goal or goals have been satisfied. For a further discussion of our performance goals, see “Executive Compensation — Compensation Discussion and Analysis” below.</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2002 Non-Employee Director Compensation Plan sets compensation for our nonemployee directors. This plan provides that on each November 20, our Board will grant an award of RSUs to each nonemployee director having a fair market value of $ 195,000 on the date of grant. Nonemployee directors are also eligible to receive awards of RSUs upon commencement of service with us. Each award of RSUs is fully vested on the grant date. All awards of RSUs specified in the 2002 Non-Employee Director Compensation Plan are made under the RSU Plan such that the awards of RSUs are reflected in the number of shares issued under the RSU Plan.</w:t>
      </w:r>
    </w:p>
    <w:p>
      <w:pPr>
        <w:spacing w:after="0" w:line="76" w:lineRule="exact"/>
        <w:rPr>
          <w:sz w:val="20"/>
          <w:szCs w:val="20"/>
          <w:color w:val="auto"/>
        </w:rPr>
      </w:pPr>
    </w:p>
    <w:p>
      <w:pPr>
        <w:ind w:left="120" w:right="280"/>
        <w:spacing w:after="0" w:line="245" w:lineRule="auto"/>
        <w:rPr>
          <w:sz w:val="20"/>
          <w:szCs w:val="20"/>
          <w:color w:val="auto"/>
        </w:rPr>
      </w:pPr>
      <w:r>
        <w:rPr>
          <w:rFonts w:ascii="Arial" w:cs="Arial" w:eastAsia="Arial" w:hAnsi="Arial"/>
          <w:sz w:val="18"/>
          <w:szCs w:val="18"/>
          <w:i w:val="1"/>
          <w:iCs w:val="1"/>
          <w:color w:val="0A33A5"/>
        </w:rPr>
        <w:t xml:space="preserve">Termination of Employment. </w:t>
      </w:r>
      <w:r>
        <w:rPr>
          <w:rFonts w:ascii="Arial" w:cs="Arial" w:eastAsia="Arial" w:hAnsi="Arial"/>
          <w:sz w:val="18"/>
          <w:szCs w:val="18"/>
          <w:color w:val="000000"/>
        </w:rPr>
        <w:t>Except as otherwise provided by a retirement policy or in an applicable award or employment or other</w:t>
      </w:r>
      <w:r>
        <w:rPr>
          <w:rFonts w:ascii="Arial" w:cs="Arial" w:eastAsia="Arial" w:hAnsi="Arial"/>
          <w:sz w:val="18"/>
          <w:szCs w:val="18"/>
          <w:i w:val="1"/>
          <w:iCs w:val="1"/>
          <w:color w:val="0A33A5"/>
        </w:rPr>
        <w:t xml:space="preserve"> </w:t>
      </w:r>
      <w:r>
        <w:rPr>
          <w:rFonts w:ascii="Arial" w:cs="Arial" w:eastAsia="Arial" w:hAnsi="Arial"/>
          <w:sz w:val="18"/>
          <w:szCs w:val="18"/>
          <w:color w:val="000000"/>
        </w:rPr>
        <w:t>agreement, upon termination of employment, all awards that are then still subject to restrictions or that have not vested will be forfeited. Please see “Executive Compensation — Potential Payments upon Termination or Change in Control” for information on our retirement policy applicable to our NEOs as it relates to the continued vesting of awards following retirement.</w:t>
      </w:r>
    </w:p>
    <w:p>
      <w:pPr>
        <w:spacing w:after="0" w:line="73"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0A33A5"/>
        </w:rPr>
        <w:t xml:space="preserve">Deferral. </w:t>
      </w:r>
      <w:r>
        <w:rPr>
          <w:rFonts w:ascii="Arial" w:cs="Arial" w:eastAsia="Arial" w:hAnsi="Arial"/>
          <w:sz w:val="18"/>
          <w:szCs w:val="18"/>
          <w:color w:val="000000"/>
        </w:rPr>
        <w:t>Each recipient of an award who qualifies under the terms of the RSU Plan has the right to defer and re-defer to a specified date</w:t>
      </w:r>
      <w:r>
        <w:rPr>
          <w:rFonts w:ascii="Arial" w:cs="Arial" w:eastAsia="Arial" w:hAnsi="Arial"/>
          <w:sz w:val="18"/>
          <w:szCs w:val="18"/>
          <w:i w:val="1"/>
          <w:iCs w:val="1"/>
          <w:color w:val="0A33A5"/>
        </w:rPr>
        <w:t xml:space="preserve"> </w:t>
      </w:r>
      <w:r>
        <w:rPr>
          <w:rFonts w:ascii="Arial" w:cs="Arial" w:eastAsia="Arial" w:hAnsi="Arial"/>
          <w:sz w:val="18"/>
          <w:szCs w:val="18"/>
          <w:color w:val="000000"/>
        </w:rPr>
        <w:t>the receipt of shares that may, subject to an award, vest in the future. Upon vesting, deferred shares are credited to a bookkeeping account. An award recipient who has elected to defer the receipt of shares may also make a “diversification election” of up to 40% of such shares, or such greater percentage if authorized by the Compensation Committee or any officer or committee of two or more officers to whom the committee has delegated such authority. The effect of making a diversification election is to cause a designated portion of the bookkeeping account to be treated as if it were notionally invested in an interest-bearing account with an annual interest rate equal to that in our deferred compensation plan, which is currently 9%, or, for our executive officers, it could also be notionally invested in a third party mutual fund or our company’s common stock fund under the deferred compensation plan.</w:t>
      </w:r>
    </w:p>
    <w:p>
      <w:pPr>
        <w:spacing w:after="0" w:line="7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0A33A5"/>
        </w:rPr>
        <w:t xml:space="preserve">Withholding. </w:t>
      </w:r>
      <w:r>
        <w:rPr>
          <w:rFonts w:ascii="Arial" w:cs="Arial" w:eastAsia="Arial" w:hAnsi="Arial"/>
          <w:sz w:val="18"/>
          <w:szCs w:val="18"/>
          <w:color w:val="000000"/>
        </w:rPr>
        <w:t>Unless otherwise determined by the Compensation Committee, tax liabilities incurred by employees in connection with the</w:t>
      </w:r>
      <w:r>
        <w:rPr>
          <w:rFonts w:ascii="Arial" w:cs="Arial" w:eastAsia="Arial" w:hAnsi="Arial"/>
          <w:sz w:val="18"/>
          <w:szCs w:val="18"/>
          <w:i w:val="1"/>
          <w:iCs w:val="1"/>
          <w:color w:val="0A33A5"/>
        </w:rPr>
        <w:t xml:space="preserve"> </w:t>
      </w:r>
      <w:r>
        <w:rPr>
          <w:rFonts w:ascii="Arial" w:cs="Arial" w:eastAsia="Arial" w:hAnsi="Arial"/>
          <w:sz w:val="18"/>
          <w:szCs w:val="18"/>
          <w:color w:val="000000"/>
        </w:rPr>
        <w:t>grant of an award or upon its vesting or settlement will be satisfied by our withholding a portion of the shares subject to the award that have a fair market value approximately equal to the minimum amount of taxes required to be withheld by us under applicable law. Subject to certain conditions specified in the RSU Plan, a recipient of an award may elect to have taxes withheld in excess of the minimum amount required to be withheld or may satisfy his or her tax withholding in cash.</w:t>
      </w:r>
    </w:p>
    <w:p>
      <w:pPr>
        <w:spacing w:after="0" w:line="77" w:lineRule="exact"/>
        <w:rPr>
          <w:sz w:val="20"/>
          <w:szCs w:val="20"/>
          <w:color w:val="auto"/>
        </w:rPr>
      </w:pPr>
    </w:p>
    <w:p>
      <w:pPr>
        <w:ind w:left="120" w:right="40"/>
        <w:spacing w:after="0" w:line="250" w:lineRule="auto"/>
        <w:rPr>
          <w:sz w:val="20"/>
          <w:szCs w:val="20"/>
          <w:color w:val="auto"/>
        </w:rPr>
      </w:pPr>
      <w:r>
        <w:rPr>
          <w:rFonts w:ascii="Arial" w:cs="Arial" w:eastAsia="Arial" w:hAnsi="Arial"/>
          <w:sz w:val="18"/>
          <w:szCs w:val="18"/>
          <w:i w:val="1"/>
          <w:iCs w:val="1"/>
          <w:color w:val="0A33A5"/>
        </w:rPr>
        <w:t xml:space="preserve">Adjustments. </w:t>
      </w:r>
      <w:r>
        <w:rPr>
          <w:rFonts w:ascii="Arial" w:cs="Arial" w:eastAsia="Arial" w:hAnsi="Arial"/>
          <w:sz w:val="18"/>
          <w:szCs w:val="18"/>
          <w:color w:val="000000"/>
        </w:rPr>
        <w:t>The aggregate number of shares under the RSU Plan, the class of shares as to which awards may be granted and the</w:t>
      </w:r>
      <w:r>
        <w:rPr>
          <w:rFonts w:ascii="Arial" w:cs="Arial" w:eastAsia="Arial" w:hAnsi="Arial"/>
          <w:sz w:val="18"/>
          <w:szCs w:val="18"/>
          <w:i w:val="1"/>
          <w:iCs w:val="1"/>
          <w:color w:val="0A33A5"/>
        </w:rPr>
        <w:t xml:space="preserve"> </w:t>
      </w:r>
      <w:r>
        <w:rPr>
          <w:rFonts w:ascii="Arial" w:cs="Arial" w:eastAsia="Arial" w:hAnsi="Arial"/>
          <w:sz w:val="18"/>
          <w:szCs w:val="18"/>
          <w:color w:val="000000"/>
        </w:rPr>
        <w:t>number of shares covered by each outstanding award are subject to adjustment in the event of a stock dividend, recapitalization or certain other corporate transactions.</w:t>
      </w:r>
    </w:p>
    <w:p>
      <w:pPr>
        <w:spacing w:after="0" w:line="69" w:lineRule="exact"/>
        <w:rPr>
          <w:sz w:val="20"/>
          <w:szCs w:val="20"/>
          <w:color w:val="auto"/>
        </w:rPr>
      </w:pPr>
    </w:p>
    <w:p>
      <w:pPr>
        <w:ind w:left="120" w:right="20"/>
        <w:spacing w:after="0" w:line="250" w:lineRule="auto"/>
        <w:rPr>
          <w:sz w:val="20"/>
          <w:szCs w:val="20"/>
          <w:color w:val="auto"/>
        </w:rPr>
      </w:pPr>
      <w:r>
        <w:rPr>
          <w:rFonts w:ascii="Arial" w:cs="Arial" w:eastAsia="Arial" w:hAnsi="Arial"/>
          <w:sz w:val="17"/>
          <w:szCs w:val="17"/>
          <w:i w:val="1"/>
          <w:iCs w:val="1"/>
          <w:color w:val="0A33A5"/>
        </w:rPr>
        <w:t xml:space="preserve">Terminating Events. </w:t>
      </w:r>
      <w:r>
        <w:rPr>
          <w:rFonts w:ascii="Arial" w:cs="Arial" w:eastAsia="Arial" w:hAnsi="Arial"/>
          <w:sz w:val="17"/>
          <w:szCs w:val="17"/>
          <w:color w:val="000000"/>
        </w:rPr>
        <w:t>In the event of a change in control of our company, the Compensation Committee may provide that upon</w:t>
      </w:r>
      <w:r>
        <w:rPr>
          <w:rFonts w:ascii="Arial" w:cs="Arial" w:eastAsia="Arial" w:hAnsi="Arial"/>
          <w:sz w:val="17"/>
          <w:szCs w:val="17"/>
          <w:i w:val="1"/>
          <w:iCs w:val="1"/>
          <w:color w:val="0A33A5"/>
        </w:rPr>
        <w:t xml:space="preserve"> </w:t>
      </w:r>
      <w:r>
        <w:rPr>
          <w:rFonts w:ascii="Arial" w:cs="Arial" w:eastAsia="Arial" w:hAnsi="Arial"/>
          <w:sz w:val="17"/>
          <w:szCs w:val="17"/>
          <w:color w:val="000000"/>
        </w:rPr>
        <w:t>consummation of such an event, any outstanding awards will vest in full or in part or that all RSUs or restricted stock that have been previously deferred will be transferred to the recipient. A change in control means the occurrence of any one or more of the following events (i) 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twelve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w:t>
      </w:r>
    </w:p>
    <w:p>
      <w:pPr>
        <w:spacing w:after="0" w:line="201" w:lineRule="exact"/>
        <w:rPr>
          <w:sz w:val="20"/>
          <w:szCs w:val="20"/>
          <w:color w:val="auto"/>
        </w:rPr>
      </w:pPr>
    </w:p>
    <w:p>
      <w:pPr>
        <w:ind w:left="5520" w:right="4420" w:hanging="5404"/>
        <w:spacing w:after="0" w:line="418" w:lineRule="auto"/>
        <w:tabs>
          <w:tab w:leader="none" w:pos="4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by our shareholders of a liquidation or dissolution of our company. 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i w:val="1"/>
          <w:iCs w:val="1"/>
          <w:color w:val="0A33A5"/>
        </w:rPr>
        <w:t xml:space="preserve">Amendment or Termination. </w:t>
      </w:r>
      <w:r>
        <w:rPr>
          <w:rFonts w:ascii="Arial" w:cs="Arial" w:eastAsia="Arial" w:hAnsi="Arial"/>
          <w:sz w:val="18"/>
          <w:szCs w:val="18"/>
          <w:color w:val="000000"/>
        </w:rPr>
        <w:t>The RSU Plan may be amended by our Board or the Compensation Committee and may be terminated by our</w:t>
      </w:r>
      <w:r>
        <w:rPr>
          <w:rFonts w:ascii="Arial" w:cs="Arial" w:eastAsia="Arial" w:hAnsi="Arial"/>
          <w:sz w:val="18"/>
          <w:szCs w:val="18"/>
          <w:i w:val="1"/>
          <w:iCs w:val="1"/>
          <w:color w:val="0A33A5"/>
        </w:rPr>
        <w:t xml:space="preserve"> </w:t>
      </w:r>
      <w:r>
        <w:rPr>
          <w:rFonts w:ascii="Arial" w:cs="Arial" w:eastAsia="Arial" w:hAnsi="Arial"/>
          <w:sz w:val="18"/>
          <w:szCs w:val="18"/>
          <w:color w:val="000000"/>
        </w:rPr>
        <w:t>Board at any time, provided that no award will be affected by any amendment or termination without the written consent of its recipient. Shareholder approval will be obtained for a RSU Plan amendment if it is determined to be required by or advisable under applicable law, regulation or NASDAQ Global Select Market rules.</w:t>
      </w:r>
    </w:p>
    <w:p>
      <w:pPr>
        <w:spacing w:after="0" w:line="73"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i w:val="1"/>
          <w:iCs w:val="1"/>
          <w:color w:val="0A33A5"/>
        </w:rPr>
        <w:t xml:space="preserve">New Plan Benefits. </w:t>
      </w:r>
      <w:r>
        <w:rPr>
          <w:rFonts w:ascii="Arial" w:cs="Arial" w:eastAsia="Arial" w:hAnsi="Arial"/>
          <w:sz w:val="18"/>
          <w:szCs w:val="18"/>
          <w:color w:val="000000"/>
        </w:rPr>
        <w:t>Future grants of awards of RSUs or restricted stock, if any, that will be made to eligible employees are subject to the</w:t>
      </w:r>
      <w:r>
        <w:rPr>
          <w:rFonts w:ascii="Arial" w:cs="Arial" w:eastAsia="Arial" w:hAnsi="Arial"/>
          <w:sz w:val="18"/>
          <w:szCs w:val="18"/>
          <w:i w:val="1"/>
          <w:iCs w:val="1"/>
          <w:color w:val="0A33A5"/>
        </w:rPr>
        <w:t xml:space="preserve"> </w:t>
      </w:r>
      <w:r>
        <w:rPr>
          <w:rFonts w:ascii="Arial" w:cs="Arial" w:eastAsia="Arial" w:hAnsi="Arial"/>
          <w:sz w:val="18"/>
          <w:szCs w:val="18"/>
          <w:color w:val="000000"/>
        </w:rPr>
        <w:t>discretion of the Compensation Committee and, therefore, are not determinable at this time. The following table reflects awards of RSUs granted in 2019; all awards to our NEOs were performance-based RSUs.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2019 RSU Grants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6340" w:type="dxa"/>
            <w:vAlign w:val="bottom"/>
            <w:tcBorders>
              <w:top w:val="single" w:sz="8" w:color="auto"/>
              <w:bottom w:val="single" w:sz="8" w:color="DDF2F9"/>
            </w:tcBorders>
            <w:shd w:val="clear" w:color="auto" w:fill="DDF2F9"/>
          </w:tcPr>
          <w:p>
            <w:pPr>
              <w:ind w:left="80"/>
              <w:spacing w:after="0"/>
              <w:rPr>
                <w:sz w:val="20"/>
                <w:szCs w:val="20"/>
                <w:color w:val="auto"/>
              </w:rPr>
            </w:pPr>
            <w:r>
              <w:rPr>
                <w:rFonts w:ascii="Arial" w:cs="Arial" w:eastAsia="Arial" w:hAnsi="Arial"/>
                <w:sz w:val="16"/>
                <w:szCs w:val="16"/>
                <w:b w:val="1"/>
                <w:bCs w:val="1"/>
                <w:color w:val="0A33A5"/>
              </w:rPr>
              <w:t>Name and Position</w:t>
            </w:r>
          </w:p>
        </w:tc>
        <w:tc>
          <w:tcPr>
            <w:tcW w:w="4680" w:type="dxa"/>
            <w:vAlign w:val="bottom"/>
            <w:tcBorders>
              <w:top w:val="single" w:sz="8" w:color="auto"/>
              <w:bottom w:val="single" w:sz="8" w:color="DDF2F9"/>
            </w:tcBorders>
            <w:shd w:val="clear" w:color="auto" w:fill="DDF2F9"/>
          </w:tcPr>
          <w:p>
            <w:pPr>
              <w:jc w:val="right"/>
              <w:ind w:right="339"/>
              <w:spacing w:after="0"/>
              <w:rPr>
                <w:sz w:val="20"/>
                <w:szCs w:val="20"/>
                <w:color w:val="auto"/>
              </w:rPr>
            </w:pPr>
            <w:r>
              <w:rPr>
                <w:rFonts w:ascii="Arial" w:cs="Arial" w:eastAsia="Arial" w:hAnsi="Arial"/>
                <w:sz w:val="16"/>
                <w:szCs w:val="16"/>
                <w:b w:val="1"/>
                <w:bCs w:val="1"/>
                <w:color w:val="0A33A5"/>
              </w:rPr>
              <w:t>Number of Shares Underlying RSUs</w:t>
            </w:r>
          </w:p>
        </w:tc>
      </w:tr>
      <w:tr>
        <w:trPr>
          <w:trHeight w:val="184"/>
        </w:trPr>
        <w:tc>
          <w:tcPr>
            <w:tcW w:w="63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Brian L. Roberts</w:t>
            </w:r>
          </w:p>
        </w:tc>
        <w:tc>
          <w:tcPr>
            <w:tcW w:w="46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132,200</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Chairman of the Board, President and Chief Executive Officer</w:t>
            </w:r>
          </w:p>
        </w:tc>
        <w:tc>
          <w:tcPr>
            <w:tcW w:w="4680" w:type="dxa"/>
            <w:vAlign w:val="bottom"/>
          </w:tcPr>
          <w:p>
            <w:pPr>
              <w:spacing w:after="0"/>
              <w:rPr>
                <w:sz w:val="15"/>
                <w:szCs w:val="15"/>
                <w:color w:val="auto"/>
              </w:rPr>
            </w:pPr>
          </w:p>
        </w:tc>
      </w:tr>
      <w:tr>
        <w:trPr>
          <w:trHeight w:val="20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Michael J. Cavanagh</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166,800</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Chief Financial Officer</w:t>
            </w:r>
          </w:p>
        </w:tc>
        <w:tc>
          <w:tcPr>
            <w:tcW w:w="4680" w:type="dxa"/>
            <w:vAlign w:val="bottom"/>
          </w:tcPr>
          <w:p>
            <w:pPr>
              <w:spacing w:after="0"/>
              <w:rPr>
                <w:sz w:val="15"/>
                <w:szCs w:val="15"/>
                <w:color w:val="auto"/>
              </w:rPr>
            </w:pPr>
          </w:p>
        </w:tc>
      </w:tr>
      <w:tr>
        <w:trPr>
          <w:trHeight w:val="20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Stephen B. Burke</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132,200</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Chief Executive Officer, NBCUniversal</w:t>
            </w:r>
          </w:p>
        </w:tc>
        <w:tc>
          <w:tcPr>
            <w:tcW w:w="4680" w:type="dxa"/>
            <w:vAlign w:val="bottom"/>
          </w:tcPr>
          <w:p>
            <w:pPr>
              <w:spacing w:after="0"/>
              <w:rPr>
                <w:sz w:val="15"/>
                <w:szCs w:val="15"/>
                <w:color w:val="auto"/>
              </w:rPr>
            </w:pPr>
          </w:p>
        </w:tc>
      </w:tr>
      <w:tr>
        <w:trPr>
          <w:trHeight w:val="20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David L. Cohen</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92,700</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Senior Executive Vice President</w:t>
            </w:r>
          </w:p>
        </w:tc>
        <w:tc>
          <w:tcPr>
            <w:tcW w:w="4680" w:type="dxa"/>
            <w:vAlign w:val="bottom"/>
          </w:tcPr>
          <w:p>
            <w:pPr>
              <w:spacing w:after="0"/>
              <w:rPr>
                <w:sz w:val="15"/>
                <w:szCs w:val="15"/>
                <w:color w:val="auto"/>
              </w:rPr>
            </w:pPr>
          </w:p>
        </w:tc>
      </w:tr>
      <w:tr>
        <w:trPr>
          <w:trHeight w:val="20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David N. Watson</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80,300</w:t>
            </w:r>
          </w:p>
        </w:tc>
      </w:tr>
      <w:tr>
        <w:trPr>
          <w:trHeight w:val="183"/>
        </w:trPr>
        <w:tc>
          <w:tcPr>
            <w:tcW w:w="6340" w:type="dxa"/>
            <w:vAlign w:val="bottom"/>
          </w:tcPr>
          <w:p>
            <w:pPr>
              <w:ind w:left="80"/>
              <w:spacing w:after="0" w:line="183" w:lineRule="exact"/>
              <w:rPr>
                <w:sz w:val="20"/>
                <w:szCs w:val="20"/>
                <w:color w:val="auto"/>
              </w:rPr>
            </w:pPr>
            <w:r>
              <w:rPr>
                <w:rFonts w:ascii="Arial" w:cs="Arial" w:eastAsia="Arial" w:hAnsi="Arial"/>
                <w:sz w:val="16"/>
                <w:szCs w:val="16"/>
                <w:color w:val="auto"/>
              </w:rPr>
              <w:t>Chief Executive Officer, Comcast Cable</w:t>
            </w:r>
          </w:p>
        </w:tc>
        <w:tc>
          <w:tcPr>
            <w:tcW w:w="4680" w:type="dxa"/>
            <w:vAlign w:val="bottom"/>
          </w:tcPr>
          <w:p>
            <w:pPr>
              <w:spacing w:after="0"/>
              <w:rPr>
                <w:sz w:val="15"/>
                <w:szCs w:val="15"/>
                <w:color w:val="auto"/>
              </w:rPr>
            </w:pPr>
          </w:p>
        </w:tc>
      </w:tr>
      <w:tr>
        <w:trPr>
          <w:trHeight w:val="18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All executive officers as a group</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801,600</w:t>
            </w:r>
          </w:p>
        </w:tc>
      </w:tr>
      <w:tr>
        <w:trPr>
          <w:trHeight w:val="189"/>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All nonemployee directors as a group</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37,665</w:t>
            </w:r>
          </w:p>
        </w:tc>
      </w:tr>
      <w:tr>
        <w:trPr>
          <w:trHeight w:val="215"/>
        </w:trPr>
        <w:tc>
          <w:tcPr>
            <w:tcW w:w="6340" w:type="dxa"/>
            <w:vAlign w:val="bottom"/>
          </w:tcPr>
          <w:p>
            <w:pPr>
              <w:ind w:left="80"/>
              <w:spacing w:after="0"/>
              <w:rPr>
                <w:sz w:val="20"/>
                <w:szCs w:val="20"/>
                <w:color w:val="auto"/>
              </w:rPr>
            </w:pPr>
            <w:r>
              <w:rPr>
                <w:rFonts w:ascii="Arial" w:cs="Arial" w:eastAsia="Arial" w:hAnsi="Arial"/>
                <w:sz w:val="16"/>
                <w:szCs w:val="16"/>
                <w:b w:val="1"/>
                <w:bCs w:val="1"/>
                <w:color w:val="auto"/>
              </w:rPr>
              <w:t>Company employees other than executive officers, as a group</w:t>
            </w:r>
          </w:p>
        </w:tc>
        <w:tc>
          <w:tcPr>
            <w:tcW w:w="4680" w:type="dxa"/>
            <w:vAlign w:val="bottom"/>
          </w:tcPr>
          <w:p>
            <w:pPr>
              <w:jc w:val="right"/>
              <w:ind w:right="339"/>
              <w:spacing w:after="0"/>
              <w:rPr>
                <w:sz w:val="20"/>
                <w:szCs w:val="20"/>
                <w:color w:val="auto"/>
              </w:rPr>
            </w:pPr>
            <w:r>
              <w:rPr>
                <w:rFonts w:ascii="Arial" w:cs="Arial" w:eastAsia="Arial" w:hAnsi="Arial"/>
                <w:sz w:val="16"/>
                <w:szCs w:val="16"/>
                <w:color w:val="auto"/>
              </w:rPr>
              <w:t>16,479,208</w:t>
            </w: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Federal Income Taxation</w:t>
      </w:r>
    </w:p>
    <w:p>
      <w:pPr>
        <w:spacing w:after="0" w:line="12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following is a general summary under current law of certain U.S. federal income tax consequences to participants who are citizens or individual residents of the United States relating to awards granted under the RSU Plan. This summary deals with the general tax principles that apply to such awards and is provided only for general information. Certain kinds of taxes, such as foreign taxes, state and local income taxes, payroll taxes and the alternative minimum tax, are not discussed.</w:t>
      </w:r>
    </w:p>
    <w:p>
      <w:pPr>
        <w:spacing w:after="0" w:line="9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grant of an award of RSUs will not be a taxable event. The recipient of the award generally will recognize ordinary compensation income in each year in which the units vest in an amount equal to the fair market value of the shares of common stock received. A recipient’s basis for determining gain or loss on a subsequent disposition of these shares of common stock will be the amount the recipient must include in income when the units vest. Any gain or loss recognized on a disposition of the shares of common stock generally will be short-term or long-term capital gain or loss, depending on the length of time the recipient holds the shares. A recipient who makes a proper election to defer the settlement of RSUs will not recognize income with respect to the units until the end of the deferral period. At the end of the deferral period, the recipient will recognize ordinary compensation income equal to the fair market value of the shares of common stock issued at that time.</w:t>
      </w:r>
    </w:p>
    <w:p>
      <w:pPr>
        <w:spacing w:after="0" w:line="78" w:lineRule="exact"/>
        <w:rPr>
          <w:sz w:val="20"/>
          <w:szCs w:val="20"/>
          <w:color w:val="auto"/>
        </w:rPr>
      </w:pPr>
    </w:p>
    <w:p>
      <w:pPr>
        <w:jc w:val="center"/>
        <w:ind w:left="420" w:right="200"/>
        <w:spacing w:after="0" w:line="271" w:lineRule="auto"/>
        <w:rPr>
          <w:sz w:val="20"/>
          <w:szCs w:val="20"/>
          <w:color w:val="auto"/>
        </w:rPr>
      </w:pPr>
      <w:r>
        <w:rPr>
          <w:rFonts w:ascii="Arial" w:cs="Arial" w:eastAsia="Arial" w:hAnsi="Arial"/>
          <w:sz w:val="18"/>
          <w:szCs w:val="18"/>
          <w:b w:val="1"/>
          <w:bCs w:val="1"/>
          <w:color w:val="auto"/>
        </w:rPr>
        <w:t>OUR BOARD UNANIMOUSLY RECOMMENDS THAT SHAREHOLDERS VOTE “FOR” THE APPROVAL OF THE AMENDED AND RESTATED 2002 RESTRICTED STOCK PLAN.</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A33A5"/>
        </w:rPr>
        <w:t>PROPOSAL 5: ADVISORY VOTE ON EXECUTIVE COMPENSATION</w:t>
      </w:r>
    </w:p>
    <w:p>
      <w:pPr>
        <w:spacing w:after="0" w:line="126"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The following proposal gives our shareholders the opportunity to cast a non-binding, advisory vote on the compensation of our NEOs. This vote is not intended to address any specific item of compensation, but rather the overall compensation of our NEOs and our compensation philosophy, policies and practices, as disclosed below under “Executive Compensation.”</w:t>
      </w:r>
    </w:p>
    <w:p>
      <w:pPr>
        <w:spacing w:after="0" w:line="95" w:lineRule="exact"/>
        <w:rPr>
          <w:sz w:val="20"/>
          <w:szCs w:val="20"/>
          <w:color w:val="auto"/>
        </w:rPr>
      </w:pPr>
    </w:p>
    <w:p>
      <w:pPr>
        <w:ind w:left="120" w:right="220"/>
        <w:spacing w:after="0"/>
        <w:rPr>
          <w:rFonts w:ascii="Arial" w:cs="Arial" w:eastAsia="Arial" w:hAnsi="Arial"/>
          <w:sz w:val="18"/>
          <w:szCs w:val="18"/>
          <w:color w:val="auto"/>
        </w:rPr>
      </w:pPr>
      <w:r>
        <w:rPr>
          <w:rFonts w:ascii="Arial" w:cs="Arial" w:eastAsia="Arial" w:hAnsi="Arial"/>
          <w:sz w:val="18"/>
          <w:szCs w:val="18"/>
          <w:color w:val="auto"/>
        </w:rPr>
        <w:t xml:space="preserve">We encourage shareholders to review detailed information on our executive compensation program and the 2019 compensation of our NEOs as set forth in “Executive Compensation — Compensation Discussion and Analysis,” starting on </w:t>
      </w:r>
      <w:hyperlink w:anchor="page43">
        <w:r>
          <w:rPr>
            <w:rFonts w:ascii="Arial" w:cs="Arial" w:eastAsia="Arial" w:hAnsi="Arial"/>
            <w:sz w:val="18"/>
            <w:szCs w:val="18"/>
            <w:u w:val="single" w:color="auto"/>
            <w:color w:val="0000EE"/>
          </w:rPr>
          <w:t>page 40</w:t>
        </w:r>
      </w:hyperlink>
      <w:r>
        <w:rPr>
          <w:rFonts w:ascii="Arial" w:cs="Arial" w:eastAsia="Arial" w:hAnsi="Arial"/>
          <w:sz w:val="18"/>
          <w:szCs w:val="18"/>
          <w:color w:val="auto"/>
        </w:rPr>
        <w:t>. Shareholders are being asked to vote “FOR” the adoption of the following resolution:</w:t>
      </w:r>
    </w:p>
    <w:p>
      <w:pPr>
        <w:spacing w:after="0" w:line="7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that the compensation paid to Comcast Corporation’s named executive officers, as disclosed pursuant to Item 402</w:t>
      </w:r>
      <w:r>
        <w:rPr>
          <w:rFonts w:ascii="Arial" w:cs="Arial" w:eastAsia="Arial" w:hAnsi="Arial"/>
          <w:sz w:val="18"/>
          <w:szCs w:val="18"/>
          <w:color w:val="auto"/>
        </w:rPr>
        <w:t xml:space="preserve"> </w:t>
      </w:r>
      <w:r>
        <w:rPr>
          <w:rFonts w:ascii="Arial" w:cs="Arial" w:eastAsia="Arial" w:hAnsi="Arial"/>
          <w:sz w:val="18"/>
          <w:szCs w:val="18"/>
          <w:b w:val="1"/>
          <w:bCs w:val="1"/>
          <w:color w:val="auto"/>
        </w:rPr>
        <w:t>of Regulation S-K, including the Compensation Discussion and Analysis, compensation tables and narrative discussion, is hereby APPROVED.</w:t>
      </w:r>
      <w:r>
        <w:rPr>
          <w:rFonts w:ascii="Arial" w:cs="Arial" w:eastAsia="Arial" w:hAnsi="Arial"/>
          <w:sz w:val="18"/>
          <w:szCs w:val="18"/>
          <w:color w:val="auto"/>
        </w:rPr>
        <w:t>”</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73" w:lineRule="exact"/>
        <w:rPr>
          <w:sz w:val="20"/>
          <w:szCs w:val="20"/>
          <w:color w:val="auto"/>
        </w:rPr>
      </w:pPr>
    </w:p>
    <w:p>
      <w:pPr>
        <w:jc w:val="center"/>
        <w:ind w:left="520" w:right="100"/>
        <w:spacing w:after="0" w:line="271" w:lineRule="auto"/>
        <w:rPr>
          <w:sz w:val="20"/>
          <w:szCs w:val="20"/>
          <w:color w:val="auto"/>
        </w:rPr>
      </w:pPr>
      <w:r>
        <w:rPr>
          <w:rFonts w:ascii="Arial" w:cs="Arial" w:eastAsia="Arial" w:hAnsi="Arial"/>
          <w:sz w:val="18"/>
          <w:szCs w:val="18"/>
          <w:b w:val="1"/>
          <w:bCs w:val="1"/>
          <w:color w:val="auto"/>
        </w:rPr>
        <w:t>OUR BOARD UNANIMOUSLY RECOMMENDS THAT SHAREHOLDERS VOTE “FOR” APPROVAL OF THE COMPENSATION OF OUR NAMED EXECUTIVE OFFICERS.</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A33A5"/>
        </w:rPr>
        <w:t>SHAREHOLDER PROPOSALS</w:t>
      </w:r>
    </w:p>
    <w:p>
      <w:pPr>
        <w:spacing w:after="0" w:line="234" w:lineRule="exact"/>
        <w:rPr>
          <w:sz w:val="20"/>
          <w:szCs w:val="20"/>
          <w:color w:val="auto"/>
        </w:rPr>
      </w:pPr>
    </w:p>
    <w:p>
      <w:pPr>
        <w:ind w:left="120" w:right="100"/>
        <w:spacing w:after="0" w:line="257" w:lineRule="auto"/>
        <w:rPr>
          <w:sz w:val="20"/>
          <w:szCs w:val="20"/>
          <w:color w:val="auto"/>
        </w:rPr>
      </w:pPr>
      <w:r>
        <w:rPr>
          <w:rFonts w:ascii="Arial" w:cs="Arial" w:eastAsia="Arial" w:hAnsi="Arial"/>
          <w:sz w:val="17"/>
          <w:szCs w:val="17"/>
          <w:color w:val="auto"/>
        </w:rPr>
        <w:t>We received the following shareholder proposals. The proponents and any co-filers have represented to us that each has continuously held at least $2,000 in market value of Class A common stock for at least one year and will continue to hold these securities through the date of the annual meeting of shareholders. To be voted upon at our 2020 annual meeting of shareholders, the proponent of each proposal, or a representative of the proponent qualified under Pennsylvania law, must be present at the meeting to present the proposal.</w:t>
      </w:r>
    </w:p>
    <w:p>
      <w:pPr>
        <w:spacing w:after="0" w:line="81"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 xml:space="preserve">Other than adding a brief title, we have included the text of each proposal and the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A33A5"/>
        </w:rPr>
        <w:t>PROPOSAL 6: TO PREPARE AN ANNUAL REPORT ON LOBBYING ACTIVITY</w:t>
      </w:r>
    </w:p>
    <w:p>
      <w:pPr>
        <w:spacing w:after="0" w:line="234"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The following proposal and supporting statement were submitted by Friends Fiduciary Corporation, 1700 Market Street, Suite 1535, Philadelphia, PA 19103 and various co-filers.</w:t>
      </w:r>
    </w:p>
    <w:p>
      <w:pPr>
        <w:spacing w:after="0" w:line="67"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we believe in full disclosure of Comcast’s direct and indirect lobbying activities and expenditures to assess whether Comcast’s</w:t>
      </w:r>
      <w:r>
        <w:rPr>
          <w:rFonts w:ascii="Arial" w:cs="Arial" w:eastAsia="Arial" w:hAnsi="Arial"/>
          <w:sz w:val="18"/>
          <w:szCs w:val="18"/>
          <w:b w:val="1"/>
          <w:bCs w:val="1"/>
          <w:color w:val="auto"/>
        </w:rPr>
        <w:t xml:space="preserve"> </w:t>
      </w:r>
      <w:r>
        <w:rPr>
          <w:rFonts w:ascii="Arial" w:cs="Arial" w:eastAsia="Arial" w:hAnsi="Arial"/>
          <w:sz w:val="18"/>
          <w:szCs w:val="18"/>
          <w:color w:val="auto"/>
        </w:rPr>
        <w:t>lobbying is consistent with its expressed goals and in the best interests of shareholders.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shareholders of Comcast request the preparation of a report, updated annually, disclosing:</w:t>
      </w:r>
    </w:p>
    <w:p>
      <w:pPr>
        <w:spacing w:after="0" w:line="1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117" w:lineRule="exact"/>
        <w:rPr>
          <w:rFonts w:ascii="Arial" w:cs="Arial" w:eastAsia="Arial" w:hAnsi="Arial"/>
          <w:sz w:val="18"/>
          <w:szCs w:val="18"/>
          <w:color w:val="auto"/>
        </w:rPr>
      </w:pPr>
    </w:p>
    <w:p>
      <w:pPr>
        <w:ind w:left="1080" w:right="580" w:hanging="532"/>
        <w:spacing w:after="0" w:line="24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10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117" w:lineRule="exact"/>
        <w:rPr>
          <w:rFonts w:ascii="Arial" w:cs="Arial" w:eastAsia="Arial" w:hAnsi="Arial"/>
          <w:sz w:val="18"/>
          <w:szCs w:val="18"/>
          <w:color w:val="auto"/>
        </w:rPr>
      </w:pPr>
    </w:p>
    <w:p>
      <w:pPr>
        <w:ind w:left="1080" w:right="420" w:hanging="532"/>
        <w:spacing w:after="0" w:line="24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 2 and 3 above.</w:t>
      </w:r>
    </w:p>
    <w:p>
      <w:pPr>
        <w:spacing w:after="0" w:line="8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report shall be presented to the Governance and Directors Nominating Committee and posted on Comcast’s website.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We encourage transparency regarding the use of corporate funds to influence legislation and regulation. Comcast was the fifth highest corporate federal lobbying spender for 2018, spending $15,072,000 (Opensecrets.org). We are concerned that Comcast’s lobbying may pose reputational risks when it contradicts the company’s public positions (“Comcast Deleted Net Neutrality Pledge the Same Day FCC Announced Repeal,” </w:t>
      </w:r>
      <w:r>
        <w:rPr>
          <w:rFonts w:ascii="Arial" w:cs="Arial" w:eastAsia="Arial" w:hAnsi="Arial"/>
          <w:sz w:val="18"/>
          <w:szCs w:val="18"/>
          <w:i w:val="1"/>
          <w:iCs w:val="1"/>
          <w:color w:val="auto"/>
        </w:rPr>
        <w:t>Ars Technica,</w:t>
      </w:r>
      <w:r>
        <w:rPr>
          <w:rFonts w:ascii="Arial" w:cs="Arial" w:eastAsia="Arial" w:hAnsi="Arial"/>
          <w:sz w:val="18"/>
          <w:szCs w:val="18"/>
          <w:color w:val="auto"/>
        </w:rPr>
        <w:t xml:space="preserve"> November 29, 2017). While Comcast lobbies on net neutrality at the state level, shareholders have no way to know how much it is spending in 22 states with no disclosure requirements (“How Leading U.S. Corporations Govern and Spend on State Lobbying,” </w:t>
      </w:r>
      <w:r>
        <w:rPr>
          <w:rFonts w:ascii="Arial" w:cs="Arial" w:eastAsia="Arial" w:hAnsi="Arial"/>
          <w:sz w:val="18"/>
          <w:szCs w:val="18"/>
          <w:i w:val="1"/>
          <w:iCs w:val="1"/>
          <w:color w:val="auto"/>
        </w:rPr>
        <w:t>Sustainable Investments Institute).</w:t>
      </w:r>
      <w:r>
        <w:rPr>
          <w:rFonts w:ascii="Arial" w:cs="Arial" w:eastAsia="Arial" w:hAnsi="Arial"/>
          <w:sz w:val="18"/>
          <w:szCs w:val="18"/>
          <w:color w:val="auto"/>
        </w:rPr>
        <w:t xml:space="preserve"> In California, Comcast directly spent $1.6 million in 2017—2018 on lobbying (Cal-Access Database).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Comcast serves on the board of NCTA—The Internet &amp; Television Association, which spent $146,030,000 on lobbying from 2010—2018. Comcast does not disclose memberships in, or payments to, trade associations, or the amounts used for lobbying, in contrast with peers such as AT&amp;T. While Comcast discloses trade association payments used for political contributions, it does not disclose payments used for lobbying, leaving a serious disclosure gap. Trade associations generally spend far more on lobbying than political contributions.</w:t>
      </w:r>
    </w:p>
    <w:p>
      <w:pPr>
        <w:spacing w:after="0" w:line="97"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This proposal seeks sufficient transparency for shareholders to be able to evaluate these significant costs, as well as to ensure sufficient internal accountability to safeguard the alignment of spending with company mission, values, and ethics.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Company Response to Shareholder Proposal</w:t>
      </w:r>
    </w:p>
    <w:p>
      <w:pPr>
        <w:spacing w:after="0" w:line="12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where we do business. In fact, in the highly regulated industries in which we primarily operate—the communications and media/entertainment industries—advocating on important legislative and regulatory issues is an absolute necessity to protecting our businesses and, ultimately, our shareholders.</w:t>
      </w:r>
    </w:p>
    <w:p>
      <w:pPr>
        <w:spacing w:after="0" w:line="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A meaningful majority of our shareholders have not supported this proposal for each of the past five years, and we continue to believe that implementing the proposal is not in the best interests of shareholders for the reasons set forth below.</w:t>
      </w:r>
    </w:p>
    <w:p>
      <w:pPr>
        <w:spacing w:after="0" w:line="48" w:lineRule="exact"/>
        <w:rPr>
          <w:sz w:val="20"/>
          <w:szCs w:val="20"/>
          <w:color w:val="auto"/>
        </w:rPr>
      </w:pPr>
    </w:p>
    <w:p>
      <w:pPr>
        <w:ind w:left="980" w:hanging="432"/>
        <w:spacing w:after="0" w:line="23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Significant and detailed information with respect to our Government Affairs, lobbying, trade association and political activities programs are set forth in our Statement on Political and Trade Association Activity (the “Statement”), which is available for review at </w:t>
      </w:r>
      <w:r>
        <w:rPr>
          <w:rFonts w:ascii="Arial" w:cs="Arial" w:eastAsia="Arial" w:hAnsi="Arial"/>
          <w:sz w:val="18"/>
          <w:szCs w:val="18"/>
          <w:i w:val="1"/>
          <w:iCs w:val="1"/>
          <w:color w:val="auto"/>
        </w:rPr>
        <w:t>https://corporate.comcast.com/values/integrity/activity</w:t>
      </w:r>
      <w:r>
        <w:rPr>
          <w:rFonts w:ascii="Arial" w:cs="Arial" w:eastAsia="Arial" w:hAnsi="Arial"/>
          <w:sz w:val="18"/>
          <w:szCs w:val="18"/>
          <w:color w:val="auto"/>
        </w:rPr>
        <w:t>. The Statement is periodically reviewed by our Governance and Directors Nominating Committee and outlines the wide variety of public policy issues that impact our business. As noted in the Statement:</w:t>
      </w:r>
    </w:p>
    <w:p>
      <w:pPr>
        <w:spacing w:after="0" w:line="53" w:lineRule="exact"/>
        <w:rPr>
          <w:rFonts w:ascii="Arial" w:cs="Arial" w:eastAsia="Arial" w:hAnsi="Arial"/>
          <w:sz w:val="18"/>
          <w:szCs w:val="18"/>
          <w:color w:val="auto"/>
        </w:rPr>
      </w:pPr>
    </w:p>
    <w:p>
      <w:pPr>
        <w:ind w:left="1420" w:right="80" w:hanging="427"/>
        <w:spacing w:after="0" w:line="237" w:lineRule="auto"/>
        <w:tabs>
          <w:tab w:leader="none" w:pos="1420" w:val="left"/>
        </w:tabs>
        <w:numPr>
          <w:ilvl w:val="1"/>
          <w:numId w:val="33"/>
        </w:numPr>
        <w:rPr>
          <w:rFonts w:ascii="Arial" w:cs="Arial" w:eastAsia="Arial" w:hAnsi="Arial"/>
          <w:sz w:val="15"/>
          <w:szCs w:val="15"/>
          <w:color w:val="auto"/>
        </w:rPr>
      </w:pPr>
      <w:r>
        <w:rPr>
          <w:rFonts w:ascii="Arial" w:cs="Arial" w:eastAsia="Arial" w:hAnsi="Arial"/>
          <w:sz w:val="18"/>
          <w:szCs w:val="18"/>
          <w:color w:val="auto"/>
        </w:rPr>
        <w:t>Our Government Affairs’ activities include development and advocacy of public policy, lobbying, membership in a variety of trade associations, participation in a number of intergovernmental associations and partnerships with other companies in the cable, broadcast and film industries and with third party organizations on public policy issues of concern to our company. The trade organizations that we are members of are principally composed of cable, broadcast and film industry associations that are operated for the purpose of advancing the common goals and interests of the member companies and their customers. Participation in these trade associations is subject to approval procedures set by a Senior Executive Vice President who oversees this function and reports to our Chief Executive Officer, Mr. Roberts.</w:t>
      </w:r>
    </w:p>
    <w:p>
      <w:pPr>
        <w:spacing w:after="0" w:line="54" w:lineRule="exact"/>
        <w:rPr>
          <w:rFonts w:ascii="Arial" w:cs="Arial" w:eastAsia="Arial" w:hAnsi="Arial"/>
          <w:sz w:val="15"/>
          <w:szCs w:val="15"/>
          <w:color w:val="auto"/>
        </w:rPr>
      </w:pPr>
    </w:p>
    <w:p>
      <w:pPr>
        <w:ind w:left="1420" w:hanging="427"/>
        <w:spacing w:after="0" w:line="237" w:lineRule="auto"/>
        <w:tabs>
          <w:tab w:leader="none" w:pos="1420" w:val="left"/>
        </w:tabs>
        <w:numPr>
          <w:ilvl w:val="1"/>
          <w:numId w:val="33"/>
        </w:numPr>
        <w:rPr>
          <w:rFonts w:ascii="Arial" w:cs="Arial" w:eastAsia="Arial" w:hAnsi="Arial"/>
          <w:sz w:val="15"/>
          <w:szCs w:val="15"/>
          <w:color w:val="auto"/>
        </w:rPr>
      </w:pPr>
      <w:r>
        <w:rPr>
          <w:rFonts w:ascii="Arial" w:cs="Arial" w:eastAsia="Arial" w:hAnsi="Arial"/>
          <w:sz w:val="18"/>
          <w:szCs w:val="18"/>
          <w:color w:val="auto"/>
        </w:rPr>
        <w:t>Our lobbying activity, undertaken directly and through participation in trade associations, is directed to influencing the wide variety of public policy issues that impact our businesses, including legislation and regulation relating to the distribution of video content over our cable plant, local and state cable franchising laws and regulations, regulation of the Internet and high speed data services, regulation of the telephone industry, regulation of the broadcast and programming industry, privacy, piracy, copyright, certain international regulations and a variety of general legislative and regulatory initiatives that affect Comcast as a business, such as tax, labor and workplace safety issues.</w:t>
      </w:r>
    </w:p>
    <w:p>
      <w:pPr>
        <w:spacing w:after="0" w:line="56" w:lineRule="exact"/>
        <w:rPr>
          <w:rFonts w:ascii="Arial" w:cs="Arial" w:eastAsia="Arial" w:hAnsi="Arial"/>
          <w:sz w:val="15"/>
          <w:szCs w:val="15"/>
          <w:color w:val="auto"/>
        </w:rPr>
      </w:pPr>
    </w:p>
    <w:p>
      <w:pPr>
        <w:ind w:left="1420" w:right="860" w:hanging="427"/>
        <w:spacing w:after="0" w:line="246" w:lineRule="auto"/>
        <w:tabs>
          <w:tab w:leader="none" w:pos="1420" w:val="left"/>
        </w:tabs>
        <w:numPr>
          <w:ilvl w:val="1"/>
          <w:numId w:val="33"/>
        </w:numPr>
        <w:rPr>
          <w:rFonts w:ascii="Arial" w:cs="Arial" w:eastAsia="Arial" w:hAnsi="Arial"/>
          <w:sz w:val="15"/>
          <w:szCs w:val="15"/>
          <w:color w:val="auto"/>
        </w:rPr>
      </w:pPr>
      <w:r>
        <w:rPr>
          <w:rFonts w:ascii="Arial" w:cs="Arial" w:eastAsia="Arial" w:hAnsi="Arial"/>
          <w:sz w:val="18"/>
          <w:szCs w:val="18"/>
          <w:color w:val="auto"/>
        </w:rPr>
        <w:t>We lobby ethically, constructively and in a bipartisan manner, and we comply with all registration and disclosure regulations related to our lobbying activities.</w:t>
      </w:r>
    </w:p>
    <w:p>
      <w:pPr>
        <w:spacing w:after="0" w:line="48" w:lineRule="exact"/>
        <w:rPr>
          <w:rFonts w:ascii="Arial" w:cs="Arial" w:eastAsia="Arial" w:hAnsi="Arial"/>
          <w:sz w:val="15"/>
          <w:szCs w:val="15"/>
          <w:color w:val="auto"/>
        </w:rPr>
      </w:pPr>
    </w:p>
    <w:p>
      <w:pPr>
        <w:ind w:left="980" w:right="440" w:hanging="432"/>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Board oversees our political activities and receives an annual report on our Government Affairs’ political, lobbying and trade association activities.</w:t>
      </w:r>
    </w:p>
    <w:p>
      <w:pPr>
        <w:spacing w:after="0" w:line="48" w:lineRule="exact"/>
        <w:rPr>
          <w:rFonts w:ascii="Arial" w:cs="Arial" w:eastAsia="Arial" w:hAnsi="Arial"/>
          <w:sz w:val="18"/>
          <w:szCs w:val="18"/>
          <w:color w:val="auto"/>
        </w:rPr>
      </w:pPr>
    </w:p>
    <w:p>
      <w:pPr>
        <w:ind w:left="980" w:right="30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provide an annual report of our contributions to federal, state and local candidates, political parties, political committees, other political organizations exempt from federal income taxes under Section 527 of the Internal Revenue Code and ballot measure committees, which is available in the Statement.</w:t>
      </w:r>
    </w:p>
    <w:p>
      <w:pPr>
        <w:spacing w:after="0" w:line="54" w:lineRule="exact"/>
        <w:rPr>
          <w:rFonts w:ascii="Arial" w:cs="Arial" w:eastAsia="Arial" w:hAnsi="Arial"/>
          <w:sz w:val="18"/>
          <w:szCs w:val="18"/>
          <w:color w:val="auto"/>
        </w:rPr>
      </w:pPr>
    </w:p>
    <w:p>
      <w:pPr>
        <w:ind w:left="1420" w:hanging="427"/>
        <w:spacing w:after="0"/>
        <w:tabs>
          <w:tab w:leader="none" w:pos="1420" w:val="left"/>
        </w:tabs>
        <w:numPr>
          <w:ilvl w:val="1"/>
          <w:numId w:val="33"/>
        </w:numPr>
        <w:rPr>
          <w:rFonts w:ascii="Arial" w:cs="Arial" w:eastAsia="Arial" w:hAnsi="Arial"/>
          <w:sz w:val="15"/>
          <w:szCs w:val="15"/>
          <w:color w:val="auto"/>
        </w:rPr>
      </w:pPr>
      <w:r>
        <w:rPr>
          <w:rFonts w:ascii="Arial" w:cs="Arial" w:eastAsia="Arial" w:hAnsi="Arial"/>
          <w:sz w:val="18"/>
          <w:szCs w:val="18"/>
          <w:color w:val="auto"/>
        </w:rPr>
        <w:t>We ask trade associations that receive more than $50,000 in a calendar year from our government affairs organization to identify the portion of our payments that are used for political contributions (as defined by 26 U.S.C. Section 162(e)(1)(B)), which are included in our annual reports to the extent we were provided such information.</w:t>
      </w:r>
    </w:p>
    <w:p>
      <w:pPr>
        <w:spacing w:after="0" w:line="32" w:lineRule="exact"/>
        <w:rPr>
          <w:rFonts w:ascii="Arial" w:cs="Arial" w:eastAsia="Arial" w:hAnsi="Arial"/>
          <w:sz w:val="15"/>
          <w:szCs w:val="15"/>
          <w:color w:val="auto"/>
        </w:rPr>
      </w:pPr>
    </w:p>
    <w:p>
      <w:pPr>
        <w:ind w:left="980" w:right="600" w:hanging="432"/>
        <w:spacing w:after="0" w:line="271"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As noted in the Statement, 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corporate officers, certain other senior executives or directors, make independent expenditures or contribute to federal, state or local political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line="246" w:lineRule="auto"/>
        <w:rPr>
          <w:sz w:val="20"/>
          <w:szCs w:val="20"/>
          <w:color w:val="auto"/>
        </w:rPr>
      </w:pPr>
      <w:r>
        <w:rPr>
          <w:rFonts w:ascii="Arial" w:cs="Arial" w:eastAsia="Arial" w:hAnsi="Arial"/>
          <w:sz w:val="18"/>
          <w:szCs w:val="18"/>
          <w:color w:val="auto"/>
        </w:rPr>
        <w:t>committees that only make independent expenditures (so-called “SuperPACs”) or contribute to any organization for the purpose of funding independent expenditures.</w:t>
      </w:r>
    </w:p>
    <w:p>
      <w:pPr>
        <w:spacing w:after="0" w:line="26" w:lineRule="exact"/>
        <w:rPr>
          <w:sz w:val="20"/>
          <w:szCs w:val="20"/>
          <w:color w:val="auto"/>
        </w:rPr>
      </w:pPr>
    </w:p>
    <w:p>
      <w:pPr>
        <w:ind w:left="980" w:right="6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We also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corporate officers, certain other senior executives or directors,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p>
      <w:pPr>
        <w:spacing w:after="0" w:line="55" w:lineRule="exact"/>
        <w:rPr>
          <w:rFonts w:ascii="Arial" w:cs="Arial" w:eastAsia="Arial" w:hAnsi="Arial"/>
          <w:sz w:val="18"/>
          <w:szCs w:val="18"/>
          <w:color w:val="auto"/>
        </w:rPr>
      </w:pPr>
    </w:p>
    <w:p>
      <w:pPr>
        <w:ind w:left="980" w:hanging="432"/>
        <w:spacing w:after="0" w:line="242"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result of our policies and practices described above, we ranked in the “First Tier” of companies, with the 12</w:t>
      </w:r>
      <w:r>
        <w:rPr>
          <w:rFonts w:ascii="Arial" w:cs="Arial" w:eastAsia="Arial" w:hAnsi="Arial"/>
          <w:sz w:val="15"/>
          <w:szCs w:val="15"/>
          <w:color w:val="auto"/>
        </w:rPr>
        <w:t>th</w:t>
      </w:r>
      <w:r>
        <w:rPr>
          <w:rFonts w:ascii="Arial" w:cs="Arial" w:eastAsia="Arial" w:hAnsi="Arial"/>
          <w:sz w:val="18"/>
          <w:szCs w:val="18"/>
          <w:color w:val="auto"/>
        </w:rPr>
        <w:t xml:space="preserve"> highest score overall, on the most recent CPA-Zicklin Index, which benchmarks the political disclosure and accountability policies and practices for election-related spending by the S&amp;P 500 companies included in the Index.</w:t>
      </w:r>
    </w:p>
    <w:p>
      <w:pPr>
        <w:spacing w:after="0" w:line="51" w:lineRule="exact"/>
        <w:rPr>
          <w:rFonts w:ascii="Arial" w:cs="Arial" w:eastAsia="Arial" w:hAnsi="Arial"/>
          <w:sz w:val="18"/>
          <w:szCs w:val="18"/>
          <w:color w:val="auto"/>
        </w:rPr>
      </w:pPr>
    </w:p>
    <w:p>
      <w:pPr>
        <w:ind w:left="980" w:hanging="432"/>
        <w:spacing w:after="0" w:line="23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lobbying activities are subject to various public disclosure requirements. As such, we already disclose most of our government lobbying interactions in accordance with registration and disclosure requirements as required by federal law, each state and applicable local jurisdictions. For example, we file quarterly reports with the U.S. Congress about our federal lobbying activities and the amount spent, which are publicly available at </w:t>
      </w:r>
      <w:r>
        <w:rPr>
          <w:rFonts w:ascii="Arial" w:cs="Arial" w:eastAsia="Arial" w:hAnsi="Arial"/>
          <w:sz w:val="18"/>
          <w:szCs w:val="18"/>
          <w:i w:val="1"/>
          <w:iCs w:val="1"/>
          <w:color w:val="auto"/>
        </w:rPr>
        <w:t>http://lobbyingdisclosure.house.gov</w:t>
      </w:r>
      <w:r>
        <w:rPr>
          <w:rFonts w:ascii="Arial" w:cs="Arial" w:eastAsia="Arial" w:hAnsi="Arial"/>
          <w:sz w:val="18"/>
          <w:szCs w:val="18"/>
          <w:color w:val="auto"/>
        </w:rPr>
        <w:t>, and which third-party aggregator services like OpenSecrets.org then collect, assemble and summarize. There are similar disclosure requirements in all 50 states. Federal and certain state laws also require that we disclose the portion of certain trade association dues that are used for lobbying activities, and trade associations are separately subject to strict public disclosure requirements regarding their lobbying activities. In fact, it is through these various disclosure requirements that the proponent has been able to obtain the very information included in its proposal, which reinforces that any shareholder interested in obtaining such information may readily do so.</w:t>
      </w:r>
    </w:p>
    <w:p>
      <w:pPr>
        <w:spacing w:after="0" w:line="57" w:lineRule="exact"/>
        <w:rPr>
          <w:rFonts w:ascii="Arial" w:cs="Arial" w:eastAsia="Arial" w:hAnsi="Arial"/>
          <w:sz w:val="18"/>
          <w:szCs w:val="18"/>
          <w:color w:val="auto"/>
        </w:rPr>
      </w:pPr>
    </w:p>
    <w:p>
      <w:pPr>
        <w:ind w:left="980" w:right="100" w:hanging="432"/>
        <w:spacing w:after="0" w:line="23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we do not control how any such associations direct any expenditures, and in many cases, are not even aware that such expenditures are made. In fact, we may not agree with the position of the organization on any given candidate or issue.</w:t>
      </w:r>
    </w:p>
    <w:p>
      <w:pPr>
        <w:spacing w:after="0" w:line="56" w:lineRule="exact"/>
        <w:rPr>
          <w:rFonts w:ascii="Arial" w:cs="Arial" w:eastAsia="Arial" w:hAnsi="Arial"/>
          <w:sz w:val="18"/>
          <w:szCs w:val="18"/>
          <w:color w:val="auto"/>
        </w:rPr>
      </w:pPr>
    </w:p>
    <w:p>
      <w:pPr>
        <w:ind w:left="980" w:right="220" w:hanging="432"/>
        <w:spacing w:after="0" w:line="23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a company in a highly regulated industry such as ours, providing information to legislators and regulators and their respective staffs and making sure they fully understand the implications of their policy decisions is part of our responsibility to our business and our stakeholders in acting in our company’s best interests, and an extension of our right to raise concerns with our government. Requiring a company to go through the unnecessary burden of gathering and disclosing such costs— particularly when much of this information is already publicly available either through our own filings or those of any trade associations of which we are members—would be redundant and a waste of corporate resources.</w:t>
      </w:r>
    </w:p>
    <w:p>
      <w:pPr>
        <w:spacing w:after="0" w:line="56" w:lineRule="exact"/>
        <w:rPr>
          <w:rFonts w:ascii="Arial" w:cs="Arial" w:eastAsia="Arial" w:hAnsi="Arial"/>
          <w:sz w:val="18"/>
          <w:szCs w:val="18"/>
          <w:color w:val="auto"/>
        </w:rPr>
      </w:pPr>
    </w:p>
    <w:p>
      <w:pPr>
        <w:ind w:left="980" w:right="20" w:hanging="432"/>
        <w:spacing w:after="0" w:line="23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disclosure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980" w:right="200" w:hanging="432"/>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reasons set forth above, our Board believes that implementing this proposal is not in the best interests of our shareholders.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OUR BOARD UNANIMOUSLY RECOMMENDS THAT SHAREHOLDERS VOTE “AGAINST” THIS PROPOSAL.</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A33A5"/>
        </w:rPr>
        <w:t>PROPOSAL 7: TO REQUIRE THAT THE BOARD CHAIR BE INDEPENDENT</w:t>
      </w:r>
    </w:p>
    <w:p>
      <w:pPr>
        <w:spacing w:after="0" w:line="126"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following proposal and supporting statement were submitted by John Chevedden, 2215 Nelson Avenue, No. 205, Redondo Beach, CA 90278.</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Shareholders request our Board of Directors at our will-not-engage company to adopt as a policy, and amend our governing documents as necessary, to require henceforth that the Chair of the Board of Directors, whenever possible, to be an independent member of the Board. The Board would have the discretion to phase in this policy for the next Chief Executive Officer transition, implemented so it does not violate any existing agreement.</w:t>
      </w:r>
    </w:p>
    <w:p>
      <w:pPr>
        <w:spacing w:after="0" w:line="97"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This proposal topic won 50%-plus support at 5 major U.S. companies in 2013 including 73%-support at Netflix. These 5 majority votes would have been still higher if all shareholders had access to independent proxy voting advice. In spite of Brian L. Roberts controlling 33% of Comcast, 25% of 2019 shareholder votes supported this proposal topic. And Kenneth Bacon, who chaired the Corporate Governance Committee and who apparently supports the Brian L. Roberts will-not-engage attitude, received the most negative votes of any Comcast director in 2019.</w:t>
      </w:r>
    </w:p>
    <w:p>
      <w:pPr>
        <w:spacing w:after="0" w:line="94" w:lineRule="exact"/>
        <w:rPr>
          <w:sz w:val="20"/>
          <w:szCs w:val="20"/>
          <w:color w:val="auto"/>
        </w:rPr>
      </w:pPr>
    </w:p>
    <w:p>
      <w:pPr>
        <w:jc w:val="both"/>
        <w:ind w:left="120" w:right="400"/>
        <w:spacing w:after="0"/>
        <w:rPr>
          <w:sz w:val="20"/>
          <w:szCs w:val="20"/>
          <w:color w:val="auto"/>
        </w:rPr>
      </w:pPr>
      <w:r>
        <w:rPr>
          <w:rFonts w:ascii="Arial" w:cs="Arial" w:eastAsia="Arial" w:hAnsi="Arial"/>
          <w:sz w:val="18"/>
          <w:szCs w:val="18"/>
          <w:color w:val="auto"/>
        </w:rPr>
        <w:t>It is important to have an independent Chairman of the Board given the will-not-engage stance of Brian L. Roberts, owner of Comcast Corporation class B common stock (with 100-to-one voting power) in a January 2018 letter forwarded to the Securities and Exchange Commission. The will-not-engage letter said:</w:t>
      </w:r>
    </w:p>
    <w:p>
      <w:pPr>
        <w:spacing w:after="0" w:line="9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 [Brian L. Roberts] will respond in the negative to any encouragement by the Board, or any attempt by the Board to engage in any discussion or negotiation with me, to relinquish any of my preexisting rights in the Class B Common Stock. I will not engage in any discussions or negotiations regarding any proposed amendment to Comcast’s articles of incorporation that gives effect to the Proposal or any similar proposal.</w:t>
      </w:r>
    </w:p>
    <w:p>
      <w:pPr>
        <w:spacing w:after="0" w:line="97"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 will vote against any such proposed amendment to Comcast’s articles of incorporation to limit the voting rights of the Class B Common Stock that is put to a vote of the Comcast shareholders. The foregoing affirmation also applies to any shareholder proposal submitted by a shareholder proponent in the future that concerns a similar subject matter such as that contained in the Proposal.</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the Brian L. Roberts will-not-engage letter:</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Comcast Corporation </w:t>
      </w:r>
      <w:r>
        <w:rPr>
          <w:rFonts w:ascii="Arial" w:cs="Arial" w:eastAsia="Arial" w:hAnsi="Arial"/>
          <w:sz w:val="18"/>
          <w:szCs w:val="18"/>
          <w:color w:val="auto"/>
        </w:rPr>
        <w:t>(March 13, 2018)</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https://www.sec.gov/divisions/corpfin/cf-noaction/14a-8/2018/cheveddencomcast031318-14a8.pdf</w:t>
      </w:r>
    </w:p>
    <w:p>
      <w:pPr>
        <w:spacing w:after="0" w:line="104"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Mr. Roberts’ will-not-engage letter followed a 35% shareholder vote for a one-share/one-vote shareholder proposal. Then the Comcast proxy states, “Over the course of a year, our investor relations team, some of our named executive officers (“NEOs”) and other key employees typically speak with several hundred investors through investor roadshows, conferences and phone conversations.” What do several hundred investors say about Mr. Roberts’ will-not-engage attitude described in the 2019 proxy?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vote yes:</w:t>
      </w:r>
    </w:p>
    <w:p>
      <w:pPr>
        <w:spacing w:after="0" w:line="8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Independent Board Chairman – Proposal 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Company Response to Shareholder Proposal</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believes that we and our shareholders are best served by having Mr. Roberts serve as Chairman and Chief Executive Officer. Our Board believes that Mr. Roberts serves as an effective bridge between the Board and management and provides critical leadership for carrying out our strategic initiatives and confronting our challenges.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Board independence and oversight of management are effectively maintained, and management plans are critically reviewed, as a result of the following:</w:t>
      </w:r>
    </w:p>
    <w:p>
      <w:pPr>
        <w:spacing w:after="0" w:line="48"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 of our directors will be independent following the annual meeting.</w:t>
      </w:r>
    </w:p>
    <w:p>
      <w:pPr>
        <w:spacing w:after="0" w:line="63" w:lineRule="exact"/>
        <w:rPr>
          <w:rFonts w:ascii="Arial" w:cs="Arial" w:eastAsia="Arial" w:hAnsi="Arial"/>
          <w:sz w:val="18"/>
          <w:szCs w:val="18"/>
          <w:color w:val="auto"/>
        </w:rPr>
      </w:pPr>
    </w:p>
    <w:p>
      <w:pPr>
        <w:ind w:left="980" w:right="20" w:hanging="432"/>
        <w:spacing w:after="0" w:line="24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Audit, Compensation and Governance and Directors Nominating Committees is composed entirely of independent directors.</w:t>
      </w:r>
    </w:p>
    <w:p>
      <w:pPr>
        <w:spacing w:after="0" w:line="48" w:lineRule="exact"/>
        <w:rPr>
          <w:rFonts w:ascii="Arial" w:cs="Arial" w:eastAsia="Arial" w:hAnsi="Arial"/>
          <w:sz w:val="18"/>
          <w:szCs w:val="18"/>
          <w:color w:val="auto"/>
        </w:rPr>
      </w:pPr>
    </w:p>
    <w:p>
      <w:pPr>
        <w:ind w:left="980" w:right="460" w:hanging="432"/>
        <w:spacing w:after="0" w:line="24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Lead Independent Director, currently Mr. Breen, is appointed annually by the Board after being recommended by the Governance and Directors Nominating Committee and, among other things:</w:t>
      </w:r>
    </w:p>
    <w:p>
      <w:pPr>
        <w:spacing w:after="0" w:line="48" w:lineRule="exact"/>
        <w:rPr>
          <w:rFonts w:ascii="Arial" w:cs="Arial" w:eastAsia="Arial" w:hAnsi="Arial"/>
          <w:sz w:val="18"/>
          <w:szCs w:val="18"/>
          <w:color w:val="auto"/>
        </w:rPr>
      </w:pPr>
    </w:p>
    <w:p>
      <w:pPr>
        <w:ind w:left="1420" w:right="20" w:hanging="427"/>
        <w:spacing w:after="0" w:line="246" w:lineRule="auto"/>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Presides at meetings of the Board at which the Chairman is not present, including executive sessions of the independent directors.</w:t>
      </w:r>
    </w:p>
    <w:p>
      <w:pPr>
        <w:spacing w:after="0" w:line="48" w:lineRule="exact"/>
        <w:rPr>
          <w:rFonts w:ascii="Arial" w:cs="Arial" w:eastAsia="Arial" w:hAnsi="Arial"/>
          <w:sz w:val="15"/>
          <w:szCs w:val="15"/>
          <w:color w:val="auto"/>
        </w:rPr>
      </w:pPr>
    </w:p>
    <w:p>
      <w:pPr>
        <w:ind w:left="1420" w:right="240" w:hanging="427"/>
        <w:spacing w:after="0"/>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54" w:lineRule="exact"/>
        <w:rPr>
          <w:rFonts w:ascii="Arial" w:cs="Arial" w:eastAsia="Arial" w:hAnsi="Arial"/>
          <w:sz w:val="15"/>
          <w:szCs w:val="15"/>
          <w:color w:val="auto"/>
        </w:rPr>
      </w:pPr>
    </w:p>
    <w:p>
      <w:pPr>
        <w:ind w:left="1420" w:hanging="427"/>
        <w:spacing w:after="0"/>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Has the authority to schedule meetings of the independent directors.</w:t>
      </w:r>
    </w:p>
    <w:p>
      <w:pPr>
        <w:spacing w:after="0" w:line="63" w:lineRule="exact"/>
        <w:rPr>
          <w:rFonts w:ascii="Arial" w:cs="Arial" w:eastAsia="Arial" w:hAnsi="Arial"/>
          <w:sz w:val="15"/>
          <w:szCs w:val="15"/>
          <w:color w:val="auto"/>
        </w:rPr>
      </w:pPr>
    </w:p>
    <w:p>
      <w:pPr>
        <w:ind w:left="1420" w:hanging="427"/>
        <w:spacing w:after="0"/>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Reviews and has the opportunity to provide input on meeting agendas and meeting schedules for the Board.</w:t>
      </w:r>
    </w:p>
    <w:p>
      <w:pPr>
        <w:spacing w:after="0" w:line="63" w:lineRule="exact"/>
        <w:rPr>
          <w:rFonts w:ascii="Arial" w:cs="Arial" w:eastAsia="Arial" w:hAnsi="Arial"/>
          <w:sz w:val="15"/>
          <w:szCs w:val="15"/>
          <w:color w:val="auto"/>
        </w:rPr>
      </w:pPr>
    </w:p>
    <w:p>
      <w:pPr>
        <w:ind w:left="1420" w:right="140" w:hanging="427"/>
        <w:spacing w:after="0" w:line="246" w:lineRule="auto"/>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48" w:lineRule="exact"/>
        <w:rPr>
          <w:rFonts w:ascii="Arial" w:cs="Arial" w:eastAsia="Arial" w:hAnsi="Arial"/>
          <w:sz w:val="15"/>
          <w:szCs w:val="15"/>
          <w:color w:val="auto"/>
        </w:rPr>
      </w:pPr>
    </w:p>
    <w:p>
      <w:pPr>
        <w:ind w:left="1420" w:right="260" w:hanging="427"/>
        <w:spacing w:after="0" w:line="246" w:lineRule="auto"/>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With the Compensation Committee, organizes the annual Board evaluation of the performance of our CEO and senior management.</w:t>
      </w:r>
    </w:p>
    <w:p>
      <w:pPr>
        <w:spacing w:after="0" w:line="48" w:lineRule="exact"/>
        <w:rPr>
          <w:rFonts w:ascii="Arial" w:cs="Arial" w:eastAsia="Arial" w:hAnsi="Arial"/>
          <w:sz w:val="15"/>
          <w:szCs w:val="15"/>
          <w:color w:val="auto"/>
        </w:rPr>
      </w:pPr>
    </w:p>
    <w:p>
      <w:pPr>
        <w:ind w:left="1420" w:right="560" w:hanging="427"/>
        <w:spacing w:after="0" w:line="246" w:lineRule="auto"/>
        <w:tabs>
          <w:tab w:leader="none" w:pos="1420" w:val="left"/>
        </w:tabs>
        <w:numPr>
          <w:ilvl w:val="1"/>
          <w:numId w:val="35"/>
        </w:numPr>
        <w:rPr>
          <w:rFonts w:ascii="Arial" w:cs="Arial" w:eastAsia="Arial" w:hAnsi="Arial"/>
          <w:sz w:val="15"/>
          <w:szCs w:val="15"/>
          <w:color w:val="auto"/>
        </w:rPr>
      </w:pP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48" w:lineRule="exact"/>
        <w:rPr>
          <w:rFonts w:ascii="Arial" w:cs="Arial" w:eastAsia="Arial" w:hAnsi="Arial"/>
          <w:sz w:val="15"/>
          <w:szCs w:val="15"/>
          <w:color w:val="auto"/>
        </w:rPr>
      </w:pPr>
    </w:p>
    <w:p>
      <w:pPr>
        <w:ind w:left="980" w:hanging="432"/>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Our Board and Committees collectively exercise an appropriate level of risk oversight of our company, as described on </w:t>
      </w:r>
      <w:hyperlink w:anchor="page12">
        <w:r>
          <w:rPr>
            <w:rFonts w:ascii="Arial" w:cs="Arial" w:eastAsia="Arial" w:hAnsi="Arial"/>
            <w:sz w:val="17"/>
            <w:szCs w:val="17"/>
            <w:u w:val="single" w:color="auto"/>
            <w:color w:val="0000EE"/>
          </w:rPr>
          <w:t>page 9</w:t>
        </w:r>
      </w:hyperlink>
      <w:r>
        <w:rPr>
          <w:rFonts w:ascii="Arial" w:cs="Arial" w:eastAsia="Arial" w:hAnsi="Arial"/>
          <w:sz w:val="17"/>
          <w:szCs w:val="17"/>
          <w:color w:val="auto"/>
        </w:rPr>
        <w:t>.</w:t>
      </w:r>
    </w:p>
    <w:p>
      <w:pPr>
        <w:spacing w:after="0" w:line="11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Having an independent Chairman remains a minority practice among major companies, and having one individual perform the combined role of Chairman and Chief Executive Officer is not restricted or prohibited by current laws or regulations. Additionally, our directors, including the Chairman, are bound by fiduciary obligations under law to act in a manner that they believe to be in our best interests and the best interests of our shareholders. Separating the offices of Chairman and Chief Executive Officer would not serve to augment this fiduciary duty.</w:t>
      </w:r>
    </w:p>
    <w:p>
      <w:pPr>
        <w:spacing w:after="0" w:line="9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Importantly, our Board does not believe it should be constrained by today adopting an inflexible, formal requirement that the offices of Chairman and Chief Executive Officer be separated, even if such policy were to not apply to our current Chairman as the proposal would allow. We and our shareholders are best served by maintaining the flexibility for the Board to decide whether to have the same individual serve as Chairman and Chief Executive Officer, based on what is in the best interests of our company at a given point in time. As such, our Board does not believe that adopting a policy requiring the election of an independent Chairman of the Board would in any way enhance its independence or performance and, to the contrary, believes that the adoption of such a policy would not be in the best interests of our shareholders.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OUR BOARD UNANIMOUSLY RECOMMENDS THAT SHAREHOLDERS VOTE “AGAINST” THIS PROPOSAL.</w:t>
      </w:r>
    </w:p>
    <w:p>
      <w:pPr>
        <w:spacing w:after="0" w:line="212" w:lineRule="exact"/>
        <w:rPr>
          <w:sz w:val="20"/>
          <w:szCs w:val="20"/>
          <w:color w:val="auto"/>
        </w:rPr>
      </w:pPr>
    </w:p>
    <w:p>
      <w:pPr>
        <w:jc w:val="center"/>
        <w:ind w:left="540" w:right="840"/>
        <w:spacing w:after="0" w:line="271" w:lineRule="auto"/>
        <w:rPr>
          <w:sz w:val="20"/>
          <w:szCs w:val="20"/>
          <w:color w:val="auto"/>
        </w:rPr>
      </w:pPr>
      <w:r>
        <w:rPr>
          <w:rFonts w:ascii="Arial" w:cs="Arial" w:eastAsia="Arial" w:hAnsi="Arial"/>
          <w:sz w:val="18"/>
          <w:szCs w:val="18"/>
          <w:b w:val="1"/>
          <w:bCs w:val="1"/>
          <w:color w:val="0A33A5"/>
        </w:rPr>
        <w:t>PROPOSAL 8: TO CONDUCT INDEPENDENT INVESTIGATION AND REPORT ON RISKS POSED BY FAILING TO PREVENT SEXUAL HARASSMENT</w:t>
      </w:r>
    </w:p>
    <w:p>
      <w:pPr>
        <w:spacing w:after="0" w:line="176"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following proposal and supporting statement were submitted by Arjuna Capital, 1 Elm Street, Manchester, MA 01944 on behalf of George C. Jenne.</w:t>
      </w:r>
    </w:p>
    <w:p>
      <w:pPr>
        <w:spacing w:after="0" w:line="89"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WHEREAS: Comcast and its subsidiaries are under intense public scrutiny for an alleged failure to protect employees from sexual harassment in the workplace, failing to hold those culpable accountable, and lacking transparency.</w:t>
      </w:r>
    </w:p>
    <w:p>
      <w:pPr>
        <w:spacing w:after="0" w:line="89"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In 2017, NBC attracted global attention when it fired “Today” host Matt Lauer for ongoing sexual harassment of employees. In October 2019, Ronan Farrow alleged that NBC covered up accusations against Lauer.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Controversy has focused on NBC’s insistence on conducting an internal investigation led by management, rather than independent advisors. Six presidential candidates have called on the Democratic National Committee to demand Comcast conduct an independent investigation into its toxic culture.</w:t>
      </w:r>
    </w:p>
    <w:p>
      <w:pPr>
        <w:spacing w:after="0" w:line="95"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NBC News’ digital editorial staff have voted to form a union, with the NewsGuild of New York, noting “serious questions” about how NBC News has handled workplace sexual misconduct and its “opaque” procedures for “exposing powerful predators.”</w:t>
      </w:r>
    </w:p>
    <w:p>
      <w:pPr>
        <w:spacing w:after="0" w:line="89" w:lineRule="exact"/>
        <w:rPr>
          <w:sz w:val="20"/>
          <w:szCs w:val="20"/>
          <w:color w:val="auto"/>
        </w:rPr>
      </w:pPr>
    </w:p>
    <w:p>
      <w:pPr>
        <w:jc w:val="both"/>
        <w:ind w:left="120" w:right="380"/>
        <w:spacing w:after="0"/>
        <w:rPr>
          <w:sz w:val="20"/>
          <w:szCs w:val="20"/>
          <w:color w:val="auto"/>
        </w:rPr>
      </w:pPr>
      <w:r>
        <w:rPr>
          <w:rFonts w:ascii="Arial" w:cs="Arial" w:eastAsia="Arial" w:hAnsi="Arial"/>
          <w:sz w:val="18"/>
          <w:szCs w:val="18"/>
          <w:color w:val="auto"/>
        </w:rPr>
        <w:t>This failure to provide a safe workplace extends to Comcast call centers, where employees have described a hostile culture of sexual harassment. In July 2018, Comcast fired three call center employees who filed complaints. One has now filed a complaint at the U.S. Equal Employment Opportunity Commission (EEOC).</w:t>
      </w:r>
    </w:p>
    <w:p>
      <w:pPr>
        <w:spacing w:after="0" w:line="9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Throughout the economy, fear of retaliation in reporting harassment is a particular concern. An EEOC study of harassment in the workplace found that 75 percent of employees who reported some sort of harassment experienced retaliation and that 87 to 94 percent of harassment victims did not file a formal complaint.</w:t>
      </w:r>
    </w:p>
    <w:p>
      <w:pPr>
        <w:spacing w:after="0" w:line="9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Workplace harassment can harm shareholder value. The market capitalization of Wynn Resorts dropped by 3 billion dollars over two days following harassment allegations against CEO Steve Wynn. 21st Century Fox agreed to a 90 million dollar settlement with shareholders who alleged that directors failed to hold accountable senior executives who perpetuated sexual harassment.</w:t>
      </w:r>
    </w:p>
    <w:p>
      <w:pPr>
        <w:spacing w:after="0" w:line="9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Comcast and its subsidiaries rely on consumers to trust their brands. A recent Harvard Business Review study found that a single sexual harassment claim can make a company seem less equitable and more problematic than financial misconduct or fraud and would “be enough to dramatically shape public perception of a company and elicit perceptions of structural unfairness.”</w:t>
      </w:r>
    </w:p>
    <w:p>
      <w:pPr>
        <w:spacing w:after="0" w:line="95" w:lineRule="exact"/>
        <w:rPr>
          <w:sz w:val="20"/>
          <w:szCs w:val="20"/>
          <w:color w:val="auto"/>
        </w:rPr>
      </w:pPr>
    </w:p>
    <w:p>
      <w:pPr>
        <w:ind w:left="120" w:right="1000"/>
        <w:spacing w:after="0" w:line="246" w:lineRule="auto"/>
        <w:rPr>
          <w:sz w:val="20"/>
          <w:szCs w:val="20"/>
          <w:color w:val="auto"/>
        </w:rPr>
      </w:pPr>
      <w:r>
        <w:rPr>
          <w:rFonts w:ascii="Arial" w:cs="Arial" w:eastAsia="Arial" w:hAnsi="Arial"/>
          <w:sz w:val="18"/>
          <w:szCs w:val="18"/>
          <w:color w:val="auto"/>
        </w:rPr>
        <w:t>To avoid legal and reputational risk, as the employer of 184,000 workers, Comcast must create a culture of accountability and transparency, and protect employees from harassment and discrimination.</w:t>
      </w:r>
    </w:p>
    <w:p>
      <w:pPr>
        <w:spacing w:after="0" w:line="8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RESOLVED: Shareholders urge the Board of Directors to conduct an independent investigation into and prepare a report (at reasonable expense, omitting confidential and proprietary information) on risks posed by the Company’s failures to prevent workplace sexual harassment.</w:t>
      </w:r>
    </w:p>
    <w:p>
      <w:pPr>
        <w:spacing w:after="0" w:line="95" w:lineRule="exact"/>
        <w:rPr>
          <w:sz w:val="20"/>
          <w:szCs w:val="20"/>
          <w:color w:val="auto"/>
        </w:rPr>
      </w:pPr>
    </w:p>
    <w:p>
      <w:pPr>
        <w:jc w:val="both"/>
        <w:ind w:left="120" w:right="860"/>
        <w:spacing w:after="0"/>
        <w:rPr>
          <w:sz w:val="20"/>
          <w:szCs w:val="20"/>
          <w:color w:val="auto"/>
        </w:rPr>
      </w:pPr>
      <w:r>
        <w:rPr>
          <w:rFonts w:ascii="Arial" w:cs="Arial" w:eastAsia="Arial" w:hAnsi="Arial"/>
          <w:sz w:val="18"/>
          <w:szCs w:val="18"/>
          <w:color w:val="auto"/>
        </w:rPr>
        <w:t>SUPPORTING STATEMENT: Proponents suggest that the report assess steps Comcast could take to do a better job of holding employees who cause harm accountable, such as integrating metrics on creating a sexual harassment-free workplace into the performance measures of the CEO and senior leadership.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Company Response to Shareholder Proposal</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company has been built on a foundation of respect, integrity and trust, and we are committed to creating and fostering a work environment that promotes those values. Any allegation of harassment or discrimination is viewed seriously and investigated, and we take appropriate action in response, including by seeking to further strengthen our compliance programs. While we unequivocally share the proponent’s underlying concerns, we do not believe that overriding the Board’s and management’s ordinary business roles and mandating an independent investigation is necessary or appropriate at this time for the reasons below.</w:t>
      </w:r>
    </w:p>
    <w:p>
      <w:pPr>
        <w:spacing w:after="0" w:line="9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proposal requests that we perform “an independent investigation into and prepare a report … on risks posed by the Company’s failures to prevent workplace sexual harassment.” Importantly, the proposal does not request that we conduct an investigation into any specific allegation of sexual harassment. Instead, the proposal seeks an independent investigation into risks posed from past allegations or incidents of sexual harassment. This request, however, is deeply embedded in our day-to-day business. We devote significant time and resources in the ordinary course of our business to combat harassment and discrimination of any type and have a robust process to help identify, manage and mitigate risks relating to sexual and other harassment with appropriate Board oversight. Moreover, in recognizing the importance of transparency, many of our policies, practices and procedures, and efforts and enhancements made to further combat these issues, are publicly disclosed.</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Existing Company Policies, Practices and Procedures</w:t>
      </w:r>
    </w:p>
    <w:p>
      <w:pPr>
        <w:spacing w:after="0" w:line="117" w:lineRule="exact"/>
        <w:rPr>
          <w:sz w:val="20"/>
          <w:szCs w:val="20"/>
          <w:color w:val="auto"/>
        </w:rPr>
      </w:pPr>
    </w:p>
    <w:p>
      <w:pPr>
        <w:ind w:left="980" w:right="140" w:hanging="432"/>
        <w:spacing w:after="0" w:line="24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0A33A5"/>
        </w:rPr>
        <w:t xml:space="preserve">Company Policies. </w:t>
      </w:r>
      <w:r>
        <w:rPr>
          <w:rFonts w:ascii="Arial" w:cs="Arial" w:eastAsia="Arial" w:hAnsi="Arial"/>
          <w:sz w:val="18"/>
          <w:szCs w:val="18"/>
          <w:color w:val="000000"/>
        </w:rPr>
        <w:t>We have clearly defined, and widely communicated, policies that prohibit all forms of harassment and</w:t>
      </w:r>
      <w:r>
        <w:rPr>
          <w:rFonts w:ascii="Arial" w:cs="Arial" w:eastAsia="Arial" w:hAnsi="Arial"/>
          <w:sz w:val="18"/>
          <w:szCs w:val="18"/>
          <w:b w:val="1"/>
          <w:bCs w:val="1"/>
          <w:color w:val="0A33A5"/>
        </w:rPr>
        <w:t xml:space="preserve"> </w:t>
      </w:r>
      <w:r>
        <w:rPr>
          <w:rFonts w:ascii="Arial" w:cs="Arial" w:eastAsia="Arial" w:hAnsi="Arial"/>
          <w:sz w:val="18"/>
          <w:szCs w:val="18"/>
          <w:color w:val="000000"/>
        </w:rPr>
        <w:t xml:space="preserve">discrimination, sexual or otherwise, as well as other inappropriate conduct that does not rise to the level of harassment or discrimination under the law, including as described in our Code of Conduct, which our Board approves and is available in the “Corporate Governance” section of the Investors section of our website at </w:t>
      </w:r>
      <w:r>
        <w:rPr>
          <w:rFonts w:ascii="Arial" w:cs="Arial" w:eastAsia="Arial" w:hAnsi="Arial"/>
          <w:sz w:val="18"/>
          <w:szCs w:val="18"/>
          <w:i w:val="1"/>
          <w:iCs w:val="1"/>
          <w:color w:val="000000"/>
        </w:rPr>
        <w:t>www.comcastcorporation.com</w:t>
      </w:r>
      <w:r>
        <w:rPr>
          <w:rFonts w:ascii="Arial" w:cs="Arial" w:eastAsia="Arial" w:hAnsi="Arial"/>
          <w:sz w:val="18"/>
          <w:szCs w:val="18"/>
          <w:color w:val="000000"/>
        </w:rPr>
        <w:t>.</w:t>
      </w:r>
    </w:p>
    <w:p>
      <w:pPr>
        <w:spacing w:after="0" w:line="25" w:lineRule="exact"/>
        <w:rPr>
          <w:rFonts w:ascii="Arial" w:cs="Arial" w:eastAsia="Arial" w:hAnsi="Arial"/>
          <w:sz w:val="18"/>
          <w:szCs w:val="18"/>
          <w:color w:val="auto"/>
        </w:rPr>
      </w:pPr>
    </w:p>
    <w:p>
      <w:pPr>
        <w:ind w:left="980" w:right="320" w:hanging="432"/>
        <w:spacing w:after="0" w:line="25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0A33A5"/>
        </w:rPr>
        <w:t xml:space="preserve">Employee Hotlines and Training Programs. </w:t>
      </w:r>
      <w:r>
        <w:rPr>
          <w:rFonts w:ascii="Arial" w:cs="Arial" w:eastAsia="Arial" w:hAnsi="Arial"/>
          <w:sz w:val="18"/>
          <w:szCs w:val="18"/>
          <w:color w:val="000000"/>
        </w:rPr>
        <w:t>We have an open door policy and culture so employees can report any</w:t>
      </w:r>
      <w:r>
        <w:rPr>
          <w:rFonts w:ascii="Arial" w:cs="Arial" w:eastAsia="Arial" w:hAnsi="Arial"/>
          <w:sz w:val="18"/>
          <w:szCs w:val="18"/>
          <w:b w:val="1"/>
          <w:bCs w:val="1"/>
          <w:color w:val="0A33A5"/>
        </w:rPr>
        <w:t xml:space="preserve"> </w:t>
      </w:r>
      <w:r>
        <w:rPr>
          <w:rFonts w:ascii="Arial" w:cs="Arial" w:eastAsia="Arial" w:hAnsi="Arial"/>
          <w:sz w:val="18"/>
          <w:szCs w:val="18"/>
          <w:color w:val="000000"/>
        </w:rPr>
        <w:t>questions or concerns—whether involving a workplace issue, a concern about suspected illegal or unethical conduct or any other matter—trusting that the company will take their concerns seriously and without fear of retaliation.</w:t>
      </w:r>
    </w:p>
    <w:p>
      <w:pPr>
        <w:spacing w:after="0" w:line="42" w:lineRule="exact"/>
        <w:rPr>
          <w:rFonts w:ascii="Arial" w:cs="Arial" w:eastAsia="Arial" w:hAnsi="Arial"/>
          <w:sz w:val="18"/>
          <w:szCs w:val="18"/>
          <w:color w:val="auto"/>
        </w:rPr>
      </w:pPr>
    </w:p>
    <w:p>
      <w:pPr>
        <w:ind w:left="1420" w:right="80" w:hanging="427"/>
        <w:spacing w:after="0" w:line="238" w:lineRule="auto"/>
        <w:tabs>
          <w:tab w:leader="none" w:pos="1420" w:val="left"/>
        </w:tabs>
        <w:numPr>
          <w:ilvl w:val="1"/>
          <w:numId w:val="36"/>
        </w:numPr>
        <w:rPr>
          <w:rFonts w:ascii="Arial" w:cs="Arial" w:eastAsia="Arial" w:hAnsi="Arial"/>
          <w:sz w:val="15"/>
          <w:szCs w:val="15"/>
          <w:color w:val="auto"/>
        </w:rPr>
      </w:pPr>
      <w:r>
        <w:rPr>
          <w:rFonts w:ascii="Arial" w:cs="Arial" w:eastAsia="Arial" w:hAnsi="Arial"/>
          <w:sz w:val="18"/>
          <w:szCs w:val="18"/>
          <w:color w:val="auto"/>
        </w:rPr>
        <w:t>We have, and frequently communicate with employees to raise awareness about, various ways to report concerns, including through programs called Comcast NBCUniversal Listens and Sky Listens, which have helplines and online portals managed by an independent third-party company and are available 24/7 for employees to report a concern. We encourage and expect those who witness discriminatory, harassing, offensive, abusive, threatening or retaliatory conduct or other behavior inconsistent with a respectful workplace to speak up.</w:t>
      </w:r>
    </w:p>
    <w:p>
      <w:pPr>
        <w:spacing w:after="0" w:line="53" w:lineRule="exact"/>
        <w:rPr>
          <w:rFonts w:ascii="Arial" w:cs="Arial" w:eastAsia="Arial" w:hAnsi="Arial"/>
          <w:sz w:val="15"/>
          <w:szCs w:val="15"/>
          <w:color w:val="auto"/>
        </w:rPr>
      </w:pPr>
    </w:p>
    <w:p>
      <w:pPr>
        <w:ind w:left="1420" w:right="100" w:hanging="427"/>
        <w:spacing w:after="0"/>
        <w:tabs>
          <w:tab w:leader="none" w:pos="1420" w:val="left"/>
        </w:tabs>
        <w:numPr>
          <w:ilvl w:val="1"/>
          <w:numId w:val="36"/>
        </w:numPr>
        <w:rPr>
          <w:rFonts w:ascii="Arial" w:cs="Arial" w:eastAsia="Arial" w:hAnsi="Arial"/>
          <w:sz w:val="15"/>
          <w:szCs w:val="15"/>
          <w:color w:val="auto"/>
        </w:rPr>
      </w:pPr>
      <w:r>
        <w:rPr>
          <w:rFonts w:ascii="Arial" w:cs="Arial" w:eastAsia="Arial" w:hAnsi="Arial"/>
          <w:sz w:val="18"/>
          <w:szCs w:val="18"/>
          <w:color w:val="auto"/>
        </w:rPr>
        <w:t>Based on various employee engagement surveys, a significant majority of Comcast NBCUniversal employees are aware of how to report ethical concerns or observed misconduct and believe they may report such matters without fear of retaliation.</w:t>
      </w:r>
    </w:p>
    <w:p>
      <w:pPr>
        <w:spacing w:after="0" w:line="54" w:lineRule="exact"/>
        <w:rPr>
          <w:rFonts w:ascii="Arial" w:cs="Arial" w:eastAsia="Arial" w:hAnsi="Arial"/>
          <w:sz w:val="15"/>
          <w:szCs w:val="15"/>
          <w:color w:val="auto"/>
        </w:rPr>
      </w:pPr>
    </w:p>
    <w:p>
      <w:pPr>
        <w:ind w:left="1420" w:right="800" w:hanging="427"/>
        <w:spacing w:after="0" w:line="246" w:lineRule="auto"/>
        <w:tabs>
          <w:tab w:leader="none" w:pos="1420" w:val="left"/>
        </w:tabs>
        <w:numPr>
          <w:ilvl w:val="1"/>
          <w:numId w:val="36"/>
        </w:numPr>
        <w:rPr>
          <w:rFonts w:ascii="Arial" w:cs="Arial" w:eastAsia="Arial" w:hAnsi="Arial"/>
          <w:sz w:val="15"/>
          <w:szCs w:val="15"/>
          <w:color w:val="auto"/>
        </w:rPr>
      </w:pPr>
      <w:r>
        <w:rPr>
          <w:rFonts w:ascii="Arial" w:cs="Arial" w:eastAsia="Arial" w:hAnsi="Arial"/>
          <w:sz w:val="18"/>
          <w:szCs w:val="18"/>
          <w:color w:val="auto"/>
        </w:rPr>
        <w:t>We have comprehensive and mandatory anti-harassment training programs for employees, including for all new employees and repeat trainings for all employees periodically thereafter.</w:t>
      </w:r>
    </w:p>
    <w:p>
      <w:pPr>
        <w:spacing w:after="0" w:line="26" w:lineRule="exact"/>
        <w:rPr>
          <w:rFonts w:ascii="Arial" w:cs="Arial" w:eastAsia="Arial" w:hAnsi="Arial"/>
          <w:sz w:val="15"/>
          <w:szCs w:val="15"/>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0A33A5"/>
        </w:rPr>
        <w:t xml:space="preserve">Process and Procedures. </w:t>
      </w:r>
      <w:r>
        <w:rPr>
          <w:rFonts w:ascii="Arial" w:cs="Arial" w:eastAsia="Arial" w:hAnsi="Arial"/>
          <w:sz w:val="18"/>
          <w:szCs w:val="18"/>
          <w:color w:val="000000"/>
        </w:rPr>
        <w:t>Our legal, human resources and compliance teams design our policies, procedures and practices</w:t>
      </w:r>
      <w:r>
        <w:rPr>
          <w:rFonts w:ascii="Arial" w:cs="Arial" w:eastAsia="Arial" w:hAnsi="Arial"/>
          <w:sz w:val="18"/>
          <w:szCs w:val="18"/>
          <w:b w:val="1"/>
          <w:bCs w:val="1"/>
          <w:color w:val="0A33A5"/>
        </w:rPr>
        <w:t xml:space="preserve"> </w:t>
      </w:r>
      <w:r>
        <w:rPr>
          <w:rFonts w:ascii="Arial" w:cs="Arial" w:eastAsia="Arial" w:hAnsi="Arial"/>
          <w:sz w:val="18"/>
          <w:szCs w:val="18"/>
          <w:color w:val="000000"/>
        </w:rPr>
        <w:t>with a view toward enabling our employees to recognize the importance of behaving respectfully toward each other and encouraging them to come forward if they believe that they have been subject to, or become aware of, inappropriate behavior. We treat allegations with care and have internal investigative teams that handle investigations into any such alleged wrongdoing and the remedies and penalties imposed after due investigation. We continually assess our policies, procedures and practices, including with a view toward how they can be further enhanced to protect against future incidents or wrongdoing. For example:</w:t>
      </w:r>
    </w:p>
    <w:p>
      <w:pPr>
        <w:spacing w:after="0" w:line="58" w:lineRule="exact"/>
        <w:rPr>
          <w:rFonts w:ascii="Arial" w:cs="Arial" w:eastAsia="Arial" w:hAnsi="Arial"/>
          <w:sz w:val="18"/>
          <w:szCs w:val="18"/>
          <w:color w:val="auto"/>
        </w:rPr>
      </w:pPr>
    </w:p>
    <w:p>
      <w:pPr>
        <w:ind w:left="1420" w:right="20" w:hanging="427"/>
        <w:spacing w:after="0" w:line="238" w:lineRule="auto"/>
        <w:tabs>
          <w:tab w:leader="none" w:pos="1420" w:val="left"/>
        </w:tabs>
        <w:numPr>
          <w:ilvl w:val="1"/>
          <w:numId w:val="36"/>
        </w:numPr>
        <w:rPr>
          <w:rFonts w:ascii="Arial" w:cs="Arial" w:eastAsia="Arial" w:hAnsi="Arial"/>
          <w:sz w:val="15"/>
          <w:szCs w:val="15"/>
          <w:color w:val="auto"/>
        </w:rPr>
      </w:pPr>
      <w:r>
        <w:rPr>
          <w:rFonts w:ascii="Arial" w:cs="Arial" w:eastAsia="Arial" w:hAnsi="Arial"/>
          <w:sz w:val="18"/>
          <w:szCs w:val="18"/>
          <w:color w:val="auto"/>
        </w:rPr>
        <w:t>In light of allegations of sexual harassment in our NBC News division in 2017, NBCUniversal conducted a comprehensive internal investigation and culture assessment and publicly released the results of its investigation. The investigation team was independent of NBC News and led by NBCUniversal’s General Counsel, composed of persons outside of the News Division, and two outside law firms were consulted. The results of this investigation were reported to and discussed with our Board.</w:t>
      </w:r>
    </w:p>
    <w:p>
      <w:pPr>
        <w:spacing w:after="0" w:line="53" w:lineRule="exact"/>
        <w:rPr>
          <w:rFonts w:ascii="Arial" w:cs="Arial" w:eastAsia="Arial" w:hAnsi="Arial"/>
          <w:sz w:val="15"/>
          <w:szCs w:val="15"/>
          <w:color w:val="auto"/>
        </w:rPr>
      </w:pPr>
    </w:p>
    <w:p>
      <w:pPr>
        <w:jc w:val="both"/>
        <w:ind w:left="1420" w:right="660" w:hanging="427"/>
        <w:spacing w:after="0"/>
        <w:tabs>
          <w:tab w:leader="none" w:pos="1420" w:val="left"/>
        </w:tabs>
        <w:numPr>
          <w:ilvl w:val="1"/>
          <w:numId w:val="36"/>
        </w:numPr>
        <w:rPr>
          <w:rFonts w:ascii="Arial" w:cs="Arial" w:eastAsia="Arial" w:hAnsi="Arial"/>
          <w:sz w:val="15"/>
          <w:szCs w:val="15"/>
          <w:color w:val="auto"/>
        </w:rPr>
      </w:pPr>
      <w:r>
        <w:rPr>
          <w:rFonts w:ascii="Arial" w:cs="Arial" w:eastAsia="Arial" w:hAnsi="Arial"/>
          <w:sz w:val="18"/>
          <w:szCs w:val="18"/>
          <w:color w:val="auto"/>
        </w:rPr>
        <w:t>In response to that investigation’s findings and to bolster our long-standing policies, procedures and trainings, we strengthened our policies, procedures and trainings as they relate to allegations of sexual harassment and similar misconduct, including by:</w:t>
      </w:r>
    </w:p>
    <w:p>
      <w:pPr>
        <w:spacing w:after="0" w:line="54" w:lineRule="exact"/>
        <w:rPr>
          <w:rFonts w:ascii="Arial" w:cs="Arial" w:eastAsia="Arial" w:hAnsi="Arial"/>
          <w:sz w:val="15"/>
          <w:szCs w:val="15"/>
          <w:color w:val="auto"/>
        </w:rPr>
      </w:pPr>
    </w:p>
    <w:p>
      <w:pPr>
        <w:ind w:left="1860" w:right="40" w:hanging="435"/>
        <w:spacing w:after="0"/>
        <w:tabs>
          <w:tab w:leader="none" w:pos="18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Increasing the availability and visibility of reporting mechanisms, including by creating a button to “Raise a Concern” on the landing page of NBCUniversal’s intranet site and increasing the frequency of its “Speak Up” campaign communications.</w:t>
      </w:r>
    </w:p>
    <w:p>
      <w:pPr>
        <w:spacing w:after="0" w:line="54" w:lineRule="exact"/>
        <w:rPr>
          <w:rFonts w:ascii="Arial" w:cs="Arial" w:eastAsia="Arial" w:hAnsi="Arial"/>
          <w:sz w:val="18"/>
          <w:szCs w:val="18"/>
          <w:color w:val="auto"/>
        </w:rPr>
      </w:pPr>
    </w:p>
    <w:p>
      <w:pPr>
        <w:jc w:val="both"/>
        <w:ind w:left="1860" w:right="380" w:hanging="435"/>
        <w:spacing w:after="0"/>
        <w:tabs>
          <w:tab w:leader="none" w:pos="18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Providing enhanced respectful workplace trainings, including expanding in-person trainings, requiring respectful workplace trainings even for employees who had recently completed their required trainings, and increasing the frequency of required trainings for employees.</w:t>
      </w:r>
    </w:p>
    <w:p>
      <w:pPr>
        <w:spacing w:after="0" w:line="54" w:lineRule="exact"/>
        <w:rPr>
          <w:rFonts w:ascii="Arial" w:cs="Arial" w:eastAsia="Arial" w:hAnsi="Arial"/>
          <w:sz w:val="18"/>
          <w:szCs w:val="18"/>
          <w:color w:val="auto"/>
        </w:rPr>
      </w:pPr>
    </w:p>
    <w:p>
      <w:pPr>
        <w:ind w:left="1860" w:right="600" w:hanging="435"/>
        <w:spacing w:after="0" w:line="274" w:lineRule="auto"/>
        <w:tabs>
          <w:tab w:leader="none" w:pos="1860" w:val="left"/>
        </w:tabs>
        <w:numPr>
          <w:ilvl w:val="2"/>
          <w:numId w:val="36"/>
        </w:numPr>
        <w:rPr>
          <w:rFonts w:ascii="Arial" w:cs="Arial" w:eastAsia="Arial" w:hAnsi="Arial"/>
          <w:sz w:val="17"/>
          <w:szCs w:val="17"/>
          <w:color w:val="auto"/>
        </w:rPr>
      </w:pPr>
      <w:r>
        <w:rPr>
          <w:rFonts w:ascii="Arial" w:cs="Arial" w:eastAsia="Arial" w:hAnsi="Arial"/>
          <w:sz w:val="17"/>
          <w:szCs w:val="17"/>
          <w:color w:val="auto"/>
        </w:rPr>
        <w:t>Issuing a revised companywide policy, “Providing a Respectful Working Environment,” at NBCUniversal that combined, enhanced and expanded existing anti-discrimination, anti-harassment and anti-retaliation policies.</w:t>
      </w:r>
    </w:p>
    <w:p>
      <w:pPr>
        <w:spacing w:after="0" w:line="26" w:lineRule="exact"/>
        <w:rPr>
          <w:rFonts w:ascii="Arial" w:cs="Arial" w:eastAsia="Arial" w:hAnsi="Arial"/>
          <w:sz w:val="17"/>
          <w:szCs w:val="17"/>
          <w:color w:val="auto"/>
        </w:rPr>
      </w:pPr>
    </w:p>
    <w:p>
      <w:pPr>
        <w:ind w:left="1860" w:hanging="435"/>
        <w:spacing w:after="0"/>
        <w:tabs>
          <w:tab w:leader="none" w:pos="18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Revising procedures for the handling of sexual harassment complaints, including by centralizing oversight of all sexual harassment investigations at Comcast Cable by its Labor &amp; Employee relations team and creating a new Fair Employment Practices Group at NBCUniversal.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Oversight</w:t>
      </w:r>
    </w:p>
    <w:p>
      <w:pPr>
        <w:spacing w:after="0" w:line="139" w:lineRule="exact"/>
        <w:rPr>
          <w:sz w:val="20"/>
          <w:szCs w:val="20"/>
          <w:color w:val="auto"/>
        </w:rPr>
      </w:pPr>
    </w:p>
    <w:p>
      <w:pPr>
        <w:ind w:left="980" w:right="100" w:hanging="432"/>
        <w:spacing w:after="0" w:line="23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Senior management and our Board of Directors oversee our efforts to combat harassment and discrimination of all forms. Our Board receives regular updates from management about significant matters involving our company in the normal course, including those relating to workplace issues. For example, our Board receives periodic reports on our Comcast NBCUniversal Listens and Sky Listens programs and employee engagement surveys, and, if there were ever any allegation or investigation into a serious claim of discrimination or harassment involving one of our executive officers, our Board would be informed.</w:t>
      </w:r>
    </w:p>
    <w:p>
      <w:pPr>
        <w:spacing w:after="0" w:line="53" w:lineRule="exact"/>
        <w:rPr>
          <w:rFonts w:ascii="Arial" w:cs="Arial" w:eastAsia="Arial" w:hAnsi="Arial"/>
          <w:sz w:val="18"/>
          <w:szCs w:val="18"/>
          <w:color w:val="auto"/>
        </w:rPr>
      </w:pPr>
    </w:p>
    <w:p>
      <w:pPr>
        <w:ind w:left="980" w:right="22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and senior management team are committed to, and management is incentivized through our executive compensation program to create, a strong workplace culture with values of integrity and respect and to foster our company’s diversity and inclusion efforts.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Looking ahead</w:t>
      </w:r>
    </w:p>
    <w:p>
      <w:pPr>
        <w:spacing w:after="0" w:line="126"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will continue to take any allegation of harassment or discrimination seriously, investigate it, take appropriate action and seek ways to further strengthen our compliance program whenever possible.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committed to creating an engaged workforce through proactive listening and constructive dialogue. We believe, based on the results of our annual employee engagement surveys, that our employees value our workplace culture and recognize us as an employer of choice.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foregoing reasons, our Board believes that implementing the proponent’s proposal is not in the best interests of our shareholders.</w:t>
      </w:r>
    </w:p>
    <w:p>
      <w:pPr>
        <w:spacing w:after="0" w:line="8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OUR BOARD UNANIMOUSLY RECOMMENDS THAT SHAREHOLDERS VOTE “AGAINST” THIS PROPOSAL.</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0A33A5"/>
        </w:rPr>
        <w:t>EXECUTIVE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COMPENSATION DISCUSSION AND ANALYSIS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more specific compensation information in the tables and related disclosures that follow. Our NEOs for 2019 were:</w:t>
      </w:r>
    </w:p>
    <w:p>
      <w:pPr>
        <w:spacing w:after="0" w:line="54" w:lineRule="exact"/>
        <w:rPr>
          <w:sz w:val="20"/>
          <w:szCs w:val="20"/>
          <w:color w:val="auto"/>
        </w:rPr>
      </w:pPr>
    </w:p>
    <w:p>
      <w:pPr>
        <w:ind w:left="880" w:hanging="33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63" w:lineRule="exact"/>
        <w:rPr>
          <w:rFonts w:ascii="Arial" w:cs="Arial" w:eastAsia="Arial" w:hAnsi="Arial"/>
          <w:sz w:val="18"/>
          <w:szCs w:val="18"/>
          <w:color w:val="auto"/>
        </w:rPr>
      </w:pPr>
    </w:p>
    <w:p>
      <w:pPr>
        <w:ind w:left="880" w:hanging="33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J. Cavanagh, Chief Financial Officer</w:t>
      </w:r>
    </w:p>
    <w:p>
      <w:pPr>
        <w:spacing w:after="0" w:line="63" w:lineRule="exact"/>
        <w:rPr>
          <w:rFonts w:ascii="Arial" w:cs="Arial" w:eastAsia="Arial" w:hAnsi="Arial"/>
          <w:sz w:val="18"/>
          <w:szCs w:val="18"/>
          <w:color w:val="auto"/>
        </w:rPr>
      </w:pPr>
    </w:p>
    <w:p>
      <w:pPr>
        <w:ind w:left="880" w:hanging="33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Stephen B. Burke, Chief Executive Officer of NBCUniversal</w:t>
      </w:r>
    </w:p>
    <w:p>
      <w:pPr>
        <w:spacing w:after="0" w:line="63" w:lineRule="exact"/>
        <w:rPr>
          <w:rFonts w:ascii="Arial" w:cs="Arial" w:eastAsia="Arial" w:hAnsi="Arial"/>
          <w:sz w:val="18"/>
          <w:szCs w:val="18"/>
          <w:color w:val="auto"/>
        </w:rPr>
      </w:pPr>
    </w:p>
    <w:p>
      <w:pPr>
        <w:ind w:left="880" w:hanging="33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David L. Cohen, Senior Executive Vice President</w:t>
      </w:r>
    </w:p>
    <w:p>
      <w:pPr>
        <w:spacing w:after="0" w:line="63" w:lineRule="exact"/>
        <w:rPr>
          <w:rFonts w:ascii="Arial" w:cs="Arial" w:eastAsia="Arial" w:hAnsi="Arial"/>
          <w:sz w:val="18"/>
          <w:szCs w:val="18"/>
          <w:color w:val="auto"/>
        </w:rPr>
      </w:pPr>
    </w:p>
    <w:p>
      <w:pPr>
        <w:ind w:left="880" w:hanging="33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David N. Watson, Chief Executive Officer of Comcast Cable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Executive Summary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 global media and technology company with three primary businesses, Comcast Cable, NBCUniversal and Sky.</w:t>
      </w:r>
    </w:p>
    <w:p>
      <w:pPr>
        <w:spacing w:after="0" w:line="63" w:lineRule="exact"/>
        <w:rPr>
          <w:sz w:val="20"/>
          <w:szCs w:val="20"/>
          <w:color w:val="auto"/>
        </w:rPr>
      </w:pPr>
    </w:p>
    <w:p>
      <w:pPr>
        <w:ind w:left="880" w:right="520" w:hanging="3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Comcast Cable is a leading provider of high-speed internet, video, voice, wireless and security and automation services to residential customers under the XFINITY brand; we also provide these and other services to business customers and sell advertising.</w:t>
      </w:r>
    </w:p>
    <w:p>
      <w:pPr>
        <w:spacing w:after="0" w:line="54" w:lineRule="exact"/>
        <w:rPr>
          <w:rFonts w:ascii="Arial" w:cs="Arial" w:eastAsia="Arial" w:hAnsi="Arial"/>
          <w:sz w:val="18"/>
          <w:szCs w:val="18"/>
          <w:color w:val="auto"/>
        </w:rPr>
      </w:pPr>
    </w:p>
    <w:p>
      <w:pPr>
        <w:ind w:left="880" w:right="600" w:hanging="3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54" w:lineRule="exact"/>
        <w:rPr>
          <w:rFonts w:ascii="Arial" w:cs="Arial" w:eastAsia="Arial" w:hAnsi="Arial"/>
          <w:sz w:val="18"/>
          <w:szCs w:val="18"/>
          <w:color w:val="auto"/>
        </w:rPr>
      </w:pPr>
    </w:p>
    <w:p>
      <w:pPr>
        <w:ind w:left="880" w:right="140" w:hanging="3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Sky is one of Europe’s leading entertainment companies that primarily includes a direct-to-consumer business, providing video, high-speed internet, voice and wireless phone services, and a content business, operating entertainment networks, the Sky News broadcast network and Sky Sports networks.</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Given the nature of our businesses, our NEOs are responsible for managing a more complex and diversified company than many of our peer companies and for helping to shape the future of media and technology in the United States and globally. Our Board credits the leadership of Mr. Roberts and our other NEOs for working cohesively to effectively manage Comcast, for fostering our entrepreneurial and innovative workplace culture while maintaining our commitment to act with integrity and respect and give back to the communities in which we operate, for Comcast achieving strong performance over the past several years and for their strategic vision. We have a deep-rooted strategic focus on long-term growth. Our Board values and rewards our NEOs and senior leadership team for thinking strategically and pursuing strategic pivotal transactions and initiatives for our overall long-term growth prospects, as well as for their ability to react swiftly and effectively in a time of crisis such as the unprecedented COVID-19 pandemic.</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NEOs and senior leadership team are intently focused on protecting our company, employees and customers from severe economic damage as a result of the COVID-19 crisis. They have swiftly and effectively mobilized our company not only in transitioning our operations to address these challenges, but also in going above and beyond to help our employees, customers and local communities through financial and in-kind support, including by raising the internet service speed of our industry-leading low-income internet adoption program, Internet Essentials, generally to 25/3 Mbps to better facilitate children’s remote online learning experiences during this time. Our employees have been working tirelessly to keep our internet network running so our customers maintain vital internet connectivity, and our news organizations are working tirelessly to keep the world informed. Employees who are able to work from home have been doing so, and we have been adapting to make the work environment clean and safe for frontline employees who need to be in the office or the field. In addition, effective April 1, 2020 through the duration of this situation, Messrs. Roberts, Cavanagh and Watson, as well as two other senior leaders, have pledged to donate 100% of their salaries to charities that support COVID-19 relief efforts.</w:t>
      </w:r>
    </w:p>
    <w:p>
      <w:pPr>
        <w:spacing w:after="0" w:line="98" w:lineRule="exact"/>
        <w:rPr>
          <w:sz w:val="20"/>
          <w:szCs w:val="20"/>
          <w:color w:val="auto"/>
        </w:rPr>
      </w:pPr>
    </w:p>
    <w:p>
      <w:pPr>
        <w:ind w:left="120" w:right="500"/>
        <w:spacing w:after="0" w:line="238" w:lineRule="auto"/>
        <w:rPr>
          <w:rFonts w:ascii="Arial" w:cs="Arial" w:eastAsia="Arial" w:hAnsi="Arial"/>
          <w:sz w:val="18"/>
          <w:szCs w:val="18"/>
          <w:color w:val="auto"/>
        </w:rPr>
      </w:pPr>
      <w:r>
        <w:rPr>
          <w:rFonts w:ascii="Arial" w:cs="Arial" w:eastAsia="Arial" w:hAnsi="Arial"/>
          <w:sz w:val="18"/>
          <w:szCs w:val="18"/>
          <w:color w:val="auto"/>
        </w:rPr>
        <w:t>While we expect 2020 will be a challenging year given this pandemic, 2019 was a strong year for our company, and it is important to understand that the discussion that follows describes our Compensation Committee’s actions, and Comcast’s and our NEOs’ performance, in respect of 2019. Please see “</w:t>
      </w:r>
      <w:hyperlink w:anchor="page46">
        <w:r>
          <w:rPr>
            <w:rFonts w:ascii="Arial" w:cs="Arial" w:eastAsia="Arial" w:hAnsi="Arial"/>
            <w:sz w:val="18"/>
            <w:szCs w:val="18"/>
            <w:u w:val="single" w:color="auto"/>
            <w:color w:val="0000EE"/>
          </w:rPr>
          <w:t>2019 Business Highlights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below for information about our financial and operational performance in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evaluate our business objectives, taking into account the diversified nature of our businesses and complexity in managing them, in designing a compensation program for our NEOs. We need uniquely talented and experienced individuals who think strategically for the long term and perform for our highly competitive businesses, particularly in light of the challenging, and evolving, competitive, technological and regulatory environments in which we operate. As a result, we employ a variety of elements that further our shareholders’ interests by securing our executives’ services in an exceedingly competitive talent market and aligning the long-term interests of our executives to create shareholder value.</w:t>
      </w:r>
    </w:p>
    <w:p>
      <w:pPr>
        <w:spacing w:after="0" w:line="56" w:lineRule="exact"/>
        <w:rPr>
          <w:sz w:val="20"/>
          <w:szCs w:val="20"/>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motivate and retain our executives, we provide pay opportunity levels that are highly competitive.</w:t>
      </w:r>
    </w:p>
    <w:p>
      <w:pPr>
        <w:spacing w:after="0" w:line="63" w:lineRule="exact"/>
        <w:rPr>
          <w:rFonts w:ascii="Arial" w:cs="Arial" w:eastAsia="Arial" w:hAnsi="Arial"/>
          <w:sz w:val="18"/>
          <w:szCs w:val="18"/>
          <w:color w:val="auto"/>
        </w:rPr>
      </w:pPr>
    </w:p>
    <w:p>
      <w:pPr>
        <w:ind w:left="980" w:right="40" w:hanging="432"/>
        <w:spacing w:after="0" w:line="23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compensation program is designed in a straight-forward manner to achieve an appropriate balance of elements to reward our NEOs for their performance and create long-term shareholder value. In addition to fixed compensation, we provide short-term and long-term performance-based compensation, that when viewed holistically – understanding the rigor and relevance of our performance conditions and the exceedingly long vesting periods for NEOs to ultimately realize any value from their long-term incentive awards – strongly align the interests of our NEOs with those of our shareholders over the long term.</w:t>
      </w:r>
    </w:p>
    <w:p>
      <w:pPr>
        <w:spacing w:after="0" w:line="53" w:lineRule="exact"/>
        <w:rPr>
          <w:rFonts w:ascii="Arial" w:cs="Arial" w:eastAsia="Arial" w:hAnsi="Arial"/>
          <w:sz w:val="18"/>
          <w:szCs w:val="18"/>
          <w:color w:val="auto"/>
        </w:rPr>
      </w:pPr>
    </w:p>
    <w:p>
      <w:pPr>
        <w:ind w:left="1420" w:right="80" w:hanging="427"/>
        <w:spacing w:after="0" w:line="238" w:lineRule="auto"/>
        <w:tabs>
          <w:tab w:leader="none" w:pos="1420" w:val="left"/>
        </w:tabs>
        <w:numPr>
          <w:ilvl w:val="1"/>
          <w:numId w:val="40"/>
        </w:numPr>
        <w:rPr>
          <w:rFonts w:ascii="Arial" w:cs="Arial" w:eastAsia="Arial" w:hAnsi="Arial"/>
          <w:sz w:val="15"/>
          <w:szCs w:val="15"/>
          <w:color w:val="auto"/>
        </w:rPr>
      </w:pPr>
      <w:r>
        <w:rPr>
          <w:rFonts w:ascii="Arial" w:cs="Arial" w:eastAsia="Arial" w:hAnsi="Arial"/>
          <w:sz w:val="18"/>
          <w:szCs w:val="18"/>
          <w:color w:val="auto"/>
        </w:rPr>
        <w:t>Our short-term annual bonus program is largely based on quantitative performance goals – these goals are based on a rigorous and in-depth enterprise-wide consolidated budget that is prepared annually and takes into consideration the cyclicality of working capital in our business, capital spending plans for the upcoming year, target product rollout numbers and other relevant factors.</w:t>
      </w:r>
    </w:p>
    <w:p>
      <w:pPr>
        <w:spacing w:after="0" w:line="56" w:lineRule="exact"/>
        <w:rPr>
          <w:rFonts w:ascii="Arial" w:cs="Arial" w:eastAsia="Arial" w:hAnsi="Arial"/>
          <w:sz w:val="15"/>
          <w:szCs w:val="15"/>
          <w:color w:val="auto"/>
        </w:rPr>
      </w:pPr>
    </w:p>
    <w:p>
      <w:pPr>
        <w:ind w:left="1420" w:right="100" w:hanging="427"/>
        <w:spacing w:after="0" w:line="238" w:lineRule="auto"/>
        <w:tabs>
          <w:tab w:leader="none" w:pos="1420" w:val="left"/>
        </w:tabs>
        <w:numPr>
          <w:ilvl w:val="1"/>
          <w:numId w:val="40"/>
        </w:numPr>
        <w:rPr>
          <w:rFonts w:ascii="Arial" w:cs="Arial" w:eastAsia="Arial" w:hAnsi="Arial"/>
          <w:sz w:val="15"/>
          <w:szCs w:val="15"/>
          <w:color w:val="auto"/>
        </w:rPr>
      </w:pPr>
      <w:r>
        <w:rPr>
          <w:rFonts w:ascii="Arial" w:cs="Arial" w:eastAsia="Arial" w:hAnsi="Arial"/>
          <w:sz w:val="18"/>
          <w:szCs w:val="18"/>
          <w:color w:val="auto"/>
        </w:rPr>
        <w:t>Our annual long-term incentive program is composed of grants of performance-based restricted stock units (“PSUs”) and stock options. PSUs awarded in 2019 have a meaningful performance condition for vesting that targeted 100% achievement for a 5.5% – 6.5% annual increase in Adjusted EBITDA – one of the most important financial metrics in creating shareholder value. Stock options also are inherently performance-based in that our stock price must appreciate for the options to deliver any value.</w:t>
      </w:r>
    </w:p>
    <w:p>
      <w:pPr>
        <w:spacing w:after="0" w:line="53" w:lineRule="exact"/>
        <w:rPr>
          <w:rFonts w:ascii="Arial" w:cs="Arial" w:eastAsia="Arial" w:hAnsi="Arial"/>
          <w:sz w:val="15"/>
          <w:szCs w:val="15"/>
          <w:color w:val="auto"/>
        </w:rPr>
      </w:pPr>
    </w:p>
    <w:p>
      <w:pPr>
        <w:ind w:left="1860" w:right="20" w:hanging="435"/>
        <w:spacing w:after="0" w:line="261" w:lineRule="auto"/>
        <w:tabs>
          <w:tab w:leader="none" w:pos="1860" w:val="left"/>
        </w:tabs>
        <w:numPr>
          <w:ilvl w:val="2"/>
          <w:numId w:val="40"/>
        </w:numPr>
        <w:rPr>
          <w:rFonts w:ascii="MS PGothic" w:cs="MS PGothic" w:eastAsia="MS PGothic" w:hAnsi="MS PGothic"/>
          <w:sz w:val="17"/>
          <w:szCs w:val="17"/>
          <w:color w:val="auto"/>
        </w:rPr>
      </w:pPr>
      <w:r>
        <w:rPr>
          <w:rFonts w:ascii="Arial" w:cs="Arial" w:eastAsia="Arial" w:hAnsi="Arial"/>
          <w:sz w:val="17"/>
          <w:szCs w:val="17"/>
          <w:color w:val="auto"/>
        </w:rPr>
        <w:t>Our PSUs and stock options have among the longest vesting periods in corporate America – 5 years for PSUs, which are back-end weighted with 40% vesting in the 5</w:t>
      </w:r>
      <w:r>
        <w:rPr>
          <w:rFonts w:ascii="Arial" w:cs="Arial" w:eastAsia="Arial" w:hAnsi="Arial"/>
          <w:sz w:val="14"/>
          <w:szCs w:val="14"/>
          <w:color w:val="auto"/>
        </w:rPr>
        <w:t>th</w:t>
      </w:r>
      <w:r>
        <w:rPr>
          <w:rFonts w:ascii="Arial" w:cs="Arial" w:eastAsia="Arial" w:hAnsi="Arial"/>
          <w:sz w:val="17"/>
          <w:szCs w:val="17"/>
          <w:color w:val="auto"/>
        </w:rPr>
        <w:t xml:space="preserve"> year, and 9.5 years for options, which have a 10-year term.</w:t>
      </w:r>
    </w:p>
    <w:p>
      <w:pPr>
        <w:spacing w:after="0" w:line="47" w:lineRule="exact"/>
        <w:rPr>
          <w:rFonts w:ascii="MS PGothic" w:cs="MS PGothic" w:eastAsia="MS PGothic" w:hAnsi="MS PGothic"/>
          <w:sz w:val="17"/>
          <w:szCs w:val="17"/>
          <w:color w:val="auto"/>
        </w:rPr>
      </w:pPr>
    </w:p>
    <w:p>
      <w:pPr>
        <w:ind w:left="1860" w:right="300" w:hanging="435"/>
        <w:spacing w:after="0" w:line="246" w:lineRule="auto"/>
        <w:tabs>
          <w:tab w:leader="none" w:pos="1860" w:val="left"/>
        </w:tabs>
        <w:numPr>
          <w:ilvl w:val="2"/>
          <w:numId w:val="40"/>
        </w:numPr>
        <w:rPr>
          <w:rFonts w:ascii="MS PGothic" w:cs="MS PGothic" w:eastAsia="MS PGothic" w:hAnsi="MS PGothic"/>
          <w:sz w:val="18"/>
          <w:szCs w:val="18"/>
          <w:color w:val="auto"/>
        </w:rPr>
      </w:pPr>
      <w:r>
        <w:rPr>
          <w:rFonts w:ascii="Arial" w:cs="Arial" w:eastAsia="Arial" w:hAnsi="Arial"/>
          <w:sz w:val="18"/>
          <w:szCs w:val="18"/>
          <w:color w:val="auto"/>
        </w:rPr>
        <w:t>These long vesting periods tie the value ultimately realized by our NEOs to our long-term performance and to the interests of our long-term shareholders.</w:t>
      </w:r>
    </w:p>
    <w:p>
      <w:pPr>
        <w:spacing w:after="0" w:line="48" w:lineRule="exact"/>
        <w:rPr>
          <w:rFonts w:ascii="MS PGothic" w:cs="MS PGothic" w:eastAsia="MS PGothic" w:hAnsi="MS PGothic"/>
          <w:sz w:val="18"/>
          <w:szCs w:val="18"/>
          <w:color w:val="auto"/>
        </w:rPr>
      </w:pPr>
    </w:p>
    <w:p>
      <w:pPr>
        <w:ind w:left="1420" w:hanging="427"/>
        <w:spacing w:after="0" w:line="237" w:lineRule="auto"/>
        <w:tabs>
          <w:tab w:leader="none" w:pos="1420" w:val="left"/>
        </w:tabs>
        <w:numPr>
          <w:ilvl w:val="1"/>
          <w:numId w:val="40"/>
        </w:numPr>
        <w:rPr>
          <w:rFonts w:ascii="Arial" w:cs="Arial" w:eastAsia="Arial" w:hAnsi="Arial"/>
          <w:sz w:val="15"/>
          <w:szCs w:val="15"/>
          <w:color w:val="auto"/>
        </w:rPr>
      </w:pPr>
      <w:r>
        <w:rPr>
          <w:rFonts w:ascii="Arial" w:cs="Arial" w:eastAsia="Arial" w:hAnsi="Arial"/>
          <w:sz w:val="18"/>
          <w:szCs w:val="18"/>
          <w:color w:val="auto"/>
        </w:rPr>
        <w:t>The primary financial quantitative metrics used in our incentive compensation program reflect those used both internally to measure our performance and externally to report to investors. These measures are tied to cash generation, which is critical not only to maintain our existing businesses, but to make growth and strategic capital investments as we seek to proactively anticipate technological and consumer behavior changes in a rapidly changing competitive environment. Cash generation is also critical as we address the financial challenges of the COVID-19 pandemic and seek to reduce indebtedness incurred from the Sky acquisition. As a result, the financial metrics used are:</w:t>
      </w:r>
    </w:p>
    <w:p>
      <w:pPr>
        <w:spacing w:after="0" w:line="34" w:lineRule="exact"/>
        <w:rPr>
          <w:sz w:val="20"/>
          <w:szCs w:val="20"/>
          <w:color w:val="auto"/>
        </w:rPr>
      </w:pPr>
    </w:p>
    <w:p>
      <w:pPr>
        <w:ind w:left="1860" w:hanging="435"/>
        <w:spacing w:after="0"/>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Serves as the top line component to cash generation.</w:t>
      </w:r>
    </w:p>
    <w:p>
      <w:pPr>
        <w:spacing w:after="0" w:line="63" w:lineRule="exact"/>
        <w:rPr>
          <w:rFonts w:ascii="Arial" w:cs="Arial" w:eastAsia="Arial" w:hAnsi="Arial"/>
          <w:sz w:val="18"/>
          <w:szCs w:val="18"/>
          <w:color w:val="auto"/>
        </w:rPr>
      </w:pPr>
    </w:p>
    <w:p>
      <w:pPr>
        <w:ind w:left="1860" w:right="600" w:hanging="435"/>
        <w:spacing w:after="0" w:line="271" w:lineRule="auto"/>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Reflects the operational performance of our businesses, taking into account the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these businesses.</w:t>
      </w:r>
    </w:p>
    <w:p>
      <w:pPr>
        <w:spacing w:after="0" w:line="5" w:lineRule="exact"/>
        <w:rPr>
          <w:rFonts w:ascii="Arial" w:cs="Arial" w:eastAsia="Arial" w:hAnsi="Arial"/>
          <w:sz w:val="18"/>
          <w:szCs w:val="18"/>
          <w:color w:val="auto"/>
        </w:rPr>
      </w:pPr>
    </w:p>
    <w:p>
      <w:pPr>
        <w:ind w:left="1860" w:right="240" w:hanging="435"/>
        <w:spacing w:after="0" w:line="271" w:lineRule="auto"/>
        <w:tabs>
          <w:tab w:leader="none" w:pos="18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Measures, among other things, cash remaining after capital investments that allows us to repay</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make strategic investments and return capital to shareholders.</w:t>
      </w:r>
    </w:p>
    <w:p>
      <w:pPr>
        <w:spacing w:after="0" w:line="27" w:lineRule="exact"/>
        <w:rPr>
          <w:sz w:val="20"/>
          <w:szCs w:val="20"/>
          <w:color w:val="auto"/>
        </w:rPr>
      </w:pPr>
    </w:p>
    <w:p>
      <w:pPr>
        <w:ind w:left="1860" w:right="80" w:hanging="435"/>
        <w:spacing w:after="0" w:line="238" w:lineRule="auto"/>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Consistent with this view, free cash flow and Adjusted EBITDA were the top two metrics used for valuing our company, according to an investor perception study of 47 buy-side investors and 10 sell-side analysts conducted by an unaffiliated third party on our behalf in 2019. We believe that our performance on these financial metrics is strongly correlated to shareholder returns in both the short and long term.</w:t>
      </w:r>
    </w:p>
    <w:p>
      <w:pPr>
        <w:spacing w:after="0" w:line="56" w:lineRule="exact"/>
        <w:rPr>
          <w:rFonts w:ascii="Arial" w:cs="Arial" w:eastAsia="Arial" w:hAnsi="Arial"/>
          <w:sz w:val="18"/>
          <w:szCs w:val="18"/>
          <w:color w:val="auto"/>
        </w:rPr>
      </w:pPr>
    </w:p>
    <w:p>
      <w:pPr>
        <w:ind w:left="1860" w:right="120" w:hanging="435"/>
        <w:spacing w:after="0"/>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set company-specific performance goals that are directly linked with the NEOs’ management of our businesses to motivate them rather than use a TSR metric that can be affected by external factors beyond the control of our NEOs, such as economic and market conditions.</w:t>
      </w:r>
    </w:p>
    <w:p>
      <w:pPr>
        <w:spacing w:after="0" w:line="54" w:lineRule="exact"/>
        <w:rPr>
          <w:rFonts w:ascii="Arial" w:cs="Arial" w:eastAsia="Arial" w:hAnsi="Arial"/>
          <w:sz w:val="18"/>
          <w:szCs w:val="18"/>
          <w:color w:val="auto"/>
        </w:rPr>
      </w:pPr>
    </w:p>
    <w:p>
      <w:pPr>
        <w:ind w:left="1860" w:right="160" w:hanging="435"/>
        <w:spacing w:after="0" w:line="246" w:lineRule="auto"/>
        <w:tabs>
          <w:tab w:leader="none" w:pos="1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believe that other financial measures, such as return on equity, return on assets and return on invested capital, are less directly correlated with, and less reliable measures of, the profitability of our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asset-intensive business and operating performance and are less reliable predictors of our stock performance.</w:t>
      </w:r>
    </w:p>
    <w:p>
      <w:pPr>
        <w:spacing w:after="0" w:line="63" w:lineRule="exact"/>
        <w:rPr>
          <w:sz w:val="20"/>
          <w:szCs w:val="20"/>
          <w:color w:val="auto"/>
        </w:rPr>
      </w:pPr>
    </w:p>
    <w:p>
      <w:pPr>
        <w:ind w:left="980" w:right="100" w:hanging="432"/>
        <w:spacing w:after="0" w:line="246"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Compensation Committee also is mindful of the following when designing our compensation program and evaluating NEO performance.</w:t>
      </w:r>
    </w:p>
    <w:p>
      <w:pPr>
        <w:spacing w:after="0" w:line="48" w:lineRule="exact"/>
        <w:rPr>
          <w:rFonts w:ascii="Arial" w:cs="Arial" w:eastAsia="Arial" w:hAnsi="Arial"/>
          <w:sz w:val="18"/>
          <w:szCs w:val="18"/>
          <w:color w:val="auto"/>
        </w:rPr>
      </w:pPr>
    </w:p>
    <w:p>
      <w:pPr>
        <w:ind w:left="1420" w:right="80" w:hanging="427"/>
        <w:spacing w:after="0" w:line="236" w:lineRule="auto"/>
        <w:tabs>
          <w:tab w:leader="none" w:pos="1420" w:val="left"/>
        </w:tabs>
        <w:numPr>
          <w:ilvl w:val="1"/>
          <w:numId w:val="43"/>
        </w:numPr>
        <w:rPr>
          <w:rFonts w:ascii="Arial" w:cs="Arial" w:eastAsia="Arial" w:hAnsi="Arial"/>
          <w:sz w:val="15"/>
          <w:szCs w:val="15"/>
          <w:color w:val="auto"/>
        </w:rPr>
      </w:pPr>
      <w:r>
        <w:rPr>
          <w:rFonts w:ascii="Arial" w:cs="Arial" w:eastAsia="Arial" w:hAnsi="Arial"/>
          <w:sz w:val="18"/>
          <w:szCs w:val="18"/>
          <w:color w:val="auto"/>
        </w:rPr>
        <w:t>The diversity of our businesses, and the larger size of our company in terms of revenue and market capitalization relative to many of our primary industry-specific peers, present challenges in developing a peer group for assessing pay and performance. As such, our Compensation Committee uses three distinct peer groups (rather than a blend of all types of peers) to review executive pay, which primarily reflect our entertainment/media and transmission/distribution peers, as well our status as a premier Fortune 100 company. Our Compensation Committee, with the assistance of its independent compensation consultant, Korn Ferry, triangulates data from these three peer groups and other data to conduct a more holistic review of our pay and performance. See “</w:t>
      </w:r>
      <w:r>
        <w:rPr>
          <w:rFonts w:ascii="Arial" w:cs="Arial" w:eastAsia="Arial" w:hAnsi="Arial"/>
          <w:sz w:val="18"/>
          <w:szCs w:val="18"/>
          <w:u w:val="single" w:color="auto"/>
          <w:color w:val="0000EE"/>
        </w:rPr>
        <w:t>Compensation Decision-Making Process – Use of Competitive Data</w:t>
      </w:r>
      <w:r>
        <w:rPr>
          <w:rFonts w:ascii="Arial" w:cs="Arial" w:eastAsia="Arial" w:hAnsi="Arial"/>
          <w:sz w:val="18"/>
          <w:szCs w:val="18"/>
          <w:color w:val="auto"/>
        </w:rPr>
        <w:t>” below for additional information.</w:t>
      </w:r>
    </w:p>
    <w:p>
      <w:pPr>
        <w:spacing w:after="0" w:line="59" w:lineRule="exact"/>
        <w:rPr>
          <w:rFonts w:ascii="Arial" w:cs="Arial" w:eastAsia="Arial" w:hAnsi="Arial"/>
          <w:sz w:val="15"/>
          <w:szCs w:val="15"/>
          <w:color w:val="auto"/>
        </w:rPr>
      </w:pPr>
    </w:p>
    <w:p>
      <w:pPr>
        <w:ind w:left="1420" w:right="40" w:hanging="427"/>
        <w:spacing w:after="0" w:line="237"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diversity of our businesses, overlaid with the impact of potential cyclical factors, such as broadcasts of the Olympics and Super Bowl and the impact of political advertising on our advertising revenues, as well as macroeconomic factors on a global scale, make consolidated financial goal-setting a challenge for us. The work that our NEOs must do to successfully operate our businesses, including working constructively, proactively and cohesively together and fostering a culture of integrity and respect, does not readily lend itself entirely to formulaic measurements, and a proper assessment requires the use of business judgment. See “</w:t>
      </w:r>
      <w:hyperlink w:anchor="page54">
        <w:r>
          <w:rPr>
            <w:rFonts w:ascii="Arial" w:cs="Arial" w:eastAsia="Arial" w:hAnsi="Arial"/>
            <w:sz w:val="18"/>
            <w:szCs w:val="18"/>
            <w:u w:val="single" w:color="auto"/>
            <w:color w:val="0000EE"/>
          </w:rPr>
          <w:t>Assessing NEO Performance</w:t>
        </w:r>
      </w:hyperlink>
      <w:r>
        <w:rPr>
          <w:rFonts w:ascii="Arial" w:cs="Arial" w:eastAsia="Arial" w:hAnsi="Arial"/>
          <w:sz w:val="18"/>
          <w:szCs w:val="18"/>
          <w:color w:val="auto"/>
        </w:rPr>
        <w:t>” below for additional information.</w:t>
      </w:r>
    </w:p>
    <w:p>
      <w:pPr>
        <w:spacing w:after="0" w:line="56" w:lineRule="exact"/>
        <w:rPr>
          <w:rFonts w:ascii="Arial" w:cs="Arial" w:eastAsia="Arial" w:hAnsi="Arial"/>
          <w:sz w:val="18"/>
          <w:szCs w:val="18"/>
          <w:color w:val="auto"/>
        </w:rPr>
      </w:pPr>
    </w:p>
    <w:p>
      <w:pPr>
        <w:ind w:left="1420" w:hanging="427"/>
        <w:spacing w:after="0" w:line="237" w:lineRule="auto"/>
        <w:tabs>
          <w:tab w:leader="none" w:pos="1420" w:val="left"/>
        </w:tabs>
        <w:numPr>
          <w:ilvl w:val="1"/>
          <w:numId w:val="43"/>
        </w:numPr>
        <w:rPr>
          <w:rFonts w:ascii="Arial" w:cs="Arial" w:eastAsia="Arial" w:hAnsi="Arial"/>
          <w:sz w:val="18"/>
          <w:szCs w:val="18"/>
          <w:color w:val="0000EE"/>
        </w:rPr>
      </w:pPr>
      <w:r>
        <w:rPr>
          <w:rFonts w:ascii="Arial" w:cs="Arial" w:eastAsia="Arial" w:hAnsi="Arial"/>
          <w:sz w:val="18"/>
          <w:szCs w:val="18"/>
          <w:color w:val="auto"/>
        </w:rPr>
        <w:t xml:space="preserve">Over the past year, we engaged with shareholders representing approximately 40% of our Class A common stock and two proxy advisory services, regarding our executive compensation program. This engagement helped us to further understand shareholder viewpoints and to discuss and demonstrate the important connection between our compensation program, on the one hand, and our business strategy, goals and financial and operating performance, on the other hand. As noted immediately below in “Compensation-Related Changes,” we have made several changes with respect to our </w:t>
      </w:r>
      <w:hyperlink w:anchor="page48">
        <w:r>
          <w:rPr>
            <w:rFonts w:ascii="Arial" w:cs="Arial" w:eastAsia="Arial" w:hAnsi="Arial"/>
            <w:sz w:val="18"/>
            <w:szCs w:val="18"/>
            <w:color w:val="auto"/>
          </w:rPr>
          <w:t>compensation program for 2020 after considering feedback received this past year. See also “</w:t>
        </w:r>
        <w:r>
          <w:rPr>
            <w:rFonts w:ascii="Arial" w:cs="Arial" w:eastAsia="Arial" w:hAnsi="Arial"/>
            <w:sz w:val="18"/>
            <w:szCs w:val="18"/>
            <w:u w:val="single" w:color="auto"/>
            <w:color w:val="0000EE"/>
          </w:rPr>
          <w:t>Shareholder Feedback on</w:t>
        </w:r>
      </w:hyperlink>
      <w:r>
        <w:rPr>
          <w:rFonts w:ascii="Arial" w:cs="Arial" w:eastAsia="Arial" w:hAnsi="Arial"/>
          <w:sz w:val="18"/>
          <w:szCs w:val="18"/>
          <w:color w:val="auto"/>
        </w:rPr>
        <w:t xml:space="preserve"> </w:t>
      </w:r>
      <w:hyperlink w:anchor="page48">
        <w:r>
          <w:rPr>
            <w:rFonts w:ascii="Arial" w:cs="Arial" w:eastAsia="Arial" w:hAnsi="Arial"/>
            <w:sz w:val="18"/>
            <w:szCs w:val="18"/>
            <w:u w:val="single" w:color="auto"/>
            <w:color w:val="0000EE"/>
          </w:rPr>
          <w:t>Executive Compensation</w:t>
        </w:r>
        <w:r>
          <w:rPr>
            <w:rFonts w:ascii="Arial" w:cs="Arial" w:eastAsia="Arial" w:hAnsi="Arial"/>
            <w:sz w:val="18"/>
            <w:szCs w:val="18"/>
            <w:color w:val="000000"/>
          </w:rPr>
          <w:t>” below for additional information.</w:t>
        </w:r>
      </w:hyperlink>
    </w:p>
    <w:p>
      <w:pPr>
        <w:spacing w:after="0" w:line="95" w:lineRule="exact"/>
        <w:rPr>
          <w:rFonts w:ascii="Arial" w:cs="Arial" w:eastAsia="Arial" w:hAnsi="Arial"/>
          <w:sz w:val="15"/>
          <w:szCs w:val="15"/>
          <w:color w:val="auto"/>
        </w:rPr>
      </w:pPr>
    </w:p>
    <w:p>
      <w:pPr>
        <w:ind w:left="120" w:right="240"/>
        <w:spacing w:after="0"/>
        <w:rPr>
          <w:sz w:val="20"/>
          <w:szCs w:val="20"/>
          <w:color w:val="auto"/>
        </w:rPr>
      </w:pPr>
      <w:r>
        <w:rPr>
          <w:rFonts w:ascii="Arial" w:cs="Arial" w:eastAsia="Arial" w:hAnsi="Arial"/>
          <w:sz w:val="18"/>
          <w:szCs w:val="18"/>
          <w:color w:val="auto"/>
        </w:rPr>
        <w:t>Taken together, the interplay of these elements provides a pay program that is strongly aligned with shareholder interests and long-term value creation, retains a high-quality executive team and compensates the executive team when it does the right things to help our businesses succeed.</w:t>
      </w:r>
    </w:p>
    <w:p>
      <w:pPr>
        <w:spacing w:after="0" w:line="73" w:lineRule="exact"/>
        <w:rPr>
          <w:rFonts w:ascii="Arial" w:cs="Arial" w:eastAsia="Arial" w:hAnsi="Arial"/>
          <w:sz w:val="15"/>
          <w:szCs w:val="15"/>
          <w:color w:val="auto"/>
        </w:rPr>
      </w:pPr>
    </w:p>
    <w:p>
      <w:pPr>
        <w:ind w:left="120"/>
        <w:spacing w:after="0"/>
        <w:rPr>
          <w:sz w:val="20"/>
          <w:szCs w:val="20"/>
          <w:color w:val="auto"/>
        </w:rPr>
      </w:pPr>
      <w:r>
        <w:rPr>
          <w:rFonts w:ascii="Arial" w:cs="Arial" w:eastAsia="Arial" w:hAnsi="Arial"/>
          <w:sz w:val="18"/>
          <w:szCs w:val="18"/>
          <w:b w:val="1"/>
          <w:bCs w:val="1"/>
          <w:i w:val="1"/>
          <w:iCs w:val="1"/>
          <w:color w:val="0A33A5"/>
        </w:rPr>
        <w:t>Compensation-Related Changes</w:t>
      </w:r>
    </w:p>
    <w:p>
      <w:pPr>
        <w:spacing w:after="0" w:line="85" w:lineRule="exact"/>
        <w:rPr>
          <w:rFonts w:ascii="Arial" w:cs="Arial" w:eastAsia="Arial" w:hAnsi="Arial"/>
          <w:sz w:val="15"/>
          <w:szCs w:val="15"/>
          <w:color w:val="auto"/>
        </w:rPr>
      </w:pPr>
    </w:p>
    <w:p>
      <w:pPr>
        <w:ind w:left="980" w:hanging="432"/>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were no significant changes in compensation design with respect to 2019.</w:t>
      </w:r>
    </w:p>
    <w:p>
      <w:pPr>
        <w:spacing w:after="0" w:line="63" w:lineRule="exact"/>
        <w:rPr>
          <w:rFonts w:ascii="Arial" w:cs="Arial" w:eastAsia="Arial" w:hAnsi="Arial"/>
          <w:sz w:val="18"/>
          <w:szCs w:val="18"/>
          <w:color w:val="auto"/>
        </w:rPr>
      </w:pPr>
    </w:p>
    <w:p>
      <w:pPr>
        <w:ind w:left="980" w:right="140" w:hanging="432"/>
        <w:spacing w:after="0" w:line="24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evaluating how to further enhance our emphasis on performance-based compensation, we have taken the following actions with respect to 2020 compensation:</w:t>
      </w:r>
    </w:p>
    <w:p>
      <w:pPr>
        <w:spacing w:after="0" w:line="48" w:lineRule="exact"/>
        <w:rPr>
          <w:rFonts w:ascii="Arial" w:cs="Arial" w:eastAsia="Arial" w:hAnsi="Arial"/>
          <w:sz w:val="18"/>
          <w:szCs w:val="18"/>
          <w:color w:val="auto"/>
        </w:rPr>
      </w:pPr>
    </w:p>
    <w:p>
      <w:pPr>
        <w:ind w:left="1420" w:right="100" w:hanging="427"/>
        <w:spacing w:after="0" w:line="246" w:lineRule="auto"/>
        <w:tabs>
          <w:tab w:leader="none" w:pos="1420" w:val="left"/>
        </w:tabs>
        <w:numPr>
          <w:ilvl w:val="1"/>
          <w:numId w:val="44"/>
        </w:numPr>
        <w:rPr>
          <w:rFonts w:ascii="Arial" w:cs="Arial" w:eastAsia="Arial" w:hAnsi="Arial"/>
          <w:sz w:val="15"/>
          <w:szCs w:val="15"/>
          <w:color w:val="auto"/>
        </w:rPr>
      </w:pPr>
      <w:r>
        <w:rPr>
          <w:rFonts w:ascii="Arial" w:cs="Arial" w:eastAsia="Arial" w:hAnsi="Arial"/>
          <w:sz w:val="18"/>
          <w:szCs w:val="18"/>
          <w:color w:val="auto"/>
        </w:rPr>
        <w:t>We and our NEOs have agreed to eliminate the company contributions to their deferred compensation accounts that had been set forth in their employment agreements.</w:t>
      </w:r>
    </w:p>
    <w:p>
      <w:pPr>
        <w:spacing w:after="0" w:line="48" w:lineRule="exact"/>
        <w:rPr>
          <w:rFonts w:ascii="Arial" w:cs="Arial" w:eastAsia="Arial" w:hAnsi="Arial"/>
          <w:sz w:val="15"/>
          <w:szCs w:val="15"/>
          <w:color w:val="auto"/>
        </w:rPr>
      </w:pPr>
    </w:p>
    <w:p>
      <w:pPr>
        <w:ind w:left="1420" w:right="20" w:hanging="427"/>
        <w:spacing w:after="0" w:line="238" w:lineRule="auto"/>
        <w:tabs>
          <w:tab w:leader="none" w:pos="1420" w:val="left"/>
        </w:tabs>
        <w:numPr>
          <w:ilvl w:val="1"/>
          <w:numId w:val="44"/>
        </w:numPr>
        <w:rPr>
          <w:rFonts w:ascii="Arial" w:cs="Arial" w:eastAsia="Arial" w:hAnsi="Arial"/>
          <w:sz w:val="15"/>
          <w:szCs w:val="15"/>
          <w:color w:val="auto"/>
        </w:rPr>
      </w:pPr>
      <w:r>
        <w:rPr>
          <w:rFonts w:ascii="Arial" w:cs="Arial" w:eastAsia="Arial" w:hAnsi="Arial"/>
          <w:sz w:val="18"/>
          <w:szCs w:val="18"/>
          <w:color w:val="auto"/>
        </w:rPr>
        <w:t>We created a cap on the amount that can be invested in the income fund and added several investment alternatives under our deferred compensation plans, including a company stock fund that tracks the value of our Class A common stock and several third-party mutual and exchange funds. We expect these changes will result both in lower balances and above-market interest in respect of our NEOs’ income fund accounts.</w:t>
      </w:r>
    </w:p>
    <w:p>
      <w:pPr>
        <w:spacing w:after="0" w:line="56" w:lineRule="exact"/>
        <w:rPr>
          <w:rFonts w:ascii="Arial" w:cs="Arial" w:eastAsia="Arial" w:hAnsi="Arial"/>
          <w:sz w:val="15"/>
          <w:szCs w:val="15"/>
          <w:color w:val="auto"/>
        </w:rPr>
      </w:pPr>
    </w:p>
    <w:p>
      <w:pPr>
        <w:ind w:left="1420" w:right="80" w:hanging="427"/>
        <w:spacing w:after="0" w:line="246" w:lineRule="auto"/>
        <w:tabs>
          <w:tab w:leader="none" w:pos="1420" w:val="left"/>
        </w:tabs>
        <w:numPr>
          <w:ilvl w:val="1"/>
          <w:numId w:val="44"/>
        </w:numPr>
        <w:rPr>
          <w:rFonts w:ascii="Arial" w:cs="Arial" w:eastAsia="Arial" w:hAnsi="Arial"/>
          <w:sz w:val="15"/>
          <w:szCs w:val="15"/>
          <w:color w:val="auto"/>
        </w:rPr>
      </w:pPr>
      <w:r>
        <w:rPr>
          <w:rFonts w:ascii="Arial" w:cs="Arial" w:eastAsia="Arial" w:hAnsi="Arial"/>
          <w:sz w:val="18"/>
          <w:szCs w:val="18"/>
          <w:color w:val="auto"/>
        </w:rPr>
        <w:t>The Compensation Committee increased the value of PSUs and stock options granted to the NEOs in March 2020, given the performance-based nature of these awards.</w:t>
      </w:r>
    </w:p>
    <w:p>
      <w:pPr>
        <w:spacing w:after="0" w:line="48" w:lineRule="exact"/>
        <w:rPr>
          <w:rFonts w:ascii="Arial" w:cs="Arial" w:eastAsia="Arial" w:hAnsi="Arial"/>
          <w:sz w:val="15"/>
          <w:szCs w:val="15"/>
          <w:color w:val="auto"/>
        </w:rPr>
      </w:pPr>
    </w:p>
    <w:p>
      <w:pPr>
        <w:ind w:left="1420" w:hanging="427"/>
        <w:spacing w:after="0"/>
        <w:tabs>
          <w:tab w:leader="none" w:pos="1420" w:val="left"/>
        </w:tabs>
        <w:numPr>
          <w:ilvl w:val="1"/>
          <w:numId w:val="44"/>
        </w:numPr>
        <w:rPr>
          <w:rFonts w:ascii="Arial" w:cs="Arial" w:eastAsia="Arial" w:hAnsi="Arial"/>
          <w:sz w:val="15"/>
          <w:szCs w:val="15"/>
          <w:color w:val="auto"/>
        </w:rPr>
      </w:pPr>
      <w:r>
        <w:rPr>
          <w:rFonts w:ascii="Arial" w:cs="Arial" w:eastAsia="Arial" w:hAnsi="Arial"/>
          <w:sz w:val="18"/>
          <w:szCs w:val="18"/>
          <w:color w:val="auto"/>
        </w:rPr>
        <w:t>As a result, the total performance-based target compensation of our NEOs will increase.</w:t>
      </w:r>
    </w:p>
    <w:p>
      <w:pPr>
        <w:spacing w:after="0" w:line="144" w:lineRule="exact"/>
        <w:rPr>
          <w:rFonts w:ascii="Arial" w:cs="Arial" w:eastAsia="Arial" w:hAnsi="Arial"/>
          <w:sz w:val="15"/>
          <w:szCs w:val="15"/>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2019 Business Highlights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businesses operate in intensely competitive and rapidly changing technological environments and in highly regulated industries.</w:t>
      </w:r>
    </w:p>
    <w:p>
      <w:pPr>
        <w:spacing w:after="0" w:line="104"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Over the past several fiscal years, we delivered strong financial results that allowed us to both (i) reinvest in our businesses to compete effectively and adapt to changing consumer behaviors and (ii) return significant capital to shareholders or make substantial strategic acquisitions.</w:t>
      </w:r>
    </w:p>
    <w:p>
      <w:pPr>
        <w:spacing w:after="0" w:line="95"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While we expect 2020 will be a challenging year given the COVID-19 pandemic, our 2019 consolidated financial results for the three primary quantitative performance goals used in our incentive compensation program – revenue, Adjusted EBITDA and free cash flow – were strong across the board, including our generating record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094730" cy="1577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9473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right="60" w:hanging="324"/>
        <w:spacing w:after="0" w:line="246"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Net income attributable to Comcast in 2017 included $12.7 billion of net income tax benefits primarily associated with a reduction of our net deferred income tax liabilities as a result of the 2017 tax reform legislation.</w:t>
      </w:r>
    </w:p>
    <w:p>
      <w:pPr>
        <w:ind w:left="440" w:right="340" w:hanging="324"/>
        <w:spacing w:after="0" w:line="260"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6"/>
          <w:szCs w:val="16"/>
          <w:u w:val="single" w:color="auto"/>
          <w:color w:val="auto"/>
        </w:rPr>
        <w:t>Appendix C</w:t>
      </w:r>
      <w:r>
        <w:rPr>
          <w:rFonts w:ascii="Arial" w:cs="Arial" w:eastAsia="Arial" w:hAnsi="Arial"/>
          <w:sz w:val="16"/>
          <w:szCs w:val="16"/>
          <w:color w:val="auto"/>
        </w:rPr>
        <w:t>.</w:t>
      </w:r>
    </w:p>
    <w:p>
      <w:pPr>
        <w:spacing w:after="0" w:line="98" w:lineRule="exact"/>
        <w:rPr>
          <w:rFonts w:ascii="Arial" w:cs="Arial" w:eastAsia="Arial" w:hAnsi="Arial"/>
          <w:sz w:val="16"/>
          <w:szCs w:val="16"/>
          <w:color w:val="auto"/>
        </w:rPr>
      </w:pPr>
    </w:p>
    <w:p>
      <w:pPr>
        <w:ind w:left="980" w:hanging="324"/>
        <w:spacing w:after="0"/>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2019 key results across our three primary businesses:</w:t>
      </w:r>
    </w:p>
    <w:p>
      <w:pPr>
        <w:spacing w:after="0" w:line="63" w:lineRule="exact"/>
        <w:rPr>
          <w:rFonts w:ascii="Arial" w:cs="Arial" w:eastAsia="Arial" w:hAnsi="Arial"/>
          <w:sz w:val="18"/>
          <w:szCs w:val="18"/>
          <w:color w:val="auto"/>
        </w:rPr>
      </w:pPr>
    </w:p>
    <w:p>
      <w:pPr>
        <w:ind w:left="1860" w:right="260" w:hanging="435"/>
        <w:spacing w:after="0" w:line="246" w:lineRule="auto"/>
        <w:tabs>
          <w:tab w:leader="none" w:pos="1860" w:val="left"/>
        </w:tabs>
        <w:numPr>
          <w:ilvl w:val="2"/>
          <w:numId w:val="45"/>
        </w:numPr>
        <w:rPr>
          <w:rFonts w:ascii="Arial" w:cs="Arial" w:eastAsia="Arial" w:hAnsi="Arial"/>
          <w:sz w:val="15"/>
          <w:szCs w:val="15"/>
          <w:color w:val="auto"/>
        </w:rPr>
      </w:pPr>
      <w:r>
        <w:rPr>
          <w:rFonts w:ascii="Arial" w:cs="Arial" w:eastAsia="Arial" w:hAnsi="Arial"/>
          <w:sz w:val="18"/>
          <w:szCs w:val="18"/>
          <w:color w:val="auto"/>
        </w:rPr>
        <w:t>Comcast Cable (whose results are reported in our Cable Communications segment) Adjusted EBITDA increased 7.3%.</w:t>
      </w:r>
    </w:p>
    <w:p>
      <w:pPr>
        <w:spacing w:after="0" w:line="48" w:lineRule="exact"/>
        <w:rPr>
          <w:rFonts w:ascii="Arial" w:cs="Arial" w:eastAsia="Arial" w:hAnsi="Arial"/>
          <w:sz w:val="15"/>
          <w:szCs w:val="15"/>
          <w:color w:val="auto"/>
        </w:rPr>
      </w:pPr>
    </w:p>
    <w:p>
      <w:pPr>
        <w:ind w:left="1860" w:right="800" w:hanging="435"/>
        <w:spacing w:after="0" w:line="246" w:lineRule="auto"/>
        <w:tabs>
          <w:tab w:leader="none" w:pos="1860" w:val="left"/>
        </w:tabs>
        <w:numPr>
          <w:ilvl w:val="2"/>
          <w:numId w:val="45"/>
        </w:numPr>
        <w:rPr>
          <w:rFonts w:ascii="Arial" w:cs="Arial" w:eastAsia="Arial" w:hAnsi="Arial"/>
          <w:sz w:val="15"/>
          <w:szCs w:val="15"/>
          <w:color w:val="auto"/>
        </w:rPr>
      </w:pPr>
      <w:r>
        <w:rPr>
          <w:rFonts w:ascii="Arial" w:cs="Arial" w:eastAsia="Arial" w:hAnsi="Arial"/>
          <w:sz w:val="18"/>
          <w:szCs w:val="18"/>
          <w:color w:val="auto"/>
        </w:rPr>
        <w:t>Cable Communications total customer relationships increased by 1.1 million, with total high-speed internet customers increasing by 1.4 million.</w:t>
      </w:r>
    </w:p>
    <w:p>
      <w:pPr>
        <w:spacing w:after="0" w:line="48" w:lineRule="exact"/>
        <w:rPr>
          <w:rFonts w:ascii="Arial" w:cs="Arial" w:eastAsia="Arial" w:hAnsi="Arial"/>
          <w:sz w:val="15"/>
          <w:szCs w:val="15"/>
          <w:color w:val="auto"/>
        </w:rPr>
      </w:pPr>
    </w:p>
    <w:p>
      <w:pPr>
        <w:ind w:left="1860" w:hanging="435"/>
        <w:spacing w:after="0"/>
        <w:tabs>
          <w:tab w:leader="none" w:pos="1860" w:val="left"/>
        </w:tabs>
        <w:numPr>
          <w:ilvl w:val="2"/>
          <w:numId w:val="45"/>
        </w:numPr>
        <w:rPr>
          <w:rFonts w:ascii="Arial" w:cs="Arial" w:eastAsia="Arial" w:hAnsi="Arial"/>
          <w:sz w:val="15"/>
          <w:szCs w:val="15"/>
          <w:color w:val="auto"/>
        </w:rPr>
      </w:pPr>
      <w:r>
        <w:rPr>
          <w:rFonts w:ascii="Arial" w:cs="Arial" w:eastAsia="Arial" w:hAnsi="Arial"/>
          <w:sz w:val="18"/>
          <w:szCs w:val="18"/>
          <w:color w:val="auto"/>
        </w:rPr>
        <w:t>NBCUniversal Adjusted EBITDA increased 2.0%.</w:t>
      </w:r>
    </w:p>
    <w:p>
      <w:pPr>
        <w:spacing w:after="0" w:line="63" w:lineRule="exact"/>
        <w:rPr>
          <w:rFonts w:ascii="Arial" w:cs="Arial" w:eastAsia="Arial" w:hAnsi="Arial"/>
          <w:sz w:val="15"/>
          <w:szCs w:val="15"/>
          <w:color w:val="auto"/>
        </w:rPr>
      </w:pPr>
    </w:p>
    <w:p>
      <w:pPr>
        <w:ind w:left="1860" w:right="660" w:hanging="435"/>
        <w:spacing w:after="0" w:line="246" w:lineRule="auto"/>
        <w:tabs>
          <w:tab w:leader="none" w:pos="1860" w:val="left"/>
        </w:tabs>
        <w:numPr>
          <w:ilvl w:val="2"/>
          <w:numId w:val="45"/>
        </w:numPr>
        <w:rPr>
          <w:rFonts w:ascii="Arial" w:cs="Arial" w:eastAsia="Arial" w:hAnsi="Arial"/>
          <w:sz w:val="15"/>
          <w:szCs w:val="15"/>
          <w:color w:val="auto"/>
        </w:rPr>
      </w:pPr>
      <w:r>
        <w:rPr>
          <w:rFonts w:ascii="Arial" w:cs="Arial" w:eastAsia="Arial" w:hAnsi="Arial"/>
          <w:sz w:val="18"/>
          <w:szCs w:val="18"/>
          <w:color w:val="auto"/>
        </w:rPr>
        <w:t xml:space="preserve">Sky Adjusted EBITDA increased 7.1% on a pro forma basis to $3.1 billion; excluding the impact of currency, Adjusted EBITDA increased 12.2% on a pro forma basis (see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for a reconciliation).</w:t>
      </w:r>
    </w:p>
    <w:p>
      <w:pPr>
        <w:spacing w:after="0" w:line="48" w:lineRule="exact"/>
        <w:rPr>
          <w:rFonts w:ascii="Arial" w:cs="Arial" w:eastAsia="Arial" w:hAnsi="Arial"/>
          <w:sz w:val="15"/>
          <w:szCs w:val="15"/>
          <w:color w:val="auto"/>
        </w:rPr>
      </w:pPr>
    </w:p>
    <w:p>
      <w:pPr>
        <w:ind w:left="980" w:hanging="324"/>
        <w:spacing w:after="0" w:line="246"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We made four cash dividend payments totaling $3.7 billion in 2019, and announced an increase to the planned annual dividend by $0.08 per share, or 10%, to $0.92 per share on an annualized basis for 2020 – the 12</w:t>
      </w:r>
      <w:r>
        <w:rPr>
          <w:rFonts w:ascii="Arial" w:cs="Arial" w:eastAsia="Arial" w:hAnsi="Arial"/>
          <w:sz w:val="15"/>
          <w:szCs w:val="15"/>
          <w:color w:val="auto"/>
        </w:rPr>
        <w:t>th</w:t>
      </w:r>
      <w:r>
        <w:rPr>
          <w:rFonts w:ascii="Arial" w:cs="Arial" w:eastAsia="Arial" w:hAnsi="Arial"/>
          <w:sz w:val="18"/>
          <w:szCs w:val="18"/>
          <w:color w:val="auto"/>
        </w:rPr>
        <w:t xml:space="preserve"> increase in 12 years.</w:t>
      </w:r>
    </w:p>
    <w:p>
      <w:pPr>
        <w:spacing w:after="0" w:line="89"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Our strong operational and financial results in 2019 reflected our overall focus on driving profitable growth even while we navigated a rapidly evolving competitive landscape and invested in product innovation and our key assets.</w:t>
      </w:r>
    </w:p>
    <w:p>
      <w:pPr>
        <w:spacing w:after="0" w:line="48"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2019, we continued to invest and innovate in our businesses, including:</w:t>
      </w:r>
    </w:p>
    <w:p>
      <w:pPr>
        <w:spacing w:after="0" w:line="63" w:lineRule="exact"/>
        <w:rPr>
          <w:rFonts w:ascii="Arial" w:cs="Arial" w:eastAsia="Arial" w:hAnsi="Arial"/>
          <w:sz w:val="18"/>
          <w:szCs w:val="18"/>
          <w:color w:val="auto"/>
        </w:rPr>
      </w:pPr>
    </w:p>
    <w:p>
      <w:pPr>
        <w:ind w:left="1860" w:hanging="435"/>
        <w:spacing w:after="0"/>
        <w:tabs>
          <w:tab w:leader="none" w:pos="1860" w:val="left"/>
        </w:tabs>
        <w:numPr>
          <w:ilvl w:val="1"/>
          <w:numId w:val="46"/>
        </w:numPr>
        <w:rPr>
          <w:rFonts w:ascii="Arial" w:cs="Arial" w:eastAsia="Arial" w:hAnsi="Arial"/>
          <w:sz w:val="15"/>
          <w:szCs w:val="15"/>
          <w:color w:val="auto"/>
        </w:rPr>
      </w:pPr>
      <w:r>
        <w:rPr>
          <w:rFonts w:ascii="Arial" w:cs="Arial" w:eastAsia="Arial" w:hAnsi="Arial"/>
          <w:sz w:val="18"/>
          <w:szCs w:val="18"/>
          <w:color w:val="auto"/>
        </w:rPr>
        <w:t>The launch of the Flex streaming device for high-speed internet customers.</w:t>
      </w:r>
    </w:p>
    <w:p>
      <w:pPr>
        <w:spacing w:after="0" w:line="63" w:lineRule="exact"/>
        <w:rPr>
          <w:rFonts w:ascii="Arial" w:cs="Arial" w:eastAsia="Arial" w:hAnsi="Arial"/>
          <w:sz w:val="15"/>
          <w:szCs w:val="15"/>
          <w:color w:val="auto"/>
        </w:rPr>
      </w:pPr>
    </w:p>
    <w:p>
      <w:pPr>
        <w:ind w:left="1860" w:right="140" w:hanging="435"/>
        <w:spacing w:after="0" w:line="246" w:lineRule="auto"/>
        <w:tabs>
          <w:tab w:leader="none" w:pos="1860" w:val="left"/>
        </w:tabs>
        <w:numPr>
          <w:ilvl w:val="1"/>
          <w:numId w:val="46"/>
        </w:numPr>
        <w:rPr>
          <w:rFonts w:ascii="Arial" w:cs="Arial" w:eastAsia="Arial" w:hAnsi="Arial"/>
          <w:sz w:val="15"/>
          <w:szCs w:val="15"/>
          <w:color w:val="auto"/>
        </w:rPr>
      </w:pPr>
      <w:r>
        <w:rPr>
          <w:rFonts w:ascii="Arial" w:cs="Arial" w:eastAsia="Arial" w:hAnsi="Arial"/>
          <w:sz w:val="18"/>
          <w:szCs w:val="18"/>
          <w:color w:val="auto"/>
        </w:rPr>
        <w:t>The development of Peacock, NBCUniversal’s direct-to-consumer ad-supported streaming service, that will launch in 2020.</w:t>
      </w:r>
    </w:p>
    <w:p>
      <w:pPr>
        <w:spacing w:after="0" w:line="48" w:lineRule="exact"/>
        <w:rPr>
          <w:rFonts w:ascii="Arial" w:cs="Arial" w:eastAsia="Arial" w:hAnsi="Arial"/>
          <w:sz w:val="15"/>
          <w:szCs w:val="15"/>
          <w:color w:val="auto"/>
        </w:rPr>
      </w:pPr>
    </w:p>
    <w:p>
      <w:pPr>
        <w:ind w:left="1860" w:right="140" w:hanging="435"/>
        <w:spacing w:after="0" w:line="246" w:lineRule="auto"/>
        <w:tabs>
          <w:tab w:leader="none" w:pos="1860" w:val="left"/>
        </w:tabs>
        <w:numPr>
          <w:ilvl w:val="1"/>
          <w:numId w:val="46"/>
        </w:numPr>
        <w:rPr>
          <w:rFonts w:ascii="Arial" w:cs="Arial" w:eastAsia="Arial" w:hAnsi="Arial"/>
          <w:sz w:val="15"/>
          <w:szCs w:val="15"/>
          <w:color w:val="auto"/>
        </w:rPr>
      </w:pPr>
      <w:r>
        <w:rPr>
          <w:rFonts w:ascii="Arial" w:cs="Arial" w:eastAsia="Arial" w:hAnsi="Arial"/>
          <w:sz w:val="18"/>
          <w:szCs w:val="18"/>
          <w:color w:val="auto"/>
        </w:rPr>
        <w:t>The planned development of new theme parks in China and Orlando, Florida and new theme park attractions such as Super Nintendo World at our theme park in Japan.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165735</wp:posOffset>
            </wp:positionV>
            <wp:extent cx="673798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7985" cy="188595"/>
                    </a:xfrm>
                    <a:prstGeom prst="rect">
                      <a:avLst/>
                    </a:prstGeom>
                    <a:noFill/>
                  </pic:spPr>
                </pic:pic>
              </a:graphicData>
            </a:graphic>
          </wp:anchor>
        </w:drawing>
      </w:r>
    </w:p>
    <w:p>
      <w:pPr>
        <w:spacing w:after="0" w:line="27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0A33A5"/>
        </w:rPr>
        <w:t>Cumulative Total Returns</w:t>
      </w:r>
      <w:r>
        <w:rPr>
          <w:rFonts w:ascii="Arial" w:cs="Arial" w:eastAsia="Arial" w:hAnsi="Arial"/>
          <w:sz w:val="15"/>
          <w:szCs w:val="15"/>
          <w:b w:val="1"/>
          <w:bCs w:val="1"/>
          <w:color w:val="0A33A5"/>
        </w:rPr>
        <w:t>1</w:t>
      </w:r>
    </w:p>
    <w:p>
      <w:pPr>
        <w:spacing w:after="0" w:line="39"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2160" w:type="dxa"/>
            <w:vAlign w:val="bottom"/>
            <w:tcBorders>
              <w:top w:val="single" w:sz="8" w:color="auto"/>
            </w:tcBorders>
            <w:shd w:val="clear" w:color="auto" w:fill="F2F2F2"/>
          </w:tcPr>
          <w:p>
            <w:pPr>
              <w:spacing w:after="0"/>
              <w:rPr>
                <w:sz w:val="23"/>
                <w:szCs w:val="23"/>
                <w:color w:val="auto"/>
              </w:rPr>
            </w:pPr>
          </w:p>
        </w:tc>
        <w:tc>
          <w:tcPr>
            <w:tcW w:w="19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6"/>
              </w:rPr>
              <w:t>Class A</w:t>
            </w:r>
          </w:p>
        </w:tc>
        <w:tc>
          <w:tcPr>
            <w:tcW w:w="190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9"/>
              </w:rPr>
              <w:t>Entertainment/</w:t>
            </w:r>
          </w:p>
        </w:tc>
        <w:tc>
          <w:tcPr>
            <w:tcW w:w="18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8"/>
              </w:rPr>
              <w:t>Transmission/</w:t>
            </w:r>
          </w:p>
        </w:tc>
        <w:tc>
          <w:tcPr>
            <w:tcW w:w="1240" w:type="dxa"/>
            <w:vAlign w:val="bottom"/>
            <w:tcBorders>
              <w:top w:val="single" w:sz="8" w:color="auto"/>
            </w:tcBorders>
            <w:shd w:val="clear" w:color="auto" w:fill="F2F2F2"/>
          </w:tcPr>
          <w:p>
            <w:pPr>
              <w:ind w:left="340"/>
              <w:spacing w:after="0"/>
              <w:rPr>
                <w:sz w:val="20"/>
                <w:szCs w:val="20"/>
                <w:color w:val="auto"/>
              </w:rPr>
            </w:pPr>
            <w:r>
              <w:rPr>
                <w:rFonts w:ascii="Arial" w:cs="Arial" w:eastAsia="Arial" w:hAnsi="Arial"/>
                <w:sz w:val="18"/>
                <w:szCs w:val="18"/>
                <w:b w:val="1"/>
                <w:bCs w:val="1"/>
                <w:color w:val="0A33A5"/>
              </w:rPr>
              <w:t>General</w:t>
            </w:r>
          </w:p>
        </w:tc>
        <w:tc>
          <w:tcPr>
            <w:tcW w:w="150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9"/>
              </w:rPr>
              <w:t>S&amp;P 500</w:t>
            </w:r>
          </w:p>
        </w:tc>
      </w:tr>
      <w:tr>
        <w:trPr>
          <w:trHeight w:val="302"/>
        </w:trPr>
        <w:tc>
          <w:tcPr>
            <w:tcW w:w="2160" w:type="dxa"/>
            <w:vAlign w:val="bottom"/>
            <w:tcBorders>
              <w:bottom w:val="single" w:sz="8" w:color="F2F2F2"/>
            </w:tcBorders>
            <w:shd w:val="clear" w:color="auto" w:fill="F2F2F2"/>
          </w:tcPr>
          <w:p>
            <w:pPr>
              <w:spacing w:after="0"/>
              <w:rPr>
                <w:sz w:val="24"/>
                <w:szCs w:val="24"/>
                <w:color w:val="auto"/>
              </w:rPr>
            </w:pPr>
          </w:p>
        </w:tc>
        <w:tc>
          <w:tcPr>
            <w:tcW w:w="1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9"/>
              </w:rPr>
              <w:t>Common Stock</w:t>
            </w:r>
          </w:p>
        </w:tc>
        <w:tc>
          <w:tcPr>
            <w:tcW w:w="1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7"/>
              </w:rPr>
              <w:t>Media</w:t>
            </w:r>
          </w:p>
        </w:tc>
        <w:tc>
          <w:tcPr>
            <w:tcW w:w="1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b w:val="1"/>
                <w:bCs w:val="1"/>
                <w:color w:val="0A33A5"/>
                <w:w w:val="98"/>
              </w:rPr>
              <w:t>Distribution</w:t>
            </w:r>
          </w:p>
        </w:tc>
        <w:tc>
          <w:tcPr>
            <w:tcW w:w="124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b w:val="1"/>
                <w:bCs w:val="1"/>
                <w:color w:val="0A33A5"/>
              </w:rPr>
              <w:t>Industry</w:t>
            </w:r>
          </w:p>
        </w:tc>
        <w:tc>
          <w:tcPr>
            <w:tcW w:w="15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b w:val="1"/>
                <w:bCs w:val="1"/>
                <w:color w:val="0A33A5"/>
              </w:rPr>
              <w:t>Stock Index</w:t>
            </w:r>
          </w:p>
        </w:tc>
      </w:tr>
      <w:tr>
        <w:trPr>
          <w:trHeight w:val="237"/>
        </w:trPr>
        <w:tc>
          <w:tcPr>
            <w:tcW w:w="21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0A33A5"/>
              </w:rPr>
              <w:t>One-Year Avg.</w:t>
            </w: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34%</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16%</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25%</w:t>
            </w:r>
          </w:p>
        </w:tc>
        <w:tc>
          <w:tcPr>
            <w:tcW w:w="124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99"/>
              </w:rPr>
              <w:t>26%</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31%</w:t>
            </w:r>
          </w:p>
        </w:tc>
      </w:tr>
      <w:tr>
        <w:trPr>
          <w:trHeight w:val="270"/>
        </w:trPr>
        <w:tc>
          <w:tcPr>
            <w:tcW w:w="2160" w:type="dxa"/>
            <w:vAlign w:val="bottom"/>
          </w:tcPr>
          <w:p>
            <w:pPr>
              <w:ind w:left="280"/>
              <w:spacing w:after="0"/>
              <w:rPr>
                <w:sz w:val="20"/>
                <w:szCs w:val="20"/>
                <w:color w:val="auto"/>
              </w:rPr>
            </w:pPr>
            <w:r>
              <w:rPr>
                <w:rFonts w:ascii="Arial" w:cs="Arial" w:eastAsia="Arial" w:hAnsi="Arial"/>
                <w:sz w:val="18"/>
                <w:szCs w:val="18"/>
                <w:b w:val="1"/>
                <w:bCs w:val="1"/>
                <w:color w:val="0A33A5"/>
              </w:rPr>
              <w:t>One-Year Median</w:t>
            </w:r>
          </w:p>
        </w:tc>
        <w:tc>
          <w:tcPr>
            <w:tcW w:w="19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21%</w:t>
            </w:r>
          </w:p>
        </w:tc>
        <w:tc>
          <w:tcPr>
            <w:tcW w:w="1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22%</w:t>
            </w: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160" w:type="dxa"/>
            <w:vAlign w:val="bottom"/>
          </w:tcPr>
          <w:p>
            <w:pPr>
              <w:ind w:left="100"/>
              <w:spacing w:after="0"/>
              <w:rPr>
                <w:sz w:val="20"/>
                <w:szCs w:val="20"/>
                <w:color w:val="auto"/>
              </w:rPr>
            </w:pPr>
            <w:r>
              <w:rPr>
                <w:rFonts w:ascii="Arial" w:cs="Arial" w:eastAsia="Arial" w:hAnsi="Arial"/>
                <w:sz w:val="18"/>
                <w:szCs w:val="18"/>
                <w:b w:val="1"/>
                <w:bCs w:val="1"/>
                <w:color w:val="0A33A5"/>
              </w:rPr>
              <w:t>Three-Year Avg.</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37%</w:t>
            </w:r>
          </w:p>
        </w:tc>
        <w:tc>
          <w:tcPr>
            <w:tcW w:w="1900" w:type="dxa"/>
            <w:vAlign w:val="bottom"/>
          </w:tcPr>
          <w:p>
            <w:pPr>
              <w:jc w:val="center"/>
              <w:spacing w:after="0"/>
              <w:rPr>
                <w:sz w:val="20"/>
                <w:szCs w:val="20"/>
                <w:color w:val="auto"/>
              </w:rPr>
            </w:pPr>
            <w:r>
              <w:rPr>
                <w:rFonts w:ascii="Arial" w:cs="Arial" w:eastAsia="Arial" w:hAnsi="Arial"/>
                <w:sz w:val="18"/>
                <w:szCs w:val="18"/>
                <w:color w:val="auto"/>
              </w:rPr>
              <w:t>34%</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26%</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9"/>
              </w:rPr>
              <w:t>57%</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53%</w:t>
            </w:r>
          </w:p>
        </w:tc>
      </w:tr>
      <w:tr>
        <w:trPr>
          <w:trHeight w:val="270"/>
        </w:trPr>
        <w:tc>
          <w:tcPr>
            <w:tcW w:w="2160" w:type="dxa"/>
            <w:vAlign w:val="bottom"/>
          </w:tcPr>
          <w:p>
            <w:pPr>
              <w:ind w:left="280"/>
              <w:spacing w:after="0"/>
              <w:rPr>
                <w:sz w:val="20"/>
                <w:szCs w:val="20"/>
                <w:color w:val="auto"/>
              </w:rPr>
            </w:pPr>
            <w:r>
              <w:rPr>
                <w:rFonts w:ascii="Arial" w:cs="Arial" w:eastAsia="Arial" w:hAnsi="Arial"/>
                <w:sz w:val="18"/>
                <w:szCs w:val="18"/>
                <w:b w:val="1"/>
                <w:bCs w:val="1"/>
                <w:color w:val="0A33A5"/>
              </w:rPr>
              <w:t>Three-Year Median</w:t>
            </w:r>
          </w:p>
        </w:tc>
        <w:tc>
          <w:tcPr>
            <w:tcW w:w="19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19%</w:t>
            </w:r>
          </w:p>
        </w:tc>
        <w:tc>
          <w:tcPr>
            <w:tcW w:w="1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20%</w:t>
            </w: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160" w:type="dxa"/>
            <w:vAlign w:val="bottom"/>
          </w:tcPr>
          <w:p>
            <w:pPr>
              <w:ind w:left="100"/>
              <w:spacing w:after="0"/>
              <w:rPr>
                <w:sz w:val="20"/>
                <w:szCs w:val="20"/>
                <w:color w:val="auto"/>
              </w:rPr>
            </w:pPr>
            <w:r>
              <w:rPr>
                <w:rFonts w:ascii="Arial" w:cs="Arial" w:eastAsia="Arial" w:hAnsi="Arial"/>
                <w:sz w:val="18"/>
                <w:szCs w:val="18"/>
                <w:b w:val="1"/>
                <w:bCs w:val="1"/>
                <w:color w:val="0A33A5"/>
              </w:rPr>
              <w:t>Five-Year Avg.</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70%</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1880" w:type="dxa"/>
            <w:vAlign w:val="bottom"/>
          </w:tcPr>
          <w:p>
            <w:pPr>
              <w:jc w:val="center"/>
              <w:spacing w:after="0"/>
              <w:rPr>
                <w:sz w:val="20"/>
                <w:szCs w:val="20"/>
                <w:color w:val="auto"/>
              </w:rPr>
            </w:pPr>
            <w:r>
              <w:rPr>
                <w:rFonts w:ascii="Arial" w:cs="Arial" w:eastAsia="Arial" w:hAnsi="Arial"/>
                <w:sz w:val="18"/>
                <w:szCs w:val="18"/>
                <w:color w:val="auto"/>
              </w:rPr>
              <w:t>120%</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9"/>
              </w:rPr>
              <w:t>96%</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74%</w:t>
            </w:r>
          </w:p>
        </w:tc>
      </w:tr>
      <w:tr>
        <w:trPr>
          <w:trHeight w:val="270"/>
        </w:trPr>
        <w:tc>
          <w:tcPr>
            <w:tcW w:w="2160" w:type="dxa"/>
            <w:vAlign w:val="bottom"/>
          </w:tcPr>
          <w:p>
            <w:pPr>
              <w:ind w:left="280"/>
              <w:spacing w:after="0"/>
              <w:rPr>
                <w:sz w:val="20"/>
                <w:szCs w:val="20"/>
                <w:color w:val="auto"/>
              </w:rPr>
            </w:pPr>
            <w:r>
              <w:rPr>
                <w:rFonts w:ascii="Arial" w:cs="Arial" w:eastAsia="Arial" w:hAnsi="Arial"/>
                <w:sz w:val="18"/>
                <w:szCs w:val="18"/>
                <w:b w:val="1"/>
                <w:bCs w:val="1"/>
                <w:color w:val="0A33A5"/>
              </w:rPr>
              <w:t>Five-Year Median</w:t>
            </w:r>
          </w:p>
        </w:tc>
        <w:tc>
          <w:tcPr>
            <w:tcW w:w="19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(5)%</w:t>
            </w:r>
          </w:p>
        </w:tc>
        <w:tc>
          <w:tcPr>
            <w:tcW w:w="1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59%</w:t>
            </w: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2160" w:type="dxa"/>
            <w:vAlign w:val="bottom"/>
          </w:tcPr>
          <w:p>
            <w:pPr>
              <w:ind w:left="100"/>
              <w:spacing w:after="0"/>
              <w:rPr>
                <w:sz w:val="20"/>
                <w:szCs w:val="20"/>
                <w:color w:val="auto"/>
              </w:rPr>
            </w:pPr>
            <w:r>
              <w:rPr>
                <w:rFonts w:ascii="Arial" w:cs="Arial" w:eastAsia="Arial" w:hAnsi="Arial"/>
                <w:sz w:val="18"/>
                <w:szCs w:val="18"/>
                <w:b w:val="1"/>
                <w:bCs w:val="1"/>
                <w:color w:val="0A33A5"/>
              </w:rPr>
              <w:t>Ten-Year Avg.</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542%</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955%</w:t>
            </w:r>
          </w:p>
        </w:tc>
        <w:tc>
          <w:tcPr>
            <w:tcW w:w="1880" w:type="dxa"/>
            <w:vAlign w:val="bottom"/>
          </w:tcPr>
          <w:p>
            <w:pPr>
              <w:jc w:val="center"/>
              <w:spacing w:after="0"/>
              <w:rPr>
                <w:sz w:val="20"/>
                <w:szCs w:val="20"/>
                <w:color w:val="auto"/>
              </w:rPr>
            </w:pPr>
            <w:r>
              <w:rPr>
                <w:rFonts w:ascii="Arial" w:cs="Arial" w:eastAsia="Arial" w:hAnsi="Arial"/>
                <w:sz w:val="18"/>
                <w:szCs w:val="18"/>
                <w:color w:val="auto"/>
              </w:rPr>
              <w:t>786%</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342%</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256%</w:t>
            </w:r>
          </w:p>
        </w:tc>
      </w:tr>
      <w:tr>
        <w:trPr>
          <w:trHeight w:val="270"/>
        </w:trPr>
        <w:tc>
          <w:tcPr>
            <w:tcW w:w="2160" w:type="dxa"/>
            <w:vAlign w:val="bottom"/>
          </w:tcPr>
          <w:p>
            <w:pPr>
              <w:ind w:left="280"/>
              <w:spacing w:after="0"/>
              <w:rPr>
                <w:sz w:val="20"/>
                <w:szCs w:val="20"/>
                <w:color w:val="auto"/>
              </w:rPr>
            </w:pPr>
            <w:r>
              <w:rPr>
                <w:rFonts w:ascii="Arial" w:cs="Arial" w:eastAsia="Arial" w:hAnsi="Arial"/>
                <w:sz w:val="18"/>
                <w:szCs w:val="18"/>
                <w:b w:val="1"/>
                <w:bCs w:val="1"/>
                <w:color w:val="0A33A5"/>
              </w:rPr>
              <w:t>Ten-Year Median</w:t>
            </w:r>
          </w:p>
        </w:tc>
        <w:tc>
          <w:tcPr>
            <w:tcW w:w="19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238%</w:t>
            </w:r>
          </w:p>
        </w:tc>
        <w:tc>
          <w:tcPr>
            <w:tcW w:w="1880" w:type="dxa"/>
            <w:vAlign w:val="bottom"/>
          </w:tcPr>
          <w:p>
            <w:pPr>
              <w:jc w:val="center"/>
              <w:spacing w:after="0"/>
              <w:rPr>
                <w:sz w:val="20"/>
                <w:szCs w:val="20"/>
                <w:color w:val="auto"/>
              </w:rPr>
            </w:pPr>
            <w:r>
              <w:rPr>
                <w:rFonts w:ascii="Arial" w:cs="Arial" w:eastAsia="Arial" w:hAnsi="Arial"/>
                <w:sz w:val="18"/>
                <w:szCs w:val="18"/>
                <w:b w:val="1"/>
                <w:bCs w:val="1"/>
                <w:i w:val="1"/>
                <w:iCs w:val="1"/>
                <w:color w:val="auto"/>
              </w:rPr>
              <w:t>181%</w:t>
            </w:r>
          </w:p>
        </w:tc>
        <w:tc>
          <w:tcPr>
            <w:tcW w:w="124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6737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pacing w:after="0" w:line="22" w:lineRule="exact"/>
        <w:rPr>
          <w:sz w:val="20"/>
          <w:szCs w:val="20"/>
          <w:color w:val="auto"/>
        </w:rPr>
      </w:pPr>
    </w:p>
    <w:p>
      <w:pPr>
        <w:ind w:left="1080" w:right="180" w:hanging="316"/>
        <w:spacing w:after="0" w:line="250"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Cumulative returns of our 2019 peer groups are calculated by averaging returns without reference to market capitalization or other weightings. One-, three-, five- and ten-year cumulative returns are as of December 31, 2019. Netflix became a new company in our entertainment/media and transmission/distribution peer groups in 2019. Its addition has a distortive effect on average returns given its outsized returns over those periods, so the median return also is presented for the entertainment/media and transmission/distribution peer groups.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NEO Performance</w:t>
      </w:r>
    </w:p>
    <w:p>
      <w:pPr>
        <w:spacing w:after="0" w:line="126"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We believe we have among the best leadership teams in our industries. In fact, Messrs. Roberts and Cavanagh were ranked as the top CEO and CFO in the media sector by Institutional Investor Magazine in 2019.</w:t>
      </w:r>
    </w:p>
    <w:p>
      <w:pPr>
        <w:spacing w:after="0" w:line="8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NEOs were instrumental in fostering our entrepreneurial culture and our strong operational and financial achievements in 2019. At the same time, they continued to reinforce our commitment to operate ethically and with integrity and to further our diversity and inclusion initiatives. We are proud that over 60% of our employees are women or people of color, that over half of our employees report to a woman or a person of color and that women and people of color represent more than 50% of our employees at or above the vice president-level. Additionally, since the end of 2010, the number of women at or above the vice president-level has increased by more than 70%, and the number of people of color at or above that level has more than doubled.</w:t>
      </w:r>
    </w:p>
    <w:p>
      <w:pPr>
        <w:spacing w:after="0" w:line="97" w:lineRule="exact"/>
        <w:rPr>
          <w:sz w:val="20"/>
          <w:szCs w:val="20"/>
          <w:color w:val="auto"/>
        </w:rPr>
      </w:pPr>
    </w:p>
    <w:p>
      <w:pPr>
        <w:ind w:left="120" w:right="340"/>
        <w:spacing w:after="0" w:line="238" w:lineRule="auto"/>
        <w:rPr>
          <w:rFonts w:ascii="Arial" w:cs="Arial" w:eastAsia="Arial" w:hAnsi="Arial"/>
          <w:sz w:val="18"/>
          <w:szCs w:val="18"/>
          <w:color w:val="auto"/>
        </w:rPr>
      </w:pPr>
      <w:r>
        <w:rPr>
          <w:rFonts w:ascii="Arial" w:cs="Arial" w:eastAsia="Arial" w:hAnsi="Arial"/>
          <w:sz w:val="18"/>
          <w:szCs w:val="18"/>
          <w:color w:val="auto"/>
        </w:rPr>
        <w:t>Our NEOs not only foster our diversity and inclusion initiatives with respect to our workforce, but also with our suppliers, in our programming and in the communities we serve. They have long supported our connections, programs and partnerships with the communities in which we operate and inspire positive and substantive change, such as our commitments to military engagement, accessibility and sustainability. See “</w:t>
      </w:r>
      <w:hyperlink w:anchor="page54">
        <w:r>
          <w:rPr>
            <w:rFonts w:ascii="Arial" w:cs="Arial" w:eastAsia="Arial" w:hAnsi="Arial"/>
            <w:sz w:val="18"/>
            <w:szCs w:val="18"/>
            <w:u w:val="single" w:color="auto"/>
            <w:color w:val="0000EE"/>
          </w:rPr>
          <w:t>Assessing NEO Performance</w:t>
        </w:r>
      </w:hyperlink>
      <w:r>
        <w:rPr>
          <w:rFonts w:ascii="Arial" w:cs="Arial" w:eastAsia="Arial" w:hAnsi="Arial"/>
          <w:sz w:val="18"/>
          <w:szCs w:val="18"/>
          <w:color w:val="auto"/>
        </w:rPr>
        <w:t>” below for additional information, including on third-party awards we have recently received for these efforts.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Compensation Program Highlights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0A33A5"/>
        </w:rPr>
        <w:t>What We Do:</w:t>
      </w:r>
    </w:p>
    <w:p>
      <w:pPr>
        <w:spacing w:after="0" w:line="85" w:lineRule="exact"/>
        <w:rPr>
          <w:sz w:val="20"/>
          <w:szCs w:val="20"/>
          <w:color w:val="auto"/>
        </w:rPr>
      </w:pPr>
    </w:p>
    <w:p>
      <w:pPr>
        <w:ind w:left="660" w:right="60" w:hanging="544"/>
        <w:spacing w:after="0" w:line="246" w:lineRule="auto"/>
        <w:tabs>
          <w:tab w:leader="none" w:pos="660" w:val="left"/>
        </w:tabs>
        <w:numPr>
          <w:ilvl w:val="0"/>
          <w:numId w:val="48"/>
        </w:numPr>
        <w:rPr>
          <w:rFonts w:ascii="MS PGothic" w:cs="MS PGothic" w:eastAsia="MS PGothic" w:hAnsi="MS PGothic"/>
          <w:sz w:val="18"/>
          <w:szCs w:val="18"/>
          <w:color w:val="0A33A5"/>
        </w:rPr>
      </w:pPr>
      <w:r>
        <w:rPr>
          <w:rFonts w:ascii="Arial" w:cs="Arial" w:eastAsia="Arial" w:hAnsi="Arial"/>
          <w:sz w:val="18"/>
          <w:szCs w:val="18"/>
          <w:color w:val="auto"/>
        </w:rPr>
        <w:t>Use among the longest vesting schedules for equity awards granted to our NEOs: Options generally vest over 9.5 years, and PSUs vest over 5 years and are back-end weighted, with 40% vesting on the fifth anniversary of the grant date.</w:t>
      </w:r>
    </w:p>
    <w:p>
      <w:pPr>
        <w:spacing w:after="0" w:line="48" w:lineRule="exact"/>
        <w:rPr>
          <w:rFonts w:ascii="MS PGothic" w:cs="MS PGothic" w:eastAsia="MS PGothic" w:hAnsi="MS PGothic"/>
          <w:sz w:val="18"/>
          <w:szCs w:val="18"/>
          <w:color w:val="0A33A5"/>
        </w:rPr>
      </w:pPr>
    </w:p>
    <w:p>
      <w:pPr>
        <w:ind w:left="660" w:hanging="544"/>
        <w:spacing w:after="0"/>
        <w:tabs>
          <w:tab w:leader="none" w:pos="660" w:val="left"/>
        </w:tabs>
        <w:numPr>
          <w:ilvl w:val="0"/>
          <w:numId w:val="48"/>
        </w:numPr>
        <w:rPr>
          <w:rFonts w:ascii="MS PGothic" w:cs="MS PGothic" w:eastAsia="MS PGothic" w:hAnsi="MS PGothic"/>
          <w:sz w:val="18"/>
          <w:szCs w:val="18"/>
          <w:color w:val="0A33A5"/>
        </w:rPr>
      </w:pPr>
      <w:r>
        <w:rPr>
          <w:rFonts w:ascii="Arial" w:cs="Arial" w:eastAsia="Arial" w:hAnsi="Arial"/>
          <w:sz w:val="18"/>
          <w:szCs w:val="18"/>
          <w:color w:val="auto"/>
        </w:rPr>
        <w:t>Employ a rigorous PSU performance condition.</w:t>
      </w:r>
    </w:p>
    <w:p>
      <w:pPr>
        <w:spacing w:after="0" w:line="76" w:lineRule="exact"/>
        <w:rPr>
          <w:rFonts w:ascii="MS PGothic" w:cs="MS PGothic" w:eastAsia="MS PGothic" w:hAnsi="MS PGothic"/>
          <w:sz w:val="18"/>
          <w:szCs w:val="18"/>
          <w:color w:val="0A33A5"/>
        </w:rPr>
      </w:pPr>
    </w:p>
    <w:p>
      <w:pPr>
        <w:ind w:left="660" w:right="60" w:hanging="544"/>
        <w:spacing w:after="0" w:line="238" w:lineRule="auto"/>
        <w:tabs>
          <w:tab w:leader="none" w:pos="660" w:val="left"/>
        </w:tabs>
        <w:numPr>
          <w:ilvl w:val="0"/>
          <w:numId w:val="48"/>
        </w:numPr>
        <w:rPr>
          <w:rFonts w:ascii="MS PGothic" w:cs="MS PGothic" w:eastAsia="MS PGothic" w:hAnsi="MS PGothic"/>
          <w:sz w:val="18"/>
          <w:szCs w:val="18"/>
          <w:color w:val="0A33A5"/>
        </w:rPr>
      </w:pPr>
      <w:r>
        <w:rPr>
          <w:rFonts w:ascii="Arial" w:cs="Arial" w:eastAsia="Arial" w:hAnsi="Arial"/>
          <w:sz w:val="18"/>
          <w:szCs w:val="18"/>
          <w:color w:val="auto"/>
        </w:rPr>
        <w:t>Maintain robust stock ownership guidelines. Our CEO’s stock ownership requirement is 10x his base salary; other NEOs are required to own 3x their base salaries; and nonemployee directors are required to own 5x their annual retainer. A person who is not in compliance with these guidelines cannot sell or otherwise dispose of any stock until he or she meets the applicable ownership requirement. All of our NEOs’ beneficial shareholdings exceed these thresholds significantly.</w:t>
      </w:r>
    </w:p>
    <w:p>
      <w:pPr>
        <w:spacing w:after="0" w:line="56" w:lineRule="exact"/>
        <w:rPr>
          <w:rFonts w:ascii="MS PGothic" w:cs="MS PGothic" w:eastAsia="MS PGothic" w:hAnsi="MS PGothic"/>
          <w:sz w:val="18"/>
          <w:szCs w:val="18"/>
          <w:color w:val="0A33A5"/>
        </w:rPr>
      </w:pPr>
    </w:p>
    <w:p>
      <w:pPr>
        <w:ind w:left="660" w:right="20" w:hanging="544"/>
        <w:spacing w:after="0" w:line="238" w:lineRule="auto"/>
        <w:tabs>
          <w:tab w:leader="none" w:pos="660" w:val="left"/>
        </w:tabs>
        <w:numPr>
          <w:ilvl w:val="0"/>
          <w:numId w:val="48"/>
        </w:numPr>
        <w:rPr>
          <w:rFonts w:ascii="MS PGothic" w:cs="MS PGothic" w:eastAsia="MS PGothic" w:hAnsi="MS PGothic"/>
          <w:sz w:val="18"/>
          <w:szCs w:val="18"/>
          <w:color w:val="0A33A5"/>
        </w:rPr>
      </w:pPr>
      <w:r>
        <w:rPr>
          <w:rFonts w:ascii="Arial" w:cs="Arial" w:eastAsia="Arial" w:hAnsi="Arial"/>
          <w:sz w:val="18"/>
          <w:szCs w:val="18"/>
          <w:color w:val="auto"/>
        </w:rPr>
        <w:t>Prohibit our executive officers and directors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hanging="544"/>
        <w:spacing w:after="0"/>
        <w:tabs>
          <w:tab w:leader="none" w:pos="660" w:val="left"/>
        </w:tabs>
        <w:numPr>
          <w:ilvl w:val="0"/>
          <w:numId w:val="49"/>
        </w:numPr>
        <w:rPr>
          <w:rFonts w:ascii="MS PGothic" w:cs="MS PGothic" w:eastAsia="MS PGothic" w:hAnsi="MS PGothic"/>
          <w:sz w:val="18"/>
          <w:szCs w:val="18"/>
          <w:color w:val="0A33A5"/>
        </w:rPr>
      </w:pPr>
      <w:r>
        <w:rPr>
          <w:rFonts w:ascii="Arial" w:cs="Arial" w:eastAsia="Arial" w:hAnsi="Arial"/>
          <w:sz w:val="18"/>
          <w:szCs w:val="18"/>
          <w:color w:val="auto"/>
        </w:rPr>
        <w:t>Have an incentive compensation recoupment (or “clawback”) policy applicable to our executive officers.</w:t>
      </w:r>
    </w:p>
    <w:p>
      <w:pPr>
        <w:spacing w:after="0" w:line="76" w:lineRule="exact"/>
        <w:rPr>
          <w:rFonts w:ascii="MS PGothic" w:cs="MS PGothic" w:eastAsia="MS PGothic" w:hAnsi="MS PGothic"/>
          <w:sz w:val="18"/>
          <w:szCs w:val="18"/>
          <w:color w:val="0A33A5"/>
        </w:rPr>
      </w:pPr>
    </w:p>
    <w:p>
      <w:pPr>
        <w:ind w:left="660" w:right="420" w:hanging="544"/>
        <w:spacing w:after="0" w:line="246" w:lineRule="auto"/>
        <w:tabs>
          <w:tab w:leader="none" w:pos="660" w:val="left"/>
        </w:tabs>
        <w:numPr>
          <w:ilvl w:val="0"/>
          <w:numId w:val="49"/>
        </w:numPr>
        <w:rPr>
          <w:rFonts w:ascii="MS PGothic" w:cs="MS PGothic" w:eastAsia="MS PGothic" w:hAnsi="MS PGothic"/>
          <w:sz w:val="18"/>
          <w:szCs w:val="18"/>
          <w:color w:val="0A33A5"/>
        </w:rPr>
      </w:pPr>
      <w:r>
        <w:rPr>
          <w:rFonts w:ascii="Arial" w:cs="Arial" w:eastAsia="Arial" w:hAnsi="Arial"/>
          <w:sz w:val="18"/>
          <w:szCs w:val="18"/>
          <w:color w:val="auto"/>
        </w:rPr>
        <w:t>Require our NEOs to reimburse us for any benefits that would be considered perquisites; do not provide premium payments or reimbursements, or tax payments to our NEOs under any life or any other insurance policies.</w:t>
      </w:r>
    </w:p>
    <w:p>
      <w:pPr>
        <w:spacing w:after="0" w:line="48" w:lineRule="exact"/>
        <w:rPr>
          <w:rFonts w:ascii="MS PGothic" w:cs="MS PGothic" w:eastAsia="MS PGothic" w:hAnsi="MS PGothic"/>
          <w:sz w:val="18"/>
          <w:szCs w:val="18"/>
          <w:color w:val="0A33A5"/>
        </w:rPr>
      </w:pPr>
    </w:p>
    <w:p>
      <w:pPr>
        <w:ind w:left="660" w:hanging="544"/>
        <w:spacing w:after="0"/>
        <w:tabs>
          <w:tab w:leader="none" w:pos="660" w:val="left"/>
        </w:tabs>
        <w:numPr>
          <w:ilvl w:val="0"/>
          <w:numId w:val="49"/>
        </w:numPr>
        <w:rPr>
          <w:rFonts w:ascii="MS PGothic" w:cs="MS PGothic" w:eastAsia="MS PGothic" w:hAnsi="MS PGothic"/>
          <w:sz w:val="18"/>
          <w:szCs w:val="18"/>
          <w:color w:val="0A33A5"/>
        </w:rPr>
      </w:pPr>
      <w:r>
        <w:rPr>
          <w:rFonts w:ascii="Arial" w:cs="Arial" w:eastAsia="Arial" w:hAnsi="Arial"/>
          <w:sz w:val="18"/>
          <w:szCs w:val="18"/>
          <w:color w:val="auto"/>
        </w:rPr>
        <w:t>Compensation Committee directly engages Korn Ferry as its own independent compensation consultant.</w:t>
      </w:r>
    </w:p>
    <w:p>
      <w:pPr>
        <w:spacing w:after="0" w:line="76" w:lineRule="exact"/>
        <w:rPr>
          <w:rFonts w:ascii="MS PGothic" w:cs="MS PGothic" w:eastAsia="MS PGothic" w:hAnsi="MS PGothic"/>
          <w:sz w:val="18"/>
          <w:szCs w:val="18"/>
          <w:color w:val="0A33A5"/>
        </w:rPr>
      </w:pPr>
    </w:p>
    <w:p>
      <w:pPr>
        <w:ind w:left="660" w:right="20" w:hanging="544"/>
        <w:spacing w:after="0" w:line="246" w:lineRule="auto"/>
        <w:tabs>
          <w:tab w:leader="none" w:pos="660" w:val="left"/>
        </w:tabs>
        <w:numPr>
          <w:ilvl w:val="0"/>
          <w:numId w:val="49"/>
        </w:numPr>
        <w:rPr>
          <w:rFonts w:ascii="MS PGothic" w:cs="MS PGothic" w:eastAsia="MS PGothic" w:hAnsi="MS PGothic"/>
          <w:sz w:val="18"/>
          <w:szCs w:val="18"/>
          <w:color w:val="0A33A5"/>
        </w:rPr>
      </w:pPr>
      <w:r>
        <w:rPr>
          <w:rFonts w:ascii="Arial" w:cs="Arial" w:eastAsia="Arial" w:hAnsi="Arial"/>
          <w:sz w:val="18"/>
          <w:szCs w:val="18"/>
          <w:color w:val="auto"/>
        </w:rPr>
        <w:t>Use net-settled options, which results in fewer shares issued and less dilution to our shareholders than stock options exercised with a cash payment.</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0A33A5"/>
        </w:rPr>
        <w:t>What We Don’t Do:</w:t>
      </w:r>
    </w:p>
    <w:p>
      <w:pPr>
        <w:spacing w:after="0" w:line="85" w:lineRule="exact"/>
        <w:rPr>
          <w:sz w:val="20"/>
          <w:szCs w:val="20"/>
          <w:color w:val="auto"/>
        </w:rPr>
      </w:pPr>
    </w:p>
    <w:p>
      <w:pPr>
        <w:ind w:left="660" w:hanging="544"/>
        <w:spacing w:after="0" w:line="186" w:lineRule="auto"/>
        <w:tabs>
          <w:tab w:leader="none" w:pos="660" w:val="left"/>
        </w:tabs>
        <w:numPr>
          <w:ilvl w:val="0"/>
          <w:numId w:val="50"/>
        </w:numPr>
        <w:rPr>
          <w:rFonts w:ascii="Arial" w:cs="Arial" w:eastAsia="Arial" w:hAnsi="Arial"/>
          <w:sz w:val="47"/>
          <w:szCs w:val="47"/>
          <w:b w:val="1"/>
          <w:bCs w:val="1"/>
          <w:color w:val="0A33A5"/>
          <w:vertAlign w:val="subscript"/>
        </w:rPr>
      </w:pPr>
      <w:r>
        <w:rPr>
          <w:rFonts w:ascii="Arial" w:cs="Arial" w:eastAsia="Arial" w:hAnsi="Arial"/>
          <w:sz w:val="17"/>
          <w:szCs w:val="17"/>
          <w:color w:val="auto"/>
        </w:rPr>
        <w:t>Do not maintain any defined benefit pension plans or supplemental executive retirement plans (SERPs) for our NEOs; instead, we offer a nonqualified and unfunded deferred compensation plan as our primary retirement vehicle, which is available not only to our NEOs, but also to a much broader group of key employees with base salaries of at least $350,000. Our deferred compensation plan is a unique compensation feature that we believe gives us a competitive advantage in attracting and retaining key talent in an increasingly competitive talent market.</w:t>
      </w:r>
    </w:p>
    <w:p>
      <w:pPr>
        <w:spacing w:after="0" w:line="55" w:lineRule="exact"/>
        <w:rPr>
          <w:rFonts w:ascii="Arial" w:cs="Arial" w:eastAsia="Arial" w:hAnsi="Arial"/>
          <w:sz w:val="47"/>
          <w:szCs w:val="47"/>
          <w:b w:val="1"/>
          <w:bCs w:val="1"/>
          <w:color w:val="0A33A5"/>
          <w:vertAlign w:val="subscript"/>
        </w:rPr>
      </w:pPr>
    </w:p>
    <w:p>
      <w:pPr>
        <w:ind w:left="660" w:right="260" w:hanging="544"/>
        <w:spacing w:after="0" w:line="180" w:lineRule="auto"/>
        <w:tabs>
          <w:tab w:leader="none" w:pos="660" w:val="left"/>
        </w:tabs>
        <w:numPr>
          <w:ilvl w:val="0"/>
          <w:numId w:val="50"/>
        </w:numPr>
        <w:rPr>
          <w:rFonts w:ascii="Arial" w:cs="Arial" w:eastAsia="Arial" w:hAnsi="Arial"/>
          <w:sz w:val="40"/>
          <w:szCs w:val="40"/>
          <w:b w:val="1"/>
          <w:bCs w:val="1"/>
          <w:color w:val="0A33A5"/>
          <w:vertAlign w:val="subscript"/>
        </w:rPr>
      </w:pPr>
      <w:r>
        <w:rPr>
          <w:rFonts w:ascii="Arial" w:cs="Arial" w:eastAsia="Arial" w:hAnsi="Arial"/>
          <w:sz w:val="16"/>
          <w:szCs w:val="16"/>
          <w:color w:val="auto"/>
        </w:rPr>
        <w:t>None of our equity plans has automatic (“single-trigger”) accelerated vesting provisions in connection with a change in control. Mr. Roberts’ employment agreement has a “double-trigger” change in control provision. No other NEO has any change in control provisions in his employment agreement.</w:t>
      </w:r>
    </w:p>
    <w:p>
      <w:pPr>
        <w:sectPr>
          <w:pgSz w:w="11900" w:h="16838" w:orient="portrait"/>
          <w:cols w:equalWidth="0" w:num="1">
            <w:col w:w="11120"/>
          </w:cols>
          <w:pgMar w:left="320" w:top="459" w:right="459" w:bottom="1440" w:gutter="0" w:footer="0" w:header="0"/>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A33A5"/>
        </w:rPr>
        <w: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A33A5"/>
        </w:rPr>
        <w: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0A33A5"/>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Do not permit the repricing of options of any kind.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Do not pay dividends or dividend equivalents in respect of any unearned PSUs, restricted stock units or on any stock options.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Do not provide for any excise tax gross ups for our executive officers.</w:t>
      </w:r>
    </w:p>
    <w:p>
      <w:pPr>
        <w:spacing w:after="0" w:line="175" w:lineRule="exact"/>
        <w:rPr>
          <w:sz w:val="20"/>
          <w:szCs w:val="20"/>
          <w:color w:val="auto"/>
        </w:rPr>
      </w:pPr>
    </w:p>
    <w:p>
      <w:pPr>
        <w:sectPr>
          <w:pgSz w:w="11900" w:h="16838" w:orient="portrait"/>
          <w:cols w:equalWidth="0" w:num="2">
            <w:col w:w="260" w:space="400"/>
            <w:col w:w="104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i w:val="1"/>
          <w:iCs w:val="1"/>
          <w:color w:val="0A33A5"/>
        </w:rPr>
        <w:t>Shareholder Feedback on Executive Compensation</w:t>
      </w:r>
    </w:p>
    <w:p>
      <w:pPr>
        <w:spacing w:after="0" w:line="126"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At our 2019 annual meeting, our shareholders approved by 80% of the votes cast, on an advisory basis, the 2018 compensation of our NEOs. The Compensation Committee has carefully considered the results of this advisory vote and has discussed our executive compensation program and our voting results with Korn Ferry, its independent compensation consultant.</w:t>
      </w:r>
    </w:p>
    <w:p>
      <w:pPr>
        <w:spacing w:after="0" w:line="95" w:lineRule="exact"/>
        <w:rPr>
          <w:sz w:val="20"/>
          <w:szCs w:val="20"/>
          <w:color w:val="auto"/>
        </w:rPr>
      </w:pPr>
    </w:p>
    <w:p>
      <w:pPr>
        <w:ind w:left="120" w:right="80"/>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The Compensation Committee has also considered feedback we have received in the past year through our corporate governance roadshows with our largest shareholders, who we believe represent approximately 40% of our Class A common stock, and two proxy advisory services regarding our executive compensation program. In general, investors continued to express satisfaction with our exceedingly long equity vesting periods, but a few raised questions about our deferred compensation program for a lack of alignment with the performance of our businesses. Our Compensation Committee continues to strongly believe that our deferred compensation program provides us with a competitive advantage in attracting and retaining key talent – not only for the NEOs but for a broader group of key employees. That said, in response to the feedback received over the past year, we have made several changes to our deferred </w:t>
      </w:r>
      <w:hyperlink w:anchor="page45">
        <w:r>
          <w:rPr>
            <w:rFonts w:ascii="Arial" w:cs="Arial" w:eastAsia="Arial" w:hAnsi="Arial"/>
            <w:sz w:val="18"/>
            <w:szCs w:val="18"/>
            <w:color w:val="auto"/>
          </w:rPr>
          <w:t>compensation program that will take effect with respect to 2020 compensation, as described in detail above in “</w:t>
        </w:r>
        <w:r>
          <w:rPr>
            <w:rFonts w:ascii="Arial" w:cs="Arial" w:eastAsia="Arial" w:hAnsi="Arial"/>
            <w:sz w:val="18"/>
            <w:szCs w:val="18"/>
            <w:u w:val="single" w:color="auto"/>
            <w:color w:val="0000EE"/>
          </w:rPr>
          <w:t>Compensation-Related</w:t>
        </w:r>
      </w:hyperlink>
      <w:r>
        <w:rPr>
          <w:rFonts w:ascii="Arial" w:cs="Arial" w:eastAsia="Arial" w:hAnsi="Arial"/>
          <w:sz w:val="18"/>
          <w:szCs w:val="18"/>
          <w:color w:val="auto"/>
        </w:rPr>
        <w:t xml:space="preserve"> </w:t>
      </w:r>
      <w:hyperlink w:anchor="page45">
        <w:r>
          <w:rPr>
            <w:rFonts w:ascii="Arial" w:cs="Arial" w:eastAsia="Arial" w:hAnsi="Arial"/>
            <w:sz w:val="18"/>
            <w:szCs w:val="18"/>
            <w:u w:val="single" w:color="auto"/>
            <w:color w:val="0000EE"/>
          </w:rPr>
          <w:t>Changes</w:t>
        </w:r>
        <w:r>
          <w:rPr>
            <w:rFonts w:ascii="Arial" w:cs="Arial" w:eastAsia="Arial" w:hAnsi="Arial"/>
            <w:sz w:val="18"/>
            <w:szCs w:val="18"/>
            <w:color w:val="000000"/>
          </w:rPr>
          <w:t>.”</w:t>
        </w:r>
      </w:hyperlink>
    </w:p>
    <w:p>
      <w:pPr>
        <w:spacing w:after="0" w:line="9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Compensation Committee and management team are committed to our continued engagement with shareholders to understand their viewpoints and to discuss and demonstrate the important connection between our compensation program, on the one hand, and our business strategy, goals and financial and operating performance, on the other hand. Our Compensation Committee, with the assistance of Korn Ferry, continues to evaluate our compensation program design. The Compensation Committee believes that its policies and decisions are consistent with our compensation philosophy and objectives and align the interests of our NEOs with our long-term goals and the interests of our shareholders without incenting inappropriate risk taking.</w:t>
      </w:r>
    </w:p>
    <w:p>
      <w:pPr>
        <w:spacing w:after="0" w:line="97" w:lineRule="exact"/>
        <w:rPr>
          <w:sz w:val="20"/>
          <w:szCs w:val="20"/>
          <w:color w:val="auto"/>
        </w:rPr>
      </w:pPr>
    </w:p>
    <w:p>
      <w:pPr>
        <w:ind w:left="120" w:right="42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For information on our shareholder engagement program, including as it relates to general corporate governance matters, please see “General Information – Shareholder Engagement” on </w:t>
      </w:r>
      <w:hyperlink w:anchor="page6">
        <w:r>
          <w:rPr>
            <w:rFonts w:ascii="Arial" w:cs="Arial" w:eastAsia="Arial" w:hAnsi="Arial"/>
            <w:sz w:val="18"/>
            <w:szCs w:val="18"/>
            <w:u w:val="single" w:color="auto"/>
            <w:color w:val="0000EE"/>
          </w:rPr>
          <w:t>page 3.</w:t>
        </w:r>
      </w:hyperlink>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Emphasis on Performance</w:t>
      </w:r>
    </w:p>
    <w:p>
      <w:pPr>
        <w:spacing w:after="0" w:line="139" w:lineRule="exact"/>
        <w:rPr>
          <w:sz w:val="20"/>
          <w:szCs w:val="20"/>
          <w:color w:val="auto"/>
        </w:rPr>
      </w:pPr>
    </w:p>
    <w:p>
      <w:pPr>
        <w:ind w:left="980" w:right="40" w:hanging="324"/>
        <w:spacing w:after="0" w:line="246"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compensation program is designed to motivate, reward and retain our NEOs by including in their compensation both short-term and long-term performance-based components and to align their compensation with our shareholders’ interests.</w:t>
      </w:r>
    </w:p>
    <w:p>
      <w:pPr>
        <w:spacing w:after="0" w:line="102" w:lineRule="exact"/>
        <w:rPr>
          <w:rFonts w:ascii="Arial" w:cs="Arial" w:eastAsia="Arial" w:hAnsi="Arial"/>
          <w:sz w:val="18"/>
          <w:szCs w:val="18"/>
          <w:color w:val="auto"/>
        </w:rPr>
      </w:pPr>
    </w:p>
    <w:p>
      <w:pPr>
        <w:ind w:left="980" w:right="80" w:hanging="324"/>
        <w:spacing w:after="0" w:line="23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overall compensation program design incorporates both objective goals (in the case of our annual cash bonus metrics and PSU awards) and subjective evaluation criteria. The combination of internally measured performance (financial performance) and externally measured performance (stock price as reflected in stock options and PSUs) provides both short-term and long-term performance components in the compensation structure of our NEOs. See “</w:t>
      </w:r>
      <w:hyperlink w:anchor="page50">
        <w:r>
          <w:rPr>
            <w:rFonts w:ascii="Arial" w:cs="Arial" w:eastAsia="Arial" w:hAnsi="Arial"/>
            <w:sz w:val="18"/>
            <w:szCs w:val="18"/>
            <w:u w:val="single" w:color="auto"/>
            <w:color w:val="0000EE"/>
          </w:rPr>
          <w:t>Elements of Our Compensation Program</w:t>
        </w:r>
      </w:hyperlink>
      <w:r>
        <w:rPr>
          <w:rFonts w:ascii="Arial" w:cs="Arial" w:eastAsia="Arial" w:hAnsi="Arial"/>
          <w:sz w:val="18"/>
          <w:szCs w:val="18"/>
          <w:color w:val="auto"/>
        </w:rPr>
        <w:t>” below.</w:t>
      </w:r>
    </w:p>
    <w:p>
      <w:pPr>
        <w:spacing w:after="0" w:line="107" w:lineRule="exact"/>
        <w:rPr>
          <w:rFonts w:ascii="Arial" w:cs="Arial" w:eastAsia="Arial" w:hAnsi="Arial"/>
          <w:sz w:val="18"/>
          <w:szCs w:val="18"/>
          <w:color w:val="auto"/>
        </w:rPr>
      </w:pPr>
    </w:p>
    <w:p>
      <w:pPr>
        <w:ind w:left="980" w:right="16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80% of the target annual bonus for our NEOs (75% in the case of Mr. Burke) was based on quantitative financial performance metrics and a combination of quantitative and qualitative goals relating to key operational initiatives in 2019. See “</w:t>
      </w:r>
      <w:hyperlink w:anchor="page56">
        <w:r>
          <w:rPr>
            <w:rFonts w:ascii="Arial" w:cs="Arial" w:eastAsia="Arial" w:hAnsi="Arial"/>
            <w:sz w:val="18"/>
            <w:szCs w:val="18"/>
            <w:u w:val="single" w:color="auto"/>
            <w:color w:val="0000EE"/>
          </w:rPr>
          <w:t>Compensation Decisions for 2019 – Annual Cash Bonus</w:t>
        </w:r>
      </w:hyperlink>
      <w:r>
        <w:rPr>
          <w:rFonts w:ascii="Arial" w:cs="Arial" w:eastAsia="Arial" w:hAnsi="Arial"/>
          <w:sz w:val="18"/>
          <w:szCs w:val="18"/>
          <w:color w:val="auto"/>
        </w:rPr>
        <w:t>” below for additional information.</w:t>
      </w:r>
    </w:p>
    <w:p>
      <w:pPr>
        <w:spacing w:after="0" w:line="108" w:lineRule="exact"/>
        <w:rPr>
          <w:rFonts w:ascii="Arial" w:cs="Arial" w:eastAsia="Arial" w:hAnsi="Arial"/>
          <w:sz w:val="18"/>
          <w:szCs w:val="18"/>
          <w:color w:val="auto"/>
        </w:rPr>
      </w:pPr>
    </w:p>
    <w:p>
      <w:pPr>
        <w:ind w:left="980" w:right="20" w:hanging="324"/>
        <w:spacing w:after="0" w:line="23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quantitative financial performance metrics – revenue, Adjusted EBITDA and free cash flow – are meaningful measures of our performance that we use both internally to measure our performance and externally to report to investors and that we believe are strongly correlated to shareholder returns in both the short and long term. These metrics, along with key operational performance metrics included in our annual cash bonus plan, can be affected by the decision making of our NEOs.</w:t>
      </w:r>
    </w:p>
    <w:p>
      <w:pPr>
        <w:spacing w:after="0" w:line="110" w:lineRule="exact"/>
        <w:rPr>
          <w:rFonts w:ascii="Arial" w:cs="Arial" w:eastAsia="Arial" w:hAnsi="Arial"/>
          <w:sz w:val="18"/>
          <w:szCs w:val="18"/>
          <w:color w:val="auto"/>
        </w:rPr>
      </w:pPr>
    </w:p>
    <w:p>
      <w:pPr>
        <w:ind w:left="980" w:hanging="324"/>
        <w:spacing w:after="0" w:line="23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performance-based compensation in 2019 (using the grant date value of stock options and PSUs) was a significant percentage of the NEOs’ total compensation (which includes now discontinued company deferred compensation contributions but excludes deferred compensation earnings).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7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0A33A5"/>
        </w:rPr>
        <w:t>CEO Compensation Mix*</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2379345</wp:posOffset>
            </wp:positionH>
            <wp:positionV relativeFrom="paragraph">
              <wp:posOffset>88900</wp:posOffset>
            </wp:positionV>
            <wp:extent cx="2383155" cy="12687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83155" cy="126873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center"/>
        <w:ind w:left="3800" w:right="2380" w:hanging="1287"/>
        <w:spacing w:after="0" w:line="246" w:lineRule="auto"/>
        <w:tabs>
          <w:tab w:leader="none" w:pos="263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Includes now discontinued company contributions to deferred compensation, but excludes deferred compensation earnings</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performance-based compensation as a percentage of total compensation in 2019 for our other NEOs was as follows:</w:t>
      </w:r>
    </w:p>
    <w:p>
      <w:pPr>
        <w:spacing w:after="0" w:line="63" w:lineRule="exact"/>
        <w:rPr>
          <w:rFonts w:ascii="Arial" w:cs="Arial" w:eastAsia="Arial" w:hAnsi="Arial"/>
          <w:sz w:val="18"/>
          <w:szCs w:val="18"/>
          <w:color w:val="auto"/>
        </w:rPr>
      </w:pPr>
    </w:p>
    <w:tbl>
      <w:tblPr>
        <w:tblLayout w:type="fixed"/>
        <w:tblInd w:w="210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Mr. Cavanagh</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Mr. Burke</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Mr. Cohen</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Mr. Watson</w:t>
            </w: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07" w:lineRule="exact"/>
        <w:rPr>
          <w:rFonts w:ascii="Arial" w:cs="Arial" w:eastAsia="Arial" w:hAnsi="Arial"/>
          <w:sz w:val="18"/>
          <w:szCs w:val="18"/>
          <w:color w:val="auto"/>
        </w:rPr>
      </w:pPr>
    </w:p>
    <w:p>
      <w:pPr>
        <w:ind w:left="980" w:right="52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equity-based compensation program aligns the NEOs’ compensation with our shareholders’ interests in that both the achievement of our operating, investing and capital goals and the level at which the awards ultimately pay out would be expected to be reflected to some extent in the market price of our stock. Because a significant</w:t>
      </w:r>
    </w:p>
    <w:p>
      <w:pPr>
        <w:spacing w:after="0" w:line="13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60"/>
        <w:spacing w:after="0" w:line="246" w:lineRule="auto"/>
        <w:rPr>
          <w:sz w:val="20"/>
          <w:szCs w:val="20"/>
          <w:color w:val="auto"/>
        </w:rPr>
      </w:pPr>
      <w:r>
        <w:rPr>
          <w:rFonts w:ascii="Arial" w:cs="Arial" w:eastAsia="Arial" w:hAnsi="Arial"/>
          <w:sz w:val="18"/>
          <w:szCs w:val="18"/>
          <w:color w:val="auto"/>
        </w:rPr>
        <w:t>portion of compensation for each NEO is in the form of long-vesting equity, a significant portion of each NEO’s compensation is inherently tied to stock price movement and the achievement of long-term shareholder value creation.</w:t>
      </w:r>
    </w:p>
    <w:p>
      <w:pPr>
        <w:spacing w:after="0" w:line="48" w:lineRule="exact"/>
        <w:rPr>
          <w:sz w:val="20"/>
          <w:szCs w:val="20"/>
          <w:color w:val="auto"/>
        </w:rPr>
      </w:pPr>
    </w:p>
    <w:p>
      <w:pPr>
        <w:ind w:left="980" w:right="100" w:hanging="324"/>
        <w:spacing w:after="0" w:line="238"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performance goals that are directly linked with our NEOs’ management of our company rather than using a TSR metric that can be affected by external factors such as economic and market conditions that they cannot control. The Compensation Committee also believes that using a TSR metric could lead to an undesirable focus on short-term results at the expense of long-term performance.</w:t>
      </w:r>
    </w:p>
    <w:p>
      <w:pPr>
        <w:spacing w:after="0" w:line="53" w:lineRule="exact"/>
        <w:rPr>
          <w:rFonts w:ascii="Arial" w:cs="Arial" w:eastAsia="Arial" w:hAnsi="Arial"/>
          <w:sz w:val="18"/>
          <w:szCs w:val="18"/>
          <w:color w:val="auto"/>
        </w:rPr>
      </w:pPr>
    </w:p>
    <w:p>
      <w:pPr>
        <w:jc w:val="both"/>
        <w:ind w:left="1420" w:right="280" w:hanging="427"/>
        <w:spacing w:after="0"/>
        <w:tabs>
          <w:tab w:leader="none" w:pos="1420" w:val="left"/>
        </w:tabs>
        <w:numPr>
          <w:ilvl w:val="1"/>
          <w:numId w:val="54"/>
        </w:numPr>
        <w:rPr>
          <w:rFonts w:ascii="Arial" w:cs="Arial" w:eastAsia="Arial" w:hAnsi="Arial"/>
          <w:sz w:val="15"/>
          <w:szCs w:val="15"/>
          <w:color w:val="auto"/>
        </w:rPr>
      </w:pPr>
      <w:r>
        <w:rPr>
          <w:rFonts w:ascii="Arial" w:cs="Arial" w:eastAsia="Arial" w:hAnsi="Arial"/>
          <w:sz w:val="18"/>
          <w:szCs w:val="18"/>
          <w:color w:val="auto"/>
        </w:rPr>
        <w:t>While the Compensation Committee does not focus on TSR in particular in determining incentive arrangements for our NEOs, we have observed that Mr. Roberts’ compensation has generally increased less than our TSR over the last five-year period and is therefore aligned with our TSR over the long term.</w:t>
      </w:r>
    </w:p>
    <w:p>
      <w:pPr>
        <w:spacing w:after="0" w:line="54" w:lineRule="exact"/>
        <w:rPr>
          <w:rFonts w:ascii="Arial" w:cs="Arial" w:eastAsia="Arial" w:hAnsi="Arial"/>
          <w:sz w:val="15"/>
          <w:szCs w:val="15"/>
          <w:color w:val="auto"/>
        </w:rPr>
      </w:pPr>
    </w:p>
    <w:p>
      <w:pPr>
        <w:ind w:left="980" w:right="120" w:hanging="324"/>
        <w:spacing w:after="0" w:line="238" w:lineRule="auto"/>
        <w:tabs>
          <w:tab w:leader="none" w:pos="980" w:val="left"/>
        </w:tabs>
        <w:numPr>
          <w:ilvl w:val="0"/>
          <w:numId w:val="54"/>
        </w:numPr>
        <w:rPr>
          <w:rFonts w:ascii="Arial" w:cs="Arial" w:eastAsia="Arial" w:hAnsi="Arial"/>
          <w:sz w:val="18"/>
          <w:szCs w:val="18"/>
          <w:color w:val="0000EE"/>
        </w:rPr>
      </w:pPr>
      <w:r>
        <w:rPr>
          <w:rFonts w:ascii="Arial" w:cs="Arial" w:eastAsia="Arial" w:hAnsi="Arial"/>
          <w:sz w:val="18"/>
          <w:szCs w:val="18"/>
          <w:color w:val="auto"/>
        </w:rPr>
        <w:t xml:space="preserve">While our performance measures are “absolute” in nature, our Compensation Committee also reviews (i) our performance measures on a “relative” basis compared to our peers over time and (ii) the amount of compensation paid to the NEOs relative to our Adjusted EBITDA and free cash flow, as compared to our peers. Based on these reviews, we believe the design of our </w:t>
      </w:r>
      <w:hyperlink w:anchor="page51">
        <w:r>
          <w:rPr>
            <w:rFonts w:ascii="Arial" w:cs="Arial" w:eastAsia="Arial" w:hAnsi="Arial"/>
            <w:sz w:val="18"/>
            <w:szCs w:val="18"/>
            <w:color w:val="auto"/>
          </w:rPr>
          <w:t>compensation program is appropriate. See “</w:t>
        </w:r>
        <w:r>
          <w:rPr>
            <w:rFonts w:ascii="Arial" w:cs="Arial" w:eastAsia="Arial" w:hAnsi="Arial"/>
            <w:sz w:val="18"/>
            <w:szCs w:val="18"/>
            <w:u w:val="single" w:color="auto"/>
            <w:color w:val="0000EE"/>
          </w:rPr>
          <w:t>Compensation Decision-Making Process – Use of Competitive Data</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w:t>
        </w:r>
      </w:hyperlink>
      <w:r>
        <w:rPr>
          <w:rFonts w:ascii="Arial" w:cs="Arial" w:eastAsia="Arial" w:hAnsi="Arial"/>
          <w:sz w:val="18"/>
          <w:szCs w:val="18"/>
          <w:color w:val="auto"/>
        </w:rPr>
        <w:t xml:space="preserve"> </w:t>
      </w:r>
      <w:hyperlink w:anchor="page51">
        <w:r>
          <w:rPr>
            <w:rFonts w:ascii="Arial" w:cs="Arial" w:eastAsia="Arial" w:hAnsi="Arial"/>
            <w:sz w:val="18"/>
            <w:szCs w:val="18"/>
            <w:u w:val="single" w:color="auto"/>
            <w:color w:val="0000EE"/>
          </w:rPr>
          <w:t>Compensation Committee’s Role, Process and Validation</w:t>
        </w:r>
        <w:r>
          <w:rPr>
            <w:rFonts w:ascii="Arial" w:cs="Arial" w:eastAsia="Arial" w:hAnsi="Arial"/>
            <w:sz w:val="18"/>
            <w:szCs w:val="18"/>
            <w:color w:val="000000"/>
          </w:rPr>
          <w:t>” below for more information.</w:t>
        </w:r>
      </w:hyperlink>
    </w:p>
    <w:p>
      <w:pPr>
        <w:spacing w:after="0" w:line="53" w:lineRule="exact"/>
        <w:rPr>
          <w:rFonts w:ascii="Arial" w:cs="Arial" w:eastAsia="Arial" w:hAnsi="Arial"/>
          <w:sz w:val="18"/>
          <w:szCs w:val="18"/>
          <w:color w:val="0000EE"/>
        </w:rPr>
      </w:pPr>
    </w:p>
    <w:p>
      <w:pPr>
        <w:ind w:left="980" w:right="120" w:hanging="324"/>
        <w:spacing w:after="0" w:line="238"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Compensation Committee reviews the nature and mix of compensation elements, as well as compensation plan design and award terms, to ensure that our compensation program does not include inadvertent incentives for our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7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b w:val="1"/>
          <w:bCs w:val="1"/>
          <w:color w:val="0A33A5"/>
        </w:rPr>
        <w:t>Elements of Our Compensation Program</w:t>
      </w:r>
    </w:p>
    <w:p>
      <w:pPr>
        <w:spacing w:after="0" w:line="126" w:lineRule="exact"/>
        <w:rPr>
          <w:rFonts w:ascii="Arial" w:cs="Arial" w:eastAsia="Arial" w:hAnsi="Arial"/>
          <w:sz w:val="18"/>
          <w:szCs w:val="18"/>
          <w:color w:val="auto"/>
        </w:rPr>
      </w:pPr>
    </w:p>
    <w:p>
      <w:pPr>
        <w:ind w:left="120" w:right="120"/>
        <w:spacing w:after="0" w:line="238" w:lineRule="auto"/>
        <w:rPr>
          <w:sz w:val="20"/>
          <w:szCs w:val="20"/>
          <w:color w:val="auto"/>
        </w:rPr>
      </w:pPr>
      <w:r>
        <w:rPr>
          <w:rFonts w:ascii="Arial" w:cs="Arial" w:eastAsia="Arial" w:hAnsi="Arial"/>
          <w:sz w:val="18"/>
          <w:szCs w:val="18"/>
          <w:color w:val="auto"/>
        </w:rPr>
        <w:t>We view the executive compensation program on a “portfolio” basis. Our compensation program is designed in a straight-forward manner to achieve an appropriate balance of compensation elements to motivate and reward our NEOs for their performance and creating long-term shareholder value. It includes fixed compensation, short-term performance-based compensation and long-term performance-based compensation (which includes options vesting over 9.5 years and PSUs vesting over 5 years, with 40% vesting in the 5</w:t>
      </w:r>
      <w:r>
        <w:rPr>
          <w:rFonts w:ascii="Arial" w:cs="Arial" w:eastAsia="Arial" w:hAnsi="Arial"/>
          <w:sz w:val="15"/>
          <w:szCs w:val="15"/>
          <w:color w:val="auto"/>
        </w:rPr>
        <w:t>th</w:t>
      </w:r>
      <w:r>
        <w:rPr>
          <w:rFonts w:ascii="Arial" w:cs="Arial" w:eastAsia="Arial" w:hAnsi="Arial"/>
          <w:sz w:val="18"/>
          <w:szCs w:val="18"/>
          <w:color w:val="auto"/>
        </w:rPr>
        <w:t xml:space="preserve"> year). The following chart illustrates our view of the significant aspects of our portfolio.</w:t>
      </w:r>
    </w:p>
    <w:p>
      <w:pPr>
        <w:spacing w:after="0" w:line="210" w:lineRule="exact"/>
        <w:rPr>
          <w:rFonts w:ascii="Arial" w:cs="Arial" w:eastAsia="Arial" w:hAnsi="Arial"/>
          <w:sz w:val="18"/>
          <w:szCs w:val="18"/>
          <w:color w:val="auto"/>
        </w:rPr>
      </w:pPr>
    </w:p>
    <w:tbl>
      <w:tblPr>
        <w:tblLayout w:type="fixed"/>
        <w:tblInd w:w="130" w:type="dxa"/>
        <w:tblCellMar>
          <w:top w:w="0" w:type="dxa"/>
          <w:left w:w="0" w:type="dxa"/>
          <w:bottom w:w="0" w:type="dxa"/>
          <w:right w:w="0" w:type="dxa"/>
        </w:tblCellMar>
      </w:tblPr>
      <w:tr>
        <w:trPr>
          <w:trHeight w:val="270"/>
        </w:trPr>
        <w:tc>
          <w:tcPr>
            <w:tcW w:w="1220" w:type="dxa"/>
            <w:vAlign w:val="bottom"/>
            <w:tcBorders>
              <w:top w:val="single" w:sz="8" w:color="auto"/>
              <w:left w:val="single" w:sz="8" w:color="auto"/>
              <w:right w:val="single" w:sz="8" w:color="auto"/>
            </w:tcBorders>
            <w:shd w:val="clear" w:color="auto" w:fill="CCEAFC"/>
          </w:tcPr>
          <w:p>
            <w:pPr>
              <w:ind w:left="160"/>
              <w:spacing w:after="0"/>
              <w:rPr>
                <w:sz w:val="20"/>
                <w:szCs w:val="20"/>
                <w:color w:val="auto"/>
              </w:rPr>
            </w:pPr>
            <w:r>
              <w:rPr>
                <w:rFonts w:ascii="Arial" w:cs="Arial" w:eastAsia="Arial" w:hAnsi="Arial"/>
                <w:sz w:val="18"/>
                <w:szCs w:val="18"/>
                <w:b w:val="1"/>
                <w:bCs w:val="1"/>
                <w:color w:val="0A33A5"/>
              </w:rPr>
              <w:t>Type</w:t>
            </w:r>
          </w:p>
        </w:tc>
        <w:tc>
          <w:tcPr>
            <w:tcW w:w="1320" w:type="dxa"/>
            <w:vAlign w:val="bottom"/>
            <w:tcBorders>
              <w:top w:val="single" w:sz="8" w:color="auto"/>
              <w:right w:val="single" w:sz="8" w:color="auto"/>
            </w:tcBorders>
            <w:shd w:val="clear" w:color="auto" w:fill="CCEAFC"/>
          </w:tcPr>
          <w:p>
            <w:pPr>
              <w:ind w:left="100"/>
              <w:spacing w:after="0"/>
              <w:rPr>
                <w:sz w:val="20"/>
                <w:szCs w:val="20"/>
                <w:color w:val="auto"/>
              </w:rPr>
            </w:pPr>
            <w:r>
              <w:rPr>
                <w:rFonts w:ascii="Arial" w:cs="Arial" w:eastAsia="Arial" w:hAnsi="Arial"/>
                <w:sz w:val="18"/>
                <w:szCs w:val="18"/>
                <w:b w:val="1"/>
                <w:bCs w:val="1"/>
                <w:color w:val="0A33A5"/>
              </w:rPr>
              <w:t>Element</w:t>
            </w:r>
          </w:p>
        </w:tc>
        <w:tc>
          <w:tcPr>
            <w:tcW w:w="4300" w:type="dxa"/>
            <w:vAlign w:val="bottom"/>
            <w:tcBorders>
              <w:top w:val="single" w:sz="8" w:color="auto"/>
              <w:right w:val="single" w:sz="8" w:color="auto"/>
            </w:tcBorders>
            <w:gridSpan w:val="2"/>
            <w:shd w:val="clear" w:color="auto" w:fill="CCEAFC"/>
          </w:tcPr>
          <w:p>
            <w:pPr>
              <w:ind w:left="100"/>
              <w:spacing w:after="0"/>
              <w:rPr>
                <w:sz w:val="20"/>
                <w:szCs w:val="20"/>
                <w:color w:val="auto"/>
              </w:rPr>
            </w:pPr>
            <w:r>
              <w:rPr>
                <w:rFonts w:ascii="Arial" w:cs="Arial" w:eastAsia="Arial" w:hAnsi="Arial"/>
                <w:sz w:val="18"/>
                <w:szCs w:val="18"/>
                <w:b w:val="1"/>
                <w:bCs w:val="1"/>
                <w:color w:val="0A33A5"/>
              </w:rPr>
              <w:t>Why We Use It</w:t>
            </w:r>
          </w:p>
        </w:tc>
        <w:tc>
          <w:tcPr>
            <w:tcW w:w="4200" w:type="dxa"/>
            <w:vAlign w:val="bottom"/>
            <w:tcBorders>
              <w:top w:val="single" w:sz="8" w:color="auto"/>
              <w:right w:val="single" w:sz="8" w:color="auto"/>
            </w:tcBorders>
            <w:gridSpan w:val="2"/>
            <w:shd w:val="clear" w:color="auto" w:fill="CCEAFC"/>
          </w:tcPr>
          <w:p>
            <w:pPr>
              <w:ind w:left="100"/>
              <w:spacing w:after="0"/>
              <w:rPr>
                <w:sz w:val="20"/>
                <w:szCs w:val="20"/>
                <w:color w:val="auto"/>
              </w:rPr>
            </w:pPr>
            <w:r>
              <w:rPr>
                <w:rFonts w:ascii="Arial" w:cs="Arial" w:eastAsia="Arial" w:hAnsi="Arial"/>
                <w:sz w:val="18"/>
                <w:szCs w:val="18"/>
                <w:b w:val="1"/>
                <w:bCs w:val="1"/>
                <w:color w:val="0A33A5"/>
              </w:rPr>
              <w:t>Compensation Highlights</w:t>
            </w:r>
          </w:p>
        </w:tc>
      </w:tr>
      <w:tr>
        <w:trPr>
          <w:trHeight w:val="67"/>
        </w:trPr>
        <w:tc>
          <w:tcPr>
            <w:tcW w:w="1220" w:type="dxa"/>
            <w:vAlign w:val="bottom"/>
            <w:tcBorders>
              <w:left w:val="single" w:sz="8" w:color="auto"/>
              <w:bottom w:val="single" w:sz="8" w:color="auto"/>
              <w:right w:val="single" w:sz="8" w:color="auto"/>
            </w:tcBorders>
            <w:shd w:val="clear" w:color="auto" w:fill="CCEAFC"/>
          </w:tcPr>
          <w:p>
            <w:pPr>
              <w:spacing w:after="0"/>
              <w:rPr>
                <w:sz w:val="5"/>
                <w:szCs w:val="5"/>
                <w:color w:val="auto"/>
              </w:rPr>
            </w:pPr>
          </w:p>
        </w:tc>
        <w:tc>
          <w:tcPr>
            <w:tcW w:w="1320" w:type="dxa"/>
            <w:vAlign w:val="bottom"/>
            <w:tcBorders>
              <w:bottom w:val="single" w:sz="8" w:color="auto"/>
              <w:right w:val="single" w:sz="8" w:color="auto"/>
            </w:tcBorders>
            <w:shd w:val="clear" w:color="auto" w:fill="CCEAFC"/>
          </w:tcPr>
          <w:p>
            <w:pPr>
              <w:spacing w:after="0"/>
              <w:rPr>
                <w:sz w:val="5"/>
                <w:szCs w:val="5"/>
                <w:color w:val="auto"/>
              </w:rPr>
            </w:pPr>
          </w:p>
        </w:tc>
        <w:tc>
          <w:tcPr>
            <w:tcW w:w="200" w:type="dxa"/>
            <w:vAlign w:val="bottom"/>
            <w:tcBorders>
              <w:bottom w:val="single" w:sz="8" w:color="auto"/>
            </w:tcBorders>
            <w:shd w:val="clear" w:color="auto" w:fill="CCEAFC"/>
          </w:tcPr>
          <w:p>
            <w:pPr>
              <w:spacing w:after="0"/>
              <w:rPr>
                <w:sz w:val="5"/>
                <w:szCs w:val="5"/>
                <w:color w:val="auto"/>
              </w:rPr>
            </w:pPr>
          </w:p>
        </w:tc>
        <w:tc>
          <w:tcPr>
            <w:tcW w:w="4100" w:type="dxa"/>
            <w:vAlign w:val="bottom"/>
            <w:tcBorders>
              <w:bottom w:val="single" w:sz="8" w:color="auto"/>
              <w:right w:val="single" w:sz="8" w:color="auto"/>
            </w:tcBorders>
            <w:shd w:val="clear" w:color="auto" w:fill="CCEAFC"/>
          </w:tcPr>
          <w:p>
            <w:pPr>
              <w:spacing w:after="0"/>
              <w:rPr>
                <w:sz w:val="5"/>
                <w:szCs w:val="5"/>
                <w:color w:val="auto"/>
              </w:rPr>
            </w:pPr>
          </w:p>
        </w:tc>
        <w:tc>
          <w:tcPr>
            <w:tcW w:w="200" w:type="dxa"/>
            <w:vAlign w:val="bottom"/>
            <w:tcBorders>
              <w:bottom w:val="single" w:sz="8" w:color="auto"/>
            </w:tcBorders>
            <w:shd w:val="clear" w:color="auto" w:fill="CCEAFC"/>
          </w:tcPr>
          <w:p>
            <w:pPr>
              <w:spacing w:after="0"/>
              <w:rPr>
                <w:sz w:val="5"/>
                <w:szCs w:val="5"/>
                <w:color w:val="auto"/>
              </w:rPr>
            </w:pPr>
          </w:p>
        </w:tc>
        <w:tc>
          <w:tcPr>
            <w:tcW w:w="4000" w:type="dxa"/>
            <w:vAlign w:val="bottom"/>
            <w:tcBorders>
              <w:bottom w:val="single" w:sz="8" w:color="auto"/>
              <w:right w:val="single" w:sz="8" w:color="auto"/>
            </w:tcBorders>
            <w:shd w:val="clear" w:color="auto" w:fill="CCEAFC"/>
          </w:tcPr>
          <w:p>
            <w:pPr>
              <w:spacing w:after="0"/>
              <w:rPr>
                <w:sz w:val="5"/>
                <w:szCs w:val="5"/>
                <w:color w:val="auto"/>
              </w:rPr>
            </w:pPr>
          </w:p>
        </w:tc>
      </w:tr>
      <w:tr>
        <w:trPr>
          <w:trHeight w:val="225"/>
        </w:trPr>
        <w:tc>
          <w:tcPr>
            <w:tcW w:w="122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0A33A5"/>
              </w:rPr>
              <w:t>Fixed</w:t>
            </w: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Base Salary</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Necessary to attract and retain our NEOs.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Salary level is based on individual performance,</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Serves as a baseline measure of an NEO’s value.</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position within the organization and any increase in</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Guaranteed compensation in exchange for investing in</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duties and responsibilities.</w:t>
            </w:r>
          </w:p>
        </w:tc>
      </w:tr>
      <w:tr>
        <w:trPr>
          <w:trHeight w:val="195"/>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 career with us.</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28"/>
        </w:trPr>
        <w:tc>
          <w:tcPr>
            <w:tcW w:w="1220" w:type="dxa"/>
            <w:vAlign w:val="bottom"/>
            <w:tcBorders>
              <w:left w:val="single" w:sz="8" w:color="auto"/>
              <w:bottom w:val="single" w:sz="8" w:color="F2F2F2"/>
              <w:right w:val="single" w:sz="8" w:color="auto"/>
            </w:tcBorders>
            <w:shd w:val="clear" w:color="auto" w:fill="F2F2F2"/>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r>
      <w:tr>
        <w:trPr>
          <w:trHeight w:val="217"/>
        </w:trPr>
        <w:tc>
          <w:tcPr>
            <w:tcW w:w="1220" w:type="dxa"/>
            <w:vAlign w:val="bottom"/>
            <w:tcBorders>
              <w:left w:val="single" w:sz="8" w:color="auto"/>
              <w:right w:val="single" w:sz="8" w:color="auto"/>
            </w:tcBorders>
            <w:shd w:val="clear" w:color="auto" w:fill="F2F2F2"/>
          </w:tcPr>
          <w:p>
            <w:pPr>
              <w:spacing w:after="0"/>
              <w:rPr>
                <w:sz w:val="18"/>
                <w:szCs w:val="18"/>
                <w:color w:val="auto"/>
              </w:rPr>
            </w:pP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Deferred</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One of our primary tools to attract and retain NEOs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Company contributions eliminated starting in 2020.</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Compensation</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 other key talent).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Created a cap on the amount that can be invested in</w:t>
            </w:r>
          </w:p>
        </w:tc>
      </w:tr>
      <w:tr>
        <w:trPr>
          <w:trHeight w:val="197"/>
        </w:trPr>
        <w:tc>
          <w:tcPr>
            <w:tcW w:w="1220" w:type="dxa"/>
            <w:vAlign w:val="bottom"/>
            <w:tcBorders>
              <w:left w:val="single" w:sz="8" w:color="auto"/>
              <w:right w:val="single" w:sz="8" w:color="auto"/>
            </w:tcBorders>
            <w:shd w:val="clear" w:color="auto" w:fill="F2F2F2"/>
          </w:tcPr>
          <w:p>
            <w:pPr>
              <w:spacing w:after="0"/>
              <w:rPr>
                <w:sz w:val="17"/>
                <w:szCs w:val="17"/>
                <w:color w:val="auto"/>
              </w:rPr>
            </w:pPr>
          </w:p>
        </w:tc>
        <w:tc>
          <w:tcPr>
            <w:tcW w:w="132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Plans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Retention incentive gets stronger as the account</w:t>
            </w:r>
          </w:p>
        </w:tc>
        <w:tc>
          <w:tcPr>
            <w:tcW w:w="200" w:type="dxa"/>
            <w:vAlign w:val="bottom"/>
          </w:tcPr>
          <w:p>
            <w:pPr>
              <w:spacing w:after="0"/>
              <w:rPr>
                <w:sz w:val="17"/>
                <w:szCs w:val="17"/>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the income fund starting in 2020 and added several</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balance grows; the crediting rate in the income fund is</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investment alternatives in December 2019, including</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meaningfully reduced following termination of</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third-party mutual and exchange funds. Expect these</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employment.</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changes will result both in lower balances and above-</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Do not offer any pension or other defined benefit-type</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market interest in respect of our NEOs’ income fund</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plan.</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accounts.</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Provides a simple, transparent, tax-efficient vehicle for</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Receipt of PSUs may be voluntarily deferred; the</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long-term value accumulation.</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value of PSUs ultimately received is based on stock</w:t>
            </w:r>
          </w:p>
        </w:tc>
      </w:tr>
      <w:tr>
        <w:trPr>
          <w:trHeight w:val="189"/>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price when deferral lapses or upon diversification into</w:t>
            </w:r>
          </w:p>
        </w:tc>
      </w:tr>
      <w:tr>
        <w:trPr>
          <w:trHeight w:val="195"/>
        </w:trPr>
        <w:tc>
          <w:tcPr>
            <w:tcW w:w="1220" w:type="dxa"/>
            <w:vAlign w:val="bottom"/>
            <w:tcBorders>
              <w:left w:val="single" w:sz="8" w:color="auto"/>
              <w:right w:val="single" w:sz="8" w:color="auto"/>
            </w:tcBorders>
            <w:shd w:val="clear" w:color="auto" w:fill="F2F2F2"/>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cash deferred compensation.</w:t>
            </w:r>
          </w:p>
        </w:tc>
      </w:tr>
      <w:tr>
        <w:trPr>
          <w:trHeight w:val="128"/>
        </w:trPr>
        <w:tc>
          <w:tcPr>
            <w:tcW w:w="1220" w:type="dxa"/>
            <w:vAlign w:val="bottom"/>
            <w:tcBorders>
              <w:left w:val="single" w:sz="8" w:color="auto"/>
              <w:bottom w:val="single" w:sz="8" w:color="auto"/>
              <w:right w:val="single" w:sz="8" w:color="auto"/>
            </w:tcBorders>
            <w:shd w:val="clear" w:color="auto" w:fill="F2F2F2"/>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r>
    </w:tbl>
    <w:p>
      <w:pPr>
        <w:spacing w:after="0" w:line="148"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1240" w:type="dxa"/>
            <w:vAlign w:val="bottom"/>
            <w:tcBorders>
              <w:top w:val="single" w:sz="8" w:color="auto"/>
              <w:left w:val="single" w:sz="8" w:color="auto"/>
              <w:right w:val="single" w:sz="8" w:color="auto"/>
            </w:tcBorders>
            <w:shd w:val="clear" w:color="auto" w:fill="CCEAFC"/>
          </w:tcPr>
          <w:p>
            <w:pPr>
              <w:ind w:left="160"/>
              <w:spacing w:after="0"/>
              <w:rPr>
                <w:sz w:val="20"/>
                <w:szCs w:val="20"/>
                <w:color w:val="auto"/>
              </w:rPr>
            </w:pPr>
            <w:r>
              <w:rPr>
                <w:rFonts w:ascii="Arial" w:cs="Arial" w:eastAsia="Arial" w:hAnsi="Arial"/>
                <w:sz w:val="18"/>
                <w:szCs w:val="18"/>
                <w:b w:val="1"/>
                <w:bCs w:val="1"/>
                <w:color w:val="0A33A5"/>
              </w:rPr>
              <w:t>Type</w:t>
            </w:r>
          </w:p>
        </w:tc>
        <w:tc>
          <w:tcPr>
            <w:tcW w:w="1300" w:type="dxa"/>
            <w:vAlign w:val="bottom"/>
            <w:tcBorders>
              <w:top w:val="single" w:sz="8" w:color="auto"/>
              <w:right w:val="single" w:sz="8" w:color="auto"/>
            </w:tcBorders>
            <w:shd w:val="clear" w:color="auto" w:fill="CCEAFC"/>
          </w:tcPr>
          <w:p>
            <w:pPr>
              <w:ind w:left="80"/>
              <w:spacing w:after="0"/>
              <w:rPr>
                <w:sz w:val="20"/>
                <w:szCs w:val="20"/>
                <w:color w:val="auto"/>
              </w:rPr>
            </w:pPr>
            <w:r>
              <w:rPr>
                <w:rFonts w:ascii="Arial" w:cs="Arial" w:eastAsia="Arial" w:hAnsi="Arial"/>
                <w:sz w:val="18"/>
                <w:szCs w:val="18"/>
                <w:b w:val="1"/>
                <w:bCs w:val="1"/>
                <w:color w:val="0A33A5"/>
              </w:rPr>
              <w:t>Element</w:t>
            </w:r>
          </w:p>
        </w:tc>
        <w:tc>
          <w:tcPr>
            <w:tcW w:w="4300" w:type="dxa"/>
            <w:vAlign w:val="bottom"/>
            <w:tcBorders>
              <w:top w:val="single" w:sz="8" w:color="auto"/>
              <w:right w:val="single" w:sz="8" w:color="auto"/>
            </w:tcBorders>
            <w:gridSpan w:val="2"/>
            <w:shd w:val="clear" w:color="auto" w:fill="CCEAFC"/>
          </w:tcPr>
          <w:p>
            <w:pPr>
              <w:ind w:left="100"/>
              <w:spacing w:after="0"/>
              <w:rPr>
                <w:sz w:val="20"/>
                <w:szCs w:val="20"/>
                <w:color w:val="auto"/>
              </w:rPr>
            </w:pPr>
            <w:r>
              <w:rPr>
                <w:rFonts w:ascii="Arial" w:cs="Arial" w:eastAsia="Arial" w:hAnsi="Arial"/>
                <w:sz w:val="18"/>
                <w:szCs w:val="18"/>
                <w:b w:val="1"/>
                <w:bCs w:val="1"/>
                <w:color w:val="0A33A5"/>
              </w:rPr>
              <w:t>Why We Use It</w:t>
            </w:r>
          </w:p>
        </w:tc>
        <w:tc>
          <w:tcPr>
            <w:tcW w:w="4200" w:type="dxa"/>
            <w:vAlign w:val="bottom"/>
            <w:tcBorders>
              <w:top w:val="single" w:sz="8" w:color="auto"/>
              <w:right w:val="single" w:sz="8" w:color="auto"/>
            </w:tcBorders>
            <w:gridSpan w:val="2"/>
            <w:shd w:val="clear" w:color="auto" w:fill="CCEAFC"/>
          </w:tcPr>
          <w:p>
            <w:pPr>
              <w:ind w:left="100"/>
              <w:spacing w:after="0"/>
              <w:rPr>
                <w:sz w:val="20"/>
                <w:szCs w:val="20"/>
                <w:color w:val="auto"/>
              </w:rPr>
            </w:pPr>
            <w:r>
              <w:rPr>
                <w:rFonts w:ascii="Arial" w:cs="Arial" w:eastAsia="Arial" w:hAnsi="Arial"/>
                <w:sz w:val="18"/>
                <w:szCs w:val="18"/>
                <w:b w:val="1"/>
                <w:bCs w:val="1"/>
                <w:color w:val="0A33A5"/>
              </w:rPr>
              <w:t>Compensation Highlights</w:t>
            </w:r>
          </w:p>
        </w:tc>
      </w:tr>
      <w:tr>
        <w:trPr>
          <w:trHeight w:val="68"/>
        </w:trPr>
        <w:tc>
          <w:tcPr>
            <w:tcW w:w="1240" w:type="dxa"/>
            <w:vAlign w:val="bottom"/>
            <w:tcBorders>
              <w:left w:val="single" w:sz="8" w:color="auto"/>
              <w:bottom w:val="single" w:sz="8" w:color="auto"/>
              <w:right w:val="single" w:sz="8" w:color="auto"/>
            </w:tcBorders>
            <w:shd w:val="clear" w:color="auto" w:fill="CCEAFC"/>
          </w:tcPr>
          <w:p>
            <w:pPr>
              <w:spacing w:after="0"/>
              <w:rPr>
                <w:sz w:val="5"/>
                <w:szCs w:val="5"/>
                <w:color w:val="auto"/>
              </w:rPr>
            </w:pPr>
          </w:p>
        </w:tc>
        <w:tc>
          <w:tcPr>
            <w:tcW w:w="1300" w:type="dxa"/>
            <w:vAlign w:val="bottom"/>
            <w:tcBorders>
              <w:bottom w:val="single" w:sz="8" w:color="auto"/>
              <w:right w:val="single" w:sz="8" w:color="auto"/>
            </w:tcBorders>
            <w:shd w:val="clear" w:color="auto" w:fill="CCEAFC"/>
          </w:tcPr>
          <w:p>
            <w:pPr>
              <w:spacing w:after="0"/>
              <w:rPr>
                <w:sz w:val="5"/>
                <w:szCs w:val="5"/>
                <w:color w:val="auto"/>
              </w:rPr>
            </w:pPr>
          </w:p>
        </w:tc>
        <w:tc>
          <w:tcPr>
            <w:tcW w:w="200" w:type="dxa"/>
            <w:vAlign w:val="bottom"/>
            <w:tcBorders>
              <w:bottom w:val="single" w:sz="8" w:color="auto"/>
            </w:tcBorders>
            <w:shd w:val="clear" w:color="auto" w:fill="CCEAFC"/>
          </w:tcPr>
          <w:p>
            <w:pPr>
              <w:spacing w:after="0"/>
              <w:rPr>
                <w:sz w:val="5"/>
                <w:szCs w:val="5"/>
                <w:color w:val="auto"/>
              </w:rPr>
            </w:pPr>
          </w:p>
        </w:tc>
        <w:tc>
          <w:tcPr>
            <w:tcW w:w="4100" w:type="dxa"/>
            <w:vAlign w:val="bottom"/>
            <w:tcBorders>
              <w:bottom w:val="single" w:sz="8" w:color="auto"/>
              <w:right w:val="single" w:sz="8" w:color="auto"/>
            </w:tcBorders>
            <w:shd w:val="clear" w:color="auto" w:fill="CCEAFC"/>
          </w:tcPr>
          <w:p>
            <w:pPr>
              <w:spacing w:after="0"/>
              <w:rPr>
                <w:sz w:val="5"/>
                <w:szCs w:val="5"/>
                <w:color w:val="auto"/>
              </w:rPr>
            </w:pPr>
          </w:p>
        </w:tc>
        <w:tc>
          <w:tcPr>
            <w:tcW w:w="200" w:type="dxa"/>
            <w:vAlign w:val="bottom"/>
            <w:tcBorders>
              <w:bottom w:val="single" w:sz="8" w:color="auto"/>
            </w:tcBorders>
            <w:shd w:val="clear" w:color="auto" w:fill="CCEAFC"/>
          </w:tcPr>
          <w:p>
            <w:pPr>
              <w:spacing w:after="0"/>
              <w:rPr>
                <w:sz w:val="5"/>
                <w:szCs w:val="5"/>
                <w:color w:val="auto"/>
              </w:rPr>
            </w:pPr>
          </w:p>
        </w:tc>
        <w:tc>
          <w:tcPr>
            <w:tcW w:w="4000" w:type="dxa"/>
            <w:vAlign w:val="bottom"/>
            <w:tcBorders>
              <w:bottom w:val="single" w:sz="8" w:color="auto"/>
              <w:right w:val="single" w:sz="8" w:color="auto"/>
            </w:tcBorders>
            <w:shd w:val="clear" w:color="auto" w:fill="CCEAFC"/>
          </w:tcPr>
          <w:p>
            <w:pPr>
              <w:spacing w:after="0"/>
              <w:rPr>
                <w:sz w:val="5"/>
                <w:szCs w:val="5"/>
                <w:color w:val="auto"/>
              </w:rPr>
            </w:pPr>
          </w:p>
        </w:tc>
      </w:tr>
      <w:tr>
        <w:trPr>
          <w:trHeight w:val="197"/>
        </w:trPr>
        <w:tc>
          <w:tcPr>
            <w:tcW w:w="124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0A33A5"/>
              </w:rPr>
              <w:t>Variable,</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Annual Cash</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Provides a competitive annual cash bonus opportunity</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Based on objective quantitative financial performance</w:t>
            </w:r>
          </w:p>
        </w:tc>
      </w:tr>
      <w:tr>
        <w:trPr>
          <w:trHeight w:val="189"/>
        </w:trPr>
        <w:tc>
          <w:tcPr>
            <w:tcW w:w="1240" w:type="dxa"/>
            <w:vAlign w:val="bottom"/>
            <w:tcBorders>
              <w:left w:val="single" w:sz="8" w:color="auto"/>
              <w:right w:val="single" w:sz="8" w:color="auto"/>
            </w:tcBorders>
            <w:shd w:val="clear" w:color="auto" w:fill="F2F2F2"/>
          </w:tcPr>
          <w:p>
            <w:pPr>
              <w:ind w:left="160"/>
              <w:spacing w:after="0" w:line="189" w:lineRule="exact"/>
              <w:rPr>
                <w:sz w:val="20"/>
                <w:szCs w:val="20"/>
                <w:color w:val="auto"/>
              </w:rPr>
            </w:pPr>
            <w:r>
              <w:rPr>
                <w:rFonts w:ascii="Arial" w:cs="Arial" w:eastAsia="Arial" w:hAnsi="Arial"/>
                <w:sz w:val="17"/>
                <w:szCs w:val="17"/>
                <w:b w:val="1"/>
                <w:bCs w:val="1"/>
                <w:color w:val="0A33A5"/>
              </w:rPr>
              <w:t>Short-Term,</w:t>
            </w:r>
          </w:p>
        </w:tc>
        <w:tc>
          <w:tcPr>
            <w:tcW w:w="13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Bonus</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and completes our competitive total annual cash</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metrics and quantitative and qualitative goals relating</w:t>
            </w:r>
          </w:p>
        </w:tc>
      </w:tr>
      <w:tr>
        <w:trPr>
          <w:trHeight w:val="189"/>
        </w:trPr>
        <w:tc>
          <w:tcPr>
            <w:tcW w:w="1240" w:type="dxa"/>
            <w:vAlign w:val="bottom"/>
            <w:tcBorders>
              <w:left w:val="single" w:sz="8" w:color="auto"/>
              <w:right w:val="single" w:sz="8" w:color="auto"/>
            </w:tcBorders>
            <w:shd w:val="clear" w:color="auto" w:fill="F2F2F2"/>
          </w:tcPr>
          <w:p>
            <w:pPr>
              <w:ind w:left="160"/>
              <w:spacing w:after="0" w:line="189" w:lineRule="exact"/>
              <w:rPr>
                <w:sz w:val="20"/>
                <w:szCs w:val="20"/>
                <w:color w:val="auto"/>
              </w:rPr>
            </w:pPr>
            <w:r>
              <w:rPr>
                <w:rFonts w:ascii="Arial" w:cs="Arial" w:eastAsia="Arial" w:hAnsi="Arial"/>
                <w:sz w:val="17"/>
                <w:szCs w:val="17"/>
                <w:b w:val="1"/>
                <w:bCs w:val="1"/>
                <w:color w:val="0A33A5"/>
              </w:rPr>
              <w:t>Performance</w:t>
            </w: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compensation package.</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to key operational initiatives; also includes a small</w:t>
            </w:r>
          </w:p>
        </w:tc>
      </w:tr>
      <w:tr>
        <w:trPr>
          <w:trHeight w:val="217"/>
        </w:trPr>
        <w:tc>
          <w:tcPr>
            <w:tcW w:w="124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0A33A5"/>
              </w:rPr>
              <w:t>Based</w:t>
            </w:r>
          </w:p>
        </w:tc>
        <w:tc>
          <w:tcPr>
            <w:tcW w:w="1300" w:type="dxa"/>
            <w:vAlign w:val="bottom"/>
            <w:tcBorders>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Target bonus is based on the Compensation</w:t>
            </w:r>
          </w:p>
        </w:tc>
        <w:tc>
          <w:tcPr>
            <w:tcW w:w="200" w:type="dxa"/>
            <w:vAlign w:val="bottom"/>
          </w:tcPr>
          <w:p>
            <w:pPr>
              <w:spacing w:after="0"/>
              <w:rPr>
                <w:sz w:val="18"/>
                <w:szCs w:val="18"/>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qualitative portion based on achievement of key</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Committee’s assessment of the optimal mix of base</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initiatives, such as diversity and inclusion.</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salary and annual cash bonus compensation.</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Supports our objective that NEOs must balance</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achieving satisfactory or better current year (short-term)</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results with long-term value creation.</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28"/>
        </w:trPr>
        <w:tc>
          <w:tcPr>
            <w:tcW w:w="1240" w:type="dxa"/>
            <w:vAlign w:val="bottom"/>
            <w:tcBorders>
              <w:left w:val="single" w:sz="8" w:color="auto"/>
              <w:bottom w:val="single" w:sz="8" w:color="F2F2F2"/>
              <w:right w:val="single" w:sz="8" w:color="auto"/>
            </w:tcBorders>
            <w:shd w:val="clear" w:color="auto" w:fill="F2F2F2"/>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gridSpan w:val="2"/>
          </w:tcPr>
          <w:p>
            <w:pPr>
              <w:spacing w:after="0"/>
              <w:rPr>
                <w:sz w:val="11"/>
                <w:szCs w:val="11"/>
                <w:color w:val="auto"/>
              </w:rPr>
            </w:pPr>
          </w:p>
        </w:tc>
      </w:tr>
      <w:tr>
        <w:trPr>
          <w:trHeight w:val="217"/>
        </w:trPr>
        <w:tc>
          <w:tcPr>
            <w:tcW w:w="1240" w:type="dxa"/>
            <w:vAlign w:val="bottom"/>
            <w:tcBorders>
              <w:left w:val="single" w:sz="8" w:color="auto"/>
              <w:right w:val="single" w:sz="8" w:color="auto"/>
            </w:tcBorders>
            <w:shd w:val="clear" w:color="auto" w:fill="F2F2F2"/>
          </w:tcPr>
          <w:p>
            <w:pPr>
              <w:spacing w:after="0"/>
              <w:rPr>
                <w:sz w:val="18"/>
                <w:szCs w:val="18"/>
                <w:color w:val="auto"/>
              </w:rPr>
            </w:pP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Additional</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Rewards an NEO for extraordinary performance,</w:t>
            </w:r>
          </w:p>
        </w:tc>
        <w:tc>
          <w:tcPr>
            <w:tcW w:w="420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 Amount and form of awards are based on individual</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Performance-</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attainment of strategic milestones or unanticipated</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performance and any increase in duties and</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Related</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additional responsibilities.</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responsibilities.</w:t>
            </w:r>
          </w:p>
        </w:tc>
      </w:tr>
      <w:tr>
        <w:trPr>
          <w:trHeight w:val="205"/>
        </w:trPr>
        <w:tc>
          <w:tcPr>
            <w:tcW w:w="1240" w:type="dxa"/>
            <w:vAlign w:val="bottom"/>
            <w:tcBorders>
              <w:left w:val="single" w:sz="8" w:color="auto"/>
              <w:right w:val="single" w:sz="8" w:color="auto"/>
            </w:tcBorders>
            <w:shd w:val="clear" w:color="auto" w:fill="F2F2F2"/>
          </w:tcPr>
          <w:p>
            <w:pPr>
              <w:spacing w:after="0"/>
              <w:rPr>
                <w:sz w:val="17"/>
                <w:szCs w:val="17"/>
                <w:color w:val="auto"/>
              </w:rPr>
            </w:pP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Awards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Form of bonus can vary, depending on primary goals.</w:t>
            </w:r>
          </w:p>
        </w:tc>
        <w:tc>
          <w:tcPr>
            <w:tcW w:w="200" w:type="dxa"/>
            <w:vAlign w:val="bottom"/>
          </w:tcPr>
          <w:p>
            <w:pPr>
              <w:spacing w:after="0"/>
              <w:rPr>
                <w:sz w:val="17"/>
                <w:szCs w:val="17"/>
                <w:color w:val="auto"/>
              </w:rPr>
            </w:pPr>
          </w:p>
        </w:tc>
        <w:tc>
          <w:tcPr>
            <w:tcW w:w="4000" w:type="dxa"/>
            <w:vAlign w:val="bottom"/>
            <w:tcBorders>
              <w:right w:val="single" w:sz="8" w:color="auto"/>
            </w:tcBorders>
          </w:tcPr>
          <w:p>
            <w:pPr>
              <w:spacing w:after="0"/>
              <w:rPr>
                <w:sz w:val="17"/>
                <w:szCs w:val="17"/>
                <w:color w:val="auto"/>
              </w:rPr>
            </w:pPr>
          </w:p>
        </w:tc>
      </w:tr>
      <w:tr>
        <w:trPr>
          <w:trHeight w:val="126"/>
        </w:trPr>
        <w:tc>
          <w:tcPr>
            <w:tcW w:w="124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0" w:type="dxa"/>
            <w:vAlign w:val="bottom"/>
            <w:tcBorders>
              <w:bottom w:val="single" w:sz="8" w:color="auto"/>
              <w:right w:val="single" w:sz="8" w:color="auto"/>
            </w:tcBorders>
          </w:tcPr>
          <w:p>
            <w:pPr>
              <w:spacing w:after="0"/>
              <w:rPr>
                <w:sz w:val="10"/>
                <w:szCs w:val="10"/>
                <w:color w:val="auto"/>
              </w:rPr>
            </w:pPr>
          </w:p>
        </w:tc>
      </w:tr>
      <w:tr>
        <w:trPr>
          <w:trHeight w:val="197"/>
        </w:trPr>
        <w:tc>
          <w:tcPr>
            <w:tcW w:w="124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0A33A5"/>
              </w:rPr>
              <w:t>Variable,</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Annual Stock</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Fosters a long-term commitment, motivates executives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line="197" w:lineRule="exact"/>
              <w:rPr>
                <w:sz w:val="20"/>
                <w:szCs w:val="20"/>
                <w:color w:val="auto"/>
              </w:rPr>
            </w:pPr>
            <w:r>
              <w:rPr>
                <w:rFonts w:ascii="Arial" w:cs="Arial" w:eastAsia="Arial" w:hAnsi="Arial"/>
                <w:sz w:val="14"/>
                <w:szCs w:val="14"/>
                <w:color w:val="auto"/>
              </w:rPr>
              <w:t>Generally vest over a 9.5 year period: 30% on the 2</w:t>
            </w:r>
            <w:r>
              <w:rPr>
                <w:rFonts w:ascii="Arial" w:cs="Arial" w:eastAsia="Arial" w:hAnsi="Arial"/>
                <w:sz w:val="22"/>
                <w:szCs w:val="22"/>
                <w:color w:val="auto"/>
                <w:vertAlign w:val="superscript"/>
              </w:rPr>
              <w:t>nd</w:t>
            </w:r>
          </w:p>
        </w:tc>
      </w:tr>
      <w:tr>
        <w:trPr>
          <w:trHeight w:val="189"/>
        </w:trPr>
        <w:tc>
          <w:tcPr>
            <w:tcW w:w="1240" w:type="dxa"/>
            <w:vAlign w:val="bottom"/>
            <w:tcBorders>
              <w:left w:val="single" w:sz="8" w:color="auto"/>
              <w:right w:val="single" w:sz="8" w:color="auto"/>
            </w:tcBorders>
            <w:shd w:val="clear" w:color="auto" w:fill="F2F2F2"/>
          </w:tcPr>
          <w:p>
            <w:pPr>
              <w:ind w:left="160"/>
              <w:spacing w:after="0" w:line="189" w:lineRule="exact"/>
              <w:rPr>
                <w:sz w:val="20"/>
                <w:szCs w:val="20"/>
                <w:color w:val="auto"/>
              </w:rPr>
            </w:pPr>
            <w:r>
              <w:rPr>
                <w:rFonts w:ascii="Arial" w:cs="Arial" w:eastAsia="Arial" w:hAnsi="Arial"/>
                <w:sz w:val="17"/>
                <w:szCs w:val="17"/>
                <w:b w:val="1"/>
                <w:bCs w:val="1"/>
                <w:color w:val="0A33A5"/>
              </w:rPr>
              <w:t>Long-Term,</w:t>
            </w:r>
          </w:p>
        </w:tc>
        <w:tc>
          <w:tcPr>
            <w:tcW w:w="13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7"/>
                <w:szCs w:val="17"/>
                <w:color w:val="auto"/>
              </w:rPr>
              <w:t>Option Grants</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to improve the long-term market performance of our</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anniversary of the date of grant, 15% on each of the</w:t>
            </w:r>
          </w:p>
        </w:tc>
      </w:tr>
      <w:tr>
        <w:trPr>
          <w:trHeight w:val="189"/>
        </w:trPr>
        <w:tc>
          <w:tcPr>
            <w:tcW w:w="1240" w:type="dxa"/>
            <w:vAlign w:val="bottom"/>
            <w:tcBorders>
              <w:left w:val="single" w:sz="8" w:color="auto"/>
              <w:right w:val="single" w:sz="8" w:color="auto"/>
            </w:tcBorders>
            <w:shd w:val="clear" w:color="auto" w:fill="F2F2F2"/>
          </w:tcPr>
          <w:p>
            <w:pPr>
              <w:ind w:left="160"/>
              <w:spacing w:after="0" w:line="189" w:lineRule="exact"/>
              <w:rPr>
                <w:sz w:val="20"/>
                <w:szCs w:val="20"/>
                <w:color w:val="auto"/>
              </w:rPr>
            </w:pPr>
            <w:r>
              <w:rPr>
                <w:rFonts w:ascii="Arial" w:cs="Arial" w:eastAsia="Arial" w:hAnsi="Arial"/>
                <w:sz w:val="17"/>
                <w:szCs w:val="17"/>
                <w:b w:val="1"/>
                <w:bCs w:val="1"/>
                <w:color w:val="0A33A5"/>
              </w:rPr>
              <w:t>Performance</w:t>
            </w: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stock and focuses them on the long-term creation of</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3"/>
                <w:szCs w:val="13"/>
                <w:color w:val="auto"/>
              </w:rPr>
              <w:t>3</w:t>
            </w:r>
            <w:r>
              <w:rPr>
                <w:rFonts w:ascii="Arial" w:cs="Arial" w:eastAsia="Arial" w:hAnsi="Arial"/>
                <w:sz w:val="21"/>
                <w:szCs w:val="21"/>
                <w:color w:val="auto"/>
                <w:vertAlign w:val="superscript"/>
              </w:rPr>
              <w:t>rd</w:t>
            </w:r>
            <w:r>
              <w:rPr>
                <w:rFonts w:ascii="Arial" w:cs="Arial" w:eastAsia="Arial" w:hAnsi="Arial"/>
                <w:sz w:val="13"/>
                <w:szCs w:val="13"/>
                <w:color w:val="auto"/>
              </w:rPr>
              <w:t xml:space="preserve"> through 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anniversaries, 5% on each of the 6</w:t>
            </w:r>
            <w:r>
              <w:rPr>
                <w:rFonts w:ascii="Arial" w:cs="Arial" w:eastAsia="Arial" w:hAnsi="Arial"/>
                <w:sz w:val="21"/>
                <w:szCs w:val="21"/>
                <w:color w:val="auto"/>
                <w:vertAlign w:val="superscript"/>
              </w:rPr>
              <w:t>th</w:t>
            </w:r>
          </w:p>
        </w:tc>
      </w:tr>
      <w:tr>
        <w:trPr>
          <w:trHeight w:val="217"/>
        </w:trPr>
        <w:tc>
          <w:tcPr>
            <w:tcW w:w="124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7"/>
                <w:szCs w:val="17"/>
                <w:b w:val="1"/>
                <w:bCs w:val="1"/>
                <w:color w:val="0A33A5"/>
              </w:rPr>
              <w:t>Based</w:t>
            </w:r>
          </w:p>
        </w:tc>
        <w:tc>
          <w:tcPr>
            <w:tcW w:w="1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shareholder value.</w:t>
            </w:r>
          </w:p>
        </w:tc>
        <w:tc>
          <w:tcPr>
            <w:tcW w:w="200" w:type="dxa"/>
            <w:vAlign w:val="bottom"/>
          </w:tcPr>
          <w:p>
            <w:pPr>
              <w:spacing w:after="0"/>
              <w:rPr>
                <w:sz w:val="18"/>
                <w:szCs w:val="18"/>
                <w:color w:val="auto"/>
              </w:rPr>
            </w:pPr>
          </w:p>
        </w:tc>
        <w:tc>
          <w:tcPr>
            <w:tcW w:w="4000" w:type="dxa"/>
            <w:vAlign w:val="bottom"/>
            <w:tcBorders>
              <w:right w:val="single" w:sz="8" w:color="auto"/>
            </w:tcBorders>
          </w:tcPr>
          <w:p>
            <w:pPr>
              <w:ind w:left="60"/>
              <w:spacing w:after="0" w:line="217" w:lineRule="exact"/>
              <w:rPr>
                <w:sz w:val="20"/>
                <w:szCs w:val="20"/>
                <w:color w:val="auto"/>
              </w:rPr>
            </w:pPr>
            <w:r>
              <w:rPr>
                <w:rFonts w:ascii="Arial" w:cs="Arial" w:eastAsia="Arial" w:hAnsi="Arial"/>
                <w:sz w:val="15"/>
                <w:szCs w:val="15"/>
                <w:color w:val="auto"/>
              </w:rPr>
              <w:t>through 9</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anniversaries and 5% on the 9.5 year</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Links the NEOs’ decision making with the long-term</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anniversary.</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outcomes of those decisions.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Stock price must appreciate for stock options to</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Use one of the longest vesting periods among our peers</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deliver value.</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(9.5 years) to create a significant retention tool and tie</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value ultimately realized to our long-term performance.</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28"/>
        </w:trPr>
        <w:tc>
          <w:tcPr>
            <w:tcW w:w="1240" w:type="dxa"/>
            <w:vAlign w:val="bottom"/>
            <w:tcBorders>
              <w:left w:val="single" w:sz="8" w:color="auto"/>
              <w:bottom w:val="single" w:sz="8" w:color="F2F2F2"/>
              <w:right w:val="single" w:sz="8" w:color="auto"/>
            </w:tcBorders>
            <w:shd w:val="clear" w:color="auto" w:fill="F2F2F2"/>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r>
      <w:tr>
        <w:trPr>
          <w:trHeight w:val="217"/>
        </w:trPr>
        <w:tc>
          <w:tcPr>
            <w:tcW w:w="1240" w:type="dxa"/>
            <w:vAlign w:val="bottom"/>
            <w:tcBorders>
              <w:left w:val="single" w:sz="8" w:color="auto"/>
              <w:right w:val="single" w:sz="8" w:color="auto"/>
            </w:tcBorders>
            <w:shd w:val="clear" w:color="auto" w:fill="F2F2F2"/>
          </w:tcPr>
          <w:p>
            <w:pPr>
              <w:spacing w:after="0"/>
              <w:rPr>
                <w:sz w:val="18"/>
                <w:szCs w:val="18"/>
                <w:color w:val="auto"/>
              </w:rPr>
            </w:pP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Annual PSU</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Fosters a long-term commitment, motivates executives</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Vest over 5 years and are back-end weighted: 15%</w:t>
            </w:r>
          </w:p>
        </w:tc>
      </w:tr>
      <w:tr>
        <w:trPr>
          <w:trHeight w:val="192"/>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ind w:left="80"/>
              <w:spacing w:after="0" w:line="192" w:lineRule="exact"/>
              <w:rPr>
                <w:sz w:val="20"/>
                <w:szCs w:val="20"/>
                <w:color w:val="auto"/>
              </w:rPr>
            </w:pPr>
            <w:r>
              <w:rPr>
                <w:rFonts w:ascii="Arial" w:cs="Arial" w:eastAsia="Arial" w:hAnsi="Arial"/>
                <w:sz w:val="17"/>
                <w:szCs w:val="17"/>
                <w:color w:val="auto"/>
              </w:rPr>
              <w:t>Grants</w:t>
            </w: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to improve the long-term market performance of our</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line="192" w:lineRule="exact"/>
              <w:rPr>
                <w:sz w:val="20"/>
                <w:szCs w:val="20"/>
                <w:color w:val="auto"/>
              </w:rPr>
            </w:pPr>
            <w:r>
              <w:rPr>
                <w:rFonts w:ascii="Arial" w:cs="Arial" w:eastAsia="Arial" w:hAnsi="Arial"/>
                <w:sz w:val="14"/>
                <w:szCs w:val="14"/>
                <w:color w:val="auto"/>
              </w:rPr>
              <w:t>vest after 13 months, 15% on each of the 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through</w:t>
            </w:r>
          </w:p>
        </w:tc>
      </w:tr>
      <w:tr>
        <w:trPr>
          <w:trHeight w:val="194"/>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stock and focuses them on the long-term creation of</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line="194" w:lineRule="exact"/>
              <w:rPr>
                <w:sz w:val="20"/>
                <w:szCs w:val="20"/>
                <w:color w:val="auto"/>
              </w:rPr>
            </w:pPr>
            <w:r>
              <w:rPr>
                <w:rFonts w:ascii="Arial" w:cs="Arial" w:eastAsia="Arial" w:hAnsi="Arial"/>
                <w:sz w:val="14"/>
                <w:szCs w:val="14"/>
                <w:color w:val="auto"/>
              </w:rPr>
              <w:t>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anniversaries and 40% on the 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anniversary.</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shareholder value.</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Vesting is dependent upon achievement of one or</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Links the NEOs’ decision making with the long-term</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more robust performance goals that are tied to value</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outcomes of those decisions.</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creation (Adjusted EBITDA, one of the primary</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Back-end weighted vesting term used for most PSU</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metrics to evaluate our business, was used in 2019).</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grants creates a meaningful retention tool.</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Ultimate value of shares acquired upon vesting</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Use one of the longest vesting periods among our peers</w:t>
            </w:r>
          </w:p>
        </w:tc>
        <w:tc>
          <w:tcPr>
            <w:tcW w:w="200" w:type="dxa"/>
            <w:vAlign w:val="bottom"/>
          </w:tcPr>
          <w:p>
            <w:pPr>
              <w:spacing w:after="0"/>
              <w:rPr>
                <w:sz w:val="16"/>
                <w:szCs w:val="16"/>
                <w:color w:val="auto"/>
              </w:rPr>
            </w:pPr>
          </w:p>
        </w:tc>
        <w:tc>
          <w:tcPr>
            <w:tcW w:w="40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depends on stock price.</w:t>
            </w: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for most grants to create a significant retention tool and</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89"/>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tie value ultimately realized to our long-term</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95"/>
        </w:trPr>
        <w:tc>
          <w:tcPr>
            <w:tcW w:w="1240" w:type="dxa"/>
            <w:vAlign w:val="bottom"/>
            <w:tcBorders>
              <w:left w:val="single" w:sz="8" w:color="auto"/>
              <w:right w:val="single" w:sz="8" w:color="auto"/>
            </w:tcBorders>
            <w:shd w:val="clear" w:color="auto" w:fill="F2F2F2"/>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performance.</w:t>
            </w:r>
          </w:p>
        </w:tc>
        <w:tc>
          <w:tcPr>
            <w:tcW w:w="2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r>
      <w:tr>
        <w:trPr>
          <w:trHeight w:val="127"/>
        </w:trPr>
        <w:tc>
          <w:tcPr>
            <w:tcW w:w="1240" w:type="dxa"/>
            <w:vAlign w:val="bottom"/>
            <w:tcBorders>
              <w:left w:val="single" w:sz="8" w:color="auto"/>
              <w:bottom w:val="single" w:sz="8" w:color="auto"/>
              <w:right w:val="single" w:sz="8" w:color="auto"/>
            </w:tcBorders>
            <w:shd w:val="clear" w:color="auto" w:fill="F2F2F2"/>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10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right w:val="single" w:sz="8" w:color="auto"/>
            </w:tcBorders>
          </w:tcPr>
          <w:p>
            <w:pPr>
              <w:spacing w:after="0"/>
              <w:rPr>
                <w:sz w:val="11"/>
                <w:szCs w:val="1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Compensation Decision-Making Process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Compensation Committee’s Role, Process and Validation</w:t>
      </w:r>
    </w:p>
    <w:p>
      <w:pPr>
        <w:spacing w:after="0" w:line="18"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Compensation Committee reviewed for our NEOs:</w:t>
      </w:r>
    </w:p>
    <w:p>
      <w:pPr>
        <w:spacing w:after="0" w:line="63" w:lineRule="exact"/>
        <w:rPr>
          <w:sz w:val="20"/>
          <w:szCs w:val="20"/>
          <w:color w:val="auto"/>
        </w:rPr>
      </w:pPr>
    </w:p>
    <w:p>
      <w:pPr>
        <w:ind w:left="980" w:right="40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nature and amounts of all elements of our NEOs’ compensation, both separately and in the aggregate, using comprehensive tally sheets that include the current value of PSU and stock option awards (as compared to their grant date value).</w:t>
      </w:r>
    </w:p>
    <w:p>
      <w:pPr>
        <w:spacing w:after="0" w:line="54"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element of our NEOs’ compensation for internal consistency.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Various analyses provided by the independent compensation consultant, including the following:</w:t>
      </w:r>
    </w:p>
    <w:p>
      <w:pPr>
        <w:spacing w:after="0" w:line="63" w:lineRule="exact"/>
        <w:rPr>
          <w:rFonts w:ascii="Arial" w:cs="Arial" w:eastAsia="Arial" w:hAnsi="Arial"/>
          <w:sz w:val="18"/>
          <w:szCs w:val="18"/>
          <w:color w:val="auto"/>
        </w:rPr>
      </w:pPr>
    </w:p>
    <w:p>
      <w:pPr>
        <w:ind w:left="1640" w:hanging="431"/>
        <w:spacing w:after="0"/>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an assessment of the composition of our peer groups;</w:t>
      </w:r>
    </w:p>
    <w:p>
      <w:pPr>
        <w:spacing w:after="0" w:line="63" w:lineRule="exact"/>
        <w:rPr>
          <w:rFonts w:ascii="Arial" w:cs="Arial" w:eastAsia="Arial" w:hAnsi="Arial"/>
          <w:sz w:val="15"/>
          <w:szCs w:val="15"/>
          <w:color w:val="auto"/>
        </w:rPr>
      </w:pPr>
    </w:p>
    <w:p>
      <w:pPr>
        <w:ind w:left="1640" w:right="220" w:hanging="431"/>
        <w:spacing w:after="0" w:line="238" w:lineRule="auto"/>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w:t>
      </w:r>
      <w:r>
        <w:rPr>
          <w:rFonts w:ascii="Arial" w:cs="Arial" w:eastAsia="Arial" w:hAnsi="Arial"/>
          <w:sz w:val="18"/>
          <w:szCs w:val="18"/>
          <w:i w:val="1"/>
          <w:iCs w:val="1"/>
          <w:color w:val="auto"/>
        </w:rPr>
        <w:t>e.g.</w:t>
      </w:r>
      <w:r>
        <w:rPr>
          <w:rFonts w:ascii="Arial" w:cs="Arial" w:eastAsia="Arial" w:hAnsi="Arial"/>
          <w:sz w:val="18"/>
          <w:szCs w:val="18"/>
          <w:color w:val="auto"/>
        </w:rPr>
        <w:t>, fixed vs. variable, components of long-term equity));</w:t>
      </w:r>
    </w:p>
    <w:p>
      <w:pPr>
        <w:spacing w:after="0" w:line="56" w:lineRule="exact"/>
        <w:rPr>
          <w:rFonts w:ascii="Arial" w:cs="Arial" w:eastAsia="Arial" w:hAnsi="Arial"/>
          <w:sz w:val="15"/>
          <w:szCs w:val="15"/>
          <w:color w:val="auto"/>
        </w:rPr>
      </w:pPr>
    </w:p>
    <w:p>
      <w:pPr>
        <w:ind w:left="1640" w:right="120" w:hanging="431"/>
        <w:spacing w:after="0"/>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 financial performance review (comparing our performance relative to our peer group companies with respect to growth in Adjusted EBITDA, free cash flow, revenue and total shareholder return, based on financial data from a third-party source);</w:t>
      </w:r>
    </w:p>
    <w:p>
      <w:pPr>
        <w:spacing w:after="0" w:line="54" w:lineRule="exact"/>
        <w:rPr>
          <w:rFonts w:ascii="Arial" w:cs="Arial" w:eastAsia="Arial" w:hAnsi="Arial"/>
          <w:sz w:val="15"/>
          <w:szCs w:val="15"/>
          <w:color w:val="auto"/>
        </w:rPr>
      </w:pPr>
    </w:p>
    <w:p>
      <w:pPr>
        <w:ind w:left="1640" w:right="400" w:hanging="431"/>
        <w:spacing w:after="0" w:line="246" w:lineRule="auto"/>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 compensation sharing analysis (analyzing the actual pay delivered to our NEOs as a percentage of our Adjusted EBITDA and free cash flow as compared to our peer group companies);</w:t>
      </w:r>
    </w:p>
    <w:p>
      <w:pPr>
        <w:spacing w:after="0" w:line="48" w:lineRule="exact"/>
        <w:rPr>
          <w:rFonts w:ascii="Arial" w:cs="Arial" w:eastAsia="Arial" w:hAnsi="Arial"/>
          <w:sz w:val="15"/>
          <w:szCs w:val="15"/>
          <w:color w:val="auto"/>
        </w:rPr>
      </w:pPr>
    </w:p>
    <w:p>
      <w:pPr>
        <w:ind w:left="1640" w:right="40" w:hanging="431"/>
        <w:spacing w:after="0" w:line="246" w:lineRule="auto"/>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an incentive compensation design analysis (analyzing various annual bonus and long-term incentive design elements); and</w:t>
      </w:r>
    </w:p>
    <w:p>
      <w:pPr>
        <w:spacing w:after="0" w:line="48" w:lineRule="exact"/>
        <w:rPr>
          <w:rFonts w:ascii="Arial" w:cs="Arial" w:eastAsia="Arial" w:hAnsi="Arial"/>
          <w:sz w:val="15"/>
          <w:szCs w:val="15"/>
          <w:color w:val="auto"/>
        </w:rPr>
      </w:pPr>
    </w:p>
    <w:p>
      <w:pPr>
        <w:ind w:left="1640" w:right="580" w:hanging="431"/>
        <w:spacing w:after="0" w:line="246" w:lineRule="auto"/>
        <w:tabs>
          <w:tab w:leader="none" w:pos="16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an analysis of equity dilution resulting from, and annual usage rates in, our equity-based compensation plans as compared to our peer group companies (i.e., overhang and burn rates).</w:t>
      </w:r>
    </w:p>
    <w:p>
      <w:pPr>
        <w:spacing w:after="0" w:line="48" w:lineRule="exact"/>
        <w:rPr>
          <w:rFonts w:ascii="Arial" w:cs="Arial" w:eastAsia="Arial" w:hAnsi="Arial"/>
          <w:sz w:val="15"/>
          <w:szCs w:val="15"/>
          <w:color w:val="auto"/>
        </w:rPr>
      </w:pPr>
    </w:p>
    <w:p>
      <w:pPr>
        <w:ind w:left="980" w:right="80" w:hanging="324"/>
        <w:spacing w:after="0" w:line="246"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After taking into account the analyses above, the Compensation Committee evaluates our financial performance, as compared to our peers over time, as it relates to our strongly competitive compensation philosophy.</w:t>
      </w:r>
    </w:p>
    <w:p>
      <w:pPr>
        <w:spacing w:after="0" w:line="48" w:lineRule="exact"/>
        <w:rPr>
          <w:rFonts w:ascii="Arial" w:cs="Arial" w:eastAsia="Arial" w:hAnsi="Arial"/>
          <w:sz w:val="18"/>
          <w:szCs w:val="18"/>
          <w:color w:val="auto"/>
        </w:rPr>
      </w:pPr>
    </w:p>
    <w:p>
      <w:pPr>
        <w:ind w:left="980" w:hanging="324"/>
        <w:spacing w:after="0" w:line="23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Compensation Committee also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97" w:lineRule="exact"/>
        <w:rPr>
          <w:sz w:val="20"/>
          <w:szCs w:val="20"/>
          <w:color w:val="auto"/>
        </w:rPr>
      </w:pPr>
    </w:p>
    <w:p>
      <w:pPr>
        <w:ind w:left="120" w:right="120"/>
        <w:spacing w:after="0" w:line="237" w:lineRule="auto"/>
        <w:rPr>
          <w:rFonts w:ascii="Arial" w:cs="Arial" w:eastAsia="Arial" w:hAnsi="Arial"/>
          <w:sz w:val="18"/>
          <w:szCs w:val="18"/>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The Compensation Committee also believes it should retain discretion to adjust the compensation of an NEO from time to time on account of extraordinary performance, unanticipated events or additional responsibilities, an employment agreement renewal or extension or other circumstances. See “</w:t>
      </w:r>
      <w:hyperlink w:anchor="page54">
        <w:r>
          <w:rPr>
            <w:rFonts w:ascii="Arial" w:cs="Arial" w:eastAsia="Arial" w:hAnsi="Arial"/>
            <w:sz w:val="18"/>
            <w:szCs w:val="18"/>
            <w:u w:val="single" w:color="auto"/>
            <w:color w:val="0000EE"/>
          </w:rPr>
          <w:t>Assessing NEO Performance</w:t>
        </w:r>
      </w:hyperlink>
      <w:r>
        <w:rPr>
          <w:rFonts w:ascii="Arial" w:cs="Arial" w:eastAsia="Arial" w:hAnsi="Arial"/>
          <w:sz w:val="18"/>
          <w:szCs w:val="18"/>
          <w:color w:val="auto"/>
        </w:rPr>
        <w:t>” below for information on how the Compensation Committee assessed performance in 2019.</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Role of Compensation Consultants</w:t>
      </w:r>
    </w:p>
    <w:p>
      <w:pPr>
        <w:spacing w:after="0" w:line="1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Compensation Committee has directly engaged Korn Ferry as its own independent compensation consultant. In determining 2019 compensation, the Compensation Committee directed Korn Ferry to provide it with various compensation analyses as described above; Korn Ferry did not recommend or determine compensation levels or elements, performance targets or compensation plan design. The Compensation Committee assessed Korn Ferry’s work as required under SEC rules and concluded that its work for the Compensation Committee in 2019 did not raise any conflicts of interest. See “Corporate Governance – The Board – Compensation Consultant” above for additional information.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Use of Competitive Data</w:t>
      </w:r>
    </w:p>
    <w:p>
      <w:pPr>
        <w:spacing w:after="0" w:line="18" w:lineRule="exact"/>
        <w:rPr>
          <w:sz w:val="20"/>
          <w:szCs w:val="20"/>
          <w:color w:val="auto"/>
        </w:rPr>
      </w:pPr>
    </w:p>
    <w:p>
      <w:pPr>
        <w:ind w:left="120" w:right="160"/>
        <w:spacing w:after="0" w:line="257" w:lineRule="auto"/>
        <w:rPr>
          <w:sz w:val="20"/>
          <w:szCs w:val="20"/>
          <w:color w:val="auto"/>
        </w:rPr>
      </w:pPr>
      <w:r>
        <w:rPr>
          <w:rFonts w:ascii="Arial" w:cs="Arial" w:eastAsia="Arial" w:hAnsi="Arial"/>
          <w:sz w:val="17"/>
          <w:szCs w:val="17"/>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 in context in determining compensation levels (and when to change compensation levels).</w:t>
      </w:r>
    </w:p>
    <w:p>
      <w:pPr>
        <w:spacing w:after="0" w:line="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color w:val="0A33A5"/>
        </w:rPr>
        <w:t>Peer Groups</w:t>
      </w:r>
      <w:r>
        <w:rPr>
          <w:rFonts w:ascii="Arial" w:cs="Arial" w:eastAsia="Arial" w:hAnsi="Arial"/>
          <w:sz w:val="18"/>
          <w:szCs w:val="18"/>
          <w:color w:val="000000"/>
        </w:rPr>
        <w:t>. Our company is uniquely positioned among our peers, owning Comcast Cable – a distributor of content; NBCUniversal – a</w:t>
      </w:r>
      <w:r>
        <w:rPr>
          <w:rFonts w:ascii="Arial" w:cs="Arial" w:eastAsia="Arial" w:hAnsi="Arial"/>
          <w:sz w:val="18"/>
          <w:szCs w:val="18"/>
          <w:b w:val="1"/>
          <w:bCs w:val="1"/>
          <w:color w:val="0A33A5"/>
        </w:rPr>
        <w:t xml:space="preserve"> </w:t>
      </w:r>
      <w:r>
        <w:rPr>
          <w:rFonts w:ascii="Arial" w:cs="Arial" w:eastAsia="Arial" w:hAnsi="Arial"/>
          <w:sz w:val="18"/>
          <w:szCs w:val="18"/>
          <w:color w:val="000000"/>
        </w:rPr>
        <w:t>creator of content; and Sky – a leading distributor and creator of content in Europe. As such, our NEOs are responsible for managing a more complex and diversified company than many companies in our peer groups.</w:t>
      </w:r>
    </w:p>
    <w:p>
      <w:pPr>
        <w:spacing w:after="0" w:line="8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There are challenges in developing a peer group for assessing pay and performance given the complexity, diversity and size of our businesses. Our Compensation Committee used three distinct peer groups (rather than a blend of all types of peers)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to review executive pay for 2019, and, with the assistance of Korn Ferry, triangulated data from the three peer groups and other data to conduct a more holistic review of our pay and performance. Together, these three peer groups reflect the prominence of our primary businesses and the size, scope, diversity and complexity of our businesses and enhance the Compensation Committee’s deliberations by allowing it to review practices and outcomes that are distinctive to each peer group.</w:t>
      </w:r>
    </w:p>
    <w:p>
      <w:pPr>
        <w:spacing w:after="0" w:line="34" w:lineRule="exact"/>
        <w:rPr>
          <w:sz w:val="20"/>
          <w:szCs w:val="20"/>
          <w:color w:val="auto"/>
        </w:rPr>
      </w:pPr>
    </w:p>
    <w:p>
      <w:pPr>
        <w:ind w:left="980" w:right="14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0A33A5"/>
        </w:rPr>
        <w:t>Entertainment/Media Peer Group</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The Compensation Committee pays particular attention to the entertainment/media peer</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group 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a leading cable company. Media companies continue to look for new ways to distribute and monetize their content, both directly to consumers through the Internet and indirectly through traditional and virtual video distributors. For all of these reasons, our executives are attractive candidates to entertainment/media companies, in addition to those companies’ executives being attractive to us.</w:t>
      </w:r>
    </w:p>
    <w:p>
      <w:pPr>
        <w:spacing w:after="0" w:line="36" w:lineRule="exact"/>
        <w:rPr>
          <w:rFonts w:ascii="Arial" w:cs="Arial" w:eastAsia="Arial" w:hAnsi="Arial"/>
          <w:sz w:val="18"/>
          <w:szCs w:val="18"/>
          <w:color w:val="auto"/>
        </w:rPr>
      </w:pPr>
    </w:p>
    <w:p>
      <w:pPr>
        <w:ind w:left="980" w:right="40" w:hanging="324"/>
        <w:spacing w:after="0" w:line="25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0A33A5"/>
        </w:rPr>
        <w:t>Transmission/Distribution Peer Group</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Comcast Cable and Sky are leading providers of high-speed internet, video, voice</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and wireless services in the United States and Europe. Many companies in this peer group are among our primary competitors, and we believe our stock price has a strong correlation with certain of these peer group companies.</w:t>
      </w:r>
    </w:p>
    <w:p>
      <w:pPr>
        <w:spacing w:after="0" w:line="20" w:lineRule="exact"/>
        <w:rPr>
          <w:rFonts w:ascii="Arial" w:cs="Arial" w:eastAsia="Arial" w:hAnsi="Arial"/>
          <w:sz w:val="18"/>
          <w:szCs w:val="18"/>
          <w:color w:val="auto"/>
        </w:rPr>
      </w:pPr>
    </w:p>
    <w:p>
      <w:pPr>
        <w:jc w:val="both"/>
        <w:ind w:left="980" w:right="440" w:hanging="324"/>
        <w:spacing w:after="0" w:line="25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0A33A5"/>
        </w:rPr>
        <w:t>General Industry Peer Group</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Our revenue and market capitalization rank us among the largest companies in the United</w:t>
      </w:r>
      <w:r>
        <w:rPr>
          <w:rFonts w:ascii="Arial" w:cs="Arial" w:eastAsia="Arial" w:hAnsi="Arial"/>
          <w:sz w:val="18"/>
          <w:szCs w:val="18"/>
          <w:b w:val="1"/>
          <w:bCs w:val="1"/>
          <w:i w:val="1"/>
          <w:iCs w:val="1"/>
          <w:color w:val="0A33A5"/>
        </w:rPr>
        <w:t xml:space="preserve"> </w:t>
      </w:r>
      <w:r>
        <w:rPr>
          <w:rFonts w:ascii="Arial" w:cs="Arial" w:eastAsia="Arial" w:hAnsi="Arial"/>
          <w:sz w:val="18"/>
          <w:szCs w:val="18"/>
          <w:color w:val="000000"/>
        </w:rPr>
        <w:t>States. This peer group includes companies in the consumer products and services, industrial and technology sectors with revenue and market capitalization levels similar to ours.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160" w:type="dxa"/>
            <w:vAlign w:val="bottom"/>
            <w:tcBorders>
              <w:bottom w:val="single" w:sz="8" w:color="auto"/>
            </w:tcBorders>
            <w:shd w:val="clear" w:color="auto" w:fill="DDF2F9"/>
          </w:tcPr>
          <w:p>
            <w:pPr>
              <w:spacing w:after="0"/>
              <w:rPr>
                <w:sz w:val="22"/>
                <w:szCs w:val="22"/>
                <w:color w:val="auto"/>
              </w:rPr>
            </w:pPr>
          </w:p>
        </w:tc>
        <w:tc>
          <w:tcPr>
            <w:tcW w:w="2480" w:type="dxa"/>
            <w:vAlign w:val="bottom"/>
            <w:tcBorders>
              <w:bottom w:val="single" w:sz="8" w:color="auto"/>
            </w:tcBorders>
            <w:shd w:val="clear" w:color="auto" w:fill="DDF2F9"/>
          </w:tcPr>
          <w:p>
            <w:pPr>
              <w:ind w:left="40"/>
              <w:spacing w:after="0"/>
              <w:rPr>
                <w:sz w:val="20"/>
                <w:szCs w:val="20"/>
                <w:color w:val="auto"/>
              </w:rPr>
            </w:pPr>
            <w:r>
              <w:rPr>
                <w:rFonts w:ascii="Arial" w:cs="Arial" w:eastAsia="Arial" w:hAnsi="Arial"/>
                <w:sz w:val="18"/>
                <w:szCs w:val="18"/>
                <w:b w:val="1"/>
                <w:bCs w:val="1"/>
                <w:color w:val="0A33A5"/>
              </w:rPr>
              <w:t>Entertainment/Media</w:t>
            </w:r>
            <w:r>
              <w:rPr>
                <w:rFonts w:ascii="Arial" w:cs="Arial" w:eastAsia="Arial" w:hAnsi="Arial"/>
                <w:sz w:val="15"/>
                <w:szCs w:val="15"/>
                <w:b w:val="1"/>
                <w:bCs w:val="1"/>
                <w:color w:val="0A33A5"/>
              </w:rPr>
              <w:t>(1)</w:t>
            </w:r>
          </w:p>
        </w:tc>
        <w:tc>
          <w:tcPr>
            <w:tcW w:w="120" w:type="dxa"/>
            <w:vAlign w:val="bottom"/>
            <w:tcBorders>
              <w:bottom w:val="single" w:sz="8" w:color="F2F2F2"/>
            </w:tcBorders>
            <w:shd w:val="clear" w:color="auto" w:fill="F2F2F2"/>
          </w:tcPr>
          <w:p>
            <w:pPr>
              <w:spacing w:after="0"/>
              <w:rPr>
                <w:sz w:val="22"/>
                <w:szCs w:val="22"/>
                <w:color w:val="auto"/>
              </w:rPr>
            </w:pPr>
          </w:p>
        </w:tc>
        <w:tc>
          <w:tcPr>
            <w:tcW w:w="100" w:type="dxa"/>
            <w:vAlign w:val="bottom"/>
            <w:tcBorders>
              <w:bottom w:val="single" w:sz="8" w:color="auto"/>
            </w:tcBorders>
            <w:shd w:val="clear" w:color="auto" w:fill="F2F2F2"/>
          </w:tcPr>
          <w:p>
            <w:pPr>
              <w:spacing w:after="0"/>
              <w:rPr>
                <w:sz w:val="22"/>
                <w:szCs w:val="22"/>
                <w:color w:val="auto"/>
              </w:rPr>
            </w:pPr>
          </w:p>
        </w:tc>
        <w:tc>
          <w:tcPr>
            <w:tcW w:w="2760" w:type="dxa"/>
            <w:vAlign w:val="bottom"/>
            <w:tcBorders>
              <w:bottom w:val="single" w:sz="8" w:color="auto"/>
            </w:tcBorders>
            <w:shd w:val="clear" w:color="auto" w:fill="F2F2F2"/>
          </w:tcPr>
          <w:p>
            <w:pPr>
              <w:ind w:left="100"/>
              <w:spacing w:after="0"/>
              <w:rPr>
                <w:sz w:val="20"/>
                <w:szCs w:val="20"/>
                <w:color w:val="auto"/>
              </w:rPr>
            </w:pPr>
            <w:r>
              <w:rPr>
                <w:rFonts w:ascii="Arial" w:cs="Arial" w:eastAsia="Arial" w:hAnsi="Arial"/>
                <w:sz w:val="18"/>
                <w:szCs w:val="18"/>
                <w:b w:val="1"/>
                <w:bCs w:val="1"/>
                <w:color w:val="0A33A5"/>
              </w:rPr>
              <w:t>Transmission/Distribution</w:t>
            </w:r>
            <w:r>
              <w:rPr>
                <w:rFonts w:ascii="Arial" w:cs="Arial" w:eastAsia="Arial" w:hAnsi="Arial"/>
                <w:sz w:val="15"/>
                <w:szCs w:val="15"/>
                <w:b w:val="1"/>
                <w:bCs w:val="1"/>
                <w:color w:val="0A33A5"/>
              </w:rPr>
              <w:t>(1)</w:t>
            </w:r>
          </w:p>
        </w:tc>
        <w:tc>
          <w:tcPr>
            <w:tcW w:w="120" w:type="dxa"/>
            <w:vAlign w:val="bottom"/>
            <w:tcBorders>
              <w:bottom w:val="single" w:sz="8" w:color="DDF2F9"/>
            </w:tcBorders>
            <w:shd w:val="clear" w:color="auto" w:fill="DDF2F9"/>
          </w:tcPr>
          <w:p>
            <w:pPr>
              <w:spacing w:after="0"/>
              <w:rPr>
                <w:sz w:val="22"/>
                <w:szCs w:val="22"/>
                <w:color w:val="auto"/>
              </w:rPr>
            </w:pPr>
          </w:p>
        </w:tc>
        <w:tc>
          <w:tcPr>
            <w:tcW w:w="100" w:type="dxa"/>
            <w:vAlign w:val="bottom"/>
            <w:tcBorders>
              <w:bottom w:val="single" w:sz="8" w:color="auto"/>
            </w:tcBorders>
            <w:shd w:val="clear" w:color="auto" w:fill="DDF2F9"/>
          </w:tcPr>
          <w:p>
            <w:pPr>
              <w:spacing w:after="0"/>
              <w:rPr>
                <w:sz w:val="22"/>
                <w:szCs w:val="22"/>
                <w:color w:val="auto"/>
              </w:rPr>
            </w:pPr>
          </w:p>
        </w:tc>
        <w:tc>
          <w:tcPr>
            <w:tcW w:w="5180" w:type="dxa"/>
            <w:vAlign w:val="bottom"/>
            <w:tcBorders>
              <w:bottom w:val="single" w:sz="8" w:color="auto"/>
            </w:tcBorders>
            <w:gridSpan w:val="3"/>
            <w:shd w:val="clear" w:color="auto" w:fill="DDF2F9"/>
          </w:tcPr>
          <w:p>
            <w:pPr>
              <w:ind w:left="1720"/>
              <w:spacing w:after="0"/>
              <w:rPr>
                <w:sz w:val="20"/>
                <w:szCs w:val="20"/>
                <w:color w:val="auto"/>
              </w:rPr>
            </w:pPr>
            <w:r>
              <w:rPr>
                <w:rFonts w:ascii="Arial" w:cs="Arial" w:eastAsia="Arial" w:hAnsi="Arial"/>
                <w:sz w:val="18"/>
                <w:szCs w:val="18"/>
                <w:b w:val="1"/>
                <w:bCs w:val="1"/>
                <w:color w:val="0A33A5"/>
              </w:rPr>
              <w:t>General Industry</w:t>
            </w:r>
            <w:r>
              <w:rPr>
                <w:rFonts w:ascii="Arial" w:cs="Arial" w:eastAsia="Arial" w:hAnsi="Arial"/>
                <w:sz w:val="15"/>
                <w:szCs w:val="15"/>
                <w:b w:val="1"/>
                <w:bCs w:val="1"/>
                <w:color w:val="0A33A5"/>
              </w:rPr>
              <w:t>(1)</w:t>
            </w:r>
          </w:p>
        </w:tc>
      </w:tr>
      <w:tr>
        <w:trPr>
          <w:trHeight w:val="225"/>
        </w:trPr>
        <w:tc>
          <w:tcPr>
            <w:tcW w:w="2640" w:type="dxa"/>
            <w:vAlign w:val="bottom"/>
            <w:gridSpan w:val="2"/>
            <w:shd w:val="clear" w:color="auto" w:fill="DDF2F9"/>
          </w:tcPr>
          <w:p>
            <w:pPr>
              <w:ind w:left="60"/>
              <w:spacing w:after="0"/>
              <w:rPr>
                <w:sz w:val="20"/>
                <w:szCs w:val="20"/>
                <w:color w:val="auto"/>
              </w:rPr>
            </w:pPr>
            <w:r>
              <w:rPr>
                <w:rFonts w:ascii="Arial" w:cs="Arial" w:eastAsia="Arial" w:hAnsi="Arial"/>
                <w:sz w:val="16"/>
                <w:szCs w:val="16"/>
                <w:color w:val="auto"/>
              </w:rPr>
              <w:t>• Discovery, Inc.</w:t>
            </w:r>
          </w:p>
        </w:tc>
        <w:tc>
          <w:tcPr>
            <w:tcW w:w="120" w:type="dxa"/>
            <w:vAlign w:val="bottom"/>
            <w:shd w:val="clear" w:color="auto" w:fill="F2F2F2"/>
          </w:tcPr>
          <w:p>
            <w:pPr>
              <w:spacing w:after="0"/>
              <w:rPr>
                <w:sz w:val="19"/>
                <w:szCs w:val="19"/>
                <w:color w:val="auto"/>
              </w:rPr>
            </w:pPr>
          </w:p>
        </w:tc>
        <w:tc>
          <w:tcPr>
            <w:tcW w:w="2860" w:type="dxa"/>
            <w:vAlign w:val="bottom"/>
            <w:gridSpan w:val="2"/>
            <w:shd w:val="clear" w:color="auto" w:fill="F2F2F2"/>
          </w:tcPr>
          <w:p>
            <w:pPr>
              <w:spacing w:after="0"/>
              <w:rPr>
                <w:sz w:val="20"/>
                <w:szCs w:val="20"/>
                <w:color w:val="auto"/>
              </w:rPr>
            </w:pPr>
            <w:r>
              <w:rPr>
                <w:rFonts w:ascii="Arial" w:cs="Arial" w:eastAsia="Arial" w:hAnsi="Arial"/>
                <w:sz w:val="16"/>
                <w:szCs w:val="16"/>
                <w:color w:val="auto"/>
              </w:rPr>
              <w:t>• AT&amp;T Inc.</w:t>
            </w:r>
          </w:p>
        </w:tc>
        <w:tc>
          <w:tcPr>
            <w:tcW w:w="120" w:type="dxa"/>
            <w:vAlign w:val="bottom"/>
            <w:shd w:val="clear" w:color="auto" w:fill="DDF2F9"/>
          </w:tcPr>
          <w:p>
            <w:pPr>
              <w:spacing w:after="0"/>
              <w:rPr>
                <w:sz w:val="19"/>
                <w:szCs w:val="19"/>
                <w:color w:val="auto"/>
              </w:rPr>
            </w:pPr>
          </w:p>
        </w:tc>
        <w:tc>
          <w:tcPr>
            <w:tcW w:w="2540" w:type="dxa"/>
            <w:vAlign w:val="bottom"/>
            <w:gridSpan w:val="2"/>
            <w:shd w:val="clear" w:color="auto" w:fill="DDF2F9"/>
          </w:tcPr>
          <w:p>
            <w:pPr>
              <w:spacing w:after="0"/>
              <w:rPr>
                <w:sz w:val="20"/>
                <w:szCs w:val="20"/>
                <w:color w:val="auto"/>
              </w:rPr>
            </w:pPr>
            <w:r>
              <w:rPr>
                <w:rFonts w:ascii="Arial" w:cs="Arial" w:eastAsia="Arial" w:hAnsi="Arial"/>
                <w:sz w:val="16"/>
                <w:szCs w:val="16"/>
                <w:color w:val="auto"/>
              </w:rPr>
              <w:t>• 3M Company</w:t>
            </w:r>
          </w:p>
        </w:tc>
        <w:tc>
          <w:tcPr>
            <w:tcW w:w="2740" w:type="dxa"/>
            <w:vAlign w:val="bottom"/>
            <w:gridSpan w:val="2"/>
            <w:shd w:val="clear" w:color="auto" w:fill="DDF2F9"/>
          </w:tcPr>
          <w:p>
            <w:pPr>
              <w:ind w:left="80"/>
              <w:spacing w:after="0"/>
              <w:rPr>
                <w:sz w:val="20"/>
                <w:szCs w:val="20"/>
                <w:color w:val="auto"/>
              </w:rPr>
            </w:pPr>
            <w:r>
              <w:rPr>
                <w:rFonts w:ascii="Arial" w:cs="Arial" w:eastAsia="Arial" w:hAnsi="Arial"/>
                <w:sz w:val="16"/>
                <w:szCs w:val="16"/>
                <w:color w:val="auto"/>
              </w:rPr>
              <w:t>• Johnson &amp; Johnson</w:t>
            </w:r>
          </w:p>
        </w:tc>
      </w:tr>
      <w:tr>
        <w:trPr>
          <w:trHeight w:val="189"/>
        </w:trPr>
        <w:tc>
          <w:tcPr>
            <w:tcW w:w="160" w:type="dxa"/>
            <w:vAlign w:val="bottom"/>
            <w:shd w:val="clear" w:color="auto" w:fill="DDF2F9"/>
          </w:tcPr>
          <w:p>
            <w:pPr>
              <w:ind w:left="60"/>
              <w:spacing w:after="0"/>
              <w:rPr>
                <w:sz w:val="20"/>
                <w:szCs w:val="20"/>
                <w:color w:val="auto"/>
              </w:rPr>
            </w:pPr>
            <w:r>
              <w:rPr>
                <w:rFonts w:ascii="Arial" w:cs="Arial" w:eastAsia="Arial" w:hAnsi="Arial"/>
                <w:sz w:val="16"/>
                <w:szCs w:val="16"/>
                <w:color w:val="auto"/>
              </w:rPr>
              <w:t>•</w:t>
            </w:r>
          </w:p>
        </w:tc>
        <w:tc>
          <w:tcPr>
            <w:tcW w:w="2480" w:type="dxa"/>
            <w:vAlign w:val="bottom"/>
            <w:shd w:val="clear" w:color="auto" w:fill="DDF2F9"/>
          </w:tcPr>
          <w:p>
            <w:pPr>
              <w:ind w:left="60"/>
              <w:spacing w:after="0"/>
              <w:rPr>
                <w:sz w:val="20"/>
                <w:szCs w:val="20"/>
                <w:color w:val="auto"/>
              </w:rPr>
            </w:pPr>
            <w:r>
              <w:rPr>
                <w:rFonts w:ascii="Arial" w:cs="Arial" w:eastAsia="Arial" w:hAnsi="Arial"/>
                <w:sz w:val="16"/>
                <w:szCs w:val="16"/>
                <w:color w:val="auto"/>
              </w:rPr>
              <w:t>Netflix, Inc.</w:t>
            </w: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CenturyLink, Inc.</w:t>
            </w: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Alphabet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Lockheed Martin Corporation</w:t>
            </w:r>
          </w:p>
        </w:tc>
      </w:tr>
      <w:tr>
        <w:trPr>
          <w:trHeight w:val="189"/>
        </w:trPr>
        <w:tc>
          <w:tcPr>
            <w:tcW w:w="2640" w:type="dxa"/>
            <w:vAlign w:val="bottom"/>
            <w:gridSpan w:val="2"/>
            <w:shd w:val="clear" w:color="auto" w:fill="DDF2F9"/>
          </w:tcPr>
          <w:p>
            <w:pPr>
              <w:ind w:left="60"/>
              <w:spacing w:after="0"/>
              <w:rPr>
                <w:sz w:val="20"/>
                <w:szCs w:val="20"/>
                <w:color w:val="auto"/>
              </w:rPr>
            </w:pPr>
            <w:r>
              <w:rPr>
                <w:rFonts w:ascii="Arial" w:cs="Arial" w:eastAsia="Arial" w:hAnsi="Arial"/>
                <w:sz w:val="16"/>
                <w:szCs w:val="16"/>
                <w:color w:val="auto"/>
              </w:rPr>
              <w:t>• The Walt Disney Company</w:t>
            </w: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Charter Communications, Inc.</w:t>
            </w:r>
          </w:p>
        </w:tc>
        <w:tc>
          <w:tcPr>
            <w:tcW w:w="120" w:type="dxa"/>
            <w:vAlign w:val="bottom"/>
            <w:shd w:val="clear" w:color="auto" w:fill="DDF2F9"/>
          </w:tcPr>
          <w:p>
            <w:pPr>
              <w:spacing w:after="0"/>
              <w:rPr>
                <w:sz w:val="16"/>
                <w:szCs w:val="16"/>
                <w:color w:val="auto"/>
              </w:rPr>
            </w:pPr>
          </w:p>
        </w:tc>
        <w:tc>
          <w:tcPr>
            <w:tcW w:w="2540" w:type="dxa"/>
            <w:vAlign w:val="bottom"/>
            <w:gridSpan w:val="2"/>
            <w:shd w:val="clear" w:color="auto" w:fill="DDF2F9"/>
          </w:tcPr>
          <w:p>
            <w:pPr>
              <w:spacing w:after="0"/>
              <w:rPr>
                <w:sz w:val="20"/>
                <w:szCs w:val="20"/>
                <w:color w:val="auto"/>
              </w:rPr>
            </w:pPr>
            <w:r>
              <w:rPr>
                <w:rFonts w:ascii="Arial" w:cs="Arial" w:eastAsia="Arial" w:hAnsi="Arial"/>
                <w:sz w:val="16"/>
                <w:szCs w:val="16"/>
                <w:color w:val="auto"/>
              </w:rPr>
              <w:t>• Amazon.com,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McDonald’s Corporation</w:t>
            </w:r>
          </w:p>
        </w:tc>
      </w:tr>
      <w:tr>
        <w:trPr>
          <w:trHeight w:val="189"/>
        </w:trPr>
        <w:tc>
          <w:tcPr>
            <w:tcW w:w="160" w:type="dxa"/>
            <w:vAlign w:val="bottom"/>
            <w:shd w:val="clear" w:color="auto" w:fill="DDF2F9"/>
          </w:tcPr>
          <w:p>
            <w:pPr>
              <w:ind w:left="60"/>
              <w:spacing w:after="0"/>
              <w:rPr>
                <w:sz w:val="20"/>
                <w:szCs w:val="20"/>
                <w:color w:val="auto"/>
              </w:rPr>
            </w:pPr>
            <w:r>
              <w:rPr>
                <w:rFonts w:ascii="Arial" w:cs="Arial" w:eastAsia="Arial" w:hAnsi="Arial"/>
                <w:sz w:val="16"/>
                <w:szCs w:val="16"/>
                <w:color w:val="auto"/>
              </w:rPr>
              <w:t>•</w:t>
            </w:r>
          </w:p>
        </w:tc>
        <w:tc>
          <w:tcPr>
            <w:tcW w:w="2480" w:type="dxa"/>
            <w:vAlign w:val="bottom"/>
            <w:shd w:val="clear" w:color="auto" w:fill="DDF2F9"/>
          </w:tcPr>
          <w:p>
            <w:pPr>
              <w:ind w:left="60"/>
              <w:spacing w:after="0"/>
              <w:rPr>
                <w:sz w:val="20"/>
                <w:szCs w:val="20"/>
                <w:color w:val="auto"/>
              </w:rPr>
            </w:pPr>
            <w:r>
              <w:rPr>
                <w:rFonts w:ascii="Arial" w:cs="Arial" w:eastAsia="Arial" w:hAnsi="Arial"/>
                <w:sz w:val="16"/>
                <w:szCs w:val="16"/>
                <w:color w:val="auto"/>
              </w:rPr>
              <w:t>ViacomCBS Inc.</w:t>
            </w: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DISH Network Corporation</w:t>
            </w:r>
          </w:p>
        </w:tc>
        <w:tc>
          <w:tcPr>
            <w:tcW w:w="120" w:type="dxa"/>
            <w:vAlign w:val="bottom"/>
            <w:shd w:val="clear" w:color="auto" w:fill="DDF2F9"/>
          </w:tcPr>
          <w:p>
            <w:pPr>
              <w:spacing w:after="0"/>
              <w:rPr>
                <w:sz w:val="16"/>
                <w:szCs w:val="16"/>
                <w:color w:val="auto"/>
              </w:rPr>
            </w:pPr>
          </w:p>
        </w:tc>
        <w:tc>
          <w:tcPr>
            <w:tcW w:w="2540" w:type="dxa"/>
            <w:vAlign w:val="bottom"/>
            <w:gridSpan w:val="2"/>
            <w:shd w:val="clear" w:color="auto" w:fill="DDF2F9"/>
          </w:tcPr>
          <w:p>
            <w:pPr>
              <w:spacing w:after="0"/>
              <w:rPr>
                <w:sz w:val="20"/>
                <w:szCs w:val="20"/>
                <w:color w:val="auto"/>
              </w:rPr>
            </w:pPr>
            <w:r>
              <w:rPr>
                <w:rFonts w:ascii="Arial" w:cs="Arial" w:eastAsia="Arial" w:hAnsi="Arial"/>
                <w:sz w:val="16"/>
                <w:szCs w:val="16"/>
                <w:color w:val="auto"/>
              </w:rPr>
              <w:t>• Apple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McKesson Corporation</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Netflix, Inc.</w:t>
            </w: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The Boeing Company</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Merck &amp; Co. Inc.</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Sprint Corporation</w:t>
            </w: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Caterpillar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Microsoft Corporation</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40"/>
              <w:spacing w:after="0"/>
              <w:rPr>
                <w:sz w:val="20"/>
                <w:szCs w:val="20"/>
                <w:color w:val="auto"/>
              </w:rPr>
            </w:pPr>
            <w:r>
              <w:rPr>
                <w:rFonts w:ascii="Arial" w:cs="Arial" w:eastAsia="Arial" w:hAnsi="Arial"/>
                <w:sz w:val="16"/>
                <w:szCs w:val="16"/>
                <w:color w:val="auto"/>
              </w:rPr>
              <w:t>T-Mobile US, Inc.</w:t>
            </w: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Cisco Systems,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Oracle Corporation</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760" w:type="dxa"/>
            <w:vAlign w:val="bottom"/>
            <w:shd w:val="clear" w:color="auto" w:fill="F2F2F2"/>
          </w:tcPr>
          <w:p>
            <w:pPr>
              <w:ind w:left="60"/>
              <w:spacing w:after="0"/>
              <w:rPr>
                <w:sz w:val="20"/>
                <w:szCs w:val="20"/>
                <w:color w:val="auto"/>
              </w:rPr>
            </w:pPr>
            <w:r>
              <w:rPr>
                <w:rFonts w:ascii="Arial" w:cs="Arial" w:eastAsia="Arial" w:hAnsi="Arial"/>
                <w:sz w:val="16"/>
                <w:szCs w:val="16"/>
                <w:color w:val="auto"/>
              </w:rPr>
              <w:t>Verizon Communications Inc.</w:t>
            </w:r>
          </w:p>
        </w:tc>
        <w:tc>
          <w:tcPr>
            <w:tcW w:w="120" w:type="dxa"/>
            <w:vAlign w:val="bottom"/>
            <w:shd w:val="clear" w:color="auto" w:fill="DDF2F9"/>
          </w:tcPr>
          <w:p>
            <w:pPr>
              <w:spacing w:after="0"/>
              <w:rPr>
                <w:sz w:val="16"/>
                <w:szCs w:val="16"/>
                <w:color w:val="auto"/>
              </w:rPr>
            </w:pPr>
          </w:p>
        </w:tc>
        <w:tc>
          <w:tcPr>
            <w:tcW w:w="2540" w:type="dxa"/>
            <w:vAlign w:val="bottom"/>
            <w:gridSpan w:val="2"/>
            <w:shd w:val="clear" w:color="auto" w:fill="DDF2F9"/>
          </w:tcPr>
          <w:p>
            <w:pPr>
              <w:spacing w:after="0"/>
              <w:rPr>
                <w:sz w:val="20"/>
                <w:szCs w:val="20"/>
                <w:color w:val="auto"/>
              </w:rPr>
            </w:pPr>
            <w:r>
              <w:rPr>
                <w:rFonts w:ascii="Arial" w:cs="Arial" w:eastAsia="Arial" w:hAnsi="Arial"/>
                <w:sz w:val="16"/>
                <w:szCs w:val="16"/>
                <w:color w:val="auto"/>
              </w:rPr>
              <w:t>• The Coca-Cola Company</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PepsiCo, Inc.</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Deere &amp; Co.</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Pfizer Inc.</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2540" w:type="dxa"/>
            <w:vAlign w:val="bottom"/>
            <w:gridSpan w:val="2"/>
            <w:shd w:val="clear" w:color="auto" w:fill="DDF2F9"/>
          </w:tcPr>
          <w:p>
            <w:pPr>
              <w:spacing w:after="0"/>
              <w:rPr>
                <w:sz w:val="20"/>
                <w:szCs w:val="20"/>
                <w:color w:val="auto"/>
              </w:rPr>
            </w:pPr>
            <w:r>
              <w:rPr>
                <w:rFonts w:ascii="Arial" w:cs="Arial" w:eastAsia="Arial" w:hAnsi="Arial"/>
                <w:sz w:val="16"/>
                <w:szCs w:val="16"/>
                <w:color w:val="auto"/>
              </w:rPr>
              <w:t>• DowDuPont Inc.</w:t>
            </w:r>
          </w:p>
        </w:tc>
        <w:tc>
          <w:tcPr>
            <w:tcW w:w="2740" w:type="dxa"/>
            <w:vAlign w:val="bottom"/>
            <w:gridSpan w:val="2"/>
            <w:shd w:val="clear" w:color="auto" w:fill="DDF2F9"/>
          </w:tcPr>
          <w:p>
            <w:pPr>
              <w:ind w:left="80"/>
              <w:spacing w:after="0"/>
              <w:rPr>
                <w:sz w:val="20"/>
                <w:szCs w:val="20"/>
                <w:color w:val="auto"/>
              </w:rPr>
            </w:pPr>
            <w:r>
              <w:rPr>
                <w:rFonts w:ascii="Arial" w:cs="Arial" w:eastAsia="Arial" w:hAnsi="Arial"/>
                <w:sz w:val="16"/>
                <w:szCs w:val="16"/>
                <w:color w:val="auto"/>
              </w:rPr>
              <w:t>• Procter &amp; Gamble Co.</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Express Scripts Holding Co.</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UnitedHealth Group Incorporated</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The General Electric Company</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United Parcel Service, Inc.</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Honeywell International Inc.</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United Technologies Corporation</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Intel Corporation</w:t>
            </w:r>
          </w:p>
        </w:tc>
        <w:tc>
          <w:tcPr>
            <w:tcW w:w="180" w:type="dxa"/>
            <w:vAlign w:val="bottom"/>
            <w:shd w:val="clear" w:color="auto" w:fill="DDF2F9"/>
          </w:tcPr>
          <w:p>
            <w:pPr>
              <w:ind w:left="80"/>
              <w:spacing w:after="0"/>
              <w:rPr>
                <w:sz w:val="20"/>
                <w:szCs w:val="20"/>
                <w:color w:val="auto"/>
              </w:rPr>
            </w:pPr>
            <w:r>
              <w:rPr>
                <w:rFonts w:ascii="Arial" w:cs="Arial" w:eastAsia="Arial" w:hAnsi="Arial"/>
                <w:sz w:val="16"/>
                <w:szCs w:val="16"/>
                <w:color w:val="auto"/>
              </w:rPr>
              <w:t>•</w:t>
            </w:r>
          </w:p>
        </w:tc>
        <w:tc>
          <w:tcPr>
            <w:tcW w:w="2560" w:type="dxa"/>
            <w:vAlign w:val="bottom"/>
            <w:shd w:val="clear" w:color="auto" w:fill="DDF2F9"/>
          </w:tcPr>
          <w:p>
            <w:pPr>
              <w:ind w:left="60"/>
              <w:spacing w:after="0"/>
              <w:rPr>
                <w:sz w:val="20"/>
                <w:szCs w:val="20"/>
                <w:color w:val="auto"/>
              </w:rPr>
            </w:pPr>
            <w:r>
              <w:rPr>
                <w:rFonts w:ascii="Arial" w:cs="Arial" w:eastAsia="Arial" w:hAnsi="Arial"/>
                <w:sz w:val="16"/>
                <w:szCs w:val="16"/>
                <w:color w:val="auto"/>
              </w:rPr>
              <w:t>Verizon Communications Inc.</w:t>
            </w:r>
          </w:p>
        </w:tc>
      </w:tr>
      <w:tr>
        <w:trPr>
          <w:trHeight w:val="189"/>
        </w:trPr>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6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100" w:type="dxa"/>
            <w:vAlign w:val="bottom"/>
            <w:shd w:val="clear" w:color="auto" w:fill="DDF2F9"/>
          </w:tcPr>
          <w:p>
            <w:pPr>
              <w:spacing w:after="0"/>
              <w:rPr>
                <w:sz w:val="20"/>
                <w:szCs w:val="20"/>
                <w:color w:val="auto"/>
              </w:rPr>
            </w:pPr>
            <w:r>
              <w:rPr>
                <w:rFonts w:ascii="Arial" w:cs="Arial" w:eastAsia="Arial" w:hAnsi="Arial"/>
                <w:sz w:val="16"/>
                <w:szCs w:val="16"/>
                <w:color w:val="auto"/>
              </w:rPr>
              <w:t>•</w:t>
            </w: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International Business Machines</w:t>
            </w:r>
          </w:p>
        </w:tc>
        <w:tc>
          <w:tcPr>
            <w:tcW w:w="2740" w:type="dxa"/>
            <w:vAlign w:val="bottom"/>
            <w:gridSpan w:val="2"/>
            <w:shd w:val="clear" w:color="auto" w:fill="DDF2F9"/>
          </w:tcPr>
          <w:p>
            <w:pPr>
              <w:ind w:left="80"/>
              <w:spacing w:after="0"/>
              <w:rPr>
                <w:sz w:val="20"/>
                <w:szCs w:val="20"/>
                <w:color w:val="auto"/>
              </w:rPr>
            </w:pPr>
            <w:r>
              <w:rPr>
                <w:rFonts w:ascii="Arial" w:cs="Arial" w:eastAsia="Arial" w:hAnsi="Arial"/>
                <w:sz w:val="16"/>
                <w:szCs w:val="16"/>
                <w:color w:val="auto"/>
              </w:rPr>
              <w:t>• The Walt Disney Company</w:t>
            </w:r>
          </w:p>
        </w:tc>
      </w:tr>
      <w:tr>
        <w:trPr>
          <w:trHeight w:val="201"/>
        </w:trPr>
        <w:tc>
          <w:tcPr>
            <w:tcW w:w="160" w:type="dxa"/>
            <w:vAlign w:val="bottom"/>
            <w:shd w:val="clear" w:color="auto" w:fill="DDF2F9"/>
          </w:tcPr>
          <w:p>
            <w:pPr>
              <w:spacing w:after="0"/>
              <w:rPr>
                <w:sz w:val="17"/>
                <w:szCs w:val="17"/>
                <w:color w:val="auto"/>
              </w:rPr>
            </w:pPr>
          </w:p>
        </w:tc>
        <w:tc>
          <w:tcPr>
            <w:tcW w:w="2480" w:type="dxa"/>
            <w:vAlign w:val="bottom"/>
            <w:shd w:val="clear" w:color="auto" w:fill="DDF2F9"/>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2760" w:type="dxa"/>
            <w:vAlign w:val="bottom"/>
            <w:shd w:val="clear" w:color="auto" w:fill="F2F2F2"/>
          </w:tcPr>
          <w:p>
            <w:pPr>
              <w:spacing w:after="0"/>
              <w:rPr>
                <w:sz w:val="17"/>
                <w:szCs w:val="17"/>
                <w:color w:val="auto"/>
              </w:rPr>
            </w:pPr>
          </w:p>
        </w:tc>
        <w:tc>
          <w:tcPr>
            <w:tcW w:w="120" w:type="dxa"/>
            <w:vAlign w:val="bottom"/>
            <w:shd w:val="clear" w:color="auto" w:fill="DDF2F9"/>
          </w:tcPr>
          <w:p>
            <w:pPr>
              <w:spacing w:after="0"/>
              <w:rPr>
                <w:sz w:val="17"/>
                <w:szCs w:val="17"/>
                <w:color w:val="auto"/>
              </w:rPr>
            </w:pPr>
          </w:p>
        </w:tc>
        <w:tc>
          <w:tcPr>
            <w:tcW w:w="100" w:type="dxa"/>
            <w:vAlign w:val="bottom"/>
            <w:shd w:val="clear" w:color="auto" w:fill="DDF2F9"/>
          </w:tcPr>
          <w:p>
            <w:pPr>
              <w:spacing w:after="0"/>
              <w:rPr>
                <w:sz w:val="17"/>
                <w:szCs w:val="17"/>
                <w:color w:val="auto"/>
              </w:rPr>
            </w:pPr>
          </w:p>
        </w:tc>
        <w:tc>
          <w:tcPr>
            <w:tcW w:w="2440" w:type="dxa"/>
            <w:vAlign w:val="bottom"/>
            <w:shd w:val="clear" w:color="auto" w:fill="DDF2F9"/>
          </w:tcPr>
          <w:p>
            <w:pPr>
              <w:ind w:left="40"/>
              <w:spacing w:after="0"/>
              <w:rPr>
                <w:sz w:val="20"/>
                <w:szCs w:val="20"/>
                <w:color w:val="auto"/>
              </w:rPr>
            </w:pPr>
            <w:r>
              <w:rPr>
                <w:rFonts w:ascii="Arial" w:cs="Arial" w:eastAsia="Arial" w:hAnsi="Arial"/>
                <w:sz w:val="16"/>
                <w:szCs w:val="16"/>
                <w:color w:val="auto"/>
              </w:rPr>
              <w:t>Corporation</w:t>
            </w:r>
          </w:p>
        </w:tc>
        <w:tc>
          <w:tcPr>
            <w:tcW w:w="180" w:type="dxa"/>
            <w:vAlign w:val="bottom"/>
            <w:shd w:val="clear" w:color="auto" w:fill="DDF2F9"/>
          </w:tcPr>
          <w:p>
            <w:pPr>
              <w:spacing w:after="0"/>
              <w:rPr>
                <w:sz w:val="17"/>
                <w:szCs w:val="17"/>
                <w:color w:val="auto"/>
              </w:rPr>
            </w:pPr>
          </w:p>
        </w:tc>
        <w:tc>
          <w:tcPr>
            <w:tcW w:w="2560" w:type="dxa"/>
            <w:vAlign w:val="bottom"/>
            <w:shd w:val="clear" w:color="auto" w:fill="DDF2F9"/>
          </w:tcPr>
          <w:p>
            <w:pPr>
              <w:spacing w:after="0"/>
              <w:rPr>
                <w:sz w:val="17"/>
                <w:szCs w:val="17"/>
                <w:color w:val="auto"/>
              </w:rPr>
            </w:pPr>
          </w:p>
        </w:tc>
      </w:tr>
    </w:tbl>
    <w:p>
      <w:pPr>
        <w:spacing w:after="0" w:line="118" w:lineRule="exact"/>
        <w:rPr>
          <w:sz w:val="20"/>
          <w:szCs w:val="20"/>
          <w:color w:val="auto"/>
        </w:rPr>
      </w:pPr>
    </w:p>
    <w:p>
      <w:pPr>
        <w:ind w:left="540" w:right="140" w:hanging="424"/>
        <w:spacing w:after="0" w:line="213"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2019, Netflix was added to the Entertainment/Media and Transmission/Distribution peer groups. Due to merger and acquisition activity, 21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Century Fox and Time Warner were removed from the 2019 Entertainment/Media peer group. Subsequent to determining these peer groups, CBS and Viacom merged in December 2019, DowDuPont underwent a series of business splits in 2019 and Express Scripts merged into Cigna in December 2018. In April 2020, Sprint and T-Mobile merged.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4445</wp:posOffset>
            </wp:positionV>
            <wp:extent cx="5177790" cy="248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77790" cy="2482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160" w:right="40" w:firstLine="55"/>
        <w:spacing w:after="0" w:line="301" w:lineRule="auto"/>
        <w:rPr>
          <w:sz w:val="20"/>
          <w:szCs w:val="20"/>
          <w:color w:val="auto"/>
        </w:rPr>
      </w:pPr>
      <w:r>
        <w:rPr>
          <w:rFonts w:ascii="Arial" w:cs="Arial" w:eastAsia="Arial" w:hAnsi="Arial"/>
          <w:sz w:val="17"/>
          <w:szCs w:val="17"/>
          <w:b w:val="1"/>
          <w:bCs w:val="1"/>
          <w:color w:val="auto"/>
        </w:rPr>
        <w:t>The Compensation Committee triangulates pay and performance results from all three peer groups, rather than aggregating all the data together, and places stronger weight on the entertainment/media, as well as the transmission/distribution, peer groups.</w:t>
      </w:r>
    </w:p>
    <w:p>
      <w:pPr>
        <w:spacing w:after="0" w:line="180" w:lineRule="exact"/>
        <w:rPr>
          <w:sz w:val="20"/>
          <w:szCs w:val="20"/>
          <w:color w:val="auto"/>
        </w:rPr>
      </w:pPr>
    </w:p>
    <w:p>
      <w:pPr>
        <w:ind w:left="980" w:right="140" w:hanging="324"/>
        <w:spacing w:after="0" w:line="238"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peer group analyses indicate that overall, our “pay at risk” practices are generally aligned with peer group practices, although Mr. Roberts’ compensation did have somewhat more emphasis on fixed compensation and less on annual equity awards than our peers. This mix is expected to change in 2020 due to the elimination of company contributions to his deferred compensation account.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324"/>
        <w:spacing w:after="0" w:line="24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Comparisons for (i) Mr. Roberts were made to peer chief executive officers for all peer groups, (ii) Mr. Cavanagh were made to peer chief financial officers for all peer groups, (iii) Mr. Burke were made to peer chief executive officers of the entertainment/media peer group and by ordinal rank (</w:t>
      </w:r>
      <w:r>
        <w:rPr>
          <w:rFonts w:ascii="Arial" w:cs="Arial" w:eastAsia="Arial" w:hAnsi="Arial"/>
          <w:sz w:val="17"/>
          <w:szCs w:val="17"/>
          <w:i w:val="1"/>
          <w:iCs w:val="1"/>
          <w:color w:val="auto"/>
        </w:rPr>
        <w:t>i.e.</w:t>
      </w:r>
      <w:r>
        <w:rPr>
          <w:rFonts w:ascii="Arial" w:cs="Arial" w:eastAsia="Arial" w:hAnsi="Arial"/>
          <w:sz w:val="17"/>
          <w:szCs w:val="17"/>
          <w:color w:val="auto"/>
        </w:rPr>
        <w:t>, the position in the Summary Compensation Table) for the entertainment/media and general industry peer groups, (iv) Mr. Watson were made to peer chief executive officers of the transmission/distribution peer group and by ordinal rank for the transmission/distribution and general industry peer groups, and</w:t>
      </w:r>
    </w:p>
    <w:p>
      <w:pPr>
        <w:spacing w:after="0" w:line="2" w:lineRule="exact"/>
        <w:rPr>
          <w:rFonts w:ascii="Arial" w:cs="Arial" w:eastAsia="Arial" w:hAnsi="Arial"/>
          <w:sz w:val="17"/>
          <w:szCs w:val="17"/>
          <w:color w:val="auto"/>
        </w:rPr>
      </w:pPr>
    </w:p>
    <w:p>
      <w:pPr>
        <w:ind w:left="980" w:right="140"/>
        <w:spacing w:after="0"/>
        <w:tabs>
          <w:tab w:leader="none" w:pos="1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Mr. Cohen were made by ordinal rank for all peer groups. Additionally, as a means to further inform the Compensation Committee, comparisons for Messrs. Burke and Watson were made to chief executive officers of general industry peer groups with revenues similar in size to those of their respective business units.</w:t>
      </w:r>
    </w:p>
    <w:p>
      <w:pPr>
        <w:spacing w:after="0" w:line="54" w:lineRule="exact"/>
        <w:rPr>
          <w:rFonts w:ascii="Arial" w:cs="Arial" w:eastAsia="Arial" w:hAnsi="Arial"/>
          <w:sz w:val="18"/>
          <w:szCs w:val="18"/>
          <w:color w:val="auto"/>
        </w:rPr>
      </w:pPr>
    </w:p>
    <w:p>
      <w:pPr>
        <w:ind w:left="980" w:right="40" w:hanging="324"/>
        <w:spacing w:after="0" w:line="23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Committee does not determine an NEO’s target compensation solely based on a specific reference point within our peer groups; instead, it reviews our peer group analyses, as well as the other analyses discussed above in “</w:t>
      </w:r>
      <w:hyperlink w:anchor="page51">
        <w:r>
          <w:rPr>
            <w:rFonts w:ascii="Arial" w:cs="Arial" w:eastAsia="Arial" w:hAnsi="Arial"/>
            <w:sz w:val="18"/>
            <w:szCs w:val="18"/>
            <w:u w:val="single" w:color="auto"/>
            <w:color w:val="0000EE"/>
          </w:rPr>
          <w:t>Compensation Committee’s Role, Process and Validation</w:t>
        </w:r>
      </w:hyperlink>
      <w:r>
        <w:rPr>
          <w:rFonts w:ascii="Arial" w:cs="Arial" w:eastAsia="Arial" w:hAnsi="Arial"/>
          <w:sz w:val="18"/>
          <w:szCs w:val="18"/>
          <w:color w:val="auto"/>
        </w:rPr>
        <w:t>,” both to validate our compensation program design and to inform its judgment in determining target compensation.</w:t>
      </w:r>
    </w:p>
    <w:p>
      <w:pPr>
        <w:spacing w:after="0" w:line="56" w:lineRule="exact"/>
        <w:rPr>
          <w:rFonts w:ascii="Arial" w:cs="Arial" w:eastAsia="Arial" w:hAnsi="Arial"/>
          <w:sz w:val="18"/>
          <w:szCs w:val="18"/>
          <w:color w:val="auto"/>
        </w:rPr>
      </w:pPr>
    </w:p>
    <w:p>
      <w:pPr>
        <w:ind w:left="1640" w:right="340" w:hanging="431"/>
        <w:spacing w:after="0" w:line="274" w:lineRule="auto"/>
        <w:tabs>
          <w:tab w:leader="none" w:pos="1640" w:val="left"/>
        </w:tabs>
        <w:numPr>
          <w:ilvl w:val="2"/>
          <w:numId w:val="60"/>
        </w:numPr>
        <w:rPr>
          <w:rFonts w:ascii="Arial" w:cs="Arial" w:eastAsia="Arial" w:hAnsi="Arial"/>
          <w:sz w:val="14"/>
          <w:szCs w:val="14"/>
          <w:color w:val="auto"/>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26" w:lineRule="exact"/>
        <w:rPr>
          <w:rFonts w:ascii="Arial" w:cs="Arial" w:eastAsia="Arial" w:hAnsi="Arial"/>
          <w:sz w:val="14"/>
          <w:szCs w:val="14"/>
          <w:color w:val="auto"/>
        </w:rPr>
      </w:pPr>
    </w:p>
    <w:p>
      <w:pPr>
        <w:ind w:left="1640" w:right="1840" w:hanging="431"/>
        <w:spacing w:after="0" w:line="246" w:lineRule="auto"/>
        <w:tabs>
          <w:tab w:leader="none" w:pos="1640" w:val="left"/>
        </w:tabs>
        <w:numPr>
          <w:ilvl w:val="2"/>
          <w:numId w:val="60"/>
        </w:numPr>
        <w:rPr>
          <w:rFonts w:ascii="Arial" w:cs="Arial" w:eastAsia="Arial" w:hAnsi="Arial"/>
          <w:sz w:val="15"/>
          <w:szCs w:val="15"/>
          <w:color w:val="auto"/>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48" w:lineRule="exact"/>
        <w:rPr>
          <w:rFonts w:ascii="Arial" w:cs="Arial" w:eastAsia="Arial" w:hAnsi="Arial"/>
          <w:sz w:val="15"/>
          <w:szCs w:val="15"/>
          <w:color w:val="auto"/>
        </w:rPr>
      </w:pPr>
    </w:p>
    <w:p>
      <w:pPr>
        <w:ind w:left="980" w:right="60" w:hanging="324"/>
        <w:spacing w:after="0" w:line="23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we provide varies when compared among the peer groups and individual companies within a group in its relationship to the reference points above. In reviewing target compensation levels for 2019, Mr. Roberts’ target total remuneration (which includes base salary, target annual cash bonus, equity-based compensation and now discontinued company deferred compensation contributions) fell just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that in the entertainment/media peer group. Otherwise, our NEOs’ total compensation for 2019 generally met or exceeded the reference points.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Assessing NEO Performance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63" w:lineRule="exact"/>
        <w:rPr>
          <w:sz w:val="20"/>
          <w:szCs w:val="20"/>
          <w:color w:val="auto"/>
        </w:rPr>
      </w:pPr>
    </w:p>
    <w:p>
      <w:pPr>
        <w:ind w:left="980" w:right="280" w:hanging="324"/>
        <w:spacing w:after="0" w:line="24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Roberts, and Mr. Roberts discusses with the Compensation Committee the performance of our other NEOs.</w:t>
      </w:r>
    </w:p>
    <w:p>
      <w:pPr>
        <w:spacing w:after="0" w:line="48" w:lineRule="exact"/>
        <w:rPr>
          <w:rFonts w:ascii="Arial" w:cs="Arial" w:eastAsia="Arial" w:hAnsi="Arial"/>
          <w:sz w:val="18"/>
          <w:szCs w:val="18"/>
          <w:color w:val="auto"/>
        </w:rPr>
      </w:pPr>
    </w:p>
    <w:p>
      <w:pPr>
        <w:ind w:left="980" w:right="160" w:hanging="324"/>
        <w:spacing w:after="0" w:line="24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48" w:lineRule="exact"/>
        <w:rPr>
          <w:rFonts w:ascii="Arial" w:cs="Arial" w:eastAsia="Arial" w:hAnsi="Arial"/>
          <w:sz w:val="18"/>
          <w:szCs w:val="18"/>
          <w:color w:val="auto"/>
        </w:rPr>
      </w:pPr>
    </w:p>
    <w:p>
      <w:pPr>
        <w:ind w:left="980" w:right="380" w:hanging="324"/>
        <w:spacing w:after="0" w:line="24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48" w:lineRule="exact"/>
        <w:rPr>
          <w:rFonts w:ascii="Arial" w:cs="Arial" w:eastAsia="Arial" w:hAnsi="Arial"/>
          <w:sz w:val="18"/>
          <w:szCs w:val="18"/>
          <w:color w:val="auto"/>
        </w:rPr>
      </w:pPr>
    </w:p>
    <w:p>
      <w:pPr>
        <w:ind w:left="980" w:right="120" w:hanging="324"/>
        <w:spacing w:after="0" w:line="246"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Compensation Committee employs a rigorous process to evaluate our NEOs’ performance that informs its compensation decisions for the year, including those related to an NEO’s base salary and annual equity awards and the attainment of qualitative objectives for our annual cash bonus.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w:t>
      </w:r>
    </w:p>
    <w:p>
      <w:pPr>
        <w:spacing w:after="0" w:line="9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Each year, our Compensation Committee establishes a set of defined objectives for the qualitative portion of our annual cash bonus, which may be tied to an NEO’s or our company’s overall performance, company culture or key company initiatives, such as diversity and inclusion and customer experience initiatives, at the time it determines the quantitative metrics. In determining payout levels on the qualitative metrics, the Compensation Committee critically evaluates our company and NEO performance and progress based on the defined objectives.</w:t>
      </w:r>
    </w:p>
    <w:p>
      <w:pPr>
        <w:spacing w:after="0" w:line="18" w:lineRule="exact"/>
        <w:rPr>
          <w:sz w:val="20"/>
          <w:szCs w:val="20"/>
          <w:color w:val="auto"/>
        </w:rPr>
      </w:pPr>
    </w:p>
    <w:p>
      <w:pPr>
        <w:ind w:left="120" w:right="120"/>
        <w:spacing w:after="0" w:line="253" w:lineRule="auto"/>
        <w:rPr>
          <w:rFonts w:ascii="Arial" w:cs="Arial" w:eastAsia="Arial" w:hAnsi="Arial"/>
          <w:sz w:val="18"/>
          <w:szCs w:val="18"/>
          <w:color w:val="000000"/>
        </w:rPr>
      </w:pPr>
      <w:r>
        <w:rPr>
          <w:rFonts w:ascii="Arial" w:cs="Arial" w:eastAsia="Arial" w:hAnsi="Arial"/>
          <w:sz w:val="18"/>
          <w:szCs w:val="18"/>
          <w:b w:val="1"/>
          <w:bCs w:val="1"/>
          <w:color w:val="0A33A5"/>
        </w:rPr>
        <w:t>Company Performance</w:t>
      </w:r>
      <w:r>
        <w:rPr>
          <w:rFonts w:ascii="Arial" w:cs="Arial" w:eastAsia="Arial" w:hAnsi="Arial"/>
          <w:sz w:val="18"/>
          <w:szCs w:val="18"/>
          <w:color w:val="000000"/>
        </w:rPr>
        <w:t>. The Compensation Committee considers our overall performance when approving pay decisions for our NEOs.</w:t>
      </w:r>
      <w:r>
        <w:rPr>
          <w:rFonts w:ascii="Arial" w:cs="Arial" w:eastAsia="Arial" w:hAnsi="Arial"/>
          <w:sz w:val="18"/>
          <w:szCs w:val="18"/>
          <w:b w:val="1"/>
          <w:bCs w:val="1"/>
          <w:color w:val="0A33A5"/>
        </w:rPr>
        <w:t xml:space="preserve"> </w:t>
      </w:r>
      <w:r>
        <w:rPr>
          <w:rFonts w:ascii="Arial" w:cs="Arial" w:eastAsia="Arial" w:hAnsi="Arial"/>
          <w:sz w:val="18"/>
          <w:szCs w:val="18"/>
          <w:color w:val="000000"/>
        </w:rPr>
        <w:t>As more fully described above in “</w:t>
      </w:r>
      <w:hyperlink w:anchor="page46">
        <w:r>
          <w:rPr>
            <w:rFonts w:ascii="Arial" w:cs="Arial" w:eastAsia="Arial" w:hAnsi="Arial"/>
            <w:sz w:val="18"/>
            <w:szCs w:val="18"/>
            <w:u w:val="single" w:color="auto"/>
            <w:color w:val="0000EE"/>
          </w:rPr>
          <w:t>Executive Summary – 2019 Business Highlights</w:t>
        </w:r>
      </w:hyperlink>
      <w:r>
        <w:rPr>
          <w:rFonts w:ascii="Arial" w:cs="Arial" w:eastAsia="Arial" w:hAnsi="Arial"/>
          <w:sz w:val="18"/>
          <w:szCs w:val="18"/>
          <w:color w:val="000000"/>
        </w:rPr>
        <w:t>,” 2019 was a year of strong financial and operational results that reflect our focus on innovation and investing in our business for the long-term.</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b w:val="1"/>
          <w:bCs w:val="1"/>
          <w:color w:val="0A33A5"/>
        </w:rPr>
        <w:t xml:space="preserve">NEO Performance. </w:t>
      </w:r>
      <w:r>
        <w:rPr>
          <w:rFonts w:ascii="Arial" w:cs="Arial" w:eastAsia="Arial" w:hAnsi="Arial"/>
          <w:sz w:val="18"/>
          <w:szCs w:val="18"/>
          <w:color w:val="000000"/>
        </w:rPr>
        <w:t>Our NEOs continued to provide critical strategic vision and leadership as we continue to shape the future of</w:t>
      </w:r>
      <w:r>
        <w:rPr>
          <w:rFonts w:ascii="Arial" w:cs="Arial" w:eastAsia="Arial" w:hAnsi="Arial"/>
          <w:sz w:val="18"/>
          <w:szCs w:val="18"/>
          <w:b w:val="1"/>
          <w:bCs w:val="1"/>
          <w:color w:val="0A33A5"/>
        </w:rPr>
        <w:t xml:space="preserve"> </w:t>
      </w:r>
      <w:r>
        <w:rPr>
          <w:rFonts w:ascii="Arial" w:cs="Arial" w:eastAsia="Arial" w:hAnsi="Arial"/>
          <w:sz w:val="18"/>
          <w:szCs w:val="18"/>
          <w:color w:val="000000"/>
        </w:rPr>
        <w:t>technology and media and navigate through the rapidly changing competitive and regulatory environment for all of our businesses. In 2019, the NEOs were instrumental in fostering our entrepreneurial and innovative workplace culture and in facilitating team building and collaboration among our senior leadership teams, including in particular as we worked to integrate Sky into our company and move key talent across our businesses. At the same time, they continued to reinforce our commitment to operate ethically and with integrity and to further our diversity and inclusion initiatives.</w:t>
      </w:r>
    </w:p>
    <w:p>
      <w:pPr>
        <w:spacing w:after="0" w:line="106" w:lineRule="exact"/>
        <w:rPr>
          <w:sz w:val="20"/>
          <w:szCs w:val="20"/>
          <w:color w:val="auto"/>
        </w:rPr>
      </w:pPr>
    </w:p>
    <w:p>
      <w:pPr>
        <w:ind w:left="980" w:right="40" w:hanging="324"/>
        <w:spacing w:after="0" w:line="238"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As a testament to our various diversity and inclusion and talent management initiatives, we have received many third-party recognitions, including (i) being named to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“Best Big Companies to Work For” list, “100 Best Places to Work For 2020” list, </w:t>
      </w:r>
      <w:r>
        <w:rPr>
          <w:rFonts w:ascii="Arial" w:cs="Arial" w:eastAsia="Arial" w:hAnsi="Arial"/>
          <w:sz w:val="18"/>
          <w:szCs w:val="18"/>
          <w:b w:val="1"/>
          <w:bCs w:val="1"/>
          <w:color w:val="auto"/>
        </w:rPr>
        <w:t>“</w:t>
      </w:r>
      <w:r>
        <w:rPr>
          <w:rFonts w:ascii="Arial" w:cs="Arial" w:eastAsia="Arial" w:hAnsi="Arial"/>
          <w:sz w:val="18"/>
          <w:szCs w:val="18"/>
          <w:color w:val="auto"/>
        </w:rPr>
        <w:t>75 Best Workplaces for Women” list and “Best Workplaces for Diversity” list; (ii) being named to LinkedIn’s “Top Companies” list for 2019; (iii) earning a score of 100 on HRC’s 2020 Corporate Equality Index; and (iv) being named a Best Place to Work for LGBTQ Equality.</w:t>
      </w:r>
    </w:p>
    <w:p>
      <w:pPr>
        <w:spacing w:after="0" w:line="9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To reinforce critical aspects of our cable communications business, goals relating to customer experience, product churn and the rollout of our wireless phone service were used as components of our NEOs’ annual cash bonus. In 2019, we continued to make progress in providing a better overall customer experience by eliminating unnecessary activity and transactions, including by providing more digital service tools, which translated into reduced call volumes and truck rolls and improved key customer satisfaction scores. Our NEOs, individually and as a team, continue to support and promote this initiative throughout our entire company.</w:t>
      </w:r>
    </w:p>
    <w:p>
      <w:pPr>
        <w:spacing w:after="0" w:line="9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NEOs also continued to frame and support our strategic plans related to dedicating capital to our businesses as we invest in the long-term performance of our company, including our substantial investments in theme parks in the United States and internationally, and the cross-company collaboration to develop and launch Peacock in early 2020.</w:t>
      </w:r>
    </w:p>
    <w:p>
      <w:pPr>
        <w:spacing w:after="0" w:line="95" w:lineRule="exact"/>
        <w:rPr>
          <w:sz w:val="20"/>
          <w:szCs w:val="20"/>
          <w:color w:val="auto"/>
        </w:rPr>
      </w:pPr>
    </w:p>
    <w:p>
      <w:pPr>
        <w:ind w:left="120" w:right="720"/>
        <w:spacing w:after="0" w:line="246" w:lineRule="auto"/>
        <w:rPr>
          <w:rFonts w:ascii="Arial" w:cs="Arial" w:eastAsia="Arial" w:hAnsi="Arial"/>
          <w:sz w:val="18"/>
          <w:szCs w:val="18"/>
          <w:color w:val="auto"/>
        </w:rPr>
      </w:pPr>
      <w:r>
        <w:rPr>
          <w:rFonts w:ascii="Arial" w:cs="Arial" w:eastAsia="Arial" w:hAnsi="Arial"/>
          <w:sz w:val="18"/>
          <w:szCs w:val="18"/>
          <w:color w:val="auto"/>
        </w:rPr>
        <w:t>When assessing NEO performance, our Compensation Committee considered each NEO’s progress on these and other strategic initiatives, including those described in “</w:t>
      </w:r>
      <w:hyperlink w:anchor="page46">
        <w:r>
          <w:rPr>
            <w:rFonts w:ascii="Arial" w:cs="Arial" w:eastAsia="Arial" w:hAnsi="Arial"/>
            <w:sz w:val="18"/>
            <w:szCs w:val="18"/>
            <w:u w:val="single" w:color="auto"/>
            <w:color w:val="0000EE"/>
          </w:rPr>
          <w:t>Executive Summary – 2019 Business Highlights</w:t>
        </w:r>
      </w:hyperlink>
      <w:r>
        <w:rPr>
          <w:rFonts w:ascii="Arial" w:cs="Arial" w:eastAsia="Arial" w:hAnsi="Arial"/>
          <w:sz w:val="18"/>
          <w:szCs w:val="18"/>
          <w:color w:val="auto"/>
        </w:rPr>
        <w:t>” above. In particular:</w:t>
      </w:r>
    </w:p>
    <w:p>
      <w:pPr>
        <w:spacing w:after="0" w:line="48" w:lineRule="exact"/>
        <w:rPr>
          <w:sz w:val="20"/>
          <w:szCs w:val="20"/>
          <w:color w:val="auto"/>
        </w:rPr>
      </w:pPr>
    </w:p>
    <w:p>
      <w:pPr>
        <w:ind w:left="980" w:right="200" w:hanging="324"/>
        <w:spacing w:after="0" w:line="23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Roberts was instrumental in continuing to shape the strategic vision of our company, including through his leadership in integrating Sky into our company. He continued to foster strong leadership and cohesion among our NEOs and senior leadership team, successfully managing leadership transition plans for the upcoming retirement of Mr. Burke and transition of Mr. Cohen. He continues to lead our strategic thinking and initiatives and champions our technology and business initiatives, such as Peacock, and other key investment priorities. He also reinforces our commitment to creating a culture of integrity, respect and compliance.</w:t>
      </w:r>
    </w:p>
    <w:p>
      <w:pPr>
        <w:spacing w:after="0" w:line="56" w:lineRule="exact"/>
        <w:rPr>
          <w:rFonts w:ascii="Arial" w:cs="Arial" w:eastAsia="Arial" w:hAnsi="Arial"/>
          <w:sz w:val="18"/>
          <w:szCs w:val="18"/>
          <w:color w:val="auto"/>
        </w:rPr>
      </w:pPr>
    </w:p>
    <w:p>
      <w:pPr>
        <w:ind w:left="980" w:right="60" w:hanging="324"/>
        <w:spacing w:after="0" w:line="238"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Cavanagh provided critical financial and strategic leadership to our company, including with respect to our continued efforts to reduce the level of our debt following the Sky acquisition. He continued to be instrumental in setting our capital allocation framework and in managing our balance sheet to ensure that the framework supports our business initiatives and strategies, including as we make substantial investments such as Peacock. He also provided risk management oversight.</w:t>
      </w:r>
    </w:p>
    <w:p>
      <w:pPr>
        <w:spacing w:after="0" w:line="56" w:lineRule="exact"/>
        <w:rPr>
          <w:rFonts w:ascii="Arial" w:cs="Arial" w:eastAsia="Arial" w:hAnsi="Arial"/>
          <w:sz w:val="18"/>
          <w:szCs w:val="18"/>
          <w:color w:val="auto"/>
        </w:rPr>
      </w:pPr>
    </w:p>
    <w:p>
      <w:pPr>
        <w:ind w:left="980" w:right="160" w:hanging="324"/>
        <w:spacing w:after="0" w:line="238"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Burke successfully managed NBCUniversal and has paved the way for his transition in leadership. Mr. Burke’s strategic vision and leadership, including in framing the strategy behind Peacock, its new ad-supported direct-to-consumer streaming service, and in investing in NBCUniversal’s themes parks and other businesses for their long-term success, have been critical factors in NBCUniversal attaining such strong results since we acquired it.</w:t>
      </w:r>
    </w:p>
    <w:p>
      <w:pPr>
        <w:spacing w:after="0" w:line="56" w:lineRule="exact"/>
        <w:rPr>
          <w:rFonts w:ascii="Arial" w:cs="Arial" w:eastAsia="Arial" w:hAnsi="Arial"/>
          <w:sz w:val="18"/>
          <w:szCs w:val="18"/>
          <w:color w:val="auto"/>
        </w:rPr>
      </w:pPr>
    </w:p>
    <w:p>
      <w:pPr>
        <w:ind w:left="980" w:hanging="324"/>
        <w:spacing w:after="0" w:line="23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Cohen provided critical leadership to our corporate communications, external and government affairs, community impact and human resources functions and has paved the way for his transition in leadership. He successfully oversaw our efforts relating to legislation and regulatory matters critical to our strategy and performance. He also provided leadership to critical aspects of the Sky acquisition and subsequent integration efforts and effectively managed his other significant administrative responsibilities. He continued to lead and promote our diversity and inclusion and talent management initiatives, which as noted elsewhere in this proxy statement, have received many third-party recognitions.</w:t>
      </w:r>
    </w:p>
    <w:p>
      <w:pPr>
        <w:spacing w:after="0" w:line="56" w:lineRule="exact"/>
        <w:rPr>
          <w:rFonts w:ascii="Arial" w:cs="Arial" w:eastAsia="Arial" w:hAnsi="Arial"/>
          <w:sz w:val="18"/>
          <w:szCs w:val="18"/>
          <w:color w:val="auto"/>
        </w:rPr>
      </w:pPr>
    </w:p>
    <w:p>
      <w:pPr>
        <w:ind w:left="980" w:right="60" w:hanging="324"/>
        <w:spacing w:after="0" w:line="238"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Watson successfully led Comcast Cable, which had strong financial results and added 1.4 million net high- speed internet customers in 2019. Mr. Watson provided strategic and operational leadership to Comcast Cable, including through his focus on customer experience initiatives, continued expansion of our high-speed internet, business services and wireless phone service businesses, and the innovation of product and service enhancements.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Along these lines, Mr. Watson’s strategic leadership has helped strengthen our position as a leading provider of high-speed internet services by offering xFi wireless gateways that enhance speed, coverage and control and leveraging our X1 platform to launch our new Flex streaming devices for customers who prefer to consume content via internet streaming.</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marks a year of change for our senior leadership team with the transition of responsibilities of Mr. Cohen and the retirement of</w:t>
      </w:r>
    </w:p>
    <w:p>
      <w:pPr>
        <w:ind w:left="120" w:right="200"/>
        <w:spacing w:after="0"/>
        <w:rPr>
          <w:sz w:val="20"/>
          <w:szCs w:val="20"/>
          <w:color w:val="auto"/>
        </w:rPr>
      </w:pPr>
      <w:r>
        <w:rPr>
          <w:rFonts w:ascii="Arial" w:cs="Arial" w:eastAsia="Arial" w:hAnsi="Arial"/>
          <w:sz w:val="18"/>
          <w:szCs w:val="18"/>
          <w:color w:val="auto"/>
        </w:rPr>
        <w:t>Mr. Burke. While Messrs. Burke and Cohen have been instrumental in shaping and guiding our company for many years, we are excited about our next generation of leaders who will continue to help us navigate evolving consumer, technological and regulatory trends and address competitive challenges.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Compensation Decisions for 2019</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Base Salary</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2019, the Compensation Committee increased the base salaries of Messrs. Roberts, Burke and Cohen by 3%. Effective</w:t>
      </w:r>
    </w:p>
    <w:p>
      <w:pPr>
        <w:ind w:left="120"/>
        <w:spacing w:after="0"/>
        <w:rPr>
          <w:sz w:val="20"/>
          <w:szCs w:val="20"/>
          <w:color w:val="auto"/>
        </w:rPr>
      </w:pPr>
      <w:r>
        <w:rPr>
          <w:rFonts w:ascii="Arial" w:cs="Arial" w:eastAsia="Arial" w:hAnsi="Arial"/>
          <w:sz w:val="18"/>
          <w:szCs w:val="18"/>
          <w:color w:val="auto"/>
        </w:rPr>
        <w:t>January 1, 2019, Mr. Cavanagh’s base salary increased by approximately $ 300,000 in connection with his entering into a new employment agreement, and Mr. Watson’s base salary increased by $250,000. In March 2020, no base salaries were increased other than that of Mr. Watson’s.</w:t>
      </w:r>
    </w:p>
    <w:p>
      <w:pPr>
        <w:spacing w:after="0" w:line="95"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In response to the COVID-19 crisis, effective April 1, 2020 through the duration of this situation, Messrs. Roberts, Cavanagh and Watson, as well as two other senior leaders, have pledged to donate 100% of their salaries to charities that support COVID-19 relief efforts.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Annual Cash Bonus</w:t>
      </w:r>
    </w:p>
    <w:p>
      <w:pPr>
        <w:spacing w:after="0" w:line="18"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Our cash bonus plan, which was approved by our shareholders, provides a variable and performance-based element to annual cash compensation.</w:t>
      </w:r>
    </w:p>
    <w:p>
      <w:pPr>
        <w:spacing w:after="0" w:line="48" w:lineRule="exact"/>
        <w:rPr>
          <w:sz w:val="20"/>
          <w:szCs w:val="20"/>
          <w:color w:val="auto"/>
        </w:rPr>
      </w:pPr>
    </w:p>
    <w:p>
      <w:pPr>
        <w:ind w:left="980" w:right="100" w:hanging="324"/>
        <w:spacing w:after="0" w:line="246"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target bonus opportunity amount in 2019, expressed as a percentage of salary, was 300% for Messrs. Roberts, Cavanagh and Burke and 250% for Messrs. Cohen and Watson.</w:t>
      </w:r>
    </w:p>
    <w:p>
      <w:pPr>
        <w:spacing w:after="0" w:line="48" w:lineRule="exact"/>
        <w:rPr>
          <w:rFonts w:ascii="Arial" w:cs="Arial" w:eastAsia="Arial" w:hAnsi="Arial"/>
          <w:sz w:val="18"/>
          <w:szCs w:val="18"/>
          <w:color w:val="auto"/>
        </w:rPr>
      </w:pPr>
    </w:p>
    <w:p>
      <w:pPr>
        <w:ind w:left="980" w:right="80" w:hanging="324"/>
        <w:spacing w:after="0" w:line="238"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NEOs (other than Mr. Burke), 80% of their target bonus was based on quantitative financial goals and a combination of quantitative and qualitative goals relating to key operational initiatives, and 20% was based on qualitative goals. For Mr. Burke, 75% of his target bonus was based on quantitative financial goals and a combination of quantitative and qualitative goals relating to key operational initiatives and 25% was based on qualitative goals.</w:t>
      </w:r>
    </w:p>
    <w:p>
      <w:pPr>
        <w:spacing w:after="0" w:line="56" w:lineRule="exact"/>
        <w:rPr>
          <w:rFonts w:ascii="Arial" w:cs="Arial" w:eastAsia="Arial" w:hAnsi="Arial"/>
          <w:sz w:val="18"/>
          <w:szCs w:val="18"/>
          <w:color w:val="auto"/>
        </w:rPr>
      </w:pPr>
    </w:p>
    <w:p>
      <w:pPr>
        <w:ind w:left="980" w:right="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a potential maximum bonus payment of 173% of the NEOs’ target bonuses (170% in the case of Mr. Burke and 175% in the case of Mr. Watson), the Compensation Committee considered it appropriate to award bonuses based on actual achievement of the quantitative and qualitative goals of 101% of the target bonuses.</w:t>
      </w:r>
    </w:p>
    <w:p>
      <w:pPr>
        <w:spacing w:after="0" w:line="54" w:lineRule="exact"/>
        <w:rPr>
          <w:rFonts w:ascii="Arial" w:cs="Arial" w:eastAsia="Arial" w:hAnsi="Arial"/>
          <w:sz w:val="18"/>
          <w:szCs w:val="18"/>
          <w:color w:val="auto"/>
        </w:rPr>
      </w:pPr>
    </w:p>
    <w:p>
      <w:pPr>
        <w:ind w:left="980" w:right="60" w:hanging="324"/>
        <w:spacing w:after="0" w:line="23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table below provides further details of the 2019 cash bonus plan for NEOs other than Messrs. Burke and Watson. The target levels established for the financial quantitative goals are bolded. Given Mr. Burke’s role as CEO of NBCUniversal, he did not have a goal relating to the rollout of our wireless phone service, his weightings for the customer experience and Adjusted EBITDA varied slightly from the other NEOs and more discretionary weight was given to him based on NBCUniversal’s performance. Given Mr. Watson’s role at Comcast Cable, his weightings were higher for the customer experience and lower for free cash flow than the other NEOs.</w:t>
      </w:r>
    </w:p>
    <w:p>
      <w:pPr>
        <w:spacing w:after="0" w:line="56" w:lineRule="exact"/>
        <w:rPr>
          <w:rFonts w:ascii="Arial" w:cs="Arial" w:eastAsia="Arial" w:hAnsi="Arial"/>
          <w:sz w:val="18"/>
          <w:szCs w:val="18"/>
          <w:color w:val="auto"/>
        </w:rPr>
      </w:pPr>
    </w:p>
    <w:p>
      <w:pPr>
        <w:ind w:left="980" w:right="140" w:hanging="324"/>
        <w:spacing w:after="0" w:line="23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Committee established the quantitative goals below based on a rigorous and in-depth enterprise-wide consolidated budget that is prepared annually and takes into consideration the cyclicality of working capital in our business, capital spending plans for the upcoming year, target product rollout numbers and other relevant factors. In particular, in setting 2019 targets, the Compensation Committee considered that our revenue, Adjusted EBITDA and free cash flow would be negatively impacted in 2019 as compared to 2018 due to the absence of the Olympics and Super Bowl broadcasts from 2018 and would be affected by the impact of adding Sky to our consolidated results.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360" w:type="dxa"/>
            <w:vAlign w:val="bottom"/>
            <w:tcBorders>
              <w:top w:val="single" w:sz="8" w:color="auto"/>
            </w:tcBorders>
            <w:shd w:val="clear" w:color="auto" w:fill="DDF2F9"/>
          </w:tcPr>
          <w:p>
            <w:pPr>
              <w:spacing w:after="0"/>
              <w:rPr>
                <w:sz w:val="16"/>
                <w:szCs w:val="16"/>
                <w:color w:val="auto"/>
              </w:rPr>
            </w:pPr>
          </w:p>
        </w:tc>
        <w:tc>
          <w:tcPr>
            <w:tcW w:w="920" w:type="dxa"/>
            <w:vAlign w:val="bottom"/>
            <w:tcBorders>
              <w:top w:val="single" w:sz="8" w:color="auto"/>
            </w:tcBorders>
            <w:shd w:val="clear" w:color="auto" w:fill="DDF2F9"/>
          </w:tcPr>
          <w:p>
            <w:pPr>
              <w:spacing w:after="0"/>
              <w:rPr>
                <w:sz w:val="16"/>
                <w:szCs w:val="16"/>
                <w:color w:val="auto"/>
              </w:rPr>
            </w:pPr>
          </w:p>
        </w:tc>
        <w:tc>
          <w:tcPr>
            <w:tcW w:w="2560" w:type="dxa"/>
            <w:vAlign w:val="bottom"/>
            <w:tcBorders>
              <w:top w:val="single" w:sz="8" w:color="auto"/>
            </w:tcBorders>
            <w:gridSpan w:val="5"/>
            <w:shd w:val="clear" w:color="auto" w:fill="DDF2F9"/>
          </w:tcPr>
          <w:p>
            <w:pPr>
              <w:jc w:val="center"/>
              <w:ind w:right="860"/>
              <w:spacing w:after="0"/>
              <w:rPr>
                <w:sz w:val="20"/>
                <w:szCs w:val="20"/>
                <w:color w:val="auto"/>
              </w:rPr>
            </w:pPr>
            <w:r>
              <w:rPr>
                <w:rFonts w:ascii="Arial" w:cs="Arial" w:eastAsia="Arial" w:hAnsi="Arial"/>
                <w:sz w:val="16"/>
                <w:szCs w:val="16"/>
                <w:b w:val="1"/>
                <w:bCs w:val="1"/>
                <w:color w:val="0A33A5"/>
              </w:rPr>
              <w:t>Achievement Range</w:t>
            </w:r>
          </w:p>
        </w:tc>
        <w:tc>
          <w:tcPr>
            <w:tcW w:w="1920" w:type="dxa"/>
            <w:vAlign w:val="bottom"/>
            <w:tcBorders>
              <w:top w:val="single" w:sz="8" w:color="auto"/>
            </w:tcBorders>
            <w:shd w:val="clear" w:color="auto" w:fill="DDF2F9"/>
          </w:tcPr>
          <w:p>
            <w:pPr>
              <w:spacing w:after="0"/>
              <w:rPr>
                <w:sz w:val="16"/>
                <w:szCs w:val="16"/>
                <w:color w:val="auto"/>
              </w:rPr>
            </w:pPr>
          </w:p>
        </w:tc>
        <w:tc>
          <w:tcPr>
            <w:tcW w:w="60" w:type="dxa"/>
            <w:vAlign w:val="bottom"/>
            <w:tcBorders>
              <w:top w:val="single" w:sz="8" w:color="auto"/>
            </w:tcBorders>
            <w:shd w:val="clear" w:color="auto" w:fill="DDF2F9"/>
          </w:tcPr>
          <w:p>
            <w:pPr>
              <w:spacing w:after="0"/>
              <w:rPr>
                <w:sz w:val="16"/>
                <w:szCs w:val="16"/>
                <w:color w:val="auto"/>
              </w:rPr>
            </w:pPr>
          </w:p>
        </w:tc>
        <w:tc>
          <w:tcPr>
            <w:tcW w:w="40" w:type="dxa"/>
            <w:vAlign w:val="bottom"/>
            <w:tcBorders>
              <w:top w:val="single" w:sz="8" w:color="auto"/>
            </w:tcBorders>
            <w:shd w:val="clear" w:color="auto" w:fill="DDF2F9"/>
          </w:tcPr>
          <w:p>
            <w:pPr>
              <w:spacing w:after="0"/>
              <w:rPr>
                <w:sz w:val="16"/>
                <w:szCs w:val="16"/>
                <w:color w:val="auto"/>
              </w:rPr>
            </w:pPr>
          </w:p>
        </w:tc>
        <w:tc>
          <w:tcPr>
            <w:tcW w:w="240" w:type="dxa"/>
            <w:vAlign w:val="bottom"/>
            <w:tcBorders>
              <w:top w:val="single" w:sz="8" w:color="auto"/>
            </w:tcBorders>
            <w:shd w:val="clear" w:color="auto" w:fill="DDF2F9"/>
          </w:tcPr>
          <w:p>
            <w:pPr>
              <w:spacing w:after="0"/>
              <w:rPr>
                <w:sz w:val="16"/>
                <w:szCs w:val="16"/>
                <w:color w:val="auto"/>
              </w:rPr>
            </w:pPr>
          </w:p>
        </w:tc>
        <w:tc>
          <w:tcPr>
            <w:tcW w:w="40" w:type="dxa"/>
            <w:vAlign w:val="bottom"/>
            <w:tcBorders>
              <w:top w:val="single" w:sz="8" w:color="auto"/>
            </w:tcBorders>
            <w:shd w:val="clear" w:color="auto" w:fill="DDF2F9"/>
          </w:tcPr>
          <w:p>
            <w:pPr>
              <w:spacing w:after="0"/>
              <w:rPr>
                <w:sz w:val="16"/>
                <w:szCs w:val="16"/>
                <w:color w:val="auto"/>
              </w:rPr>
            </w:pPr>
          </w:p>
        </w:tc>
        <w:tc>
          <w:tcPr>
            <w:tcW w:w="60" w:type="dxa"/>
            <w:vAlign w:val="bottom"/>
            <w:tcBorders>
              <w:top w:val="single" w:sz="8" w:color="auto"/>
            </w:tcBorders>
            <w:shd w:val="clear" w:color="auto" w:fill="DDF2F9"/>
          </w:tcPr>
          <w:p>
            <w:pPr>
              <w:spacing w:after="0"/>
              <w:rPr>
                <w:sz w:val="16"/>
                <w:szCs w:val="16"/>
                <w:color w:val="auto"/>
              </w:rPr>
            </w:pPr>
          </w:p>
        </w:tc>
        <w:tc>
          <w:tcPr>
            <w:tcW w:w="1820" w:type="dxa"/>
            <w:vAlign w:val="bottom"/>
            <w:tcBorders>
              <w:top w:val="single" w:sz="8" w:color="auto"/>
            </w:tcBorders>
            <w:shd w:val="clear" w:color="auto" w:fill="DDF2F9"/>
          </w:tcPr>
          <w:p>
            <w:pPr>
              <w:spacing w:after="0"/>
              <w:rPr>
                <w:sz w:val="16"/>
                <w:szCs w:val="16"/>
                <w:color w:val="auto"/>
              </w:rPr>
            </w:pPr>
          </w:p>
        </w:tc>
      </w:tr>
      <w:tr>
        <w:trPr>
          <w:trHeight w:val="221"/>
        </w:trPr>
        <w:tc>
          <w:tcPr>
            <w:tcW w:w="3360" w:type="dxa"/>
            <w:vAlign w:val="bottom"/>
            <w:tcBorders>
              <w:bottom w:val="single" w:sz="8" w:color="auto"/>
            </w:tcBorders>
            <w:shd w:val="clear" w:color="auto" w:fill="DDF2F9"/>
          </w:tcPr>
          <w:p>
            <w:pPr>
              <w:ind w:left="60"/>
              <w:spacing w:after="0"/>
              <w:rPr>
                <w:sz w:val="20"/>
                <w:szCs w:val="20"/>
                <w:color w:val="auto"/>
              </w:rPr>
            </w:pPr>
            <w:r>
              <w:rPr>
                <w:rFonts w:ascii="Arial" w:cs="Arial" w:eastAsia="Arial" w:hAnsi="Arial"/>
                <w:sz w:val="16"/>
                <w:szCs w:val="16"/>
                <w:b w:val="1"/>
                <w:bCs w:val="1"/>
                <w:color w:val="0A33A5"/>
              </w:rPr>
              <w:t>Goal</w:t>
            </w:r>
          </w:p>
        </w:tc>
        <w:tc>
          <w:tcPr>
            <w:tcW w:w="920" w:type="dxa"/>
            <w:vAlign w:val="bottom"/>
            <w:tcBorders>
              <w:bottom w:val="single" w:sz="8" w:color="auto"/>
            </w:tcBorders>
            <w:shd w:val="clear" w:color="auto" w:fill="DDF2F9"/>
          </w:tcPr>
          <w:p>
            <w:pPr>
              <w:spacing w:after="0"/>
              <w:rPr>
                <w:sz w:val="19"/>
                <w:szCs w:val="19"/>
                <w:color w:val="auto"/>
              </w:rPr>
            </w:pPr>
          </w:p>
        </w:tc>
        <w:tc>
          <w:tcPr>
            <w:tcW w:w="2560" w:type="dxa"/>
            <w:vAlign w:val="bottom"/>
            <w:tcBorders>
              <w:bottom w:val="single" w:sz="8" w:color="auto"/>
            </w:tcBorders>
            <w:gridSpan w:val="5"/>
            <w:shd w:val="clear" w:color="auto" w:fill="DDF2F9"/>
          </w:tcPr>
          <w:p>
            <w:pPr>
              <w:jc w:val="center"/>
              <w:ind w:right="860"/>
              <w:spacing w:after="0"/>
              <w:rPr>
                <w:sz w:val="20"/>
                <w:szCs w:val="20"/>
                <w:color w:val="auto"/>
              </w:rPr>
            </w:pPr>
            <w:r>
              <w:rPr>
                <w:rFonts w:ascii="Arial" w:cs="Arial" w:eastAsia="Arial" w:hAnsi="Arial"/>
                <w:sz w:val="16"/>
                <w:szCs w:val="16"/>
                <w:b w:val="1"/>
                <w:bCs w:val="1"/>
                <w:color w:val="0A33A5"/>
              </w:rPr>
              <w:t>(in billions)</w:t>
            </w:r>
          </w:p>
        </w:tc>
        <w:tc>
          <w:tcPr>
            <w:tcW w:w="4180" w:type="dxa"/>
            <w:vAlign w:val="bottom"/>
            <w:tcBorders>
              <w:bottom w:val="single" w:sz="8" w:color="auto"/>
            </w:tcBorders>
            <w:gridSpan w:val="7"/>
            <w:shd w:val="clear" w:color="auto" w:fill="DDF2F9"/>
          </w:tcPr>
          <w:p>
            <w:pPr>
              <w:ind w:left="1400"/>
              <w:spacing w:after="0"/>
              <w:rPr>
                <w:sz w:val="20"/>
                <w:szCs w:val="20"/>
                <w:color w:val="auto"/>
              </w:rPr>
            </w:pPr>
            <w:r>
              <w:rPr>
                <w:rFonts w:ascii="Arial" w:cs="Arial" w:eastAsia="Arial" w:hAnsi="Arial"/>
                <w:sz w:val="16"/>
                <w:szCs w:val="16"/>
                <w:b w:val="1"/>
                <w:bCs w:val="1"/>
                <w:color w:val="0A33A5"/>
              </w:rPr>
              <w:t>(% of target bonus)</w:t>
            </w:r>
          </w:p>
        </w:tc>
      </w:tr>
      <w:tr>
        <w:trPr>
          <w:trHeight w:val="190"/>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Consolidated</w:t>
            </w:r>
          </w:p>
        </w:tc>
        <w:tc>
          <w:tcPr>
            <w:tcW w:w="920" w:type="dxa"/>
            <w:vAlign w:val="bottom"/>
          </w:tcPr>
          <w:p>
            <w:pPr>
              <w:spacing w:after="0"/>
              <w:rPr>
                <w:sz w:val="16"/>
                <w:szCs w:val="16"/>
                <w:color w:val="auto"/>
              </w:rPr>
            </w:pPr>
          </w:p>
        </w:tc>
        <w:tc>
          <w:tcPr>
            <w:tcW w:w="1140" w:type="dxa"/>
            <w:vAlign w:val="bottom"/>
            <w:gridSpan w:val="3"/>
          </w:tcPr>
          <w:p>
            <w:pPr>
              <w:jc w:val="center"/>
              <w:ind w:left="479"/>
              <w:spacing w:after="0"/>
              <w:rPr>
                <w:sz w:val="20"/>
                <w:szCs w:val="20"/>
                <w:color w:val="auto"/>
              </w:rPr>
            </w:pPr>
            <w:r>
              <w:rPr>
                <w:rFonts w:ascii="Arial" w:cs="Arial" w:eastAsia="Arial" w:hAnsi="Arial"/>
                <w:sz w:val="16"/>
                <w:szCs w:val="16"/>
                <w:color w:val="auto"/>
              </w:rPr>
              <w:t>£ $33.5</w:t>
            </w: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60" w:type="dxa"/>
            <w:vAlign w:val="bottom"/>
            <w:gridSpan w:val="4"/>
          </w:tcPr>
          <w:p>
            <w:pPr>
              <w:jc w:val="center"/>
              <w:ind w:left="193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1"/>
        </w:trPr>
        <w:tc>
          <w:tcPr>
            <w:tcW w:w="3360" w:type="dxa"/>
            <w:vAlign w:val="bottom"/>
          </w:tcPr>
          <w:p>
            <w:pPr>
              <w:ind w:left="60"/>
              <w:spacing w:after="0" w:line="231" w:lineRule="exact"/>
              <w:rPr>
                <w:sz w:val="20"/>
                <w:szCs w:val="20"/>
                <w:color w:val="auto"/>
              </w:rPr>
            </w:pPr>
            <w:r>
              <w:rPr>
                <w:rFonts w:ascii="Arial" w:cs="Arial" w:eastAsia="Arial" w:hAnsi="Arial"/>
                <w:sz w:val="16"/>
                <w:szCs w:val="16"/>
                <w:b w:val="1"/>
                <w:bCs w:val="1"/>
                <w:color w:val="0A33A5"/>
              </w:rPr>
              <w:t>Adjusted EBITDA</w:t>
            </w:r>
            <w:r>
              <w:rPr>
                <w:rFonts w:ascii="Arial" w:cs="Arial" w:eastAsia="Arial" w:hAnsi="Arial"/>
                <w:sz w:val="26"/>
                <w:szCs w:val="26"/>
                <w:b w:val="1"/>
                <w:bCs w:val="1"/>
                <w:color w:val="0A33A5"/>
                <w:vertAlign w:val="superscript"/>
              </w:rPr>
              <w:t>(1)</w:t>
            </w:r>
          </w:p>
        </w:tc>
        <w:tc>
          <w:tcPr>
            <w:tcW w:w="920" w:type="dxa"/>
            <w:vAlign w:val="bottom"/>
          </w:tcPr>
          <w:p>
            <w:pPr>
              <w:spacing w:after="0"/>
              <w:rPr>
                <w:sz w:val="20"/>
                <w:szCs w:val="20"/>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color w:val="auto"/>
              </w:rPr>
              <w:t>&gt; $33.5 – $34.196</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10% – &lt; 25%</w:t>
            </w:r>
          </w:p>
        </w:tc>
      </w:tr>
      <w:tr>
        <w:trPr>
          <w:trHeight w:val="215"/>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rPr>
              <w:t>$34.197 – $34.397</w:t>
            </w: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b w:val="1"/>
                <w:bCs w:val="1"/>
                <w:color w:val="auto"/>
                <w:w w:val="99"/>
              </w:rPr>
              <w:t>25%</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40"/>
              <w:spacing w:after="0"/>
              <w:rPr>
                <w:sz w:val="20"/>
                <w:szCs w:val="20"/>
                <w:color w:val="auto"/>
              </w:rPr>
            </w:pPr>
            <w:r>
              <w:rPr>
                <w:rFonts w:ascii="Arial" w:cs="Arial" w:eastAsia="Arial" w:hAnsi="Arial"/>
                <w:sz w:val="16"/>
                <w:szCs w:val="16"/>
                <w:color w:val="auto"/>
              </w:rPr>
              <w:t>&gt; $34.397 – $34.85</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&gt; 25% – 35%</w:t>
            </w: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4"/>
          </w:tcPr>
          <w:p>
            <w:pPr>
              <w:jc w:val="center"/>
              <w:ind w:left="439"/>
              <w:spacing w:after="0"/>
              <w:rPr>
                <w:sz w:val="20"/>
                <w:szCs w:val="20"/>
                <w:color w:val="auto"/>
              </w:rPr>
            </w:pPr>
            <w:r>
              <w:rPr>
                <w:rFonts w:ascii="Arial" w:cs="Arial" w:eastAsia="Arial" w:hAnsi="Arial"/>
                <w:sz w:val="16"/>
                <w:szCs w:val="16"/>
                <w:color w:val="auto"/>
              </w:rPr>
              <w:t>&gt; $34.85</w:t>
            </w:r>
          </w:p>
        </w:tc>
        <w:tc>
          <w:tcPr>
            <w:tcW w:w="1360" w:type="dxa"/>
            <w:vAlign w:val="bottom"/>
          </w:tcPr>
          <w:p>
            <w:pPr>
              <w:spacing w:after="0"/>
              <w:rPr>
                <w:sz w:val="18"/>
                <w:szCs w:val="18"/>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6"/>
              </w:rPr>
              <w:t>37.5%</w:t>
            </w:r>
          </w:p>
        </w:tc>
      </w:tr>
      <w:tr>
        <w:trPr>
          <w:trHeight w:val="289"/>
        </w:trPr>
        <w:tc>
          <w:tcPr>
            <w:tcW w:w="3360" w:type="dxa"/>
            <w:vAlign w:val="bottom"/>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Pr>
          <w:p>
            <w:pPr>
              <w:spacing w:after="0"/>
              <w:rPr>
                <w:sz w:val="24"/>
                <w:szCs w:val="24"/>
                <w:color w:val="auto"/>
              </w:rPr>
            </w:pPr>
          </w:p>
        </w:tc>
        <w:tc>
          <w:tcPr>
            <w:tcW w:w="1140" w:type="dxa"/>
            <w:vAlign w:val="bottom"/>
            <w:gridSpan w:val="3"/>
          </w:tcPr>
          <w:p>
            <w:pPr>
              <w:jc w:val="center"/>
              <w:ind w:left="479"/>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34.335</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color w:val="auto"/>
                <w:w w:val="99"/>
              </w:rPr>
              <w:t>25%</w:t>
            </w: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0"/>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Consolidated</w:t>
            </w:r>
          </w:p>
        </w:tc>
        <w:tc>
          <w:tcPr>
            <w:tcW w:w="920" w:type="dxa"/>
            <w:vAlign w:val="bottom"/>
          </w:tcPr>
          <w:p>
            <w:pPr>
              <w:spacing w:after="0"/>
              <w:rPr>
                <w:sz w:val="16"/>
                <w:szCs w:val="16"/>
                <w:color w:val="auto"/>
              </w:rPr>
            </w:pPr>
          </w:p>
        </w:tc>
        <w:tc>
          <w:tcPr>
            <w:tcW w:w="1140" w:type="dxa"/>
            <w:vAlign w:val="bottom"/>
            <w:gridSpan w:val="3"/>
          </w:tcPr>
          <w:p>
            <w:pPr>
              <w:jc w:val="center"/>
              <w:ind w:left="479"/>
              <w:spacing w:after="0"/>
              <w:rPr>
                <w:sz w:val="20"/>
                <w:szCs w:val="20"/>
                <w:color w:val="auto"/>
              </w:rPr>
            </w:pPr>
            <w:r>
              <w:rPr>
                <w:rFonts w:ascii="Arial" w:cs="Arial" w:eastAsia="Arial" w:hAnsi="Arial"/>
                <w:sz w:val="16"/>
                <w:szCs w:val="16"/>
                <w:color w:val="auto"/>
              </w:rPr>
              <w:t>£ $11.3</w:t>
            </w: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60" w:type="dxa"/>
            <w:vAlign w:val="bottom"/>
            <w:gridSpan w:val="4"/>
          </w:tcPr>
          <w:p>
            <w:pPr>
              <w:jc w:val="center"/>
              <w:ind w:left="193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1"/>
        </w:trPr>
        <w:tc>
          <w:tcPr>
            <w:tcW w:w="3360" w:type="dxa"/>
            <w:vAlign w:val="bottom"/>
          </w:tcPr>
          <w:p>
            <w:pPr>
              <w:ind w:left="60"/>
              <w:spacing w:after="0" w:line="231" w:lineRule="exact"/>
              <w:rPr>
                <w:sz w:val="20"/>
                <w:szCs w:val="20"/>
                <w:color w:val="auto"/>
              </w:rPr>
            </w:pPr>
            <w:r>
              <w:rPr>
                <w:rFonts w:ascii="Arial" w:cs="Arial" w:eastAsia="Arial" w:hAnsi="Arial"/>
                <w:sz w:val="16"/>
                <w:szCs w:val="16"/>
                <w:b w:val="1"/>
                <w:bCs w:val="1"/>
                <w:color w:val="0A33A5"/>
              </w:rPr>
              <w:t>Free Cash Flow</w:t>
            </w:r>
            <w:r>
              <w:rPr>
                <w:rFonts w:ascii="Arial" w:cs="Arial" w:eastAsia="Arial" w:hAnsi="Arial"/>
                <w:sz w:val="26"/>
                <w:szCs w:val="26"/>
                <w:b w:val="1"/>
                <w:bCs w:val="1"/>
                <w:color w:val="0A33A5"/>
                <w:vertAlign w:val="superscript"/>
              </w:rPr>
              <w:t>(1)</w:t>
            </w:r>
          </w:p>
        </w:tc>
        <w:tc>
          <w:tcPr>
            <w:tcW w:w="920" w:type="dxa"/>
            <w:vAlign w:val="bottom"/>
          </w:tcPr>
          <w:p>
            <w:pPr>
              <w:spacing w:after="0"/>
              <w:rPr>
                <w:sz w:val="20"/>
                <w:szCs w:val="20"/>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color w:val="auto"/>
              </w:rPr>
              <w:t>&gt; $11.3 – $12.070</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8%–&lt;20%</w:t>
            </w:r>
          </w:p>
        </w:tc>
      </w:tr>
      <w:tr>
        <w:trPr>
          <w:trHeight w:val="215"/>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rPr>
              <w:t>$12.071 – $12.271</w:t>
            </w: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b w:val="1"/>
                <w:bCs w:val="1"/>
                <w:color w:val="auto"/>
                <w:w w:val="99"/>
              </w:rPr>
              <w:t>20%</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color w:val="auto"/>
              </w:rPr>
              <w:t>&gt; $12.271 – $12.8</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&gt; 20% – 28%</w:t>
            </w: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ind w:left="479"/>
              <w:spacing w:after="0"/>
              <w:rPr>
                <w:sz w:val="20"/>
                <w:szCs w:val="20"/>
                <w:color w:val="auto"/>
              </w:rPr>
            </w:pPr>
            <w:r>
              <w:rPr>
                <w:rFonts w:ascii="Arial" w:cs="Arial" w:eastAsia="Arial" w:hAnsi="Arial"/>
                <w:sz w:val="16"/>
                <w:szCs w:val="16"/>
                <w:color w:val="auto"/>
              </w:rPr>
              <w:t>&gt; $12.8</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color w:val="auto"/>
                <w:w w:val="99"/>
              </w:rPr>
              <w:t>30%</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89"/>
        </w:trPr>
        <w:tc>
          <w:tcPr>
            <w:tcW w:w="3360" w:type="dxa"/>
            <w:vAlign w:val="bottom"/>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Pr>
          <w:p>
            <w:pPr>
              <w:spacing w:after="0"/>
              <w:rPr>
                <w:sz w:val="24"/>
                <w:szCs w:val="24"/>
                <w:color w:val="auto"/>
              </w:rPr>
            </w:pPr>
          </w:p>
        </w:tc>
        <w:tc>
          <w:tcPr>
            <w:tcW w:w="1140" w:type="dxa"/>
            <w:vAlign w:val="bottom"/>
            <w:gridSpan w:val="3"/>
          </w:tcPr>
          <w:p>
            <w:pPr>
              <w:jc w:val="center"/>
              <w:ind w:left="479"/>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13.357</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color w:val="auto"/>
                <w:w w:val="99"/>
              </w:rPr>
              <w:t>30%</w:t>
            </w: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0"/>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Consolidated</w:t>
            </w:r>
          </w:p>
        </w:tc>
        <w:tc>
          <w:tcPr>
            <w:tcW w:w="920" w:type="dxa"/>
            <w:vAlign w:val="bottom"/>
          </w:tcPr>
          <w:p>
            <w:pPr>
              <w:spacing w:after="0"/>
              <w:rPr>
                <w:sz w:val="16"/>
                <w:szCs w:val="16"/>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color w:val="auto"/>
                <w:w w:val="98"/>
              </w:rPr>
              <w:t>£ $109.95</w:t>
            </w:r>
          </w:p>
        </w:tc>
        <w:tc>
          <w:tcPr>
            <w:tcW w:w="2260" w:type="dxa"/>
            <w:vAlign w:val="bottom"/>
            <w:gridSpan w:val="4"/>
          </w:tcPr>
          <w:p>
            <w:pPr>
              <w:jc w:val="center"/>
              <w:ind w:left="193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1"/>
        </w:trPr>
        <w:tc>
          <w:tcPr>
            <w:tcW w:w="3360" w:type="dxa"/>
            <w:vAlign w:val="bottom"/>
          </w:tcPr>
          <w:p>
            <w:pPr>
              <w:ind w:left="60"/>
              <w:spacing w:after="0" w:line="231" w:lineRule="exact"/>
              <w:rPr>
                <w:sz w:val="20"/>
                <w:szCs w:val="20"/>
                <w:color w:val="auto"/>
              </w:rPr>
            </w:pPr>
            <w:r>
              <w:rPr>
                <w:rFonts w:ascii="Arial" w:cs="Arial" w:eastAsia="Arial" w:hAnsi="Arial"/>
                <w:sz w:val="16"/>
                <w:szCs w:val="16"/>
                <w:b w:val="1"/>
                <w:bCs w:val="1"/>
                <w:color w:val="0A33A5"/>
              </w:rPr>
              <w:t>Revenue</w:t>
            </w:r>
            <w:r>
              <w:rPr>
                <w:rFonts w:ascii="Arial" w:cs="Arial" w:eastAsia="Arial" w:hAnsi="Arial"/>
                <w:sz w:val="26"/>
                <w:szCs w:val="26"/>
                <w:b w:val="1"/>
                <w:bCs w:val="1"/>
                <w:color w:val="0A33A5"/>
                <w:vertAlign w:val="superscript"/>
              </w:rPr>
              <w:t>(1)</w:t>
            </w:r>
          </w:p>
        </w:tc>
        <w:tc>
          <w:tcPr>
            <w:tcW w:w="920" w:type="dxa"/>
            <w:vAlign w:val="bottom"/>
          </w:tcPr>
          <w:p>
            <w:pPr>
              <w:spacing w:after="0"/>
              <w:rPr>
                <w:sz w:val="20"/>
                <w:szCs w:val="20"/>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color w:val="auto"/>
              </w:rPr>
              <w:t>&gt; $109.95 – $111.48</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4%–&lt;10%</w:t>
            </w:r>
          </w:p>
        </w:tc>
      </w:tr>
      <w:tr>
        <w:trPr>
          <w:trHeight w:val="215"/>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60"/>
              <w:spacing w:after="0"/>
              <w:rPr>
                <w:sz w:val="20"/>
                <w:szCs w:val="20"/>
                <w:color w:val="auto"/>
              </w:rPr>
            </w:pPr>
            <w:r>
              <w:rPr>
                <w:rFonts w:ascii="Arial" w:cs="Arial" w:eastAsia="Arial" w:hAnsi="Arial"/>
                <w:sz w:val="16"/>
                <w:szCs w:val="16"/>
                <w:b w:val="1"/>
                <w:bCs w:val="1"/>
                <w:color w:val="auto"/>
              </w:rPr>
              <w:t>$111.49 – $111.79</w:t>
            </w: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b w:val="1"/>
                <w:bCs w:val="1"/>
                <w:color w:val="auto"/>
                <w:w w:val="99"/>
              </w:rPr>
              <w:t>10%</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60" w:type="dxa"/>
            <w:vAlign w:val="bottom"/>
            <w:gridSpan w:val="5"/>
          </w:tcPr>
          <w:p>
            <w:pPr>
              <w:jc w:val="center"/>
              <w:ind w:right="840"/>
              <w:spacing w:after="0"/>
              <w:rPr>
                <w:sz w:val="20"/>
                <w:szCs w:val="20"/>
                <w:color w:val="auto"/>
              </w:rPr>
            </w:pPr>
            <w:r>
              <w:rPr>
                <w:rFonts w:ascii="Arial" w:cs="Arial" w:eastAsia="Arial" w:hAnsi="Arial"/>
                <w:sz w:val="16"/>
                <w:szCs w:val="16"/>
                <w:color w:val="auto"/>
              </w:rPr>
              <w:t>&gt; $111.79 – $112.8</w:t>
            </w: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rPr>
              <w:t>&gt; 10% – 14%</w:t>
            </w:r>
          </w:p>
        </w:tc>
      </w:t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4"/>
          </w:tcPr>
          <w:p>
            <w:pPr>
              <w:jc w:val="center"/>
              <w:ind w:left="439"/>
              <w:spacing w:after="0"/>
              <w:rPr>
                <w:sz w:val="20"/>
                <w:szCs w:val="20"/>
                <w:color w:val="auto"/>
              </w:rPr>
            </w:pPr>
            <w:r>
              <w:rPr>
                <w:rFonts w:ascii="Arial" w:cs="Arial" w:eastAsia="Arial" w:hAnsi="Arial"/>
                <w:sz w:val="16"/>
                <w:szCs w:val="16"/>
                <w:color w:val="auto"/>
              </w:rPr>
              <w:t>&gt; $112.8</w:t>
            </w:r>
          </w:p>
        </w:tc>
        <w:tc>
          <w:tcPr>
            <w:tcW w:w="1360" w:type="dxa"/>
            <w:vAlign w:val="bottom"/>
          </w:tcPr>
          <w:p>
            <w:pPr>
              <w:spacing w:after="0"/>
              <w:rPr>
                <w:sz w:val="18"/>
                <w:szCs w:val="18"/>
                <w:color w:val="auto"/>
              </w:rPr>
            </w:pPr>
          </w:p>
        </w:tc>
        <w:tc>
          <w:tcPr>
            <w:tcW w:w="2300" w:type="dxa"/>
            <w:vAlign w:val="bottom"/>
            <w:gridSpan w:val="5"/>
          </w:tcPr>
          <w:p>
            <w:pPr>
              <w:jc w:val="center"/>
              <w:ind w:left="1899"/>
              <w:spacing w:after="0"/>
              <w:rPr>
                <w:sz w:val="20"/>
                <w:szCs w:val="20"/>
                <w:color w:val="auto"/>
              </w:rPr>
            </w:pPr>
            <w:r>
              <w:rPr>
                <w:rFonts w:ascii="Arial" w:cs="Arial" w:eastAsia="Arial" w:hAnsi="Arial"/>
                <w:sz w:val="16"/>
                <w:szCs w:val="16"/>
                <w:color w:val="auto"/>
                <w:w w:val="99"/>
              </w:rPr>
              <w:t>15%</w:t>
            </w:r>
          </w:p>
        </w:tc>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89"/>
        </w:trPr>
        <w:tc>
          <w:tcPr>
            <w:tcW w:w="3360" w:type="dxa"/>
            <w:vAlign w:val="bottom"/>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Pr>
          <w:p>
            <w:pPr>
              <w:spacing w:after="0"/>
              <w:rPr>
                <w:sz w:val="24"/>
                <w:szCs w:val="24"/>
                <w:color w:val="auto"/>
              </w:rPr>
            </w:pPr>
          </w:p>
        </w:tc>
        <w:tc>
          <w:tcPr>
            <w:tcW w:w="1200" w:type="dxa"/>
            <w:vAlign w:val="bottom"/>
            <w:gridSpan w:val="4"/>
          </w:tcPr>
          <w:p>
            <w:pPr>
              <w:jc w:val="center"/>
              <w:ind w:left="439"/>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109.543</w:t>
            </w:r>
          </w:p>
        </w:tc>
        <w:tc>
          <w:tcPr>
            <w:tcW w:w="1360" w:type="dxa"/>
            <w:vAlign w:val="bottom"/>
          </w:tcPr>
          <w:p>
            <w:pPr>
              <w:spacing w:after="0"/>
              <w:rPr>
                <w:sz w:val="24"/>
                <w:szCs w:val="24"/>
                <w:color w:val="auto"/>
              </w:rPr>
            </w:pPr>
          </w:p>
        </w:tc>
        <w:tc>
          <w:tcPr>
            <w:tcW w:w="2260" w:type="dxa"/>
            <w:vAlign w:val="bottom"/>
            <w:gridSpan w:val="4"/>
          </w:tcPr>
          <w:p>
            <w:pPr>
              <w:jc w:val="center"/>
              <w:ind w:left="1939"/>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61"/>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Customer Experience</w:t>
            </w:r>
            <w:r>
              <w:rPr>
                <w:rFonts w:ascii="Arial" w:cs="Arial" w:eastAsia="Arial" w:hAnsi="Arial"/>
                <w:sz w:val="27"/>
                <w:szCs w:val="27"/>
                <w:b w:val="1"/>
                <w:bCs w:val="1"/>
                <w:color w:val="0A33A5"/>
                <w:vertAlign w:val="superscript"/>
              </w:rPr>
              <w:t>(2)</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8"/>
              </w:rPr>
              <w:t>0% – 30%</w:t>
            </w:r>
          </w:p>
        </w:tc>
      </w:tr>
      <w:tr>
        <w:trPr>
          <w:trHeight w:val="537"/>
        </w:trPr>
        <w:tc>
          <w:tcPr>
            <w:tcW w:w="3360" w:type="dxa"/>
            <w:vAlign w:val="bottom"/>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6"/>
              </w:rPr>
              <w:t>15.</w:t>
            </w:r>
            <w:r>
              <w:rPr>
                <w:rFonts w:ascii="Arial" w:cs="Arial" w:eastAsia="Arial" w:hAnsi="Arial"/>
                <w:sz w:val="16"/>
                <w:szCs w:val="16"/>
                <w:u w:val="single" w:color="auto"/>
                <w:color w:val="auto"/>
                <w:w w:val="96"/>
              </w:rPr>
              <w:t>5%</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3"/>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Product Churn</w:t>
            </w:r>
            <w:r>
              <w:rPr>
                <w:rFonts w:ascii="Arial" w:cs="Arial" w:eastAsia="Arial" w:hAnsi="Arial"/>
                <w:sz w:val="27"/>
                <w:szCs w:val="27"/>
                <w:b w:val="1"/>
                <w:bCs w:val="1"/>
                <w:color w:val="0A33A5"/>
                <w:vertAlign w:val="superscript"/>
              </w:rPr>
              <w:t>(2)</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8"/>
              </w:rPr>
              <w:t>0% – 10%</w:t>
            </w:r>
          </w:p>
        </w:tc>
      </w:tr>
      <w:tr>
        <w:trPr>
          <w:trHeight w:val="21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left="1939"/>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316"/>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Wireless Phone Rollout</w:t>
            </w:r>
            <w:r>
              <w:rPr>
                <w:rFonts w:ascii="Arial" w:cs="Arial" w:eastAsia="Arial" w:hAnsi="Arial"/>
                <w:sz w:val="27"/>
                <w:szCs w:val="27"/>
                <w:b w:val="1"/>
                <w:bCs w:val="1"/>
                <w:color w:val="0A33A5"/>
                <w:vertAlign w:val="superscript"/>
              </w:rPr>
              <w:t>(2)</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8"/>
              </w:rPr>
              <w:t>0% – 10%</w:t>
            </w:r>
          </w:p>
        </w:tc>
      </w:tr>
      <w:tr>
        <w:trPr>
          <w:trHeight w:val="21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left="1939"/>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316"/>
        </w:trPr>
        <w:tc>
          <w:tcPr>
            <w:tcW w:w="3360" w:type="dxa"/>
            <w:vAlign w:val="bottom"/>
          </w:tcPr>
          <w:p>
            <w:pPr>
              <w:ind w:left="60"/>
              <w:spacing w:after="0"/>
              <w:rPr>
                <w:sz w:val="20"/>
                <w:szCs w:val="20"/>
                <w:color w:val="auto"/>
              </w:rPr>
            </w:pPr>
            <w:r>
              <w:rPr>
                <w:rFonts w:ascii="Arial" w:cs="Arial" w:eastAsia="Arial" w:hAnsi="Arial"/>
                <w:sz w:val="16"/>
                <w:szCs w:val="16"/>
                <w:b w:val="1"/>
                <w:bCs w:val="1"/>
                <w:color w:val="0A33A5"/>
              </w:rPr>
              <w:t>Qualitative Goal</w:t>
            </w:r>
            <w:r>
              <w:rPr>
                <w:rFonts w:ascii="Arial" w:cs="Arial" w:eastAsia="Arial" w:hAnsi="Arial"/>
                <w:sz w:val="27"/>
                <w:szCs w:val="27"/>
                <w:b w:val="1"/>
                <w:bCs w:val="1"/>
                <w:color w:val="0A33A5"/>
                <w:vertAlign w:val="superscript"/>
              </w:rPr>
              <w:t>(3)</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80" w:type="dxa"/>
            <w:vAlign w:val="bottom"/>
            <w:gridSpan w:val="7"/>
          </w:tcPr>
          <w:p>
            <w:pPr>
              <w:jc w:val="center"/>
              <w:ind w:left="19"/>
              <w:spacing w:after="0"/>
              <w:rPr>
                <w:sz w:val="20"/>
                <w:szCs w:val="20"/>
                <w:color w:val="auto"/>
              </w:rPr>
            </w:pPr>
            <w:r>
              <w:rPr>
                <w:rFonts w:ascii="Arial" w:cs="Arial" w:eastAsia="Arial" w:hAnsi="Arial"/>
                <w:sz w:val="16"/>
                <w:szCs w:val="16"/>
                <w:color w:val="auto"/>
                <w:w w:val="98"/>
              </w:rPr>
              <w:t>0% – 40%</w:t>
            </w:r>
          </w:p>
        </w:tc>
      </w:tr>
      <w:tr>
        <w:trPr>
          <w:trHeight w:val="21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0A33A5"/>
              </w:rPr>
              <w:t>Actual Achievement</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left="1899"/>
              <w:spacing w:after="0"/>
              <w:rPr>
                <w:sz w:val="20"/>
                <w:szCs w:val="20"/>
                <w:color w:val="auto"/>
              </w:rPr>
            </w:pPr>
            <w:r>
              <w:rPr>
                <w:rFonts w:ascii="Arial" w:cs="Arial" w:eastAsia="Arial" w:hAnsi="Arial"/>
                <w:sz w:val="16"/>
                <w:szCs w:val="16"/>
                <w:color w:val="auto"/>
                <w:w w:val="99"/>
              </w:rPr>
              <w:t>20%</w:t>
            </w: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298"/>
        </w:trPr>
        <w:tc>
          <w:tcPr>
            <w:tcW w:w="3360" w:type="dxa"/>
            <w:vAlign w:val="bottom"/>
            <w:tcBorders>
              <w:bottom w:val="single" w:sz="8" w:color="DDF2F9"/>
            </w:tcBorders>
            <w:shd w:val="clear" w:color="auto" w:fill="DDF2F9"/>
          </w:tcPr>
          <w:p>
            <w:pPr>
              <w:ind w:left="60"/>
              <w:spacing w:after="0"/>
              <w:rPr>
                <w:sz w:val="20"/>
                <w:szCs w:val="20"/>
                <w:color w:val="auto"/>
              </w:rPr>
            </w:pPr>
            <w:r>
              <w:rPr>
                <w:rFonts w:ascii="Arial" w:cs="Arial" w:eastAsia="Arial" w:hAnsi="Arial"/>
                <w:sz w:val="16"/>
                <w:szCs w:val="16"/>
                <w:b w:val="1"/>
                <w:bCs w:val="1"/>
                <w:color w:val="0A33A5"/>
              </w:rPr>
              <w:t>% of Target Bonus Achieved</w:t>
            </w:r>
          </w:p>
        </w:tc>
        <w:tc>
          <w:tcPr>
            <w:tcW w:w="920" w:type="dxa"/>
            <w:vAlign w:val="bottom"/>
            <w:tcBorders>
              <w:bottom w:val="single" w:sz="8" w:color="DDF2F9"/>
            </w:tcBorders>
            <w:shd w:val="clear" w:color="auto" w:fill="DDF2F9"/>
          </w:tcPr>
          <w:p>
            <w:pPr>
              <w:spacing w:after="0"/>
              <w:rPr>
                <w:sz w:val="24"/>
                <w:szCs w:val="24"/>
                <w:color w:val="auto"/>
              </w:rPr>
            </w:pPr>
          </w:p>
        </w:tc>
        <w:tc>
          <w:tcPr>
            <w:tcW w:w="520" w:type="dxa"/>
            <w:vAlign w:val="bottom"/>
            <w:tcBorders>
              <w:bottom w:val="single" w:sz="8" w:color="DDF2F9"/>
            </w:tcBorders>
            <w:shd w:val="clear" w:color="auto" w:fill="DDF2F9"/>
          </w:tcPr>
          <w:p>
            <w:pPr>
              <w:spacing w:after="0"/>
              <w:rPr>
                <w:sz w:val="24"/>
                <w:szCs w:val="24"/>
                <w:color w:val="auto"/>
              </w:rPr>
            </w:pPr>
          </w:p>
        </w:tc>
        <w:tc>
          <w:tcPr>
            <w:tcW w:w="40" w:type="dxa"/>
            <w:vAlign w:val="bottom"/>
            <w:tcBorders>
              <w:bottom w:val="single" w:sz="8" w:color="DDF2F9"/>
            </w:tcBorders>
            <w:shd w:val="clear" w:color="auto" w:fill="DDF2F9"/>
          </w:tcPr>
          <w:p>
            <w:pPr>
              <w:spacing w:after="0"/>
              <w:rPr>
                <w:sz w:val="24"/>
                <w:szCs w:val="24"/>
                <w:color w:val="auto"/>
              </w:rPr>
            </w:pPr>
          </w:p>
        </w:tc>
        <w:tc>
          <w:tcPr>
            <w:tcW w:w="580" w:type="dxa"/>
            <w:vAlign w:val="bottom"/>
            <w:tcBorders>
              <w:bottom w:val="single" w:sz="8" w:color="DDF2F9"/>
            </w:tcBorders>
            <w:shd w:val="clear" w:color="auto" w:fill="DDF2F9"/>
          </w:tcPr>
          <w:p>
            <w:pPr>
              <w:spacing w:after="0"/>
              <w:rPr>
                <w:sz w:val="24"/>
                <w:szCs w:val="24"/>
                <w:color w:val="auto"/>
              </w:rPr>
            </w:pPr>
          </w:p>
        </w:tc>
        <w:tc>
          <w:tcPr>
            <w:tcW w:w="60" w:type="dxa"/>
            <w:vAlign w:val="bottom"/>
            <w:tcBorders>
              <w:bottom w:val="single" w:sz="8" w:color="DDF2F9"/>
            </w:tcBorders>
            <w:shd w:val="clear" w:color="auto" w:fill="DDF2F9"/>
          </w:tcPr>
          <w:p>
            <w:pPr>
              <w:spacing w:after="0"/>
              <w:rPr>
                <w:sz w:val="24"/>
                <w:szCs w:val="24"/>
                <w:color w:val="auto"/>
              </w:rPr>
            </w:pPr>
          </w:p>
        </w:tc>
        <w:tc>
          <w:tcPr>
            <w:tcW w:w="1360" w:type="dxa"/>
            <w:vAlign w:val="bottom"/>
            <w:tcBorders>
              <w:bottom w:val="single" w:sz="8" w:color="DDF2F9"/>
            </w:tcBorders>
            <w:shd w:val="clear" w:color="auto" w:fill="DDF2F9"/>
          </w:tcPr>
          <w:p>
            <w:pPr>
              <w:spacing w:after="0"/>
              <w:rPr>
                <w:sz w:val="24"/>
                <w:szCs w:val="24"/>
                <w:color w:val="auto"/>
              </w:rPr>
            </w:pPr>
          </w:p>
        </w:tc>
        <w:tc>
          <w:tcPr>
            <w:tcW w:w="4180" w:type="dxa"/>
            <w:vAlign w:val="bottom"/>
            <w:tcBorders>
              <w:bottom w:val="single" w:sz="8" w:color="DDF2F9"/>
            </w:tcBorders>
            <w:gridSpan w:val="7"/>
            <w:shd w:val="clear" w:color="auto" w:fill="DDF2F9"/>
          </w:tcPr>
          <w:p>
            <w:pPr>
              <w:jc w:val="center"/>
              <w:ind w:left="19"/>
              <w:spacing w:after="0"/>
              <w:rPr>
                <w:sz w:val="20"/>
                <w:szCs w:val="20"/>
                <w:color w:val="auto"/>
              </w:rPr>
            </w:pPr>
            <w:r>
              <w:rPr>
                <w:rFonts w:ascii="Arial" w:cs="Arial" w:eastAsia="Arial" w:hAnsi="Arial"/>
                <w:sz w:val="16"/>
                <w:szCs w:val="16"/>
                <w:color w:val="auto"/>
              </w:rPr>
              <w:t>100.5%</w:t>
            </w:r>
          </w:p>
        </w:tc>
      </w:tr>
      <w:tr>
        <w:trPr>
          <w:trHeight w:val="208"/>
        </w:trPr>
        <w:tc>
          <w:tcPr>
            <w:tcW w:w="3360" w:type="dxa"/>
            <w:vAlign w:val="bottom"/>
            <w:tcBorders>
              <w:top w:val="single" w:sz="8" w:color="auto"/>
            </w:tcBorders>
            <w:shd w:val="clear" w:color="auto" w:fill="F2F2F2"/>
          </w:tcPr>
          <w:p>
            <w:pPr>
              <w:ind w:left="60"/>
              <w:spacing w:after="0"/>
              <w:rPr>
                <w:sz w:val="20"/>
                <w:szCs w:val="20"/>
                <w:color w:val="auto"/>
              </w:rPr>
            </w:pPr>
            <w:r>
              <w:rPr>
                <w:rFonts w:ascii="Arial" w:cs="Arial" w:eastAsia="Arial" w:hAnsi="Arial"/>
                <w:sz w:val="16"/>
                <w:szCs w:val="16"/>
                <w:b w:val="1"/>
                <w:bCs w:val="1"/>
                <w:i w:val="1"/>
                <w:iCs w:val="1"/>
                <w:color w:val="0A33A5"/>
              </w:rPr>
              <w:t>Actual Bonus for 2019</w:t>
            </w:r>
          </w:p>
        </w:tc>
        <w:tc>
          <w:tcPr>
            <w:tcW w:w="920" w:type="dxa"/>
            <w:vAlign w:val="bottom"/>
            <w:tcBorders>
              <w:top w:val="single" w:sz="8" w:color="auto"/>
            </w:tcBorders>
            <w:shd w:val="clear" w:color="auto" w:fill="F2F2F2"/>
          </w:tcPr>
          <w:p>
            <w:pPr>
              <w:ind w:left="60"/>
              <w:spacing w:after="0"/>
              <w:rPr>
                <w:sz w:val="20"/>
                <w:szCs w:val="20"/>
                <w:color w:val="auto"/>
              </w:rPr>
            </w:pPr>
            <w:r>
              <w:rPr>
                <w:rFonts w:ascii="Arial" w:cs="Arial" w:eastAsia="Arial" w:hAnsi="Arial"/>
                <w:sz w:val="16"/>
                <w:szCs w:val="16"/>
                <w:color w:val="auto"/>
              </w:rPr>
              <w:t>Roberts:</w:t>
            </w:r>
          </w:p>
        </w:tc>
        <w:tc>
          <w:tcPr>
            <w:tcW w:w="1140" w:type="dxa"/>
            <w:vAlign w:val="bottom"/>
            <w:tcBorders>
              <w:top w:val="single" w:sz="8" w:color="auto"/>
            </w:tcBorders>
            <w:gridSpan w:val="3"/>
            <w:shd w:val="clear" w:color="auto" w:fill="F2F2F2"/>
          </w:tcPr>
          <w:p>
            <w:pPr>
              <w:jc w:val="right"/>
              <w:ind w:right="160"/>
              <w:spacing w:after="0"/>
              <w:rPr>
                <w:sz w:val="20"/>
                <w:szCs w:val="20"/>
                <w:color w:val="auto"/>
              </w:rPr>
            </w:pPr>
            <w:r>
              <w:rPr>
                <w:rFonts w:ascii="Arial" w:cs="Arial" w:eastAsia="Arial" w:hAnsi="Arial"/>
                <w:sz w:val="16"/>
                <w:szCs w:val="16"/>
                <w:color w:val="auto"/>
              </w:rPr>
              <w:t>$9,974,251</w:t>
            </w:r>
          </w:p>
        </w:tc>
        <w:tc>
          <w:tcPr>
            <w:tcW w:w="60" w:type="dxa"/>
            <w:vAlign w:val="bottom"/>
            <w:tcBorders>
              <w:top w:val="single" w:sz="8" w:color="auto"/>
            </w:tcBorders>
            <w:shd w:val="clear" w:color="auto" w:fill="F2F2F2"/>
          </w:tcPr>
          <w:p>
            <w:pPr>
              <w:spacing w:after="0"/>
              <w:rPr>
                <w:sz w:val="18"/>
                <w:szCs w:val="18"/>
                <w:color w:val="auto"/>
              </w:rPr>
            </w:pPr>
          </w:p>
        </w:tc>
        <w:tc>
          <w:tcPr>
            <w:tcW w:w="1360" w:type="dxa"/>
            <w:vAlign w:val="bottom"/>
            <w:tcBorders>
              <w:top w:val="single" w:sz="8" w:color="auto"/>
            </w:tcBorders>
            <w:shd w:val="clear" w:color="auto" w:fill="F2F2F2"/>
          </w:tcPr>
          <w:p>
            <w:pPr>
              <w:spacing w:after="0"/>
              <w:rPr>
                <w:sz w:val="18"/>
                <w:szCs w:val="18"/>
                <w:color w:val="auto"/>
              </w:rPr>
            </w:pPr>
          </w:p>
        </w:tc>
        <w:tc>
          <w:tcPr>
            <w:tcW w:w="1920" w:type="dxa"/>
            <w:vAlign w:val="bottom"/>
            <w:tcBorders>
              <w:top w:val="single" w:sz="8" w:color="auto"/>
            </w:tcBorders>
            <w:shd w:val="clear" w:color="auto" w:fill="F2F2F2"/>
          </w:tcPr>
          <w:p>
            <w:pPr>
              <w:spacing w:after="0"/>
              <w:rPr>
                <w:sz w:val="18"/>
                <w:szCs w:val="18"/>
                <w:color w:val="auto"/>
              </w:rPr>
            </w:pPr>
          </w:p>
        </w:tc>
        <w:tc>
          <w:tcPr>
            <w:tcW w:w="60" w:type="dxa"/>
            <w:vAlign w:val="bottom"/>
            <w:tcBorders>
              <w:top w:val="single" w:sz="8" w:color="auto"/>
            </w:tcBorders>
            <w:shd w:val="clear" w:color="auto" w:fill="F2F2F2"/>
          </w:tcPr>
          <w:p>
            <w:pPr>
              <w:spacing w:after="0"/>
              <w:rPr>
                <w:sz w:val="18"/>
                <w:szCs w:val="18"/>
                <w:color w:val="auto"/>
              </w:rPr>
            </w:pPr>
          </w:p>
        </w:tc>
        <w:tc>
          <w:tcPr>
            <w:tcW w:w="40" w:type="dxa"/>
            <w:vAlign w:val="bottom"/>
            <w:tcBorders>
              <w:top w:val="single" w:sz="8" w:color="auto"/>
            </w:tcBorders>
            <w:shd w:val="clear" w:color="auto" w:fill="F2F2F2"/>
          </w:tcPr>
          <w:p>
            <w:pPr>
              <w:spacing w:after="0"/>
              <w:rPr>
                <w:sz w:val="18"/>
                <w:szCs w:val="18"/>
                <w:color w:val="auto"/>
              </w:rPr>
            </w:pPr>
          </w:p>
        </w:tc>
        <w:tc>
          <w:tcPr>
            <w:tcW w:w="240" w:type="dxa"/>
            <w:vAlign w:val="bottom"/>
            <w:tcBorders>
              <w:top w:val="single" w:sz="8" w:color="auto"/>
            </w:tcBorders>
            <w:shd w:val="clear" w:color="auto" w:fill="F2F2F2"/>
          </w:tcPr>
          <w:p>
            <w:pPr>
              <w:spacing w:after="0"/>
              <w:rPr>
                <w:sz w:val="18"/>
                <w:szCs w:val="18"/>
                <w:color w:val="auto"/>
              </w:rPr>
            </w:pPr>
          </w:p>
        </w:tc>
        <w:tc>
          <w:tcPr>
            <w:tcW w:w="40" w:type="dxa"/>
            <w:vAlign w:val="bottom"/>
            <w:tcBorders>
              <w:top w:val="single" w:sz="8" w:color="auto"/>
            </w:tcBorders>
            <w:shd w:val="clear" w:color="auto" w:fill="F2F2F2"/>
          </w:tcPr>
          <w:p>
            <w:pPr>
              <w:spacing w:after="0"/>
              <w:rPr>
                <w:sz w:val="18"/>
                <w:szCs w:val="18"/>
                <w:color w:val="auto"/>
              </w:rPr>
            </w:pPr>
          </w:p>
        </w:tc>
        <w:tc>
          <w:tcPr>
            <w:tcW w:w="60" w:type="dxa"/>
            <w:vAlign w:val="bottom"/>
            <w:tcBorders>
              <w:top w:val="single" w:sz="8" w:color="auto"/>
            </w:tcBorders>
            <w:shd w:val="clear" w:color="auto" w:fill="F2F2F2"/>
          </w:tcPr>
          <w:p>
            <w:pPr>
              <w:spacing w:after="0"/>
              <w:rPr>
                <w:sz w:val="18"/>
                <w:szCs w:val="18"/>
                <w:color w:val="auto"/>
              </w:rPr>
            </w:pPr>
          </w:p>
        </w:tc>
        <w:tc>
          <w:tcPr>
            <w:tcW w:w="1820" w:type="dxa"/>
            <w:vAlign w:val="bottom"/>
            <w:tcBorders>
              <w:top w:val="single" w:sz="8" w:color="auto"/>
            </w:tcBorders>
            <w:shd w:val="clear" w:color="auto" w:fill="F2F2F2"/>
          </w:tcPr>
          <w:p>
            <w:pPr>
              <w:spacing w:after="0"/>
              <w:rPr>
                <w:sz w:val="18"/>
                <w:szCs w:val="18"/>
                <w:color w:val="auto"/>
              </w:rPr>
            </w:pPr>
          </w:p>
        </w:tc>
      </w:tr>
      <w:tr>
        <w:trPr>
          <w:trHeight w:val="225"/>
        </w:trPr>
        <w:tc>
          <w:tcPr>
            <w:tcW w:w="3360" w:type="dxa"/>
            <w:vAlign w:val="bottom"/>
            <w:shd w:val="clear" w:color="auto" w:fill="F2F2F2"/>
          </w:tcPr>
          <w:p>
            <w:pPr>
              <w:spacing w:after="0"/>
              <w:rPr>
                <w:sz w:val="19"/>
                <w:szCs w:val="19"/>
                <w:color w:val="auto"/>
              </w:rPr>
            </w:pPr>
          </w:p>
        </w:tc>
        <w:tc>
          <w:tcPr>
            <w:tcW w:w="9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Cavanagh:</w:t>
            </w:r>
          </w:p>
        </w:tc>
        <w:tc>
          <w:tcPr>
            <w:tcW w:w="1140" w:type="dxa"/>
            <w:vAlign w:val="bottom"/>
            <w:gridSpan w:val="3"/>
            <w:shd w:val="clear" w:color="auto" w:fill="F2F2F2"/>
          </w:tcPr>
          <w:p>
            <w:pPr>
              <w:jc w:val="right"/>
              <w:ind w:right="180"/>
              <w:spacing w:after="0"/>
              <w:rPr>
                <w:sz w:val="20"/>
                <w:szCs w:val="20"/>
                <w:color w:val="auto"/>
              </w:rPr>
            </w:pPr>
            <w:r>
              <w:rPr>
                <w:rFonts w:ascii="Arial" w:cs="Arial" w:eastAsia="Arial" w:hAnsi="Arial"/>
                <w:sz w:val="16"/>
                <w:szCs w:val="16"/>
                <w:color w:val="auto"/>
              </w:rPr>
              <w:t>6,926,301</w:t>
            </w:r>
          </w:p>
        </w:tc>
        <w:tc>
          <w:tcPr>
            <w:tcW w:w="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92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1820" w:type="dxa"/>
            <w:vAlign w:val="bottom"/>
            <w:shd w:val="clear" w:color="auto" w:fill="F2F2F2"/>
          </w:tcPr>
          <w:p>
            <w:pPr>
              <w:spacing w:after="0"/>
              <w:rPr>
                <w:sz w:val="19"/>
                <w:szCs w:val="19"/>
                <w:color w:val="auto"/>
              </w:rPr>
            </w:pPr>
          </w:p>
        </w:tc>
      </w:tr>
      <w:tr>
        <w:trPr>
          <w:trHeight w:val="230"/>
        </w:trPr>
        <w:tc>
          <w:tcPr>
            <w:tcW w:w="3360" w:type="dxa"/>
            <w:vAlign w:val="bottom"/>
            <w:shd w:val="clear" w:color="auto" w:fill="F2F2F2"/>
          </w:tcPr>
          <w:p>
            <w:pPr>
              <w:spacing w:after="0"/>
              <w:rPr>
                <w:sz w:val="19"/>
                <w:szCs w:val="19"/>
                <w:color w:val="auto"/>
              </w:rPr>
            </w:pPr>
          </w:p>
        </w:tc>
        <w:tc>
          <w:tcPr>
            <w:tcW w:w="920" w:type="dxa"/>
            <w:vAlign w:val="bottom"/>
            <w:shd w:val="clear" w:color="auto" w:fill="F2F2F2"/>
          </w:tcPr>
          <w:p>
            <w:pPr>
              <w:ind w:left="60"/>
              <w:spacing w:after="0"/>
              <w:rPr>
                <w:sz w:val="20"/>
                <w:szCs w:val="20"/>
                <w:color w:val="auto"/>
              </w:rPr>
            </w:pPr>
            <w:r>
              <w:rPr>
                <w:rFonts w:ascii="Arial" w:cs="Arial" w:eastAsia="Arial" w:hAnsi="Arial"/>
                <w:sz w:val="16"/>
                <w:szCs w:val="16"/>
                <w:color w:val="auto"/>
              </w:rPr>
              <w:t>Burke:</w:t>
            </w:r>
          </w:p>
        </w:tc>
        <w:tc>
          <w:tcPr>
            <w:tcW w:w="1140" w:type="dxa"/>
            <w:vAlign w:val="bottom"/>
            <w:gridSpan w:val="3"/>
            <w:shd w:val="clear" w:color="auto" w:fill="F2F2F2"/>
          </w:tcPr>
          <w:p>
            <w:pPr>
              <w:jc w:val="right"/>
              <w:ind w:right="180"/>
              <w:spacing w:after="0"/>
              <w:rPr>
                <w:sz w:val="20"/>
                <w:szCs w:val="20"/>
                <w:color w:val="auto"/>
              </w:rPr>
            </w:pPr>
            <w:r>
              <w:rPr>
                <w:rFonts w:ascii="Arial" w:cs="Arial" w:eastAsia="Arial" w:hAnsi="Arial"/>
                <w:sz w:val="16"/>
                <w:szCs w:val="16"/>
                <w:color w:val="auto"/>
              </w:rPr>
              <w:t>9,259,286</w:t>
            </w:r>
          </w:p>
        </w:tc>
        <w:tc>
          <w:tcPr>
            <w:tcW w:w="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92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1820" w:type="dxa"/>
            <w:vAlign w:val="bottom"/>
            <w:shd w:val="clear" w:color="auto" w:fill="F2F2F2"/>
          </w:tcPr>
          <w:p>
            <w:pPr>
              <w:spacing w:after="0"/>
              <w:rPr>
                <w:sz w:val="19"/>
                <w:szCs w:val="19"/>
                <w:color w:val="auto"/>
              </w:rPr>
            </w:pPr>
          </w:p>
        </w:tc>
      </w:tr>
      <w:tr>
        <w:trPr>
          <w:trHeight w:val="229"/>
        </w:trPr>
        <w:tc>
          <w:tcPr>
            <w:tcW w:w="3360" w:type="dxa"/>
            <w:vAlign w:val="bottom"/>
            <w:shd w:val="clear" w:color="auto" w:fill="F2F2F2"/>
          </w:tcPr>
          <w:p>
            <w:pPr>
              <w:spacing w:after="0"/>
              <w:rPr>
                <w:sz w:val="19"/>
                <w:szCs w:val="19"/>
                <w:color w:val="auto"/>
              </w:rPr>
            </w:pPr>
          </w:p>
        </w:tc>
        <w:tc>
          <w:tcPr>
            <w:tcW w:w="9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Cohen:</w:t>
            </w:r>
          </w:p>
        </w:tc>
        <w:tc>
          <w:tcPr>
            <w:tcW w:w="1140" w:type="dxa"/>
            <w:vAlign w:val="bottom"/>
            <w:gridSpan w:val="3"/>
            <w:shd w:val="clear" w:color="auto" w:fill="F2F2F2"/>
          </w:tcPr>
          <w:p>
            <w:pPr>
              <w:jc w:val="right"/>
              <w:ind w:right="160"/>
              <w:spacing w:after="0"/>
              <w:rPr>
                <w:sz w:val="20"/>
                <w:szCs w:val="20"/>
                <w:color w:val="auto"/>
              </w:rPr>
            </w:pPr>
            <w:r>
              <w:rPr>
                <w:rFonts w:ascii="Arial" w:cs="Arial" w:eastAsia="Arial" w:hAnsi="Arial"/>
                <w:sz w:val="16"/>
                <w:szCs w:val="16"/>
                <w:color w:val="auto"/>
              </w:rPr>
              <w:t>4,070,060</w:t>
            </w:r>
          </w:p>
        </w:tc>
        <w:tc>
          <w:tcPr>
            <w:tcW w:w="60" w:type="dxa"/>
            <w:vAlign w:val="bottom"/>
            <w:shd w:val="clear" w:color="auto" w:fill="F2F2F2"/>
          </w:tcPr>
          <w:p>
            <w:pPr>
              <w:spacing w:after="0"/>
              <w:rPr>
                <w:sz w:val="19"/>
                <w:szCs w:val="19"/>
                <w:color w:val="auto"/>
              </w:rPr>
            </w:pPr>
          </w:p>
        </w:tc>
        <w:tc>
          <w:tcPr>
            <w:tcW w:w="1360" w:type="dxa"/>
            <w:vAlign w:val="bottom"/>
            <w:shd w:val="clear" w:color="auto" w:fill="F2F2F2"/>
          </w:tcPr>
          <w:p>
            <w:pPr>
              <w:spacing w:after="0"/>
              <w:rPr>
                <w:sz w:val="19"/>
                <w:szCs w:val="19"/>
                <w:color w:val="auto"/>
              </w:rPr>
            </w:pPr>
          </w:p>
        </w:tc>
        <w:tc>
          <w:tcPr>
            <w:tcW w:w="192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40" w:type="dxa"/>
            <w:vAlign w:val="bottom"/>
            <w:shd w:val="clear" w:color="auto" w:fill="F2F2F2"/>
          </w:tcPr>
          <w:p>
            <w:pPr>
              <w:spacing w:after="0"/>
              <w:rPr>
                <w:sz w:val="19"/>
                <w:szCs w:val="19"/>
                <w:color w:val="auto"/>
              </w:rPr>
            </w:pPr>
          </w:p>
        </w:tc>
        <w:tc>
          <w:tcPr>
            <w:tcW w:w="60" w:type="dxa"/>
            <w:vAlign w:val="bottom"/>
            <w:shd w:val="clear" w:color="auto" w:fill="F2F2F2"/>
          </w:tcPr>
          <w:p>
            <w:pPr>
              <w:spacing w:after="0"/>
              <w:rPr>
                <w:sz w:val="19"/>
                <w:szCs w:val="19"/>
                <w:color w:val="auto"/>
              </w:rPr>
            </w:pPr>
          </w:p>
        </w:tc>
        <w:tc>
          <w:tcPr>
            <w:tcW w:w="1820" w:type="dxa"/>
            <w:vAlign w:val="bottom"/>
            <w:shd w:val="clear" w:color="auto" w:fill="F2F2F2"/>
          </w:tcPr>
          <w:p>
            <w:pPr>
              <w:spacing w:after="0"/>
              <w:rPr>
                <w:sz w:val="19"/>
                <w:szCs w:val="19"/>
                <w:color w:val="auto"/>
              </w:rPr>
            </w:pPr>
          </w:p>
        </w:tc>
      </w:tr>
      <w:tr>
        <w:trPr>
          <w:trHeight w:val="243"/>
        </w:trPr>
        <w:tc>
          <w:tcPr>
            <w:tcW w:w="3360" w:type="dxa"/>
            <w:vAlign w:val="bottom"/>
            <w:tcBorders>
              <w:bottom w:val="single" w:sz="8" w:color="auto"/>
            </w:tcBorders>
            <w:shd w:val="clear" w:color="auto" w:fill="F2F2F2"/>
          </w:tcPr>
          <w:p>
            <w:pPr>
              <w:spacing w:after="0"/>
              <w:rPr>
                <w:sz w:val="21"/>
                <w:szCs w:val="21"/>
                <w:color w:val="auto"/>
              </w:rPr>
            </w:pPr>
          </w:p>
        </w:tc>
        <w:tc>
          <w:tcPr>
            <w:tcW w:w="920" w:type="dxa"/>
            <w:vAlign w:val="bottom"/>
            <w:tcBorders>
              <w:bottom w:val="single" w:sz="8" w:color="auto"/>
            </w:tcBorders>
            <w:shd w:val="clear" w:color="auto" w:fill="F2F2F2"/>
          </w:tcPr>
          <w:p>
            <w:pPr>
              <w:ind w:left="60"/>
              <w:spacing w:after="0"/>
              <w:rPr>
                <w:sz w:val="20"/>
                <w:szCs w:val="20"/>
                <w:color w:val="auto"/>
              </w:rPr>
            </w:pPr>
            <w:r>
              <w:rPr>
                <w:rFonts w:ascii="Arial" w:cs="Arial" w:eastAsia="Arial" w:hAnsi="Arial"/>
                <w:sz w:val="16"/>
                <w:szCs w:val="16"/>
                <w:color w:val="auto"/>
              </w:rPr>
              <w:t>Watson:</w:t>
            </w:r>
          </w:p>
        </w:tc>
        <w:tc>
          <w:tcPr>
            <w:tcW w:w="1140" w:type="dxa"/>
            <w:vAlign w:val="bottom"/>
            <w:tcBorders>
              <w:bottom w:val="single" w:sz="8" w:color="auto"/>
            </w:tcBorders>
            <w:gridSpan w:val="3"/>
            <w:shd w:val="clear" w:color="auto" w:fill="F2F2F2"/>
          </w:tcPr>
          <w:p>
            <w:pPr>
              <w:jc w:val="right"/>
              <w:ind w:right="200"/>
              <w:spacing w:after="0"/>
              <w:rPr>
                <w:sz w:val="20"/>
                <w:szCs w:val="20"/>
                <w:color w:val="auto"/>
              </w:rPr>
            </w:pPr>
            <w:r>
              <w:rPr>
                <w:rFonts w:ascii="Arial" w:cs="Arial" w:eastAsia="Arial" w:hAnsi="Arial"/>
                <w:sz w:val="16"/>
                <w:szCs w:val="16"/>
                <w:color w:val="auto"/>
              </w:rPr>
              <w:t>4,580,108</w:t>
            </w:r>
          </w:p>
        </w:tc>
        <w:tc>
          <w:tcPr>
            <w:tcW w:w="60" w:type="dxa"/>
            <w:vAlign w:val="bottom"/>
            <w:tcBorders>
              <w:bottom w:val="single" w:sz="8" w:color="auto"/>
            </w:tcBorders>
            <w:shd w:val="clear" w:color="auto" w:fill="F2F2F2"/>
          </w:tcPr>
          <w:p>
            <w:pPr>
              <w:spacing w:after="0"/>
              <w:rPr>
                <w:sz w:val="21"/>
                <w:szCs w:val="21"/>
                <w:color w:val="auto"/>
              </w:rPr>
            </w:pPr>
          </w:p>
        </w:tc>
        <w:tc>
          <w:tcPr>
            <w:tcW w:w="1360" w:type="dxa"/>
            <w:vAlign w:val="bottom"/>
            <w:tcBorders>
              <w:bottom w:val="single" w:sz="8" w:color="auto"/>
            </w:tcBorders>
            <w:shd w:val="clear" w:color="auto" w:fill="F2F2F2"/>
          </w:tcPr>
          <w:p>
            <w:pPr>
              <w:spacing w:after="0"/>
              <w:rPr>
                <w:sz w:val="21"/>
                <w:szCs w:val="21"/>
                <w:color w:val="auto"/>
              </w:rPr>
            </w:pPr>
          </w:p>
        </w:tc>
        <w:tc>
          <w:tcPr>
            <w:tcW w:w="1920" w:type="dxa"/>
            <w:vAlign w:val="bottom"/>
            <w:tcBorders>
              <w:bottom w:val="single" w:sz="8" w:color="auto"/>
            </w:tcBorders>
            <w:shd w:val="clear" w:color="auto" w:fill="F2F2F2"/>
          </w:tcPr>
          <w:p>
            <w:pPr>
              <w:spacing w:after="0"/>
              <w:rPr>
                <w:sz w:val="21"/>
                <w:szCs w:val="21"/>
                <w:color w:val="auto"/>
              </w:rPr>
            </w:pPr>
          </w:p>
        </w:tc>
        <w:tc>
          <w:tcPr>
            <w:tcW w:w="60" w:type="dxa"/>
            <w:vAlign w:val="bottom"/>
            <w:tcBorders>
              <w:bottom w:val="single" w:sz="8" w:color="auto"/>
            </w:tcBorders>
            <w:shd w:val="clear" w:color="auto" w:fill="F2F2F2"/>
          </w:tcPr>
          <w:p>
            <w:pPr>
              <w:spacing w:after="0"/>
              <w:rPr>
                <w:sz w:val="21"/>
                <w:szCs w:val="21"/>
                <w:color w:val="auto"/>
              </w:rPr>
            </w:pPr>
          </w:p>
        </w:tc>
        <w:tc>
          <w:tcPr>
            <w:tcW w:w="40" w:type="dxa"/>
            <w:vAlign w:val="bottom"/>
            <w:tcBorders>
              <w:bottom w:val="single" w:sz="8" w:color="auto"/>
            </w:tcBorders>
            <w:shd w:val="clear" w:color="auto" w:fill="F2F2F2"/>
          </w:tcPr>
          <w:p>
            <w:pPr>
              <w:spacing w:after="0"/>
              <w:rPr>
                <w:sz w:val="21"/>
                <w:szCs w:val="21"/>
                <w:color w:val="auto"/>
              </w:rPr>
            </w:pPr>
          </w:p>
        </w:tc>
        <w:tc>
          <w:tcPr>
            <w:tcW w:w="240" w:type="dxa"/>
            <w:vAlign w:val="bottom"/>
            <w:tcBorders>
              <w:bottom w:val="single" w:sz="8" w:color="auto"/>
            </w:tcBorders>
            <w:shd w:val="clear" w:color="auto" w:fill="F2F2F2"/>
          </w:tcPr>
          <w:p>
            <w:pPr>
              <w:spacing w:after="0"/>
              <w:rPr>
                <w:sz w:val="21"/>
                <w:szCs w:val="21"/>
                <w:color w:val="auto"/>
              </w:rPr>
            </w:pPr>
          </w:p>
        </w:tc>
        <w:tc>
          <w:tcPr>
            <w:tcW w:w="40" w:type="dxa"/>
            <w:vAlign w:val="bottom"/>
            <w:tcBorders>
              <w:bottom w:val="single" w:sz="8" w:color="auto"/>
            </w:tcBorders>
            <w:shd w:val="clear" w:color="auto" w:fill="F2F2F2"/>
          </w:tcPr>
          <w:p>
            <w:pPr>
              <w:spacing w:after="0"/>
              <w:rPr>
                <w:sz w:val="21"/>
                <w:szCs w:val="21"/>
                <w:color w:val="auto"/>
              </w:rPr>
            </w:pPr>
          </w:p>
        </w:tc>
        <w:tc>
          <w:tcPr>
            <w:tcW w:w="60" w:type="dxa"/>
            <w:vAlign w:val="bottom"/>
            <w:tcBorders>
              <w:bottom w:val="single" w:sz="8" w:color="auto"/>
            </w:tcBorders>
            <w:shd w:val="clear" w:color="auto" w:fill="F2F2F2"/>
          </w:tcPr>
          <w:p>
            <w:pPr>
              <w:spacing w:after="0"/>
              <w:rPr>
                <w:sz w:val="21"/>
                <w:szCs w:val="21"/>
                <w:color w:val="auto"/>
              </w:rPr>
            </w:pPr>
          </w:p>
        </w:tc>
        <w:tc>
          <w:tcPr>
            <w:tcW w:w="1820" w:type="dxa"/>
            <w:vAlign w:val="bottom"/>
            <w:tcBorders>
              <w:bottom w:val="single" w:sz="8" w:color="auto"/>
            </w:tcBorders>
            <w:shd w:val="clear" w:color="auto" w:fill="F2F2F2"/>
          </w:tcPr>
          <w:p>
            <w:pPr>
              <w:spacing w:after="0"/>
              <w:rPr>
                <w:sz w:val="21"/>
                <w:szCs w:val="21"/>
                <w:color w:val="auto"/>
              </w:rPr>
            </w:pPr>
          </w:p>
        </w:tc>
      </w:tr>
    </w:tbl>
    <w:p>
      <w:pPr>
        <w:spacing w:after="0" w:line="69" w:lineRule="exact"/>
        <w:rPr>
          <w:sz w:val="20"/>
          <w:szCs w:val="20"/>
          <w:color w:val="auto"/>
        </w:rPr>
      </w:pPr>
    </w:p>
    <w:p>
      <w:pPr>
        <w:ind w:left="540" w:hanging="316"/>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Amounts reflected have been adjusted to reflect Sky results on a constant currency basis.</w:t>
      </w:r>
    </w:p>
    <w:p>
      <w:pPr>
        <w:spacing w:after="0" w:line="72" w:lineRule="exact"/>
        <w:rPr>
          <w:rFonts w:ascii="Arial" w:cs="Arial" w:eastAsia="Arial" w:hAnsi="Arial"/>
          <w:sz w:val="16"/>
          <w:szCs w:val="16"/>
          <w:color w:val="auto"/>
        </w:rPr>
      </w:pPr>
    </w:p>
    <w:p>
      <w:pPr>
        <w:ind w:left="540" w:right="80" w:hanging="316"/>
        <w:spacing w:after="0" w:line="250"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These metrics are based in part on whether we have met or exceeded expectations of achievement of quantifiable operational metrics. The customer service metrics included rNPS, unique contact rate and other customer experience metrics. Product churn metrics relate to the stability of our cable customer base. The wireless phone rollout metric reflects the operational rollout of our wireless phone service to achieve long-term business success and profitability. Details of these specific targets, which were designed to be rigorous targets as indicated by the level of actual 2019 achievement, are not disclosed due to competitive concerns.</w:t>
      </w:r>
    </w:p>
    <w:p>
      <w:pPr>
        <w:spacing w:after="0" w:line="54" w:lineRule="exact"/>
        <w:rPr>
          <w:rFonts w:ascii="Arial" w:cs="Arial" w:eastAsia="Arial" w:hAnsi="Arial"/>
          <w:sz w:val="16"/>
          <w:szCs w:val="16"/>
          <w:color w:val="auto"/>
        </w:rPr>
      </w:pPr>
    </w:p>
    <w:p>
      <w:pPr>
        <w:ind w:left="540" w:right="120" w:hanging="316"/>
        <w:spacing w:after="0" w:line="25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qualitative portion of the annual cash bonus was determined based on predetermined objectives tied primarily to the contribution of each NEO to the overall management and financial results of our company, including (i) in creating a strong workplace culture that emphasizes integrity and respect, (ii) the overall management of Comcast Cable and NBCUniversal, (iii) the integration of Sky and (iv) the continuing focus on critical diversity and inclusion initiatives and customer experience metrics.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Equity-Based Incentive Compensation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seeks to achieve the long-term objectives of equity compensation in part by extending the vesting period</w:t>
      </w:r>
    </w:p>
    <w:p>
      <w:pPr>
        <w:ind w:left="120"/>
        <w:spacing w:after="0" w:line="234" w:lineRule="auto"/>
        <w:rPr>
          <w:sz w:val="20"/>
          <w:szCs w:val="20"/>
          <w:color w:val="auto"/>
        </w:rPr>
      </w:pPr>
      <w:r>
        <w:rPr>
          <w:rFonts w:ascii="Arial" w:cs="Arial" w:eastAsia="Arial" w:hAnsi="Arial"/>
          <w:sz w:val="18"/>
          <w:szCs w:val="18"/>
          <w:color w:val="auto"/>
        </w:rPr>
        <w:t>for options and PSUs granted under our annual award program over a longer time period than most other large public companies – with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generally vesting over 9.5 years, and PSUs vesting over 5 years and being back-end weighted, with 40% vesting in the fifth year.</w:t>
      </w:r>
    </w:p>
    <w:p>
      <w:pPr>
        <w:spacing w:after="0" w:line="63" w:lineRule="exact"/>
        <w:rPr>
          <w:sz w:val="20"/>
          <w:szCs w:val="20"/>
          <w:color w:val="auto"/>
        </w:rPr>
      </w:pPr>
    </w:p>
    <w:p>
      <w:pPr>
        <w:ind w:left="980" w:right="42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54" w:lineRule="exact"/>
        <w:rPr>
          <w:rFonts w:ascii="Arial" w:cs="Arial" w:eastAsia="Arial" w:hAnsi="Arial"/>
          <w:sz w:val="18"/>
          <w:szCs w:val="18"/>
          <w:color w:val="auto"/>
        </w:rPr>
      </w:pPr>
    </w:p>
    <w:p>
      <w:pPr>
        <w:ind w:left="980" w:hanging="324"/>
        <w:spacing w:after="0" w:line="238"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performance condition for PSUs granted in 2019 is based on a sliding scale tied to increases in year-over-year Adjusted EBITDA. Vesting of the PSUs is interpolated, except that 100% vests for achievement of a 5.5%-6.5% increase. This range included the percentage we had budgeted to increase for 2019. The calculations below were adjusted to reflect Sky results on a constant currency basis.</w:t>
      </w:r>
    </w:p>
    <w:p>
      <w:pPr>
        <w:spacing w:after="0" w:line="91" w:lineRule="exact"/>
        <w:rPr>
          <w:sz w:val="20"/>
          <w:szCs w:val="20"/>
          <w:color w:val="auto"/>
        </w:rPr>
      </w:pPr>
    </w:p>
    <w:tbl>
      <w:tblPr>
        <w:tblLayout w:type="fixed"/>
        <w:tblInd w:w="1800" w:type="dxa"/>
        <w:tblCellMar>
          <w:top w:w="0" w:type="dxa"/>
          <w:left w:w="0" w:type="dxa"/>
          <w:bottom w:w="0" w:type="dxa"/>
          <w:right w:w="0" w:type="dxa"/>
        </w:tblCellMar>
      </w:tblPr>
      <w:tr>
        <w:trPr>
          <w:trHeight w:val="329"/>
        </w:trPr>
        <w:tc>
          <w:tcPr>
            <w:tcW w:w="2640" w:type="dxa"/>
            <w:vAlign w:val="bottom"/>
            <w:tcBorders>
              <w:top w:val="single" w:sz="8" w:color="auto"/>
              <w:bottom w:val="single" w:sz="8" w:color="DDF2F9"/>
            </w:tcBorders>
            <w:shd w:val="clear" w:color="auto" w:fill="DDF2F9"/>
          </w:tcPr>
          <w:p>
            <w:pPr>
              <w:ind w:left="460"/>
              <w:spacing w:after="0"/>
              <w:rPr>
                <w:sz w:val="20"/>
                <w:szCs w:val="20"/>
                <w:color w:val="auto"/>
              </w:rPr>
            </w:pPr>
            <w:r>
              <w:rPr>
                <w:rFonts w:ascii="Arial" w:cs="Arial" w:eastAsia="Arial" w:hAnsi="Arial"/>
                <w:sz w:val="18"/>
                <w:szCs w:val="18"/>
                <w:b w:val="1"/>
                <w:bCs w:val="1"/>
                <w:color w:val="0A33A5"/>
              </w:rPr>
              <w:t>Achievement Range</w:t>
            </w:r>
          </w:p>
        </w:tc>
        <w:tc>
          <w:tcPr>
            <w:tcW w:w="2740" w:type="dxa"/>
            <w:vAlign w:val="bottom"/>
            <w:tcBorders>
              <w:top w:val="single" w:sz="8" w:color="DDF2F9"/>
              <w:bottom w:val="single" w:sz="8" w:color="DDF2F9"/>
            </w:tcBorders>
            <w:shd w:val="clear" w:color="auto" w:fill="DDF2F9"/>
          </w:tcPr>
          <w:p>
            <w:pPr>
              <w:ind w:left="280"/>
              <w:spacing w:after="0"/>
              <w:rPr>
                <w:sz w:val="20"/>
                <w:szCs w:val="20"/>
                <w:color w:val="auto"/>
              </w:rPr>
            </w:pPr>
            <w:r>
              <w:rPr>
                <w:rFonts w:ascii="Arial" w:cs="Arial" w:eastAsia="Arial" w:hAnsi="Arial"/>
                <w:sz w:val="18"/>
                <w:szCs w:val="18"/>
                <w:b w:val="1"/>
                <w:bCs w:val="1"/>
                <w:color w:val="0A33A5"/>
              </w:rPr>
              <w:t>Potential PSU Vesting %</w:t>
            </w:r>
          </w:p>
        </w:tc>
        <w:tc>
          <w:tcPr>
            <w:tcW w:w="2280" w:type="dxa"/>
            <w:vAlign w:val="bottom"/>
            <w:tcBorders>
              <w:top w:val="single" w:sz="8" w:color="DDF2F9"/>
              <w:bottom w:val="single" w:sz="8" w:color="DDF2F9"/>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9"/>
              </w:rPr>
              <w:t>Achievement</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&lt; 2.5%</w:t>
            </w: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28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148"/>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7"/>
              </w:rPr>
              <w:t>2.5%</w:t>
            </w:r>
          </w:p>
        </w:tc>
        <w:tc>
          <w:tcPr>
            <w:tcW w:w="274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25%</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2280" w:type="dxa"/>
            <w:vAlign w:val="bottom"/>
            <w:vMerge w:val="restart"/>
          </w:tcPr>
          <w:p>
            <w:pPr>
              <w:jc w:val="center"/>
              <w:ind w:right="10"/>
              <w:spacing w:after="0" w:line="202" w:lineRule="exact"/>
              <w:rPr>
                <w:sz w:val="20"/>
                <w:szCs w:val="20"/>
                <w:color w:val="auto"/>
              </w:rPr>
            </w:pPr>
            <w:r>
              <w:rPr>
                <w:rFonts w:ascii="Arial" w:cs="Arial" w:eastAsia="Arial" w:hAnsi="Arial"/>
                <w:sz w:val="18"/>
                <w:szCs w:val="18"/>
                <w:color w:val="auto"/>
                <w:w w:val="99"/>
              </w:rPr>
              <w:t>(Based on a 6.1%</w:t>
            </w:r>
          </w:p>
        </w:tc>
        <w:tc>
          <w:tcPr>
            <w:tcW w:w="0" w:type="dxa"/>
            <w:vAlign w:val="bottom"/>
          </w:tcPr>
          <w:p>
            <w:pPr>
              <w:spacing w:after="0"/>
              <w:rPr>
                <w:sz w:val="1"/>
                <w:szCs w:val="1"/>
                <w:color w:val="auto"/>
              </w:rPr>
            </w:pPr>
          </w:p>
        </w:tc>
      </w:tr>
      <w:tr>
        <w:trPr>
          <w:trHeight w:val="107"/>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9"/>
              </w:rPr>
              <w:t>5.5%-6.5%</w:t>
            </w: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9"/>
              </w:rPr>
              <w:t>100%</w:t>
            </w:r>
          </w:p>
        </w:tc>
        <w:tc>
          <w:tcPr>
            <w:tcW w:w="2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2280" w:type="dxa"/>
            <w:vAlign w:val="bottom"/>
            <w:vMerge w:val="restart"/>
          </w:tcPr>
          <w:p>
            <w:pPr>
              <w:jc w:val="center"/>
              <w:ind w:right="10"/>
              <w:spacing w:after="0"/>
              <w:rPr>
                <w:sz w:val="20"/>
                <w:szCs w:val="20"/>
                <w:color w:val="auto"/>
              </w:rPr>
            </w:pPr>
            <w:r>
              <w:rPr>
                <w:rFonts w:ascii="Arial" w:cs="Arial" w:eastAsia="Arial" w:hAnsi="Arial"/>
                <w:sz w:val="18"/>
                <w:szCs w:val="18"/>
                <w:color w:val="auto"/>
                <w:w w:val="98"/>
              </w:rPr>
              <w:t>Increase)</w:t>
            </w:r>
          </w:p>
        </w:tc>
        <w:tc>
          <w:tcPr>
            <w:tcW w:w="0" w:type="dxa"/>
            <w:vAlign w:val="bottom"/>
          </w:tcPr>
          <w:p>
            <w:pPr>
              <w:spacing w:after="0"/>
              <w:rPr>
                <w:sz w:val="1"/>
                <w:szCs w:val="1"/>
                <w:color w:val="auto"/>
              </w:rPr>
            </w:pPr>
          </w:p>
        </w:tc>
      </w:tr>
      <w:tr>
        <w:trPr>
          <w:trHeight w:val="81"/>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9"/>
              </w:rPr>
              <w:t>³ 7.5%</w:t>
            </w:r>
          </w:p>
        </w:tc>
        <w:tc>
          <w:tcPr>
            <w:tcW w:w="2740" w:type="dxa"/>
            <w:vAlign w:val="bottom"/>
            <w:vMerge w:val="restart"/>
          </w:tcPr>
          <w:p>
            <w:pPr>
              <w:jc w:val="center"/>
              <w:spacing w:after="0"/>
              <w:rPr>
                <w:sz w:val="20"/>
                <w:szCs w:val="20"/>
                <w:color w:val="auto"/>
              </w:rPr>
            </w:pPr>
            <w:r>
              <w:rPr>
                <w:rFonts w:ascii="Arial" w:cs="Arial" w:eastAsia="Arial" w:hAnsi="Arial"/>
                <w:sz w:val="18"/>
                <w:szCs w:val="18"/>
                <w:color w:val="auto"/>
                <w:w w:val="99"/>
              </w:rPr>
              <w:t>125%</w:t>
            </w: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640" w:type="dxa"/>
            <w:vAlign w:val="bottom"/>
            <w:tcBorders>
              <w:bottom w:val="single" w:sz="8" w:color="auto"/>
            </w:tcBorders>
            <w:vMerge w:val="continue"/>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80" w:right="60" w:hanging="324"/>
        <w:spacing w:after="0" w:line="238"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Vesting for each subsequent tranche of PSUs is based on the highest vesting percentage of any prior vesting tranche, or such higher vesting percentage as may be attained for such subsequent tranche based on the same performance condition and achievement ranges provided for in the applicable PSU award. Any portion of PSUs that fail to vest in a year is permanently forfeited. For PSUs that were granted in 2017 and 2018, the third and second tranches, respectively, of the award vested at the same percentage level as their respective first tranche.</w:t>
      </w:r>
    </w:p>
    <w:p>
      <w:pPr>
        <w:spacing w:after="0" w:line="53"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our Board nor the Compensation Committee has the discretion to vest PSUs absent attainment of the applicable goal.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may fluctuate somewhat from year to year.</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Deferred Compensation</w:t>
      </w:r>
    </w:p>
    <w:p>
      <w:pPr>
        <w:spacing w:after="0" w:line="1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deferred compensation plan is a compensation feature that we believe gives us a competitive advantage in attracting and retaining key talent. Our deferred compensation plan is available not only to our NEOs, but also to a broader group of key employees with base salaries of at least $ 350,000. The plan allows eligible employees to defer the receipt of cash compensation (</w:t>
      </w:r>
      <w:r>
        <w:rPr>
          <w:rFonts w:ascii="Arial" w:cs="Arial" w:eastAsia="Arial" w:hAnsi="Arial"/>
          <w:sz w:val="18"/>
          <w:szCs w:val="18"/>
          <w:i w:val="1"/>
          <w:iCs w:val="1"/>
          <w:color w:val="auto"/>
        </w:rPr>
        <w:t>i.e.</w:t>
      </w:r>
      <w:r>
        <w:rPr>
          <w:rFonts w:ascii="Arial" w:cs="Arial" w:eastAsia="Arial" w:hAnsi="Arial"/>
          <w:sz w:val="18"/>
          <w:szCs w:val="18"/>
          <w:color w:val="auto"/>
        </w:rPr>
        <w:t>, base salary and annual bonus) up to certain limits, with amounts generally invested in an income fund. At the end of 2019, we added a company stock fund, which tracks the value of our Class A common stock, and several third-party mutual and exchange funds as investment alternatives for our executive officers under the plan.</w:t>
      </w:r>
    </w:p>
    <w:p>
      <w:pPr>
        <w:spacing w:after="0" w:line="9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deferred compensation plan is not tax qualified and is unfunded. Account balances are unsecured obligations of Comcast Corporation only and are at-risk and may be forfeited in the event of a company bankruptcy.</w:t>
      </w:r>
    </w:p>
    <w:p>
      <w:pPr>
        <w:spacing w:after="0" w:line="89"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Effective for 2020, we and our NEOs agreed to eliminate the company contributions to their deferred compensation plan accounts. We created a cap on the amount that can be invested in the income fund and added several investment alternatives under our deferred compensation plans, including a company stock fund that tracks the value of our Class A common stock and several third-party mutual and exchange funds. We expect these changes will result both in lower balances and above-market interest in respect of our NEOs’ income fund accounts.</w:t>
      </w:r>
    </w:p>
    <w:p>
      <w:pPr>
        <w:spacing w:after="0" w:line="94" w:lineRule="exact"/>
        <w:rPr>
          <w:sz w:val="20"/>
          <w:szCs w:val="20"/>
          <w:color w:val="auto"/>
        </w:rPr>
      </w:pPr>
    </w:p>
    <w:p>
      <w:pPr>
        <w:ind w:left="120" w:right="720"/>
        <w:spacing w:after="0" w:line="246" w:lineRule="auto"/>
        <w:rPr>
          <w:sz w:val="20"/>
          <w:szCs w:val="20"/>
          <w:color w:val="auto"/>
        </w:rPr>
      </w:pPr>
      <w:r>
        <w:rPr>
          <w:rFonts w:ascii="Arial" w:cs="Arial" w:eastAsia="Arial" w:hAnsi="Arial"/>
          <w:sz w:val="18"/>
          <w:szCs w:val="18"/>
          <w:color w:val="auto"/>
        </w:rPr>
        <w:t>Our deferred compensation plan is described in more detail below in the “Nonqualified Deferred Compensation in and as of Fiscal Year-End” table.</w:t>
      </w:r>
    </w:p>
    <w:p>
      <w:pPr>
        <w:spacing w:after="0" w:line="89"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Compensation Committee reviews the deferred compensation plan balances of our NEOs and annually reviews the embedded and projected costs of this plan.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Other Policies and Considerations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Executive Stock Ownership Policy</w:t>
      </w:r>
    </w:p>
    <w:p>
      <w:pPr>
        <w:spacing w:after="0" w:line="18"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 xml:space="preserve">We have a stock ownership policy for members of our senior management, including our NEOs, which is available on our website,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Under these guidelines, (i) Mr. Roberts is expected to own our stock in an amount equal to at least ten</w:t>
      </w:r>
      <w:r>
        <w:rPr>
          <w:rFonts w:ascii="Arial" w:cs="Arial" w:eastAsia="Arial" w:hAnsi="Arial"/>
          <w:sz w:val="18"/>
          <w:szCs w:val="18"/>
          <w:i w:val="1"/>
          <w:iCs w:val="1"/>
          <w:color w:val="auto"/>
        </w:rPr>
        <w:t xml:space="preserve"> </w:t>
      </w:r>
      <w:r>
        <w:rPr>
          <w:rFonts w:ascii="Arial" w:cs="Arial" w:eastAsia="Arial" w:hAnsi="Arial"/>
          <w:sz w:val="18"/>
          <w:szCs w:val="18"/>
          <w:color w:val="auto"/>
        </w:rPr>
        <w:t>times his annual base salary, (ii) the other NEOs are expected to own our stock in an amount equal to at least three times their annual base salaries, (iii) other executive officers are expected to own an amount equal to at least one and a half times their annual base salaries and (iv) other key executives are expected to own an amount equal to at least one times their annual base salaries. This policy is designed to increase our executives’ ownership stake in our company and align their interests with the interests of our shareholders. “Ownership” for purposes of this policy includes stock owned directly or indirectly and shares credited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deferred vested shares, shares deemed invested in the company stock fund under our deferred compensation plans and the pre-tax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2019. If an executive is not in compliance, he or she is prohibited from selling our stock (unless a hardship exemption is granted).</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Policies Regarding Trading Activities, Hedging and Pledging</w:t>
      </w:r>
    </w:p>
    <w:p>
      <w:pPr>
        <w:spacing w:after="0" w:line="1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trading policy prohibits our executive officers, certain other high-level employees,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No Automatic Payments in Connection with a Change in Control</w:t>
      </w:r>
    </w:p>
    <w:p>
      <w:pPr>
        <w:spacing w:after="0" w:line="1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9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Payments in Connection with a Termination of Employment</w:t>
      </w:r>
    </w:p>
    <w:p>
      <w:pPr>
        <w:spacing w:after="0" w:line="18"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below.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Recoupment (or “Clawback”) Policy</w:t>
      </w:r>
    </w:p>
    <w:p>
      <w:pPr>
        <w:spacing w:after="0" w:line="18"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(time- or performance-based)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SEC’s adoption of a final rule under the Dodd-Frank Act regarding incentive-based compensation recoupment.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Award Timing</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annual equity incentive awards are granted in accordance with pre-established grant date schedules.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Tax and Accounting Considerations</w:t>
      </w:r>
    </w:p>
    <w:p>
      <w:pPr>
        <w:spacing w:after="0" w:line="18"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The Compensation Committee takes into consideration the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Compensation Committee has previously awarded, and continues to have the flexibility to award, compensation that is not tax deductible if it determines that such award is in our shareholders’ best interests.</w:t>
      </w:r>
    </w:p>
    <w:p>
      <w:pPr>
        <w:spacing w:after="0" w:line="8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2019, the total amount of our disallowed tax deduction resulting from the personal use of Company-provided aircraft by our NEOs and any guests was approximately $10.7 million.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A33A5"/>
        </w:rPr>
        <w:t>Other Considerations</w:t>
      </w:r>
    </w:p>
    <w:p>
      <w:pPr>
        <w:spacing w:after="0" w:line="1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Compensation Committee is aware that Mr. Roberts is our shareholder with the greatest beneficial voting power. The Compensation Committee maintains an objective stance toward Mr. Roberts’ compensation. The Compensation Committee uses the same methods, tools and processes to determine Mr. Roberts’ compensation as it does for our other NEOs.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COMPENSATION COMMITTEE REPORT</w:t>
      </w:r>
    </w:p>
    <w:p>
      <w:pPr>
        <w:spacing w:after="0" w:line="126"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A33A5"/>
        </w:rPr>
        <w:t>Members of the Compensation Committee</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Edward D. Breen (Chair)</w:t>
      </w:r>
    </w:p>
    <w:p>
      <w:pPr>
        <w:jc w:val="center"/>
        <w:ind w:right="-179"/>
        <w:spacing w:after="0" w:line="234" w:lineRule="auto"/>
        <w:rPr>
          <w:sz w:val="20"/>
          <w:szCs w:val="20"/>
          <w:color w:val="auto"/>
        </w:rPr>
      </w:pPr>
      <w:r>
        <w:rPr>
          <w:rFonts w:ascii="Arial" w:cs="Arial" w:eastAsia="Arial" w:hAnsi="Arial"/>
          <w:sz w:val="18"/>
          <w:szCs w:val="18"/>
          <w:color w:val="auto"/>
        </w:rPr>
        <w:t>Gerald L. Hassell</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David C. Novak</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SUMMARY COMPENSATION TABLE</w:t>
      </w:r>
    </w:p>
    <w:p>
      <w:pPr>
        <w:spacing w:after="0" w:line="12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It is important to understand that the specified information regarding the compensation for 2019, 2018 and 2017 of our NEOs set forth below reflects our Compensation Committee’s actions, and Comcast’s and our NEOs’ performance, in respect of those years. Our NEOs are: our Chairman of the Board, President and Chief Executive Officer (Mr. Brian L. Roberts), our Chief Financial Officer (Mr. Michael J. Cavanagh) and our next three most highly compensated executive officers (Messrs. Stephen B. Burke, David L. Cohen and David N. Watson).</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1800" w:type="dxa"/>
            <w:vAlign w:val="bottom"/>
            <w:tcBorders>
              <w:top w:val="single" w:sz="8" w:color="auto"/>
            </w:tcBorders>
            <w:shd w:val="clear" w:color="auto" w:fill="DDF2F9"/>
          </w:tcPr>
          <w:p>
            <w:pPr>
              <w:spacing w:after="0"/>
              <w:rPr>
                <w:sz w:val="17"/>
                <w:szCs w:val="17"/>
                <w:color w:val="auto"/>
              </w:rPr>
            </w:pPr>
          </w:p>
        </w:tc>
        <w:tc>
          <w:tcPr>
            <w:tcW w:w="620" w:type="dxa"/>
            <w:vAlign w:val="bottom"/>
            <w:tcBorders>
              <w:top w:val="single" w:sz="8" w:color="auto"/>
            </w:tcBorders>
            <w:shd w:val="clear" w:color="auto" w:fill="DDF2F9"/>
          </w:tcPr>
          <w:p>
            <w:pPr>
              <w:spacing w:after="0"/>
              <w:rPr>
                <w:sz w:val="17"/>
                <w:szCs w:val="17"/>
                <w:color w:val="auto"/>
              </w:rPr>
            </w:pPr>
          </w:p>
        </w:tc>
        <w:tc>
          <w:tcPr>
            <w:tcW w:w="940" w:type="dxa"/>
            <w:vAlign w:val="bottom"/>
            <w:tcBorders>
              <w:top w:val="single" w:sz="8" w:color="auto"/>
            </w:tcBorders>
            <w:shd w:val="clear" w:color="auto" w:fill="DDF2F9"/>
          </w:tcPr>
          <w:p>
            <w:pPr>
              <w:spacing w:after="0"/>
              <w:rPr>
                <w:sz w:val="17"/>
                <w:szCs w:val="17"/>
                <w:color w:val="auto"/>
              </w:rPr>
            </w:pPr>
          </w:p>
        </w:tc>
        <w:tc>
          <w:tcPr>
            <w:tcW w:w="660" w:type="dxa"/>
            <w:vAlign w:val="bottom"/>
            <w:tcBorders>
              <w:top w:val="single" w:sz="8" w:color="auto"/>
            </w:tcBorders>
            <w:shd w:val="clear" w:color="auto" w:fill="DDF2F9"/>
          </w:tcPr>
          <w:p>
            <w:pPr>
              <w:spacing w:after="0"/>
              <w:rPr>
                <w:sz w:val="17"/>
                <w:szCs w:val="17"/>
                <w:color w:val="auto"/>
              </w:rPr>
            </w:pPr>
          </w:p>
        </w:tc>
        <w:tc>
          <w:tcPr>
            <w:tcW w:w="1000" w:type="dxa"/>
            <w:vAlign w:val="bottom"/>
            <w:tcBorders>
              <w:top w:val="single" w:sz="8" w:color="auto"/>
            </w:tcBorders>
            <w:shd w:val="clear" w:color="auto" w:fill="DDF2F9"/>
          </w:tcPr>
          <w:p>
            <w:pPr>
              <w:spacing w:after="0"/>
              <w:rPr>
                <w:sz w:val="17"/>
                <w:szCs w:val="17"/>
                <w:color w:val="auto"/>
              </w:rPr>
            </w:pPr>
          </w:p>
        </w:tc>
        <w:tc>
          <w:tcPr>
            <w:tcW w:w="960" w:type="dxa"/>
            <w:vAlign w:val="bottom"/>
            <w:tcBorders>
              <w:top w:val="single" w:sz="8" w:color="auto"/>
            </w:tcBorders>
            <w:shd w:val="clear" w:color="auto" w:fill="DDF2F9"/>
          </w:tcPr>
          <w:p>
            <w:pPr>
              <w:spacing w:after="0"/>
              <w:rPr>
                <w:sz w:val="17"/>
                <w:szCs w:val="17"/>
                <w:color w:val="auto"/>
              </w:rPr>
            </w:pPr>
          </w:p>
        </w:tc>
        <w:tc>
          <w:tcPr>
            <w:tcW w:w="1360" w:type="dxa"/>
            <w:vAlign w:val="bottom"/>
            <w:tcBorders>
              <w:top w:val="single" w:sz="8" w:color="auto"/>
            </w:tcBorders>
            <w:shd w:val="clear" w:color="auto" w:fill="DDF2F9"/>
          </w:tcPr>
          <w:p>
            <w:pPr>
              <w:spacing w:after="0"/>
              <w:rPr>
                <w:sz w:val="17"/>
                <w:szCs w:val="17"/>
                <w:color w:val="auto"/>
              </w:rPr>
            </w:pPr>
          </w:p>
        </w:tc>
        <w:tc>
          <w:tcPr>
            <w:tcW w:w="120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6"/>
                <w:szCs w:val="16"/>
                <w:b w:val="1"/>
                <w:bCs w:val="1"/>
                <w:color w:val="0A33A5"/>
              </w:rPr>
              <w:t>Change in</w:t>
            </w:r>
          </w:p>
        </w:tc>
        <w:tc>
          <w:tcPr>
            <w:tcW w:w="1400" w:type="dxa"/>
            <w:vAlign w:val="bottom"/>
            <w:tcBorders>
              <w:top w:val="single" w:sz="8" w:color="auto"/>
            </w:tcBorders>
            <w:shd w:val="clear" w:color="auto" w:fill="DDF2F9"/>
          </w:tcPr>
          <w:p>
            <w:pPr>
              <w:spacing w:after="0"/>
              <w:rPr>
                <w:sz w:val="17"/>
                <w:szCs w:val="17"/>
                <w:color w:val="auto"/>
              </w:rPr>
            </w:pPr>
          </w:p>
        </w:tc>
        <w:tc>
          <w:tcPr>
            <w:tcW w:w="1080" w:type="dxa"/>
            <w:vAlign w:val="bottom"/>
            <w:tcBorders>
              <w:top w:val="single" w:sz="8" w:color="auto"/>
            </w:tcBorders>
            <w:shd w:val="clear" w:color="auto" w:fill="DDF2F9"/>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DDF2F9"/>
          </w:tcPr>
          <w:p>
            <w:pPr>
              <w:spacing w:after="0"/>
              <w:rPr>
                <w:sz w:val="16"/>
                <w:szCs w:val="16"/>
                <w:color w:val="auto"/>
              </w:rPr>
            </w:pPr>
          </w:p>
        </w:tc>
        <w:tc>
          <w:tcPr>
            <w:tcW w:w="620" w:type="dxa"/>
            <w:vAlign w:val="bottom"/>
            <w:shd w:val="clear" w:color="auto" w:fill="DDF2F9"/>
          </w:tcPr>
          <w:p>
            <w:pPr>
              <w:spacing w:after="0"/>
              <w:rPr>
                <w:sz w:val="16"/>
                <w:szCs w:val="16"/>
                <w:color w:val="auto"/>
              </w:rPr>
            </w:pPr>
          </w:p>
        </w:tc>
        <w:tc>
          <w:tcPr>
            <w:tcW w:w="940" w:type="dxa"/>
            <w:vAlign w:val="bottom"/>
            <w:shd w:val="clear" w:color="auto" w:fill="DDF2F9"/>
          </w:tcPr>
          <w:p>
            <w:pPr>
              <w:spacing w:after="0"/>
              <w:rPr>
                <w:sz w:val="16"/>
                <w:szCs w:val="16"/>
                <w:color w:val="auto"/>
              </w:rPr>
            </w:pPr>
          </w:p>
        </w:tc>
        <w:tc>
          <w:tcPr>
            <w:tcW w:w="660" w:type="dxa"/>
            <w:vAlign w:val="bottom"/>
            <w:shd w:val="clear" w:color="auto" w:fill="DDF2F9"/>
          </w:tcPr>
          <w:p>
            <w:pPr>
              <w:spacing w:after="0"/>
              <w:rPr>
                <w:sz w:val="16"/>
                <w:szCs w:val="16"/>
                <w:color w:val="auto"/>
              </w:rPr>
            </w:pPr>
          </w:p>
        </w:tc>
        <w:tc>
          <w:tcPr>
            <w:tcW w:w="1000" w:type="dxa"/>
            <w:vAlign w:val="bottom"/>
            <w:shd w:val="clear" w:color="auto" w:fill="DDF2F9"/>
          </w:tcPr>
          <w:p>
            <w:pPr>
              <w:spacing w:after="0"/>
              <w:rPr>
                <w:sz w:val="16"/>
                <w:szCs w:val="16"/>
                <w:color w:val="auto"/>
              </w:rPr>
            </w:pPr>
          </w:p>
        </w:tc>
        <w:tc>
          <w:tcPr>
            <w:tcW w:w="960" w:type="dxa"/>
            <w:vAlign w:val="bottom"/>
            <w:shd w:val="clear" w:color="auto" w:fill="DDF2F9"/>
          </w:tcPr>
          <w:p>
            <w:pPr>
              <w:spacing w:after="0"/>
              <w:rPr>
                <w:sz w:val="16"/>
                <w:szCs w:val="16"/>
                <w:color w:val="auto"/>
              </w:rPr>
            </w:pPr>
          </w:p>
        </w:tc>
        <w:tc>
          <w:tcPr>
            <w:tcW w:w="1360" w:type="dxa"/>
            <w:vAlign w:val="bottom"/>
            <w:shd w:val="clear" w:color="auto" w:fill="DDF2F9"/>
          </w:tcPr>
          <w:p>
            <w:pPr>
              <w:spacing w:after="0"/>
              <w:rPr>
                <w:sz w:val="16"/>
                <w:szCs w:val="16"/>
                <w:color w:val="auto"/>
              </w:rPr>
            </w:pPr>
          </w:p>
        </w:tc>
        <w:tc>
          <w:tcPr>
            <w:tcW w:w="12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Pension Value</w:t>
            </w:r>
          </w:p>
        </w:tc>
        <w:tc>
          <w:tcPr>
            <w:tcW w:w="1400" w:type="dxa"/>
            <w:vAlign w:val="bottom"/>
            <w:shd w:val="clear" w:color="auto" w:fill="DDF2F9"/>
          </w:tcPr>
          <w:p>
            <w:pPr>
              <w:spacing w:after="0"/>
              <w:rPr>
                <w:sz w:val="16"/>
                <w:szCs w:val="16"/>
                <w:color w:val="auto"/>
              </w:rPr>
            </w:pPr>
          </w:p>
        </w:tc>
        <w:tc>
          <w:tcPr>
            <w:tcW w:w="1080" w:type="dxa"/>
            <w:vAlign w:val="bottom"/>
            <w:shd w:val="clear" w:color="auto" w:fill="DDF2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DDF2F9"/>
          </w:tcPr>
          <w:p>
            <w:pPr>
              <w:spacing w:after="0"/>
              <w:rPr>
                <w:sz w:val="16"/>
                <w:szCs w:val="16"/>
                <w:color w:val="auto"/>
              </w:rPr>
            </w:pPr>
          </w:p>
        </w:tc>
        <w:tc>
          <w:tcPr>
            <w:tcW w:w="620" w:type="dxa"/>
            <w:vAlign w:val="bottom"/>
            <w:shd w:val="clear" w:color="auto" w:fill="DDF2F9"/>
          </w:tcPr>
          <w:p>
            <w:pPr>
              <w:spacing w:after="0"/>
              <w:rPr>
                <w:sz w:val="16"/>
                <w:szCs w:val="16"/>
                <w:color w:val="auto"/>
              </w:rPr>
            </w:pPr>
          </w:p>
        </w:tc>
        <w:tc>
          <w:tcPr>
            <w:tcW w:w="940" w:type="dxa"/>
            <w:vAlign w:val="bottom"/>
            <w:shd w:val="clear" w:color="auto" w:fill="DDF2F9"/>
          </w:tcPr>
          <w:p>
            <w:pPr>
              <w:spacing w:after="0"/>
              <w:rPr>
                <w:sz w:val="16"/>
                <w:szCs w:val="16"/>
                <w:color w:val="auto"/>
              </w:rPr>
            </w:pPr>
          </w:p>
        </w:tc>
        <w:tc>
          <w:tcPr>
            <w:tcW w:w="660" w:type="dxa"/>
            <w:vAlign w:val="bottom"/>
            <w:shd w:val="clear" w:color="auto" w:fill="DDF2F9"/>
          </w:tcPr>
          <w:p>
            <w:pPr>
              <w:spacing w:after="0"/>
              <w:rPr>
                <w:sz w:val="16"/>
                <w:szCs w:val="16"/>
                <w:color w:val="auto"/>
              </w:rPr>
            </w:pPr>
          </w:p>
        </w:tc>
        <w:tc>
          <w:tcPr>
            <w:tcW w:w="1000" w:type="dxa"/>
            <w:vAlign w:val="bottom"/>
            <w:shd w:val="clear" w:color="auto" w:fill="DDF2F9"/>
          </w:tcPr>
          <w:p>
            <w:pPr>
              <w:spacing w:after="0"/>
              <w:rPr>
                <w:sz w:val="16"/>
                <w:szCs w:val="16"/>
                <w:color w:val="auto"/>
              </w:rPr>
            </w:pPr>
          </w:p>
        </w:tc>
        <w:tc>
          <w:tcPr>
            <w:tcW w:w="960" w:type="dxa"/>
            <w:vAlign w:val="bottom"/>
            <w:shd w:val="clear" w:color="auto" w:fill="DDF2F9"/>
          </w:tcPr>
          <w:p>
            <w:pPr>
              <w:spacing w:after="0"/>
              <w:rPr>
                <w:sz w:val="16"/>
                <w:szCs w:val="16"/>
                <w:color w:val="auto"/>
              </w:rPr>
            </w:pPr>
          </w:p>
        </w:tc>
        <w:tc>
          <w:tcPr>
            <w:tcW w:w="1360" w:type="dxa"/>
            <w:vAlign w:val="bottom"/>
            <w:shd w:val="clear" w:color="auto" w:fill="DDF2F9"/>
          </w:tcPr>
          <w:p>
            <w:pPr>
              <w:spacing w:after="0"/>
              <w:rPr>
                <w:sz w:val="16"/>
                <w:szCs w:val="16"/>
                <w:color w:val="auto"/>
              </w:rPr>
            </w:pPr>
          </w:p>
        </w:tc>
        <w:tc>
          <w:tcPr>
            <w:tcW w:w="12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and</w:t>
            </w:r>
          </w:p>
        </w:tc>
        <w:tc>
          <w:tcPr>
            <w:tcW w:w="1400" w:type="dxa"/>
            <w:vAlign w:val="bottom"/>
            <w:shd w:val="clear" w:color="auto" w:fill="DDF2F9"/>
          </w:tcPr>
          <w:p>
            <w:pPr>
              <w:spacing w:after="0"/>
              <w:rPr>
                <w:sz w:val="16"/>
                <w:szCs w:val="16"/>
                <w:color w:val="auto"/>
              </w:rPr>
            </w:pPr>
          </w:p>
        </w:tc>
        <w:tc>
          <w:tcPr>
            <w:tcW w:w="1080" w:type="dxa"/>
            <w:vAlign w:val="bottom"/>
            <w:shd w:val="clear" w:color="auto" w:fill="DDF2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DDF2F9"/>
          </w:tcPr>
          <w:p>
            <w:pPr>
              <w:spacing w:after="0"/>
              <w:rPr>
                <w:sz w:val="16"/>
                <w:szCs w:val="16"/>
                <w:color w:val="auto"/>
              </w:rPr>
            </w:pPr>
          </w:p>
        </w:tc>
        <w:tc>
          <w:tcPr>
            <w:tcW w:w="620" w:type="dxa"/>
            <w:vAlign w:val="bottom"/>
            <w:shd w:val="clear" w:color="auto" w:fill="DDF2F9"/>
          </w:tcPr>
          <w:p>
            <w:pPr>
              <w:spacing w:after="0"/>
              <w:rPr>
                <w:sz w:val="16"/>
                <w:szCs w:val="16"/>
                <w:color w:val="auto"/>
              </w:rPr>
            </w:pPr>
          </w:p>
        </w:tc>
        <w:tc>
          <w:tcPr>
            <w:tcW w:w="940" w:type="dxa"/>
            <w:vAlign w:val="bottom"/>
            <w:shd w:val="clear" w:color="auto" w:fill="DDF2F9"/>
          </w:tcPr>
          <w:p>
            <w:pPr>
              <w:spacing w:after="0"/>
              <w:rPr>
                <w:sz w:val="16"/>
                <w:szCs w:val="16"/>
                <w:color w:val="auto"/>
              </w:rPr>
            </w:pPr>
          </w:p>
        </w:tc>
        <w:tc>
          <w:tcPr>
            <w:tcW w:w="660" w:type="dxa"/>
            <w:vAlign w:val="bottom"/>
            <w:shd w:val="clear" w:color="auto" w:fill="DDF2F9"/>
          </w:tcPr>
          <w:p>
            <w:pPr>
              <w:spacing w:after="0"/>
              <w:rPr>
                <w:sz w:val="16"/>
                <w:szCs w:val="16"/>
                <w:color w:val="auto"/>
              </w:rPr>
            </w:pPr>
          </w:p>
        </w:tc>
        <w:tc>
          <w:tcPr>
            <w:tcW w:w="1000" w:type="dxa"/>
            <w:vAlign w:val="bottom"/>
            <w:shd w:val="clear" w:color="auto" w:fill="DDF2F9"/>
          </w:tcPr>
          <w:p>
            <w:pPr>
              <w:spacing w:after="0"/>
              <w:rPr>
                <w:sz w:val="16"/>
                <w:szCs w:val="16"/>
                <w:color w:val="auto"/>
              </w:rPr>
            </w:pPr>
          </w:p>
        </w:tc>
        <w:tc>
          <w:tcPr>
            <w:tcW w:w="960" w:type="dxa"/>
            <w:vAlign w:val="bottom"/>
            <w:shd w:val="clear" w:color="auto" w:fill="DDF2F9"/>
          </w:tcPr>
          <w:p>
            <w:pPr>
              <w:spacing w:after="0"/>
              <w:rPr>
                <w:sz w:val="16"/>
                <w:szCs w:val="16"/>
                <w:color w:val="auto"/>
              </w:rPr>
            </w:pPr>
          </w:p>
        </w:tc>
        <w:tc>
          <w:tcPr>
            <w:tcW w:w="1360" w:type="dxa"/>
            <w:vAlign w:val="bottom"/>
            <w:shd w:val="clear" w:color="auto" w:fill="DDF2F9"/>
          </w:tcPr>
          <w:p>
            <w:pPr>
              <w:spacing w:after="0"/>
              <w:rPr>
                <w:sz w:val="16"/>
                <w:szCs w:val="16"/>
                <w:color w:val="auto"/>
              </w:rPr>
            </w:pPr>
          </w:p>
        </w:tc>
        <w:tc>
          <w:tcPr>
            <w:tcW w:w="12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Nonqualified</w:t>
            </w:r>
          </w:p>
        </w:tc>
        <w:tc>
          <w:tcPr>
            <w:tcW w:w="1400" w:type="dxa"/>
            <w:vAlign w:val="bottom"/>
            <w:shd w:val="clear" w:color="auto" w:fill="DDF2F9"/>
          </w:tcPr>
          <w:p>
            <w:pPr>
              <w:spacing w:after="0"/>
              <w:rPr>
                <w:sz w:val="16"/>
                <w:szCs w:val="16"/>
                <w:color w:val="auto"/>
              </w:rPr>
            </w:pPr>
          </w:p>
        </w:tc>
        <w:tc>
          <w:tcPr>
            <w:tcW w:w="1080" w:type="dxa"/>
            <w:vAlign w:val="bottom"/>
            <w:shd w:val="clear" w:color="auto" w:fill="DDF2F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vMerge w:val="restart"/>
            <w:shd w:val="clear" w:color="auto" w:fill="DDF2F9"/>
          </w:tcPr>
          <w:p>
            <w:pPr>
              <w:ind w:left="80"/>
              <w:spacing w:after="0"/>
              <w:rPr>
                <w:sz w:val="20"/>
                <w:szCs w:val="20"/>
                <w:color w:val="auto"/>
              </w:rPr>
            </w:pPr>
            <w:r>
              <w:rPr>
                <w:rFonts w:ascii="Arial" w:cs="Arial" w:eastAsia="Arial" w:hAnsi="Arial"/>
                <w:sz w:val="16"/>
                <w:szCs w:val="16"/>
                <w:b w:val="1"/>
                <w:bCs w:val="1"/>
                <w:color w:val="0A33A5"/>
              </w:rPr>
              <w:t>Name and</w:t>
            </w:r>
          </w:p>
        </w:tc>
        <w:tc>
          <w:tcPr>
            <w:tcW w:w="620" w:type="dxa"/>
            <w:vAlign w:val="bottom"/>
            <w:shd w:val="clear" w:color="auto" w:fill="DDF2F9"/>
          </w:tcPr>
          <w:p>
            <w:pPr>
              <w:spacing w:after="0"/>
              <w:rPr>
                <w:sz w:val="16"/>
                <w:szCs w:val="16"/>
                <w:color w:val="auto"/>
              </w:rPr>
            </w:pPr>
          </w:p>
        </w:tc>
        <w:tc>
          <w:tcPr>
            <w:tcW w:w="940" w:type="dxa"/>
            <w:vAlign w:val="bottom"/>
            <w:shd w:val="clear" w:color="auto" w:fill="DDF2F9"/>
          </w:tcPr>
          <w:p>
            <w:pPr>
              <w:spacing w:after="0"/>
              <w:rPr>
                <w:sz w:val="16"/>
                <w:szCs w:val="16"/>
                <w:color w:val="auto"/>
              </w:rPr>
            </w:pPr>
          </w:p>
        </w:tc>
        <w:tc>
          <w:tcPr>
            <w:tcW w:w="660" w:type="dxa"/>
            <w:vAlign w:val="bottom"/>
            <w:shd w:val="clear" w:color="auto" w:fill="DDF2F9"/>
          </w:tcPr>
          <w:p>
            <w:pPr>
              <w:spacing w:after="0"/>
              <w:rPr>
                <w:sz w:val="16"/>
                <w:szCs w:val="16"/>
                <w:color w:val="auto"/>
              </w:rPr>
            </w:pPr>
          </w:p>
        </w:tc>
        <w:tc>
          <w:tcPr>
            <w:tcW w:w="1000" w:type="dxa"/>
            <w:vAlign w:val="bottom"/>
            <w:shd w:val="clear" w:color="auto" w:fill="DDF2F9"/>
          </w:tcPr>
          <w:p>
            <w:pPr>
              <w:spacing w:after="0"/>
              <w:rPr>
                <w:sz w:val="16"/>
                <w:szCs w:val="16"/>
                <w:color w:val="auto"/>
              </w:rPr>
            </w:pPr>
          </w:p>
        </w:tc>
        <w:tc>
          <w:tcPr>
            <w:tcW w:w="960" w:type="dxa"/>
            <w:vAlign w:val="bottom"/>
            <w:shd w:val="clear" w:color="auto" w:fill="DDF2F9"/>
          </w:tcPr>
          <w:p>
            <w:pPr>
              <w:spacing w:after="0"/>
              <w:rPr>
                <w:sz w:val="16"/>
                <w:szCs w:val="16"/>
                <w:color w:val="auto"/>
              </w:rPr>
            </w:pPr>
          </w:p>
        </w:tc>
        <w:tc>
          <w:tcPr>
            <w:tcW w:w="136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Non-Equity</w:t>
            </w:r>
          </w:p>
        </w:tc>
        <w:tc>
          <w:tcPr>
            <w:tcW w:w="12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Deferred</w:t>
            </w:r>
          </w:p>
        </w:tc>
        <w:tc>
          <w:tcPr>
            <w:tcW w:w="1400" w:type="dxa"/>
            <w:vAlign w:val="bottom"/>
            <w:shd w:val="clear" w:color="auto" w:fill="DDF2F9"/>
          </w:tcPr>
          <w:p>
            <w:pPr>
              <w:spacing w:after="0"/>
              <w:rPr>
                <w:sz w:val="16"/>
                <w:szCs w:val="16"/>
                <w:color w:val="auto"/>
              </w:rPr>
            </w:pPr>
          </w:p>
        </w:tc>
        <w:tc>
          <w:tcPr>
            <w:tcW w:w="1080" w:type="dxa"/>
            <w:vAlign w:val="bottom"/>
            <w:shd w:val="clear" w:color="auto" w:fill="DDF2F9"/>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vMerge w:val="continue"/>
            <w:shd w:val="clear" w:color="auto" w:fill="DDF2F9"/>
          </w:tcPr>
          <w:p>
            <w:pPr>
              <w:spacing w:after="0"/>
              <w:rPr>
                <w:sz w:val="15"/>
                <w:szCs w:val="15"/>
                <w:color w:val="auto"/>
              </w:rPr>
            </w:pPr>
          </w:p>
        </w:tc>
        <w:tc>
          <w:tcPr>
            <w:tcW w:w="62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60" w:type="dxa"/>
            <w:vAlign w:val="bottom"/>
            <w:shd w:val="clear" w:color="auto" w:fill="DDF2F9"/>
          </w:tcPr>
          <w:p>
            <w:pPr>
              <w:spacing w:after="0"/>
              <w:rPr>
                <w:sz w:val="15"/>
                <w:szCs w:val="15"/>
                <w:color w:val="auto"/>
              </w:rPr>
            </w:pPr>
          </w:p>
        </w:tc>
        <w:tc>
          <w:tcPr>
            <w:tcW w:w="1000" w:type="dxa"/>
            <w:vAlign w:val="bottom"/>
            <w:shd w:val="clear" w:color="auto" w:fill="DDF2F9"/>
          </w:tcPr>
          <w:p>
            <w:pPr>
              <w:jc w:val="right"/>
              <w:ind w:right="219"/>
              <w:spacing w:after="0" w:line="175" w:lineRule="exact"/>
              <w:rPr>
                <w:sz w:val="20"/>
                <w:szCs w:val="20"/>
                <w:color w:val="auto"/>
              </w:rPr>
            </w:pPr>
            <w:r>
              <w:rPr>
                <w:rFonts w:ascii="Arial" w:cs="Arial" w:eastAsia="Arial" w:hAnsi="Arial"/>
                <w:sz w:val="16"/>
                <w:szCs w:val="16"/>
                <w:b w:val="1"/>
                <w:bCs w:val="1"/>
                <w:color w:val="0A33A5"/>
              </w:rPr>
              <w:t>Stock</w:t>
            </w:r>
          </w:p>
        </w:tc>
        <w:tc>
          <w:tcPr>
            <w:tcW w:w="960" w:type="dxa"/>
            <w:vAlign w:val="bottom"/>
            <w:shd w:val="clear" w:color="auto" w:fill="DDF2F9"/>
          </w:tcPr>
          <w:p>
            <w:pPr>
              <w:jc w:val="right"/>
              <w:ind w:right="159"/>
              <w:spacing w:after="0" w:line="175" w:lineRule="exact"/>
              <w:rPr>
                <w:sz w:val="20"/>
                <w:szCs w:val="20"/>
                <w:color w:val="auto"/>
              </w:rPr>
            </w:pPr>
            <w:r>
              <w:rPr>
                <w:rFonts w:ascii="Arial" w:cs="Arial" w:eastAsia="Arial" w:hAnsi="Arial"/>
                <w:sz w:val="16"/>
                <w:szCs w:val="16"/>
                <w:b w:val="1"/>
                <w:bCs w:val="1"/>
                <w:color w:val="0A33A5"/>
              </w:rPr>
              <w:t>Option</w:t>
            </w:r>
          </w:p>
        </w:tc>
        <w:tc>
          <w:tcPr>
            <w:tcW w:w="1360" w:type="dxa"/>
            <w:vAlign w:val="bottom"/>
            <w:shd w:val="clear" w:color="auto" w:fill="DDF2F9"/>
          </w:tcPr>
          <w:p>
            <w:pPr>
              <w:jc w:val="center"/>
              <w:spacing w:after="0" w:line="175" w:lineRule="exact"/>
              <w:rPr>
                <w:sz w:val="20"/>
                <w:szCs w:val="20"/>
                <w:color w:val="auto"/>
              </w:rPr>
            </w:pPr>
            <w:r>
              <w:rPr>
                <w:rFonts w:ascii="Arial" w:cs="Arial" w:eastAsia="Arial" w:hAnsi="Arial"/>
                <w:sz w:val="16"/>
                <w:szCs w:val="16"/>
                <w:b w:val="1"/>
                <w:bCs w:val="1"/>
                <w:color w:val="0A33A5"/>
              </w:rPr>
              <w:t>Incentive Plan</w:t>
            </w:r>
          </w:p>
        </w:tc>
        <w:tc>
          <w:tcPr>
            <w:tcW w:w="1200" w:type="dxa"/>
            <w:vAlign w:val="bottom"/>
            <w:shd w:val="clear" w:color="auto" w:fill="DDF2F9"/>
          </w:tcPr>
          <w:p>
            <w:pPr>
              <w:jc w:val="center"/>
              <w:spacing w:after="0" w:line="175" w:lineRule="exact"/>
              <w:rPr>
                <w:sz w:val="20"/>
                <w:szCs w:val="20"/>
                <w:color w:val="auto"/>
              </w:rPr>
            </w:pPr>
            <w:r>
              <w:rPr>
                <w:rFonts w:ascii="Arial" w:cs="Arial" w:eastAsia="Arial" w:hAnsi="Arial"/>
                <w:sz w:val="16"/>
                <w:szCs w:val="16"/>
                <w:b w:val="1"/>
                <w:bCs w:val="1"/>
                <w:color w:val="0A33A5"/>
              </w:rPr>
              <w:t>Compensation</w:t>
            </w:r>
          </w:p>
        </w:tc>
        <w:tc>
          <w:tcPr>
            <w:tcW w:w="1400" w:type="dxa"/>
            <w:vAlign w:val="bottom"/>
            <w:shd w:val="clear" w:color="auto" w:fill="DDF2F9"/>
          </w:tcPr>
          <w:p>
            <w:pPr>
              <w:jc w:val="right"/>
              <w:ind w:right="279"/>
              <w:spacing w:after="0" w:line="175" w:lineRule="exact"/>
              <w:rPr>
                <w:sz w:val="20"/>
                <w:szCs w:val="20"/>
                <w:color w:val="auto"/>
              </w:rPr>
            </w:pPr>
            <w:r>
              <w:rPr>
                <w:rFonts w:ascii="Arial" w:cs="Arial" w:eastAsia="Arial" w:hAnsi="Arial"/>
                <w:sz w:val="16"/>
                <w:szCs w:val="16"/>
                <w:b w:val="1"/>
                <w:bCs w:val="1"/>
                <w:color w:val="0A33A5"/>
              </w:rPr>
              <w:t>All Other</w:t>
            </w:r>
          </w:p>
        </w:tc>
        <w:tc>
          <w:tcPr>
            <w:tcW w:w="1080" w:type="dxa"/>
            <w:vAlign w:val="bottom"/>
            <w:shd w:val="clear" w:color="auto" w:fill="DDF2F9"/>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6"/>
                <w:szCs w:val="16"/>
                <w:b w:val="1"/>
                <w:bCs w:val="1"/>
                <w:color w:val="0A33A5"/>
              </w:rPr>
              <w:t>Principal Position</w:t>
            </w:r>
          </w:p>
        </w:tc>
        <w:tc>
          <w:tcPr>
            <w:tcW w:w="620" w:type="dxa"/>
            <w:vAlign w:val="bottom"/>
            <w:tcBorders>
              <w:bottom w:val="single" w:sz="8" w:color="auto"/>
            </w:tcBorders>
            <w:shd w:val="clear" w:color="auto" w:fill="DDF2F9"/>
          </w:tcPr>
          <w:p>
            <w:pPr>
              <w:jc w:val="right"/>
              <w:ind w:right="59"/>
              <w:spacing w:after="0"/>
              <w:rPr>
                <w:sz w:val="20"/>
                <w:szCs w:val="20"/>
                <w:color w:val="auto"/>
              </w:rPr>
            </w:pPr>
            <w:r>
              <w:rPr>
                <w:rFonts w:ascii="Arial" w:cs="Arial" w:eastAsia="Arial" w:hAnsi="Arial"/>
                <w:sz w:val="16"/>
                <w:szCs w:val="16"/>
                <w:b w:val="1"/>
                <w:bCs w:val="1"/>
                <w:color w:val="0A33A5"/>
              </w:rPr>
              <w:t>Year</w:t>
            </w:r>
          </w:p>
        </w:tc>
        <w:tc>
          <w:tcPr>
            <w:tcW w:w="940" w:type="dxa"/>
            <w:vAlign w:val="bottom"/>
            <w:tcBorders>
              <w:bottom w:val="single" w:sz="8" w:color="auto"/>
            </w:tcBorders>
            <w:shd w:val="clear" w:color="auto" w:fill="DDF2F9"/>
          </w:tcPr>
          <w:p>
            <w:pPr>
              <w:jc w:val="right"/>
              <w:ind w:right="159"/>
              <w:spacing w:after="0"/>
              <w:rPr>
                <w:sz w:val="20"/>
                <w:szCs w:val="20"/>
                <w:color w:val="auto"/>
              </w:rPr>
            </w:pPr>
            <w:r>
              <w:rPr>
                <w:rFonts w:ascii="Arial" w:cs="Arial" w:eastAsia="Arial" w:hAnsi="Arial"/>
                <w:sz w:val="16"/>
                <w:szCs w:val="16"/>
                <w:b w:val="1"/>
                <w:bCs w:val="1"/>
                <w:color w:val="0A33A5"/>
              </w:rPr>
              <w:t>Salary</w:t>
            </w:r>
          </w:p>
        </w:tc>
        <w:tc>
          <w:tcPr>
            <w:tcW w:w="660" w:type="dxa"/>
            <w:vAlign w:val="bottom"/>
            <w:tcBorders>
              <w:bottom w:val="single" w:sz="8" w:color="auto"/>
            </w:tcBorders>
            <w:shd w:val="clear" w:color="auto" w:fill="DDF2F9"/>
          </w:tcPr>
          <w:p>
            <w:pPr>
              <w:ind w:left="60"/>
              <w:spacing w:after="0"/>
              <w:rPr>
                <w:sz w:val="20"/>
                <w:szCs w:val="20"/>
                <w:color w:val="auto"/>
              </w:rPr>
            </w:pPr>
            <w:r>
              <w:rPr>
                <w:rFonts w:ascii="Arial" w:cs="Arial" w:eastAsia="Arial" w:hAnsi="Arial"/>
                <w:sz w:val="16"/>
                <w:szCs w:val="16"/>
                <w:b w:val="1"/>
                <w:bCs w:val="1"/>
                <w:color w:val="0A33A5"/>
              </w:rPr>
              <w:t>Bonus</w:t>
            </w:r>
          </w:p>
        </w:tc>
        <w:tc>
          <w:tcPr>
            <w:tcW w:w="1000" w:type="dxa"/>
            <w:vAlign w:val="bottom"/>
            <w:tcBorders>
              <w:bottom w:val="single" w:sz="8" w:color="auto"/>
            </w:tcBorders>
            <w:shd w:val="clear" w:color="auto" w:fill="DDF2F9"/>
          </w:tcPr>
          <w:p>
            <w:pPr>
              <w:jc w:val="right"/>
              <w:ind w:right="79"/>
              <w:spacing w:after="0" w:line="221" w:lineRule="exact"/>
              <w:rPr>
                <w:sz w:val="20"/>
                <w:szCs w:val="20"/>
                <w:color w:val="auto"/>
              </w:rPr>
            </w:pPr>
            <w:r>
              <w:rPr>
                <w:rFonts w:ascii="Arial" w:cs="Arial" w:eastAsia="Arial" w:hAnsi="Arial"/>
                <w:sz w:val="15"/>
                <w:szCs w:val="15"/>
                <w:b w:val="1"/>
                <w:bCs w:val="1"/>
                <w:color w:val="0A33A5"/>
              </w:rPr>
              <w:t>Awards</w:t>
            </w:r>
            <w:r>
              <w:rPr>
                <w:rFonts w:ascii="Arial" w:cs="Arial" w:eastAsia="Arial" w:hAnsi="Arial"/>
                <w:sz w:val="25"/>
                <w:szCs w:val="25"/>
                <w:b w:val="1"/>
                <w:bCs w:val="1"/>
                <w:color w:val="0A33A5"/>
                <w:vertAlign w:val="superscript"/>
              </w:rPr>
              <w:t>(1)</w:t>
            </w:r>
          </w:p>
        </w:tc>
        <w:tc>
          <w:tcPr>
            <w:tcW w:w="960" w:type="dxa"/>
            <w:vAlign w:val="bottom"/>
            <w:tcBorders>
              <w:bottom w:val="single" w:sz="8" w:color="auto"/>
            </w:tcBorders>
            <w:shd w:val="clear" w:color="auto" w:fill="DDF2F9"/>
          </w:tcPr>
          <w:p>
            <w:pPr>
              <w:jc w:val="right"/>
              <w:ind w:right="39"/>
              <w:spacing w:after="0" w:line="221" w:lineRule="exact"/>
              <w:rPr>
                <w:sz w:val="20"/>
                <w:szCs w:val="20"/>
                <w:color w:val="auto"/>
              </w:rPr>
            </w:pPr>
            <w:r>
              <w:rPr>
                <w:rFonts w:ascii="Arial" w:cs="Arial" w:eastAsia="Arial" w:hAnsi="Arial"/>
                <w:sz w:val="15"/>
                <w:szCs w:val="15"/>
                <w:b w:val="1"/>
                <w:bCs w:val="1"/>
                <w:color w:val="0A33A5"/>
              </w:rPr>
              <w:t>Awards</w:t>
            </w:r>
            <w:r>
              <w:rPr>
                <w:rFonts w:ascii="Arial" w:cs="Arial" w:eastAsia="Arial" w:hAnsi="Arial"/>
                <w:sz w:val="25"/>
                <w:szCs w:val="25"/>
                <w:b w:val="1"/>
                <w:bCs w:val="1"/>
                <w:color w:val="0A33A5"/>
                <w:vertAlign w:val="superscript"/>
              </w:rPr>
              <w:t>(2)</w:t>
            </w:r>
          </w:p>
        </w:tc>
        <w:tc>
          <w:tcPr>
            <w:tcW w:w="1360" w:type="dxa"/>
            <w:vAlign w:val="bottom"/>
            <w:tcBorders>
              <w:bottom w:val="single" w:sz="8" w:color="auto"/>
            </w:tcBorders>
            <w:shd w:val="clear" w:color="auto" w:fill="DDF2F9"/>
          </w:tcPr>
          <w:p>
            <w:pPr>
              <w:jc w:val="center"/>
              <w:spacing w:after="0" w:line="221" w:lineRule="exact"/>
              <w:rPr>
                <w:sz w:val="20"/>
                <w:szCs w:val="20"/>
                <w:color w:val="auto"/>
              </w:rPr>
            </w:pPr>
            <w:r>
              <w:rPr>
                <w:rFonts w:ascii="Arial" w:cs="Arial" w:eastAsia="Arial" w:hAnsi="Arial"/>
                <w:sz w:val="15"/>
                <w:szCs w:val="15"/>
                <w:b w:val="1"/>
                <w:bCs w:val="1"/>
                <w:color w:val="0A33A5"/>
              </w:rPr>
              <w:t>Compensation</w:t>
            </w:r>
            <w:r>
              <w:rPr>
                <w:rFonts w:ascii="Arial" w:cs="Arial" w:eastAsia="Arial" w:hAnsi="Arial"/>
                <w:sz w:val="25"/>
                <w:szCs w:val="25"/>
                <w:b w:val="1"/>
                <w:bCs w:val="1"/>
                <w:color w:val="0A33A5"/>
                <w:vertAlign w:val="superscript"/>
              </w:rPr>
              <w:t>(3)</w:t>
            </w:r>
          </w:p>
        </w:tc>
        <w:tc>
          <w:tcPr>
            <w:tcW w:w="1200" w:type="dxa"/>
            <w:vAlign w:val="bottom"/>
            <w:tcBorders>
              <w:bottom w:val="single" w:sz="8" w:color="auto"/>
            </w:tcBorders>
            <w:shd w:val="clear" w:color="auto" w:fill="DDF2F9"/>
          </w:tcPr>
          <w:p>
            <w:pPr>
              <w:jc w:val="center"/>
              <w:spacing w:after="0" w:line="221" w:lineRule="exact"/>
              <w:rPr>
                <w:sz w:val="20"/>
                <w:szCs w:val="20"/>
                <w:color w:val="auto"/>
              </w:rPr>
            </w:pPr>
            <w:r>
              <w:rPr>
                <w:rFonts w:ascii="Arial" w:cs="Arial" w:eastAsia="Arial" w:hAnsi="Arial"/>
                <w:sz w:val="15"/>
                <w:szCs w:val="15"/>
                <w:b w:val="1"/>
                <w:bCs w:val="1"/>
                <w:color w:val="0A33A5"/>
              </w:rPr>
              <w:t>Earnings</w:t>
            </w:r>
            <w:r>
              <w:rPr>
                <w:rFonts w:ascii="Arial" w:cs="Arial" w:eastAsia="Arial" w:hAnsi="Arial"/>
                <w:sz w:val="25"/>
                <w:szCs w:val="25"/>
                <w:b w:val="1"/>
                <w:bCs w:val="1"/>
                <w:color w:val="0A33A5"/>
                <w:vertAlign w:val="superscript"/>
              </w:rPr>
              <w:t>(4)</w:t>
            </w:r>
          </w:p>
        </w:tc>
        <w:tc>
          <w:tcPr>
            <w:tcW w:w="1400" w:type="dxa"/>
            <w:vAlign w:val="bottom"/>
            <w:tcBorders>
              <w:bottom w:val="single" w:sz="8" w:color="auto"/>
            </w:tcBorders>
            <w:shd w:val="clear" w:color="auto" w:fill="DDF2F9"/>
          </w:tcPr>
          <w:p>
            <w:pPr>
              <w:jc w:val="right"/>
              <w:spacing w:after="0" w:line="221" w:lineRule="exact"/>
              <w:rPr>
                <w:sz w:val="20"/>
                <w:szCs w:val="20"/>
                <w:color w:val="auto"/>
              </w:rPr>
            </w:pPr>
            <w:r>
              <w:rPr>
                <w:rFonts w:ascii="Arial" w:cs="Arial" w:eastAsia="Arial" w:hAnsi="Arial"/>
                <w:sz w:val="15"/>
                <w:szCs w:val="15"/>
                <w:b w:val="1"/>
                <w:bCs w:val="1"/>
                <w:color w:val="0A33A5"/>
              </w:rPr>
              <w:t>Compensation</w:t>
            </w:r>
            <w:r>
              <w:rPr>
                <w:rFonts w:ascii="Arial" w:cs="Arial" w:eastAsia="Arial" w:hAnsi="Arial"/>
                <w:sz w:val="25"/>
                <w:szCs w:val="25"/>
                <w:b w:val="1"/>
                <w:bCs w:val="1"/>
                <w:color w:val="0A33A5"/>
                <w:vertAlign w:val="superscript"/>
              </w:rPr>
              <w:t>(5)</w:t>
            </w:r>
          </w:p>
        </w:tc>
        <w:tc>
          <w:tcPr>
            <w:tcW w:w="1080" w:type="dxa"/>
            <w:vAlign w:val="bottom"/>
            <w:tcBorders>
              <w:bottom w:val="single" w:sz="8" w:color="auto"/>
            </w:tcBorders>
            <w:shd w:val="clear" w:color="auto" w:fill="DDF2F9"/>
          </w:tcPr>
          <w:p>
            <w:pPr>
              <w:jc w:val="right"/>
              <w:ind w:right="279"/>
              <w:spacing w:after="0"/>
              <w:rPr>
                <w:sz w:val="20"/>
                <w:szCs w:val="20"/>
                <w:color w:val="auto"/>
              </w:rPr>
            </w:pPr>
            <w:r>
              <w:rPr>
                <w:rFonts w:ascii="Arial" w:cs="Arial" w:eastAsia="Arial" w:hAnsi="Arial"/>
                <w:sz w:val="16"/>
                <w:szCs w:val="16"/>
                <w:b w:val="1"/>
                <w:bCs w:val="1"/>
                <w:color w:val="0A33A5"/>
              </w:rPr>
              <w:t>Total</w:t>
            </w:r>
          </w:p>
        </w:tc>
        <w:tc>
          <w:tcPr>
            <w:tcW w:w="0" w:type="dxa"/>
            <w:vAlign w:val="bottom"/>
          </w:tcPr>
          <w:p>
            <w:pPr>
              <w:spacing w:after="0"/>
              <w:rPr>
                <w:sz w:val="1"/>
                <w:szCs w:val="1"/>
                <w:color w:val="auto"/>
              </w:rPr>
            </w:pPr>
          </w:p>
        </w:tc>
      </w:tr>
      <w:tr>
        <w:trPr>
          <w:trHeight w:val="217"/>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Brian L. Roberts</w:t>
            </w:r>
          </w:p>
        </w:tc>
        <w:tc>
          <w:tcPr>
            <w:tcW w:w="620" w:type="dxa"/>
            <w:vAlign w:val="bottom"/>
          </w:tcPr>
          <w:p>
            <w:pPr>
              <w:jc w:val="right"/>
              <w:spacing w:after="0"/>
              <w:rPr>
                <w:sz w:val="20"/>
                <w:szCs w:val="20"/>
                <w:color w:val="auto"/>
              </w:rPr>
            </w:pPr>
            <w:r>
              <w:rPr>
                <w:rFonts w:ascii="Arial" w:cs="Arial" w:eastAsia="Arial" w:hAnsi="Arial"/>
                <w:sz w:val="16"/>
                <w:szCs w:val="16"/>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$3,291,832</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$5,330,304</w:t>
            </w:r>
          </w:p>
        </w:tc>
        <w:tc>
          <w:tcPr>
            <w:tcW w:w="960" w:type="dxa"/>
            <w:vAlign w:val="bottom"/>
          </w:tcPr>
          <w:p>
            <w:pPr>
              <w:jc w:val="right"/>
              <w:spacing w:after="0"/>
              <w:rPr>
                <w:sz w:val="20"/>
                <w:szCs w:val="20"/>
                <w:color w:val="auto"/>
              </w:rPr>
            </w:pPr>
            <w:r>
              <w:rPr>
                <w:rFonts w:ascii="Arial" w:cs="Arial" w:eastAsia="Arial" w:hAnsi="Arial"/>
                <w:sz w:val="16"/>
                <w:szCs w:val="16"/>
                <w:color w:val="auto"/>
              </w:rPr>
              <w:t>$5,350,324</w:t>
            </w:r>
          </w:p>
        </w:tc>
        <w:tc>
          <w:tcPr>
            <w:tcW w:w="1360" w:type="dxa"/>
            <w:vAlign w:val="bottom"/>
          </w:tcPr>
          <w:p>
            <w:pPr>
              <w:jc w:val="right"/>
              <w:spacing w:after="0"/>
              <w:rPr>
                <w:sz w:val="20"/>
                <w:szCs w:val="20"/>
                <w:color w:val="auto"/>
              </w:rPr>
            </w:pPr>
            <w:r>
              <w:rPr>
                <w:rFonts w:ascii="Arial" w:cs="Arial" w:eastAsia="Arial" w:hAnsi="Arial"/>
                <w:sz w:val="16"/>
                <w:szCs w:val="16"/>
                <w:color w:val="auto"/>
              </w:rPr>
              <w:t>$ 9,974,249</w:t>
            </w:r>
          </w:p>
        </w:tc>
        <w:tc>
          <w:tcPr>
            <w:tcW w:w="1200" w:type="dxa"/>
            <w:vAlign w:val="bottom"/>
          </w:tcPr>
          <w:p>
            <w:pPr>
              <w:jc w:val="right"/>
              <w:spacing w:after="0"/>
              <w:rPr>
                <w:sz w:val="20"/>
                <w:szCs w:val="20"/>
                <w:color w:val="auto"/>
              </w:rPr>
            </w:pPr>
            <w:r>
              <w:rPr>
                <w:rFonts w:ascii="Arial" w:cs="Arial" w:eastAsia="Arial" w:hAnsi="Arial"/>
                <w:sz w:val="16"/>
                <w:szCs w:val="16"/>
                <w:color w:val="auto"/>
              </w:rPr>
              <w:t>$7,560,231</w:t>
            </w:r>
          </w:p>
        </w:tc>
        <w:tc>
          <w:tcPr>
            <w:tcW w:w="1400" w:type="dxa"/>
            <w:vAlign w:val="bottom"/>
          </w:tcPr>
          <w:p>
            <w:pPr>
              <w:jc w:val="right"/>
              <w:spacing w:after="0"/>
              <w:rPr>
                <w:sz w:val="20"/>
                <w:szCs w:val="20"/>
                <w:color w:val="auto"/>
              </w:rPr>
            </w:pPr>
            <w:r>
              <w:rPr>
                <w:rFonts w:ascii="Arial" w:cs="Arial" w:eastAsia="Arial" w:hAnsi="Arial"/>
                <w:sz w:val="16"/>
                <w:szCs w:val="16"/>
                <w:color w:val="auto"/>
              </w:rPr>
              <w:t>$4,863,243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$36,370,183</w:t>
            </w:r>
          </w:p>
        </w:tc>
        <w:tc>
          <w:tcPr>
            <w:tcW w:w="0" w:type="dxa"/>
            <w:vAlign w:val="bottom"/>
          </w:tcPr>
          <w:p>
            <w:pPr>
              <w:spacing w:after="0"/>
              <w:rPr>
                <w:sz w:val="1"/>
                <w:szCs w:val="1"/>
                <w:color w:val="auto"/>
              </w:rPr>
            </w:pPr>
          </w:p>
        </w:tc>
      </w:tr>
      <w:tr>
        <w:trPr>
          <w:trHeight w:val="216"/>
        </w:trPr>
        <w:tc>
          <w:tcPr>
            <w:tcW w:w="1800" w:type="dxa"/>
            <w:vAlign w:val="bottom"/>
          </w:tcPr>
          <w:p>
            <w:pPr>
              <w:ind w:left="160"/>
              <w:spacing w:after="0"/>
              <w:rPr>
                <w:sz w:val="20"/>
                <w:szCs w:val="20"/>
                <w:color w:val="auto"/>
              </w:rPr>
            </w:pPr>
            <w:r>
              <w:rPr>
                <w:rFonts w:ascii="Arial" w:cs="Arial" w:eastAsia="Arial" w:hAnsi="Arial"/>
                <w:sz w:val="16"/>
                <w:szCs w:val="16"/>
                <w:color w:val="auto"/>
              </w:rPr>
              <w:t>Chairman of the</w:t>
            </w: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3,196,313</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5,328,517</w:t>
            </w:r>
          </w:p>
        </w:tc>
        <w:tc>
          <w:tcPr>
            <w:tcW w:w="960" w:type="dxa"/>
            <w:vAlign w:val="bottom"/>
          </w:tcPr>
          <w:p>
            <w:pPr>
              <w:jc w:val="right"/>
              <w:spacing w:after="0"/>
              <w:rPr>
                <w:sz w:val="20"/>
                <w:szCs w:val="20"/>
                <w:color w:val="auto"/>
              </w:rPr>
            </w:pPr>
            <w:r>
              <w:rPr>
                <w:rFonts w:ascii="Arial" w:cs="Arial" w:eastAsia="Arial" w:hAnsi="Arial"/>
                <w:sz w:val="16"/>
                <w:szCs w:val="16"/>
                <w:color w:val="auto"/>
              </w:rPr>
              <w:t>5,351,060</w:t>
            </w:r>
          </w:p>
        </w:tc>
        <w:tc>
          <w:tcPr>
            <w:tcW w:w="1360" w:type="dxa"/>
            <w:vAlign w:val="bottom"/>
          </w:tcPr>
          <w:p>
            <w:pPr>
              <w:jc w:val="right"/>
              <w:spacing w:after="0"/>
              <w:rPr>
                <w:sz w:val="20"/>
                <w:szCs w:val="20"/>
                <w:color w:val="auto"/>
              </w:rPr>
            </w:pPr>
            <w:r>
              <w:rPr>
                <w:rFonts w:ascii="Arial" w:cs="Arial" w:eastAsia="Arial" w:hAnsi="Arial"/>
                <w:sz w:val="16"/>
                <w:szCs w:val="16"/>
                <w:color w:val="auto"/>
              </w:rPr>
              <w:t>10,739,611</w:t>
            </w:r>
          </w:p>
        </w:tc>
        <w:tc>
          <w:tcPr>
            <w:tcW w:w="1200" w:type="dxa"/>
            <w:vAlign w:val="bottom"/>
          </w:tcPr>
          <w:p>
            <w:pPr>
              <w:jc w:val="right"/>
              <w:spacing w:after="0"/>
              <w:rPr>
                <w:sz w:val="20"/>
                <w:szCs w:val="20"/>
                <w:color w:val="auto"/>
              </w:rPr>
            </w:pPr>
            <w:r>
              <w:rPr>
                <w:rFonts w:ascii="Arial" w:cs="Arial" w:eastAsia="Arial" w:hAnsi="Arial"/>
                <w:sz w:val="16"/>
                <w:szCs w:val="16"/>
                <w:color w:val="auto"/>
              </w:rPr>
              <w:t>5,695,338</w:t>
            </w:r>
          </w:p>
        </w:tc>
        <w:tc>
          <w:tcPr>
            <w:tcW w:w="1400" w:type="dxa"/>
            <w:vAlign w:val="bottom"/>
          </w:tcPr>
          <w:p>
            <w:pPr>
              <w:jc w:val="right"/>
              <w:spacing w:after="0"/>
              <w:rPr>
                <w:sz w:val="20"/>
                <w:szCs w:val="20"/>
                <w:color w:val="auto"/>
              </w:rPr>
            </w:pPr>
            <w:r>
              <w:rPr>
                <w:rFonts w:ascii="Arial" w:cs="Arial" w:eastAsia="Arial" w:hAnsi="Arial"/>
                <w:sz w:val="16"/>
                <w:szCs w:val="16"/>
                <w:color w:val="auto"/>
              </w:rPr>
              <w:t>4,715,368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35,026,207</w:t>
            </w:r>
          </w:p>
        </w:tc>
        <w:tc>
          <w:tcPr>
            <w:tcW w:w="0" w:type="dxa"/>
            <w:vAlign w:val="bottom"/>
          </w:tcPr>
          <w:p>
            <w:pPr>
              <w:spacing w:after="0"/>
              <w:rPr>
                <w:sz w:val="1"/>
                <w:szCs w:val="1"/>
                <w:color w:val="auto"/>
              </w:rPr>
            </w:pPr>
          </w:p>
        </w:tc>
      </w:tr>
      <w:tr>
        <w:trPr>
          <w:trHeight w:val="230"/>
        </w:trPr>
        <w:tc>
          <w:tcPr>
            <w:tcW w:w="1800" w:type="dxa"/>
            <w:vAlign w:val="bottom"/>
          </w:tcPr>
          <w:p>
            <w:pPr>
              <w:ind w:left="160"/>
              <w:spacing w:after="0"/>
              <w:rPr>
                <w:sz w:val="20"/>
                <w:szCs w:val="20"/>
                <w:color w:val="auto"/>
              </w:rPr>
            </w:pPr>
            <w:r>
              <w:rPr>
                <w:rFonts w:ascii="Arial" w:cs="Arial" w:eastAsia="Arial" w:hAnsi="Arial"/>
                <w:sz w:val="16"/>
                <w:szCs w:val="16"/>
                <w:color w:val="auto"/>
              </w:rPr>
              <w:t>Board, President and</w:t>
            </w: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c>
          <w:tcPr>
            <w:tcW w:w="940" w:type="dxa"/>
            <w:vAlign w:val="bottom"/>
          </w:tcPr>
          <w:p>
            <w:pPr>
              <w:jc w:val="right"/>
              <w:spacing w:after="0"/>
              <w:rPr>
                <w:sz w:val="20"/>
                <w:szCs w:val="20"/>
                <w:color w:val="auto"/>
              </w:rPr>
            </w:pPr>
            <w:r>
              <w:rPr>
                <w:rFonts w:ascii="Arial" w:cs="Arial" w:eastAsia="Arial" w:hAnsi="Arial"/>
                <w:sz w:val="16"/>
                <w:szCs w:val="16"/>
                <w:color w:val="auto"/>
              </w:rPr>
              <w:t>3,103,566</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5,337,864</w:t>
            </w:r>
          </w:p>
        </w:tc>
        <w:tc>
          <w:tcPr>
            <w:tcW w:w="960" w:type="dxa"/>
            <w:vAlign w:val="bottom"/>
          </w:tcPr>
          <w:p>
            <w:pPr>
              <w:jc w:val="right"/>
              <w:spacing w:after="0"/>
              <w:rPr>
                <w:sz w:val="20"/>
                <w:szCs w:val="20"/>
                <w:color w:val="auto"/>
              </w:rPr>
            </w:pPr>
            <w:r>
              <w:rPr>
                <w:rFonts w:ascii="Arial" w:cs="Arial" w:eastAsia="Arial" w:hAnsi="Arial"/>
                <w:sz w:val="16"/>
                <w:szCs w:val="16"/>
                <w:color w:val="auto"/>
              </w:rPr>
              <w:t>5,350,848</w:t>
            </w:r>
          </w:p>
        </w:tc>
        <w:tc>
          <w:tcPr>
            <w:tcW w:w="1360" w:type="dxa"/>
            <w:vAlign w:val="bottom"/>
          </w:tcPr>
          <w:p>
            <w:pPr>
              <w:jc w:val="right"/>
              <w:spacing w:after="0"/>
              <w:rPr>
                <w:sz w:val="20"/>
                <w:szCs w:val="20"/>
                <w:color w:val="auto"/>
              </w:rPr>
            </w:pPr>
            <w:r>
              <w:rPr>
                <w:rFonts w:ascii="Arial" w:cs="Arial" w:eastAsia="Arial" w:hAnsi="Arial"/>
                <w:sz w:val="16"/>
                <w:szCs w:val="16"/>
                <w:color w:val="auto"/>
              </w:rPr>
              <w:t>9,124,484</w:t>
            </w:r>
          </w:p>
        </w:tc>
        <w:tc>
          <w:tcPr>
            <w:tcW w:w="1200" w:type="dxa"/>
            <w:vAlign w:val="bottom"/>
          </w:tcPr>
          <w:p>
            <w:pPr>
              <w:jc w:val="right"/>
              <w:spacing w:after="0"/>
              <w:rPr>
                <w:sz w:val="20"/>
                <w:szCs w:val="20"/>
                <w:color w:val="auto"/>
              </w:rPr>
            </w:pPr>
            <w:r>
              <w:rPr>
                <w:rFonts w:ascii="Arial" w:cs="Arial" w:eastAsia="Arial" w:hAnsi="Arial"/>
                <w:sz w:val="16"/>
                <w:szCs w:val="16"/>
                <w:color w:val="auto"/>
              </w:rPr>
              <w:t>5,144,047</w:t>
            </w:r>
          </w:p>
        </w:tc>
        <w:tc>
          <w:tcPr>
            <w:tcW w:w="1400" w:type="dxa"/>
            <w:vAlign w:val="bottom"/>
          </w:tcPr>
          <w:p>
            <w:pPr>
              <w:jc w:val="right"/>
              <w:spacing w:after="0"/>
              <w:rPr>
                <w:sz w:val="20"/>
                <w:szCs w:val="20"/>
                <w:color w:val="auto"/>
              </w:rPr>
            </w:pPr>
            <w:r>
              <w:rPr>
                <w:rFonts w:ascii="Arial" w:cs="Arial" w:eastAsia="Arial" w:hAnsi="Arial"/>
                <w:sz w:val="16"/>
                <w:szCs w:val="16"/>
                <w:color w:val="auto"/>
              </w:rPr>
              <w:t>4,459,415</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32,520,224</w:t>
            </w:r>
          </w:p>
        </w:tc>
        <w:tc>
          <w:tcPr>
            <w:tcW w:w="0" w:type="dxa"/>
            <w:vAlign w:val="bottom"/>
          </w:tcPr>
          <w:p>
            <w:pPr>
              <w:spacing w:after="0"/>
              <w:rPr>
                <w:sz w:val="1"/>
                <w:szCs w:val="1"/>
                <w:color w:val="auto"/>
              </w:rPr>
            </w:pPr>
          </w:p>
        </w:tc>
      </w:tr>
      <w:tr>
        <w:trPr>
          <w:trHeight w:val="203"/>
        </w:trPr>
        <w:tc>
          <w:tcPr>
            <w:tcW w:w="1800" w:type="dxa"/>
            <w:vAlign w:val="bottom"/>
          </w:tcPr>
          <w:p>
            <w:pPr>
              <w:ind w:left="160"/>
              <w:spacing w:after="0"/>
              <w:rPr>
                <w:sz w:val="20"/>
                <w:szCs w:val="20"/>
                <w:color w:val="auto"/>
              </w:rPr>
            </w:pPr>
            <w:r>
              <w:rPr>
                <w:rFonts w:ascii="Arial" w:cs="Arial" w:eastAsia="Arial" w:hAnsi="Arial"/>
                <w:sz w:val="16"/>
                <w:szCs w:val="16"/>
                <w:color w:val="auto"/>
                <w:w w:val="99"/>
              </w:rPr>
              <w:t>Chief Executive Officer</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Michael J. Cavanagh</w:t>
            </w:r>
          </w:p>
        </w:tc>
        <w:tc>
          <w:tcPr>
            <w:tcW w:w="620" w:type="dxa"/>
            <w:vAlign w:val="bottom"/>
          </w:tcPr>
          <w:p>
            <w:pPr>
              <w:jc w:val="right"/>
              <w:spacing w:after="0"/>
              <w:rPr>
                <w:sz w:val="20"/>
                <w:szCs w:val="20"/>
                <w:color w:val="auto"/>
              </w:rPr>
            </w:pPr>
            <w:r>
              <w:rPr>
                <w:rFonts w:ascii="Arial" w:cs="Arial" w:eastAsia="Arial" w:hAnsi="Arial"/>
                <w:sz w:val="16"/>
                <w:szCs w:val="16"/>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2,285,908</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6,725,376</w:t>
            </w:r>
          </w:p>
        </w:tc>
        <w:tc>
          <w:tcPr>
            <w:tcW w:w="960" w:type="dxa"/>
            <w:vAlign w:val="bottom"/>
          </w:tcPr>
          <w:p>
            <w:pPr>
              <w:jc w:val="right"/>
              <w:spacing w:after="0"/>
              <w:rPr>
                <w:sz w:val="20"/>
                <w:szCs w:val="20"/>
                <w:color w:val="auto"/>
              </w:rPr>
            </w:pPr>
            <w:r>
              <w:rPr>
                <w:rFonts w:ascii="Arial" w:cs="Arial" w:eastAsia="Arial" w:hAnsi="Arial"/>
                <w:sz w:val="16"/>
                <w:szCs w:val="16"/>
                <w:color w:val="auto"/>
              </w:rPr>
              <w:t>4,749,955</w:t>
            </w:r>
          </w:p>
        </w:tc>
        <w:tc>
          <w:tcPr>
            <w:tcW w:w="1360" w:type="dxa"/>
            <w:vAlign w:val="bottom"/>
          </w:tcPr>
          <w:p>
            <w:pPr>
              <w:jc w:val="right"/>
              <w:spacing w:after="0"/>
              <w:rPr>
                <w:sz w:val="20"/>
                <w:szCs w:val="20"/>
                <w:color w:val="auto"/>
              </w:rPr>
            </w:pPr>
            <w:r>
              <w:rPr>
                <w:rFonts w:ascii="Arial" w:cs="Arial" w:eastAsia="Arial" w:hAnsi="Arial"/>
                <w:sz w:val="16"/>
                <w:szCs w:val="16"/>
                <w:color w:val="auto"/>
              </w:rPr>
              <w:t>6,926,300</w:t>
            </w:r>
          </w:p>
        </w:tc>
        <w:tc>
          <w:tcPr>
            <w:tcW w:w="1200" w:type="dxa"/>
            <w:vAlign w:val="bottom"/>
          </w:tcPr>
          <w:p>
            <w:pPr>
              <w:jc w:val="right"/>
              <w:spacing w:after="0"/>
              <w:rPr>
                <w:sz w:val="20"/>
                <w:szCs w:val="20"/>
                <w:color w:val="auto"/>
              </w:rPr>
            </w:pPr>
            <w:r>
              <w:rPr>
                <w:rFonts w:ascii="Arial" w:cs="Arial" w:eastAsia="Arial" w:hAnsi="Arial"/>
                <w:sz w:val="16"/>
                <w:szCs w:val="16"/>
                <w:color w:val="auto"/>
              </w:rPr>
              <w:t>3,831,120</w:t>
            </w:r>
          </w:p>
        </w:tc>
        <w:tc>
          <w:tcPr>
            <w:tcW w:w="1400" w:type="dxa"/>
            <w:vAlign w:val="bottom"/>
          </w:tcPr>
          <w:p>
            <w:pPr>
              <w:jc w:val="right"/>
              <w:spacing w:after="0"/>
              <w:rPr>
                <w:sz w:val="20"/>
                <w:szCs w:val="20"/>
                <w:color w:val="auto"/>
              </w:rPr>
            </w:pPr>
            <w:r>
              <w:rPr>
                <w:rFonts w:ascii="Arial" w:cs="Arial" w:eastAsia="Arial" w:hAnsi="Arial"/>
                <w:sz w:val="16"/>
                <w:szCs w:val="16"/>
                <w:color w:val="auto"/>
              </w:rPr>
              <w:t>2,280,818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26,799,477</w:t>
            </w:r>
          </w:p>
        </w:tc>
        <w:tc>
          <w:tcPr>
            <w:tcW w:w="0" w:type="dxa"/>
            <w:vAlign w:val="bottom"/>
          </w:tcPr>
          <w:p>
            <w:pPr>
              <w:spacing w:after="0"/>
              <w:rPr>
                <w:sz w:val="1"/>
                <w:szCs w:val="1"/>
                <w:color w:val="auto"/>
              </w:rPr>
            </w:pPr>
          </w:p>
        </w:tc>
      </w:tr>
      <w:tr>
        <w:trPr>
          <w:trHeight w:val="216"/>
        </w:trPr>
        <w:tc>
          <w:tcPr>
            <w:tcW w:w="1800" w:type="dxa"/>
            <w:vAlign w:val="bottom"/>
          </w:tcPr>
          <w:p>
            <w:pPr>
              <w:ind w:left="160"/>
              <w:spacing w:after="0"/>
              <w:rPr>
                <w:sz w:val="20"/>
                <w:szCs w:val="20"/>
                <w:color w:val="auto"/>
              </w:rPr>
            </w:pPr>
            <w:r>
              <w:rPr>
                <w:rFonts w:ascii="Arial" w:cs="Arial" w:eastAsia="Arial" w:hAnsi="Arial"/>
                <w:sz w:val="16"/>
                <w:szCs w:val="16"/>
                <w:color w:val="auto"/>
              </w:rPr>
              <w:t>Chief Financial Officer</w:t>
            </w: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1,955,231</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3,983,004</w:t>
            </w:r>
          </w:p>
        </w:tc>
        <w:tc>
          <w:tcPr>
            <w:tcW w:w="960" w:type="dxa"/>
            <w:vAlign w:val="bottom"/>
          </w:tcPr>
          <w:p>
            <w:pPr>
              <w:jc w:val="right"/>
              <w:spacing w:after="0"/>
              <w:rPr>
                <w:sz w:val="20"/>
                <w:szCs w:val="20"/>
                <w:color w:val="auto"/>
              </w:rPr>
            </w:pPr>
            <w:r>
              <w:rPr>
                <w:rFonts w:ascii="Arial" w:cs="Arial" w:eastAsia="Arial" w:hAnsi="Arial"/>
                <w:sz w:val="16"/>
                <w:szCs w:val="16"/>
                <w:color w:val="auto"/>
              </w:rPr>
              <w:t>4,001,855</w:t>
            </w:r>
          </w:p>
        </w:tc>
        <w:tc>
          <w:tcPr>
            <w:tcW w:w="1360" w:type="dxa"/>
            <w:vAlign w:val="bottom"/>
          </w:tcPr>
          <w:p>
            <w:pPr>
              <w:jc w:val="right"/>
              <w:spacing w:after="0"/>
              <w:rPr>
                <w:sz w:val="20"/>
                <w:szCs w:val="20"/>
                <w:color w:val="auto"/>
              </w:rPr>
            </w:pPr>
            <w:r>
              <w:rPr>
                <w:rFonts w:ascii="Arial" w:cs="Arial" w:eastAsia="Arial" w:hAnsi="Arial"/>
                <w:sz w:val="16"/>
                <w:szCs w:val="16"/>
                <w:color w:val="auto"/>
              </w:rPr>
              <w:t>6,569,575</w:t>
            </w:r>
          </w:p>
        </w:tc>
        <w:tc>
          <w:tcPr>
            <w:tcW w:w="1200" w:type="dxa"/>
            <w:vAlign w:val="bottom"/>
          </w:tcPr>
          <w:p>
            <w:pPr>
              <w:jc w:val="right"/>
              <w:spacing w:after="0"/>
              <w:rPr>
                <w:sz w:val="20"/>
                <w:szCs w:val="20"/>
                <w:color w:val="auto"/>
              </w:rPr>
            </w:pPr>
            <w:r>
              <w:rPr>
                <w:rFonts w:ascii="Arial" w:cs="Arial" w:eastAsia="Arial" w:hAnsi="Arial"/>
                <w:sz w:val="16"/>
                <w:szCs w:val="16"/>
                <w:color w:val="auto"/>
              </w:rPr>
              <w:t>2,952,011</w:t>
            </w:r>
          </w:p>
        </w:tc>
        <w:tc>
          <w:tcPr>
            <w:tcW w:w="1400" w:type="dxa"/>
            <w:vAlign w:val="bottom"/>
          </w:tcPr>
          <w:p>
            <w:pPr>
              <w:jc w:val="right"/>
              <w:spacing w:after="0"/>
              <w:rPr>
                <w:sz w:val="20"/>
                <w:szCs w:val="20"/>
                <w:color w:val="auto"/>
              </w:rPr>
            </w:pPr>
            <w:r>
              <w:rPr>
                <w:rFonts w:ascii="Arial" w:cs="Arial" w:eastAsia="Arial" w:hAnsi="Arial"/>
                <w:sz w:val="16"/>
                <w:szCs w:val="16"/>
                <w:color w:val="auto"/>
              </w:rPr>
              <w:t>2,240,023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21,701,699</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c>
          <w:tcPr>
            <w:tcW w:w="940" w:type="dxa"/>
            <w:vAlign w:val="bottom"/>
          </w:tcPr>
          <w:p>
            <w:pPr>
              <w:jc w:val="right"/>
              <w:spacing w:after="0"/>
              <w:rPr>
                <w:sz w:val="20"/>
                <w:szCs w:val="20"/>
                <w:color w:val="auto"/>
              </w:rPr>
            </w:pPr>
            <w:r>
              <w:rPr>
                <w:rFonts w:ascii="Arial" w:cs="Arial" w:eastAsia="Arial" w:hAnsi="Arial"/>
                <w:sz w:val="16"/>
                <w:szCs w:val="16"/>
                <w:color w:val="auto"/>
              </w:rPr>
              <w:t>1,898,496</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3,992,184</w:t>
            </w:r>
          </w:p>
        </w:tc>
        <w:tc>
          <w:tcPr>
            <w:tcW w:w="960" w:type="dxa"/>
            <w:vAlign w:val="bottom"/>
          </w:tcPr>
          <w:p>
            <w:pPr>
              <w:jc w:val="right"/>
              <w:spacing w:after="0"/>
              <w:rPr>
                <w:sz w:val="20"/>
                <w:szCs w:val="20"/>
                <w:color w:val="auto"/>
              </w:rPr>
            </w:pPr>
            <w:r>
              <w:rPr>
                <w:rFonts w:ascii="Arial" w:cs="Arial" w:eastAsia="Arial" w:hAnsi="Arial"/>
                <w:sz w:val="16"/>
                <w:szCs w:val="16"/>
                <w:color w:val="auto"/>
              </w:rPr>
              <w:t>3,999,912</w:t>
            </w:r>
          </w:p>
        </w:tc>
        <w:tc>
          <w:tcPr>
            <w:tcW w:w="1360" w:type="dxa"/>
            <w:vAlign w:val="bottom"/>
          </w:tcPr>
          <w:p>
            <w:pPr>
              <w:jc w:val="right"/>
              <w:spacing w:after="0"/>
              <w:rPr>
                <w:sz w:val="20"/>
                <w:szCs w:val="20"/>
                <w:color w:val="auto"/>
              </w:rPr>
            </w:pPr>
            <w:r>
              <w:rPr>
                <w:rFonts w:ascii="Arial" w:cs="Arial" w:eastAsia="Arial" w:hAnsi="Arial"/>
                <w:sz w:val="16"/>
                <w:szCs w:val="16"/>
                <w:color w:val="auto"/>
              </w:rPr>
              <w:t>5,581,578</w:t>
            </w:r>
          </w:p>
        </w:tc>
        <w:tc>
          <w:tcPr>
            <w:tcW w:w="1200" w:type="dxa"/>
            <w:vAlign w:val="bottom"/>
          </w:tcPr>
          <w:p>
            <w:pPr>
              <w:jc w:val="right"/>
              <w:spacing w:after="0"/>
              <w:rPr>
                <w:sz w:val="20"/>
                <w:szCs w:val="20"/>
                <w:color w:val="auto"/>
              </w:rPr>
            </w:pPr>
            <w:r>
              <w:rPr>
                <w:rFonts w:ascii="Arial" w:cs="Arial" w:eastAsia="Arial" w:hAnsi="Arial"/>
                <w:sz w:val="16"/>
                <w:szCs w:val="16"/>
                <w:color w:val="auto"/>
              </w:rPr>
              <w:t>2,523,815</w:t>
            </w:r>
          </w:p>
        </w:tc>
        <w:tc>
          <w:tcPr>
            <w:tcW w:w="1400" w:type="dxa"/>
            <w:vAlign w:val="bottom"/>
          </w:tcPr>
          <w:p>
            <w:pPr>
              <w:jc w:val="right"/>
              <w:spacing w:after="0"/>
              <w:rPr>
                <w:sz w:val="20"/>
                <w:szCs w:val="20"/>
                <w:color w:val="auto"/>
              </w:rPr>
            </w:pPr>
            <w:r>
              <w:rPr>
                <w:rFonts w:ascii="Arial" w:cs="Arial" w:eastAsia="Arial" w:hAnsi="Arial"/>
                <w:sz w:val="16"/>
                <w:szCs w:val="16"/>
                <w:color w:val="auto"/>
              </w:rPr>
              <w:t>2,150,016</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20,146,001</w:t>
            </w:r>
          </w:p>
        </w:tc>
        <w:tc>
          <w:tcPr>
            <w:tcW w:w="0" w:type="dxa"/>
            <w:vAlign w:val="bottom"/>
          </w:tcPr>
          <w:p>
            <w:pPr>
              <w:spacing w:after="0"/>
              <w:rPr>
                <w:sz w:val="1"/>
                <w:szCs w:val="1"/>
                <w:color w:val="auto"/>
              </w:rPr>
            </w:pPr>
          </w:p>
        </w:tc>
      </w:tr>
      <w:tr>
        <w:trPr>
          <w:trHeight w:val="324"/>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Stephen B. Burke</w:t>
            </w:r>
          </w:p>
        </w:tc>
        <w:tc>
          <w:tcPr>
            <w:tcW w:w="620" w:type="dxa"/>
            <w:vAlign w:val="bottom"/>
          </w:tcPr>
          <w:p>
            <w:pPr>
              <w:jc w:val="right"/>
              <w:spacing w:after="0"/>
              <w:rPr>
                <w:sz w:val="20"/>
                <w:szCs w:val="20"/>
                <w:color w:val="auto"/>
              </w:rPr>
            </w:pPr>
            <w:r>
              <w:rPr>
                <w:rFonts w:ascii="Arial" w:cs="Arial" w:eastAsia="Arial" w:hAnsi="Arial"/>
                <w:sz w:val="16"/>
                <w:szCs w:val="16"/>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3,055,870</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5,330,304</w:t>
            </w:r>
          </w:p>
        </w:tc>
        <w:tc>
          <w:tcPr>
            <w:tcW w:w="960" w:type="dxa"/>
            <w:vAlign w:val="bottom"/>
          </w:tcPr>
          <w:p>
            <w:pPr>
              <w:jc w:val="right"/>
              <w:spacing w:after="0"/>
              <w:rPr>
                <w:sz w:val="20"/>
                <w:szCs w:val="20"/>
                <w:color w:val="auto"/>
              </w:rPr>
            </w:pPr>
            <w:r>
              <w:rPr>
                <w:rFonts w:ascii="Arial" w:cs="Arial" w:eastAsia="Arial" w:hAnsi="Arial"/>
                <w:sz w:val="16"/>
                <w:szCs w:val="16"/>
                <w:color w:val="auto"/>
              </w:rPr>
              <w:t>5,350,324</w:t>
            </w:r>
          </w:p>
        </w:tc>
        <w:tc>
          <w:tcPr>
            <w:tcW w:w="1360" w:type="dxa"/>
            <w:vAlign w:val="bottom"/>
          </w:tcPr>
          <w:p>
            <w:pPr>
              <w:jc w:val="right"/>
              <w:spacing w:after="0"/>
              <w:rPr>
                <w:sz w:val="20"/>
                <w:szCs w:val="20"/>
                <w:color w:val="auto"/>
              </w:rPr>
            </w:pPr>
            <w:r>
              <w:rPr>
                <w:rFonts w:ascii="Arial" w:cs="Arial" w:eastAsia="Arial" w:hAnsi="Arial"/>
                <w:sz w:val="16"/>
                <w:szCs w:val="16"/>
                <w:color w:val="auto"/>
              </w:rPr>
              <w:t>9,259,285</w:t>
            </w:r>
          </w:p>
        </w:tc>
        <w:tc>
          <w:tcPr>
            <w:tcW w:w="1200" w:type="dxa"/>
            <w:vAlign w:val="bottom"/>
          </w:tcPr>
          <w:p>
            <w:pPr>
              <w:jc w:val="right"/>
              <w:spacing w:after="0"/>
              <w:rPr>
                <w:sz w:val="20"/>
                <w:szCs w:val="20"/>
                <w:color w:val="auto"/>
              </w:rPr>
            </w:pPr>
            <w:r>
              <w:rPr>
                <w:rFonts w:ascii="Arial" w:cs="Arial" w:eastAsia="Arial" w:hAnsi="Arial"/>
                <w:sz w:val="16"/>
                <w:szCs w:val="16"/>
                <w:color w:val="auto"/>
              </w:rPr>
              <w:t>14,814,904</w:t>
            </w:r>
          </w:p>
        </w:tc>
        <w:tc>
          <w:tcPr>
            <w:tcW w:w="1400" w:type="dxa"/>
            <w:vAlign w:val="bottom"/>
          </w:tcPr>
          <w:p>
            <w:pPr>
              <w:jc w:val="right"/>
              <w:spacing w:after="0"/>
              <w:rPr>
                <w:sz w:val="20"/>
                <w:szCs w:val="20"/>
                <w:color w:val="auto"/>
              </w:rPr>
            </w:pPr>
            <w:r>
              <w:rPr>
                <w:rFonts w:ascii="Arial" w:cs="Arial" w:eastAsia="Arial" w:hAnsi="Arial"/>
                <w:sz w:val="16"/>
                <w:szCs w:val="16"/>
                <w:color w:val="auto"/>
              </w:rPr>
              <w:t>4,765,623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42,576,310</w:t>
            </w:r>
          </w:p>
        </w:tc>
        <w:tc>
          <w:tcPr>
            <w:tcW w:w="0" w:type="dxa"/>
            <w:vAlign w:val="bottom"/>
          </w:tcPr>
          <w:p>
            <w:pPr>
              <w:spacing w:after="0"/>
              <w:rPr>
                <w:sz w:val="1"/>
                <w:szCs w:val="1"/>
                <w:color w:val="auto"/>
              </w:rPr>
            </w:pPr>
          </w:p>
        </w:tc>
      </w:tr>
      <w:tr>
        <w:trPr>
          <w:trHeight w:val="216"/>
        </w:trPr>
        <w:tc>
          <w:tcPr>
            <w:tcW w:w="1800" w:type="dxa"/>
            <w:vAlign w:val="bottom"/>
          </w:tcPr>
          <w:p>
            <w:pPr>
              <w:ind w:left="160"/>
              <w:spacing w:after="0"/>
              <w:rPr>
                <w:sz w:val="20"/>
                <w:szCs w:val="20"/>
                <w:color w:val="auto"/>
              </w:rPr>
            </w:pPr>
            <w:r>
              <w:rPr>
                <w:rFonts w:ascii="Arial" w:cs="Arial" w:eastAsia="Arial" w:hAnsi="Arial"/>
                <w:sz w:val="16"/>
                <w:szCs w:val="16"/>
                <w:color w:val="auto"/>
              </w:rPr>
              <w:t>President and CEO of</w:t>
            </w: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2,967,198</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5,328,517</w:t>
            </w:r>
          </w:p>
        </w:tc>
        <w:tc>
          <w:tcPr>
            <w:tcW w:w="960" w:type="dxa"/>
            <w:vAlign w:val="bottom"/>
          </w:tcPr>
          <w:p>
            <w:pPr>
              <w:jc w:val="right"/>
              <w:spacing w:after="0"/>
              <w:rPr>
                <w:sz w:val="20"/>
                <w:szCs w:val="20"/>
                <w:color w:val="auto"/>
              </w:rPr>
            </w:pPr>
            <w:r>
              <w:rPr>
                <w:rFonts w:ascii="Arial" w:cs="Arial" w:eastAsia="Arial" w:hAnsi="Arial"/>
                <w:sz w:val="16"/>
                <w:szCs w:val="16"/>
                <w:color w:val="auto"/>
              </w:rPr>
              <w:t>5,351,060</w:t>
            </w:r>
          </w:p>
        </w:tc>
        <w:tc>
          <w:tcPr>
            <w:tcW w:w="1360" w:type="dxa"/>
            <w:vAlign w:val="bottom"/>
          </w:tcPr>
          <w:p>
            <w:pPr>
              <w:jc w:val="right"/>
              <w:spacing w:after="0"/>
              <w:rPr>
                <w:sz w:val="20"/>
                <w:szCs w:val="20"/>
                <w:color w:val="auto"/>
              </w:rPr>
            </w:pPr>
            <w:r>
              <w:rPr>
                <w:rFonts w:ascii="Arial" w:cs="Arial" w:eastAsia="Arial" w:hAnsi="Arial"/>
                <w:sz w:val="16"/>
                <w:szCs w:val="16"/>
                <w:color w:val="auto"/>
              </w:rPr>
              <w:t>9,969,786</w:t>
            </w:r>
          </w:p>
        </w:tc>
        <w:tc>
          <w:tcPr>
            <w:tcW w:w="1200" w:type="dxa"/>
            <w:vAlign w:val="bottom"/>
          </w:tcPr>
          <w:p>
            <w:pPr>
              <w:jc w:val="right"/>
              <w:spacing w:after="0"/>
              <w:rPr>
                <w:sz w:val="20"/>
                <w:szCs w:val="20"/>
                <w:color w:val="auto"/>
              </w:rPr>
            </w:pPr>
            <w:r>
              <w:rPr>
                <w:rFonts w:ascii="Arial" w:cs="Arial" w:eastAsia="Arial" w:hAnsi="Arial"/>
                <w:sz w:val="16"/>
                <w:szCs w:val="16"/>
                <w:color w:val="auto"/>
              </w:rPr>
              <w:t>11,680,195</w:t>
            </w:r>
          </w:p>
        </w:tc>
        <w:tc>
          <w:tcPr>
            <w:tcW w:w="1400" w:type="dxa"/>
            <w:vAlign w:val="bottom"/>
          </w:tcPr>
          <w:p>
            <w:pPr>
              <w:jc w:val="right"/>
              <w:spacing w:after="0"/>
              <w:rPr>
                <w:sz w:val="20"/>
                <w:szCs w:val="20"/>
                <w:color w:val="auto"/>
              </w:rPr>
            </w:pPr>
            <w:r>
              <w:rPr>
                <w:rFonts w:ascii="Arial" w:cs="Arial" w:eastAsia="Arial" w:hAnsi="Arial"/>
                <w:sz w:val="16"/>
                <w:szCs w:val="16"/>
                <w:color w:val="auto"/>
              </w:rPr>
              <w:t>4,662,259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39,959,015</w:t>
            </w:r>
          </w:p>
        </w:tc>
        <w:tc>
          <w:tcPr>
            <w:tcW w:w="0" w:type="dxa"/>
            <w:vAlign w:val="bottom"/>
          </w:tcPr>
          <w:p>
            <w:pPr>
              <w:spacing w:after="0"/>
              <w:rPr>
                <w:sz w:val="1"/>
                <w:szCs w:val="1"/>
                <w:color w:val="auto"/>
              </w:rPr>
            </w:pPr>
          </w:p>
        </w:tc>
      </w:tr>
      <w:tr>
        <w:trPr>
          <w:trHeight w:val="339"/>
        </w:trPr>
        <w:tc>
          <w:tcPr>
            <w:tcW w:w="1800" w:type="dxa"/>
            <w:vAlign w:val="bottom"/>
          </w:tcPr>
          <w:p>
            <w:pPr>
              <w:ind w:left="160"/>
              <w:spacing w:after="0"/>
              <w:rPr>
                <w:sz w:val="20"/>
                <w:szCs w:val="20"/>
                <w:color w:val="auto"/>
              </w:rPr>
            </w:pPr>
            <w:r>
              <w:rPr>
                <w:rFonts w:ascii="Arial" w:cs="Arial" w:eastAsia="Arial" w:hAnsi="Arial"/>
                <w:sz w:val="16"/>
                <w:szCs w:val="16"/>
                <w:color w:val="auto"/>
              </w:rPr>
              <w:t>NBCUniversal</w:t>
            </w:r>
            <w:r>
              <w:rPr>
                <w:rFonts w:ascii="Arial" w:cs="Arial" w:eastAsia="Arial" w:hAnsi="Arial"/>
                <w:sz w:val="27"/>
                <w:szCs w:val="27"/>
                <w:color w:val="auto"/>
                <w:vertAlign w:val="superscript"/>
              </w:rPr>
              <w:t>(6)</w:t>
            </w: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c>
          <w:tcPr>
            <w:tcW w:w="940" w:type="dxa"/>
            <w:vAlign w:val="bottom"/>
          </w:tcPr>
          <w:p>
            <w:pPr>
              <w:jc w:val="right"/>
              <w:spacing w:after="0"/>
              <w:rPr>
                <w:sz w:val="20"/>
                <w:szCs w:val="20"/>
                <w:color w:val="auto"/>
              </w:rPr>
            </w:pPr>
            <w:r>
              <w:rPr>
                <w:rFonts w:ascii="Arial" w:cs="Arial" w:eastAsia="Arial" w:hAnsi="Arial"/>
                <w:sz w:val="16"/>
                <w:szCs w:val="16"/>
                <w:color w:val="auto"/>
              </w:rPr>
              <w:t>2,881,100</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5,337,864</w:t>
            </w:r>
          </w:p>
        </w:tc>
        <w:tc>
          <w:tcPr>
            <w:tcW w:w="960" w:type="dxa"/>
            <w:vAlign w:val="bottom"/>
          </w:tcPr>
          <w:p>
            <w:pPr>
              <w:jc w:val="right"/>
              <w:spacing w:after="0"/>
              <w:rPr>
                <w:sz w:val="20"/>
                <w:szCs w:val="20"/>
                <w:color w:val="auto"/>
              </w:rPr>
            </w:pPr>
            <w:r>
              <w:rPr>
                <w:rFonts w:ascii="Arial" w:cs="Arial" w:eastAsia="Arial" w:hAnsi="Arial"/>
                <w:sz w:val="16"/>
                <w:szCs w:val="16"/>
                <w:color w:val="auto"/>
              </w:rPr>
              <w:t>15,350,857</w:t>
            </w:r>
          </w:p>
        </w:tc>
        <w:tc>
          <w:tcPr>
            <w:tcW w:w="1360" w:type="dxa"/>
            <w:vAlign w:val="bottom"/>
          </w:tcPr>
          <w:p>
            <w:pPr>
              <w:jc w:val="right"/>
              <w:spacing w:after="0"/>
              <w:rPr>
                <w:sz w:val="20"/>
                <w:szCs w:val="20"/>
                <w:color w:val="auto"/>
              </w:rPr>
            </w:pPr>
            <w:r>
              <w:rPr>
                <w:rFonts w:ascii="Arial" w:cs="Arial" w:eastAsia="Arial" w:hAnsi="Arial"/>
                <w:sz w:val="16"/>
                <w:szCs w:val="16"/>
                <w:color w:val="auto"/>
              </w:rPr>
              <w:t>8,470,433</w:t>
            </w:r>
          </w:p>
        </w:tc>
        <w:tc>
          <w:tcPr>
            <w:tcW w:w="1200" w:type="dxa"/>
            <w:vAlign w:val="bottom"/>
          </w:tcPr>
          <w:p>
            <w:pPr>
              <w:jc w:val="right"/>
              <w:spacing w:after="0"/>
              <w:rPr>
                <w:sz w:val="20"/>
                <w:szCs w:val="20"/>
                <w:color w:val="auto"/>
              </w:rPr>
            </w:pPr>
            <w:r>
              <w:rPr>
                <w:rFonts w:ascii="Arial" w:cs="Arial" w:eastAsia="Arial" w:hAnsi="Arial"/>
                <w:sz w:val="16"/>
                <w:szCs w:val="16"/>
                <w:color w:val="auto"/>
              </w:rPr>
              <w:t>10,160,248</w:t>
            </w:r>
          </w:p>
        </w:tc>
        <w:tc>
          <w:tcPr>
            <w:tcW w:w="1400" w:type="dxa"/>
            <w:vAlign w:val="bottom"/>
          </w:tcPr>
          <w:p>
            <w:pPr>
              <w:jc w:val="right"/>
              <w:spacing w:after="0"/>
              <w:rPr>
                <w:sz w:val="20"/>
                <w:szCs w:val="20"/>
                <w:color w:val="auto"/>
              </w:rPr>
            </w:pPr>
            <w:r>
              <w:rPr>
                <w:rFonts w:ascii="Arial" w:cs="Arial" w:eastAsia="Arial" w:hAnsi="Arial"/>
                <w:sz w:val="16"/>
                <w:szCs w:val="16"/>
                <w:color w:val="auto"/>
              </w:rPr>
              <w:t>4,336,848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46,537,350</w:t>
            </w:r>
          </w:p>
        </w:tc>
        <w:tc>
          <w:tcPr>
            <w:tcW w:w="0" w:type="dxa"/>
            <w:vAlign w:val="bottom"/>
          </w:tcPr>
          <w:p>
            <w:pPr>
              <w:spacing w:after="0"/>
              <w:rPr>
                <w:sz w:val="1"/>
                <w:szCs w:val="1"/>
                <w:color w:val="auto"/>
              </w:rPr>
            </w:pPr>
          </w:p>
        </w:tc>
      </w:tr>
      <w:tr>
        <w:trPr>
          <w:trHeight w:val="215"/>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David L. Cohen</w:t>
            </w:r>
          </w:p>
        </w:tc>
        <w:tc>
          <w:tcPr>
            <w:tcW w:w="620" w:type="dxa"/>
            <w:vAlign w:val="bottom"/>
          </w:tcPr>
          <w:p>
            <w:pPr>
              <w:jc w:val="right"/>
              <w:spacing w:after="0"/>
              <w:rPr>
                <w:sz w:val="20"/>
                <w:szCs w:val="20"/>
                <w:color w:val="auto"/>
              </w:rPr>
            </w:pPr>
            <w:r>
              <w:rPr>
                <w:rFonts w:ascii="Arial" w:cs="Arial" w:eastAsia="Arial" w:hAnsi="Arial"/>
                <w:sz w:val="16"/>
                <w:szCs w:val="16"/>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1,611,905</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3,737,664</w:t>
            </w:r>
          </w:p>
        </w:tc>
        <w:tc>
          <w:tcPr>
            <w:tcW w:w="960" w:type="dxa"/>
            <w:vAlign w:val="bottom"/>
          </w:tcPr>
          <w:p>
            <w:pPr>
              <w:jc w:val="right"/>
              <w:spacing w:after="0"/>
              <w:rPr>
                <w:sz w:val="20"/>
                <w:szCs w:val="20"/>
                <w:color w:val="auto"/>
              </w:rPr>
            </w:pPr>
            <w:r>
              <w:rPr>
                <w:rFonts w:ascii="Arial" w:cs="Arial" w:eastAsia="Arial" w:hAnsi="Arial"/>
                <w:sz w:val="16"/>
                <w:szCs w:val="16"/>
                <w:color w:val="auto"/>
              </w:rPr>
              <w:t>2,748,725</w:t>
            </w:r>
          </w:p>
        </w:tc>
        <w:tc>
          <w:tcPr>
            <w:tcW w:w="1360" w:type="dxa"/>
            <w:vAlign w:val="bottom"/>
          </w:tcPr>
          <w:p>
            <w:pPr>
              <w:jc w:val="right"/>
              <w:spacing w:after="0"/>
              <w:rPr>
                <w:sz w:val="20"/>
                <w:szCs w:val="20"/>
                <w:color w:val="auto"/>
              </w:rPr>
            </w:pPr>
            <w:r>
              <w:rPr>
                <w:rFonts w:ascii="Arial" w:cs="Arial" w:eastAsia="Arial" w:hAnsi="Arial"/>
                <w:sz w:val="16"/>
                <w:szCs w:val="16"/>
                <w:color w:val="auto"/>
              </w:rPr>
              <w:t>4,070,061</w:t>
            </w:r>
          </w:p>
        </w:tc>
        <w:tc>
          <w:tcPr>
            <w:tcW w:w="1200" w:type="dxa"/>
            <w:vAlign w:val="bottom"/>
          </w:tcPr>
          <w:p>
            <w:pPr>
              <w:jc w:val="right"/>
              <w:spacing w:after="0"/>
              <w:rPr>
                <w:sz w:val="20"/>
                <w:szCs w:val="20"/>
                <w:color w:val="auto"/>
              </w:rPr>
            </w:pPr>
            <w:r>
              <w:rPr>
                <w:rFonts w:ascii="Arial" w:cs="Arial" w:eastAsia="Arial" w:hAnsi="Arial"/>
                <w:sz w:val="16"/>
                <w:szCs w:val="16"/>
                <w:color w:val="auto"/>
              </w:rPr>
              <w:t>6,165,930</w:t>
            </w:r>
          </w:p>
        </w:tc>
        <w:tc>
          <w:tcPr>
            <w:tcW w:w="1400" w:type="dxa"/>
            <w:vAlign w:val="bottom"/>
          </w:tcPr>
          <w:p>
            <w:pPr>
              <w:jc w:val="right"/>
              <w:spacing w:after="0"/>
              <w:rPr>
                <w:sz w:val="20"/>
                <w:szCs w:val="20"/>
                <w:color w:val="auto"/>
              </w:rPr>
            </w:pPr>
            <w:r>
              <w:rPr>
                <w:rFonts w:ascii="Arial" w:cs="Arial" w:eastAsia="Arial" w:hAnsi="Arial"/>
                <w:sz w:val="16"/>
                <w:szCs w:val="16"/>
                <w:color w:val="auto"/>
              </w:rPr>
              <w:t>1,686,234</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20,020,519</w:t>
            </w:r>
          </w:p>
        </w:tc>
        <w:tc>
          <w:tcPr>
            <w:tcW w:w="0" w:type="dxa"/>
            <w:vAlign w:val="bottom"/>
          </w:tcPr>
          <w:p>
            <w:pPr>
              <w:spacing w:after="0"/>
              <w:rPr>
                <w:sz w:val="1"/>
                <w:szCs w:val="1"/>
                <w:color w:val="auto"/>
              </w:rPr>
            </w:pPr>
          </w:p>
        </w:tc>
      </w:tr>
      <w:tr>
        <w:trPr>
          <w:trHeight w:val="216"/>
        </w:trPr>
        <w:tc>
          <w:tcPr>
            <w:tcW w:w="1800" w:type="dxa"/>
            <w:vAlign w:val="bottom"/>
          </w:tcPr>
          <w:p>
            <w:pPr>
              <w:ind w:left="160"/>
              <w:spacing w:after="0"/>
              <w:rPr>
                <w:sz w:val="20"/>
                <w:szCs w:val="20"/>
                <w:color w:val="auto"/>
              </w:rPr>
            </w:pPr>
            <w:r>
              <w:rPr>
                <w:rFonts w:ascii="Arial" w:cs="Arial" w:eastAsia="Arial" w:hAnsi="Arial"/>
                <w:sz w:val="16"/>
                <w:szCs w:val="16"/>
                <w:color w:val="auto"/>
              </w:rPr>
              <w:t>Senior Executive Vice</w:t>
            </w: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1,565,133</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3,733,174</w:t>
            </w:r>
          </w:p>
        </w:tc>
        <w:tc>
          <w:tcPr>
            <w:tcW w:w="960" w:type="dxa"/>
            <w:vAlign w:val="bottom"/>
          </w:tcPr>
          <w:p>
            <w:pPr>
              <w:jc w:val="right"/>
              <w:spacing w:after="0"/>
              <w:rPr>
                <w:sz w:val="20"/>
                <w:szCs w:val="20"/>
                <w:color w:val="auto"/>
              </w:rPr>
            </w:pPr>
            <w:r>
              <w:rPr>
                <w:rFonts w:ascii="Arial" w:cs="Arial" w:eastAsia="Arial" w:hAnsi="Arial"/>
                <w:sz w:val="16"/>
                <w:szCs w:val="16"/>
                <w:color w:val="auto"/>
              </w:rPr>
              <w:t>2,752,750</w:t>
            </w:r>
          </w:p>
        </w:tc>
        <w:tc>
          <w:tcPr>
            <w:tcW w:w="1360" w:type="dxa"/>
            <w:vAlign w:val="bottom"/>
          </w:tcPr>
          <w:p>
            <w:pPr>
              <w:jc w:val="right"/>
              <w:spacing w:after="0"/>
              <w:rPr>
                <w:sz w:val="20"/>
                <w:szCs w:val="20"/>
                <w:color w:val="auto"/>
              </w:rPr>
            </w:pPr>
            <w:r>
              <w:rPr>
                <w:rFonts w:ascii="Arial" w:cs="Arial" w:eastAsia="Arial" w:hAnsi="Arial"/>
                <w:sz w:val="16"/>
                <w:szCs w:val="16"/>
                <w:color w:val="auto"/>
              </w:rPr>
              <w:t>4,382,373</w:t>
            </w:r>
          </w:p>
        </w:tc>
        <w:tc>
          <w:tcPr>
            <w:tcW w:w="1200" w:type="dxa"/>
            <w:vAlign w:val="bottom"/>
          </w:tcPr>
          <w:p>
            <w:pPr>
              <w:jc w:val="right"/>
              <w:spacing w:after="0"/>
              <w:rPr>
                <w:sz w:val="20"/>
                <w:szCs w:val="20"/>
                <w:color w:val="auto"/>
              </w:rPr>
            </w:pPr>
            <w:r>
              <w:rPr>
                <w:rFonts w:ascii="Arial" w:cs="Arial" w:eastAsia="Arial" w:hAnsi="Arial"/>
                <w:sz w:val="16"/>
                <w:szCs w:val="16"/>
                <w:color w:val="auto"/>
              </w:rPr>
              <w:t>4,988,634</w:t>
            </w:r>
          </w:p>
        </w:tc>
        <w:tc>
          <w:tcPr>
            <w:tcW w:w="1400" w:type="dxa"/>
            <w:vAlign w:val="bottom"/>
          </w:tcPr>
          <w:p>
            <w:pPr>
              <w:jc w:val="right"/>
              <w:spacing w:after="0"/>
              <w:rPr>
                <w:sz w:val="20"/>
                <w:szCs w:val="20"/>
                <w:color w:val="auto"/>
              </w:rPr>
            </w:pPr>
            <w:r>
              <w:rPr>
                <w:rFonts w:ascii="Arial" w:cs="Arial" w:eastAsia="Arial" w:hAnsi="Arial"/>
                <w:sz w:val="16"/>
                <w:szCs w:val="16"/>
                <w:color w:val="auto"/>
              </w:rPr>
              <w:t>1,693,412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19,115,476</w:t>
            </w:r>
          </w:p>
        </w:tc>
        <w:tc>
          <w:tcPr>
            <w:tcW w:w="0" w:type="dxa"/>
            <w:vAlign w:val="bottom"/>
          </w:tcPr>
          <w:p>
            <w:pPr>
              <w:spacing w:after="0"/>
              <w:rPr>
                <w:sz w:val="1"/>
                <w:szCs w:val="1"/>
                <w:color w:val="auto"/>
              </w:rPr>
            </w:pPr>
          </w:p>
        </w:tc>
      </w:tr>
      <w:tr>
        <w:trPr>
          <w:trHeight w:val="230"/>
        </w:trPr>
        <w:tc>
          <w:tcPr>
            <w:tcW w:w="1800" w:type="dxa"/>
            <w:vAlign w:val="bottom"/>
          </w:tcPr>
          <w:p>
            <w:pPr>
              <w:ind w:left="160"/>
              <w:spacing w:after="0"/>
              <w:rPr>
                <w:sz w:val="20"/>
                <w:szCs w:val="20"/>
                <w:color w:val="auto"/>
              </w:rPr>
            </w:pPr>
            <w:r>
              <w:rPr>
                <w:rFonts w:ascii="Arial" w:cs="Arial" w:eastAsia="Arial" w:hAnsi="Arial"/>
                <w:sz w:val="16"/>
                <w:szCs w:val="16"/>
                <w:color w:val="auto"/>
              </w:rPr>
              <w:t>President</w:t>
            </w: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c>
          <w:tcPr>
            <w:tcW w:w="940" w:type="dxa"/>
            <w:vAlign w:val="bottom"/>
          </w:tcPr>
          <w:p>
            <w:pPr>
              <w:jc w:val="right"/>
              <w:spacing w:after="0"/>
              <w:rPr>
                <w:sz w:val="20"/>
                <w:szCs w:val="20"/>
                <w:color w:val="auto"/>
              </w:rPr>
            </w:pPr>
            <w:r>
              <w:rPr>
                <w:rFonts w:ascii="Arial" w:cs="Arial" w:eastAsia="Arial" w:hAnsi="Arial"/>
                <w:sz w:val="16"/>
                <w:szCs w:val="16"/>
                <w:color w:val="auto"/>
              </w:rPr>
              <w:t>1,519,718</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3,741,738</w:t>
            </w:r>
          </w:p>
        </w:tc>
        <w:tc>
          <w:tcPr>
            <w:tcW w:w="960" w:type="dxa"/>
            <w:vAlign w:val="bottom"/>
          </w:tcPr>
          <w:p>
            <w:pPr>
              <w:jc w:val="right"/>
              <w:spacing w:after="0"/>
              <w:rPr>
                <w:sz w:val="20"/>
                <w:szCs w:val="20"/>
                <w:color w:val="auto"/>
              </w:rPr>
            </w:pPr>
            <w:r>
              <w:rPr>
                <w:rFonts w:ascii="Arial" w:cs="Arial" w:eastAsia="Arial" w:hAnsi="Arial"/>
                <w:sz w:val="16"/>
                <w:szCs w:val="16"/>
                <w:color w:val="auto"/>
              </w:rPr>
              <w:t>2,750,592</w:t>
            </w:r>
          </w:p>
        </w:tc>
        <w:tc>
          <w:tcPr>
            <w:tcW w:w="1360" w:type="dxa"/>
            <w:vAlign w:val="bottom"/>
          </w:tcPr>
          <w:p>
            <w:pPr>
              <w:jc w:val="right"/>
              <w:spacing w:after="0"/>
              <w:rPr>
                <w:sz w:val="20"/>
                <w:szCs w:val="20"/>
                <w:color w:val="auto"/>
              </w:rPr>
            </w:pPr>
            <w:r>
              <w:rPr>
                <w:rFonts w:ascii="Arial" w:cs="Arial" w:eastAsia="Arial" w:hAnsi="Arial"/>
                <w:sz w:val="16"/>
                <w:szCs w:val="16"/>
                <w:color w:val="auto"/>
              </w:rPr>
              <w:t>3,723,309</w:t>
            </w:r>
          </w:p>
        </w:tc>
        <w:tc>
          <w:tcPr>
            <w:tcW w:w="1200" w:type="dxa"/>
            <w:vAlign w:val="bottom"/>
          </w:tcPr>
          <w:p>
            <w:pPr>
              <w:jc w:val="right"/>
              <w:spacing w:after="0"/>
              <w:rPr>
                <w:sz w:val="20"/>
                <w:szCs w:val="20"/>
                <w:color w:val="auto"/>
              </w:rPr>
            </w:pPr>
            <w:r>
              <w:rPr>
                <w:rFonts w:ascii="Arial" w:cs="Arial" w:eastAsia="Arial" w:hAnsi="Arial"/>
                <w:sz w:val="16"/>
                <w:szCs w:val="16"/>
                <w:color w:val="auto"/>
              </w:rPr>
              <w:t>4,499,584</w:t>
            </w:r>
          </w:p>
        </w:tc>
        <w:tc>
          <w:tcPr>
            <w:tcW w:w="1400" w:type="dxa"/>
            <w:vAlign w:val="bottom"/>
          </w:tcPr>
          <w:p>
            <w:pPr>
              <w:jc w:val="right"/>
              <w:spacing w:after="0"/>
              <w:rPr>
                <w:sz w:val="20"/>
                <w:szCs w:val="20"/>
                <w:color w:val="auto"/>
              </w:rPr>
            </w:pPr>
            <w:r>
              <w:rPr>
                <w:rFonts w:ascii="Arial" w:cs="Arial" w:eastAsia="Arial" w:hAnsi="Arial"/>
                <w:sz w:val="16"/>
                <w:szCs w:val="16"/>
                <w:color w:val="auto"/>
              </w:rPr>
              <w:t>1,514,268</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17,749,209</w:t>
            </w:r>
          </w:p>
        </w:tc>
        <w:tc>
          <w:tcPr>
            <w:tcW w:w="0" w:type="dxa"/>
            <w:vAlign w:val="bottom"/>
          </w:tcPr>
          <w:p>
            <w:pPr>
              <w:spacing w:after="0"/>
              <w:rPr>
                <w:sz w:val="1"/>
                <w:szCs w:val="1"/>
                <w:color w:val="auto"/>
              </w:rPr>
            </w:pPr>
          </w:p>
        </w:tc>
      </w:tr>
      <w:tr>
        <w:trPr>
          <w:trHeight w:val="324"/>
        </w:trPr>
        <w:tc>
          <w:tcPr>
            <w:tcW w:w="1800" w:type="dxa"/>
            <w:vAlign w:val="bottom"/>
          </w:tcPr>
          <w:p>
            <w:pPr>
              <w:ind w:left="80"/>
              <w:spacing w:after="0"/>
              <w:rPr>
                <w:sz w:val="20"/>
                <w:szCs w:val="20"/>
                <w:color w:val="auto"/>
              </w:rPr>
            </w:pPr>
            <w:r>
              <w:rPr>
                <w:rFonts w:ascii="Arial" w:cs="Arial" w:eastAsia="Arial" w:hAnsi="Arial"/>
                <w:sz w:val="16"/>
                <w:szCs w:val="16"/>
                <w:b w:val="1"/>
                <w:bCs w:val="1"/>
                <w:color w:val="auto"/>
              </w:rPr>
              <w:t>David N. Watson</w:t>
            </w:r>
          </w:p>
        </w:tc>
        <w:tc>
          <w:tcPr>
            <w:tcW w:w="620" w:type="dxa"/>
            <w:vAlign w:val="bottom"/>
          </w:tcPr>
          <w:p>
            <w:pPr>
              <w:jc w:val="right"/>
              <w:spacing w:after="0"/>
              <w:rPr>
                <w:sz w:val="20"/>
                <w:szCs w:val="20"/>
                <w:color w:val="auto"/>
              </w:rPr>
            </w:pPr>
            <w:r>
              <w:rPr>
                <w:rFonts w:ascii="Arial" w:cs="Arial" w:eastAsia="Arial" w:hAnsi="Arial"/>
                <w:sz w:val="16"/>
                <w:szCs w:val="16"/>
                <w:color w:val="auto"/>
              </w:rPr>
              <w:t>2019</w:t>
            </w:r>
          </w:p>
        </w:tc>
        <w:tc>
          <w:tcPr>
            <w:tcW w:w="940" w:type="dxa"/>
            <w:vAlign w:val="bottom"/>
          </w:tcPr>
          <w:p>
            <w:pPr>
              <w:jc w:val="right"/>
              <w:spacing w:after="0"/>
              <w:rPr>
                <w:sz w:val="20"/>
                <w:szCs w:val="20"/>
                <w:color w:val="auto"/>
              </w:rPr>
            </w:pPr>
            <w:r>
              <w:rPr>
                <w:rFonts w:ascii="Arial" w:cs="Arial" w:eastAsia="Arial" w:hAnsi="Arial"/>
                <w:sz w:val="16"/>
                <w:szCs w:val="16"/>
                <w:color w:val="auto"/>
              </w:rPr>
              <w:t>1,813,904</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3,237,696</w:t>
            </w:r>
          </w:p>
        </w:tc>
        <w:tc>
          <w:tcPr>
            <w:tcW w:w="960" w:type="dxa"/>
            <w:vAlign w:val="bottom"/>
          </w:tcPr>
          <w:p>
            <w:pPr>
              <w:jc w:val="right"/>
              <w:spacing w:after="0"/>
              <w:rPr>
                <w:sz w:val="20"/>
                <w:szCs w:val="20"/>
                <w:color w:val="auto"/>
              </w:rPr>
            </w:pPr>
            <w:r>
              <w:rPr>
                <w:rFonts w:ascii="Arial" w:cs="Arial" w:eastAsia="Arial" w:hAnsi="Arial"/>
                <w:sz w:val="16"/>
                <w:szCs w:val="16"/>
                <w:color w:val="auto"/>
              </w:rPr>
              <w:t>3,251,010</w:t>
            </w:r>
          </w:p>
        </w:tc>
        <w:tc>
          <w:tcPr>
            <w:tcW w:w="1360" w:type="dxa"/>
            <w:vAlign w:val="bottom"/>
          </w:tcPr>
          <w:p>
            <w:pPr>
              <w:jc w:val="right"/>
              <w:spacing w:after="0"/>
              <w:rPr>
                <w:sz w:val="20"/>
                <w:szCs w:val="20"/>
                <w:color w:val="auto"/>
              </w:rPr>
            </w:pPr>
            <w:r>
              <w:rPr>
                <w:rFonts w:ascii="Arial" w:cs="Arial" w:eastAsia="Arial" w:hAnsi="Arial"/>
                <w:sz w:val="16"/>
                <w:szCs w:val="16"/>
                <w:color w:val="auto"/>
              </w:rPr>
              <w:t>4,580,108</w:t>
            </w:r>
          </w:p>
        </w:tc>
        <w:tc>
          <w:tcPr>
            <w:tcW w:w="1200" w:type="dxa"/>
            <w:vAlign w:val="bottom"/>
          </w:tcPr>
          <w:p>
            <w:pPr>
              <w:jc w:val="right"/>
              <w:spacing w:after="0"/>
              <w:rPr>
                <w:sz w:val="20"/>
                <w:szCs w:val="20"/>
                <w:color w:val="auto"/>
              </w:rPr>
            </w:pPr>
            <w:r>
              <w:rPr>
                <w:rFonts w:ascii="Arial" w:cs="Arial" w:eastAsia="Arial" w:hAnsi="Arial"/>
                <w:sz w:val="16"/>
                <w:szCs w:val="16"/>
                <w:color w:val="auto"/>
              </w:rPr>
              <w:t>2,522,306</w:t>
            </w:r>
          </w:p>
        </w:tc>
        <w:tc>
          <w:tcPr>
            <w:tcW w:w="1400" w:type="dxa"/>
            <w:vAlign w:val="bottom"/>
          </w:tcPr>
          <w:p>
            <w:pPr>
              <w:jc w:val="right"/>
              <w:spacing w:after="0"/>
              <w:rPr>
                <w:sz w:val="20"/>
                <w:szCs w:val="20"/>
                <w:color w:val="auto"/>
              </w:rPr>
            </w:pPr>
            <w:r>
              <w:rPr>
                <w:rFonts w:ascii="Arial" w:cs="Arial" w:eastAsia="Arial" w:hAnsi="Arial"/>
                <w:sz w:val="16"/>
                <w:szCs w:val="16"/>
                <w:color w:val="auto"/>
              </w:rPr>
              <w:t>1,534,454</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16,939,478</w:t>
            </w:r>
          </w:p>
        </w:tc>
        <w:tc>
          <w:tcPr>
            <w:tcW w:w="0" w:type="dxa"/>
            <w:vAlign w:val="bottom"/>
          </w:tcPr>
          <w:p>
            <w:pPr>
              <w:spacing w:after="0"/>
              <w:rPr>
                <w:sz w:val="1"/>
                <w:szCs w:val="1"/>
                <w:color w:val="auto"/>
              </w:rPr>
            </w:pPr>
          </w:p>
        </w:tc>
      </w:tr>
      <w:tr>
        <w:trPr>
          <w:trHeight w:val="216"/>
        </w:trPr>
        <w:tc>
          <w:tcPr>
            <w:tcW w:w="1800" w:type="dxa"/>
            <w:vAlign w:val="bottom"/>
          </w:tcPr>
          <w:p>
            <w:pPr>
              <w:ind w:left="160"/>
              <w:spacing w:after="0"/>
              <w:rPr>
                <w:sz w:val="20"/>
                <w:szCs w:val="20"/>
                <w:color w:val="auto"/>
              </w:rPr>
            </w:pPr>
            <w:r>
              <w:rPr>
                <w:rFonts w:ascii="Arial" w:cs="Arial" w:eastAsia="Arial" w:hAnsi="Arial"/>
                <w:sz w:val="16"/>
                <w:szCs w:val="16"/>
                <w:color w:val="auto"/>
              </w:rPr>
              <w:t>President and CEO of</w:t>
            </w: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1,538,914</w:t>
            </w:r>
          </w:p>
        </w:tc>
        <w:tc>
          <w:tcPr>
            <w:tcW w:w="660" w:type="dxa"/>
            <w:vAlign w:val="bottom"/>
          </w:tcPr>
          <w:p>
            <w:pPr>
              <w:ind w:left="2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2,740,992</w:t>
            </w:r>
          </w:p>
        </w:tc>
        <w:tc>
          <w:tcPr>
            <w:tcW w:w="960" w:type="dxa"/>
            <w:vAlign w:val="bottom"/>
          </w:tcPr>
          <w:p>
            <w:pPr>
              <w:jc w:val="right"/>
              <w:spacing w:after="0"/>
              <w:rPr>
                <w:sz w:val="20"/>
                <w:szCs w:val="20"/>
                <w:color w:val="auto"/>
              </w:rPr>
            </w:pPr>
            <w:r>
              <w:rPr>
                <w:rFonts w:ascii="Arial" w:cs="Arial" w:eastAsia="Arial" w:hAnsi="Arial"/>
                <w:sz w:val="16"/>
                <w:szCs w:val="16"/>
                <w:color w:val="auto"/>
              </w:rPr>
              <w:t>2,748,460</w:t>
            </w:r>
          </w:p>
        </w:tc>
        <w:tc>
          <w:tcPr>
            <w:tcW w:w="1360" w:type="dxa"/>
            <w:vAlign w:val="bottom"/>
          </w:tcPr>
          <w:p>
            <w:pPr>
              <w:jc w:val="right"/>
              <w:spacing w:after="0"/>
              <w:rPr>
                <w:sz w:val="20"/>
                <w:szCs w:val="20"/>
                <w:color w:val="auto"/>
              </w:rPr>
            </w:pPr>
            <w:r>
              <w:rPr>
                <w:rFonts w:ascii="Arial" w:cs="Arial" w:eastAsia="Arial" w:hAnsi="Arial"/>
                <w:sz w:val="16"/>
                <w:szCs w:val="16"/>
                <w:color w:val="auto"/>
              </w:rPr>
              <w:t>4,188,344</w:t>
            </w:r>
          </w:p>
        </w:tc>
        <w:tc>
          <w:tcPr>
            <w:tcW w:w="1200" w:type="dxa"/>
            <w:vAlign w:val="bottom"/>
          </w:tcPr>
          <w:p>
            <w:pPr>
              <w:jc w:val="right"/>
              <w:spacing w:after="0"/>
              <w:rPr>
                <w:sz w:val="20"/>
                <w:szCs w:val="20"/>
                <w:color w:val="auto"/>
              </w:rPr>
            </w:pPr>
            <w:r>
              <w:rPr>
                <w:rFonts w:ascii="Arial" w:cs="Arial" w:eastAsia="Arial" w:hAnsi="Arial"/>
                <w:sz w:val="16"/>
                <w:szCs w:val="16"/>
                <w:color w:val="auto"/>
              </w:rPr>
              <w:t>2,015,073</w:t>
            </w:r>
          </w:p>
        </w:tc>
        <w:tc>
          <w:tcPr>
            <w:tcW w:w="1400" w:type="dxa"/>
            <w:vAlign w:val="bottom"/>
          </w:tcPr>
          <w:p>
            <w:pPr>
              <w:jc w:val="right"/>
              <w:spacing w:after="0"/>
              <w:rPr>
                <w:sz w:val="20"/>
                <w:szCs w:val="20"/>
                <w:color w:val="auto"/>
              </w:rPr>
            </w:pPr>
            <w:r>
              <w:rPr>
                <w:rFonts w:ascii="Arial" w:cs="Arial" w:eastAsia="Arial" w:hAnsi="Arial"/>
                <w:sz w:val="16"/>
                <w:szCs w:val="16"/>
                <w:color w:val="auto"/>
              </w:rPr>
              <w:t>1,521,216</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14,752,999</w:t>
            </w:r>
          </w:p>
        </w:tc>
        <w:tc>
          <w:tcPr>
            <w:tcW w:w="0" w:type="dxa"/>
            <w:vAlign w:val="bottom"/>
          </w:tcPr>
          <w:p>
            <w:pPr>
              <w:spacing w:after="0"/>
              <w:rPr>
                <w:sz w:val="1"/>
                <w:szCs w:val="1"/>
                <w:color w:val="auto"/>
              </w:rPr>
            </w:pPr>
          </w:p>
        </w:tc>
      </w:tr>
      <w:tr>
        <w:trPr>
          <w:trHeight w:val="229"/>
        </w:trPr>
        <w:tc>
          <w:tcPr>
            <w:tcW w:w="1800" w:type="dxa"/>
            <w:vAlign w:val="bottom"/>
          </w:tcPr>
          <w:p>
            <w:pPr>
              <w:ind w:left="160"/>
              <w:spacing w:after="0"/>
              <w:rPr>
                <w:sz w:val="20"/>
                <w:szCs w:val="20"/>
                <w:color w:val="auto"/>
              </w:rPr>
            </w:pPr>
            <w:r>
              <w:rPr>
                <w:rFonts w:ascii="Arial" w:cs="Arial" w:eastAsia="Arial" w:hAnsi="Arial"/>
                <w:sz w:val="16"/>
                <w:szCs w:val="16"/>
                <w:color w:val="auto"/>
              </w:rPr>
              <w:t>Comcast Cable</w:t>
            </w:r>
          </w:p>
        </w:tc>
        <w:tc>
          <w:tcPr>
            <w:tcW w:w="620" w:type="dxa"/>
            <w:vAlign w:val="bottom"/>
          </w:tcPr>
          <w:p>
            <w:pPr>
              <w:jc w:val="right"/>
              <w:spacing w:after="0"/>
              <w:rPr>
                <w:sz w:val="20"/>
                <w:szCs w:val="20"/>
                <w:color w:val="auto"/>
              </w:rPr>
            </w:pPr>
            <w:r>
              <w:rPr>
                <w:rFonts w:ascii="Arial" w:cs="Arial" w:eastAsia="Arial" w:hAnsi="Arial"/>
                <w:sz w:val="16"/>
                <w:szCs w:val="16"/>
                <w:color w:val="auto"/>
              </w:rPr>
              <w:t>2017</w:t>
            </w:r>
          </w:p>
        </w:tc>
        <w:tc>
          <w:tcPr>
            <w:tcW w:w="940" w:type="dxa"/>
            <w:vAlign w:val="bottom"/>
          </w:tcPr>
          <w:p>
            <w:pPr>
              <w:jc w:val="right"/>
              <w:spacing w:after="0"/>
              <w:rPr>
                <w:sz w:val="20"/>
                <w:szCs w:val="20"/>
                <w:color w:val="auto"/>
              </w:rPr>
            </w:pPr>
            <w:r>
              <w:rPr>
                <w:rFonts w:ascii="Arial" w:cs="Arial" w:eastAsia="Arial" w:hAnsi="Arial"/>
                <w:sz w:val="16"/>
                <w:szCs w:val="16"/>
                <w:color w:val="auto"/>
              </w:rPr>
              <w:t>1,377,890</w:t>
            </w:r>
          </w:p>
        </w:tc>
        <w:tc>
          <w:tcPr>
            <w:tcW w:w="6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3,744,044</w:t>
            </w:r>
          </w:p>
        </w:tc>
        <w:tc>
          <w:tcPr>
            <w:tcW w:w="960" w:type="dxa"/>
            <w:vAlign w:val="bottom"/>
          </w:tcPr>
          <w:p>
            <w:pPr>
              <w:jc w:val="right"/>
              <w:spacing w:after="0"/>
              <w:rPr>
                <w:sz w:val="20"/>
                <w:szCs w:val="20"/>
                <w:color w:val="auto"/>
              </w:rPr>
            </w:pPr>
            <w:r>
              <w:rPr>
                <w:rFonts w:ascii="Arial" w:cs="Arial" w:eastAsia="Arial" w:hAnsi="Arial"/>
                <w:sz w:val="16"/>
                <w:szCs w:val="16"/>
                <w:color w:val="auto"/>
              </w:rPr>
              <w:t>1,249,320</w:t>
            </w:r>
          </w:p>
        </w:tc>
        <w:tc>
          <w:tcPr>
            <w:tcW w:w="1360" w:type="dxa"/>
            <w:vAlign w:val="bottom"/>
          </w:tcPr>
          <w:p>
            <w:pPr>
              <w:jc w:val="right"/>
              <w:spacing w:after="0"/>
              <w:rPr>
                <w:sz w:val="20"/>
                <w:szCs w:val="20"/>
                <w:color w:val="auto"/>
              </w:rPr>
            </w:pPr>
            <w:r>
              <w:rPr>
                <w:rFonts w:ascii="Arial" w:cs="Arial" w:eastAsia="Arial" w:hAnsi="Arial"/>
                <w:sz w:val="16"/>
                <w:szCs w:val="16"/>
                <w:color w:val="auto"/>
              </w:rPr>
              <w:t>2,352,017</w:t>
            </w:r>
          </w:p>
        </w:tc>
        <w:tc>
          <w:tcPr>
            <w:tcW w:w="1200" w:type="dxa"/>
            <w:vAlign w:val="bottom"/>
          </w:tcPr>
          <w:p>
            <w:pPr>
              <w:jc w:val="right"/>
              <w:spacing w:after="0"/>
              <w:rPr>
                <w:sz w:val="20"/>
                <w:szCs w:val="20"/>
                <w:color w:val="auto"/>
              </w:rPr>
            </w:pPr>
            <w:r>
              <w:rPr>
                <w:rFonts w:ascii="Arial" w:cs="Arial" w:eastAsia="Arial" w:hAnsi="Arial"/>
                <w:sz w:val="16"/>
                <w:szCs w:val="16"/>
                <w:color w:val="auto"/>
              </w:rPr>
              <w:t>1,809,743</w:t>
            </w:r>
          </w:p>
        </w:tc>
        <w:tc>
          <w:tcPr>
            <w:tcW w:w="1400" w:type="dxa"/>
            <w:vAlign w:val="bottom"/>
          </w:tcPr>
          <w:p>
            <w:pPr>
              <w:jc w:val="right"/>
              <w:spacing w:after="0"/>
              <w:rPr>
                <w:sz w:val="20"/>
                <w:szCs w:val="20"/>
                <w:color w:val="auto"/>
              </w:rPr>
            </w:pPr>
            <w:r>
              <w:rPr>
                <w:rFonts w:ascii="Arial" w:cs="Arial" w:eastAsia="Arial" w:hAnsi="Arial"/>
                <w:sz w:val="16"/>
                <w:szCs w:val="16"/>
                <w:color w:val="auto"/>
              </w:rPr>
              <w:t>810,480</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11,343,494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 w:lineRule="exact"/>
        <w:rPr>
          <w:sz w:val="20"/>
          <w:szCs w:val="20"/>
          <w:color w:val="auto"/>
        </w:rPr>
      </w:pPr>
    </w:p>
    <w:p>
      <w:pPr>
        <w:ind w:left="980" w:hanging="432"/>
        <w:spacing w:after="0" w:line="23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PSUs granted to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Reports on Form 10-K for the years ended December 31, 2017, 2018 and 2019. The amounts were determined by multiplying the Class A common stock closing price on the date of grant by the number of shares subject to the grant and, for PSUs as defined in the Glossary to FASB ASC Topic 718, taking into account the probable outcome of the PSUs’ performance conditions as of the date of grant and excluding the effect of estimated forfeitures in accordance with SEC rules. The amounts were also discounted to consider that dividend equivalents that accrue during the vesting period are not paid out until the underlying shares vest. The following are the values of the PSUs as of their grant date assuming attainment of the maximum level of performance: Mr. Roberts ($6,662,799), Mr. Cavanagh ($8,406,720), Mr. Burke ($6,662,799), Mr. Cohen ($4,672,040) and Mr. Watson ($4,047,080).</w:t>
      </w:r>
    </w:p>
    <w:p>
      <w:pPr>
        <w:spacing w:after="0" w:line="109" w:lineRule="exact"/>
        <w:rPr>
          <w:rFonts w:ascii="Arial" w:cs="Arial" w:eastAsia="Arial" w:hAnsi="Arial"/>
          <w:sz w:val="18"/>
          <w:szCs w:val="18"/>
          <w:color w:val="auto"/>
        </w:rPr>
      </w:pPr>
    </w:p>
    <w:p>
      <w:pPr>
        <w:ind w:left="980" w:right="20" w:hanging="432"/>
        <w:spacing w:after="0" w:line="23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stock options granted to the NEOs in accordance with FASB ASC Topic 718. Under SEC rules,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March 2019 to our NEOs for their annual option awards: an expected volatility of 22.0%, an expected term to exercise of 6.0 years, an interest rate of 2.45% and a dividend yield of 2.08%. For information on valuation assumptions with respect to grants made before 2019, refer to the footnotes in the “Summary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80"/>
        <w:spacing w:after="0" w:line="246" w:lineRule="auto"/>
        <w:rPr>
          <w:sz w:val="20"/>
          <w:szCs w:val="20"/>
          <w:color w:val="auto"/>
        </w:rPr>
      </w:pPr>
      <w:r>
        <w:rPr>
          <w:rFonts w:ascii="Arial" w:cs="Arial" w:eastAsia="Arial" w:hAnsi="Arial"/>
          <w:sz w:val="18"/>
          <w:szCs w:val="18"/>
          <w:color w:val="auto"/>
        </w:rPr>
        <w:t>Compensation Table” in our definitive proxy statements filed with the SEC in 2018 and 2017. See the “Grants of Plan-Based Awards” table below for additional information on options granted in 2019.</w:t>
      </w:r>
    </w:p>
    <w:p>
      <w:pPr>
        <w:spacing w:after="0" w:line="102" w:lineRule="exact"/>
        <w:rPr>
          <w:sz w:val="20"/>
          <w:szCs w:val="20"/>
          <w:color w:val="auto"/>
        </w:rPr>
      </w:pPr>
    </w:p>
    <w:p>
      <w:pPr>
        <w:ind w:left="980" w:hanging="432"/>
        <w:spacing w:after="0" w:line="238"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See the “Grants of Plan-Based Awards” table below and “Compensation Discussion and Analysis — Compensation Decisions for 2019 — Annual Cash Bonus” above for additional information on these bonuses and the achievement of specified metrics in 2019.</w:t>
      </w:r>
    </w:p>
    <w:p>
      <w:pPr>
        <w:spacing w:after="0" w:line="110" w:lineRule="exact"/>
        <w:rPr>
          <w:rFonts w:ascii="Arial" w:cs="Arial" w:eastAsia="Arial" w:hAnsi="Arial"/>
          <w:sz w:val="18"/>
          <w:szCs w:val="18"/>
          <w:color w:val="auto"/>
        </w:rPr>
      </w:pPr>
    </w:p>
    <w:p>
      <w:pPr>
        <w:ind w:left="980" w:right="700" w:hanging="432"/>
        <w:spacing w:after="0" w:line="238"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in “Nonqualified Deferred Compensation in and as of Fiscal Year-End” below.</w:t>
      </w:r>
    </w:p>
    <w:p>
      <w:pPr>
        <w:spacing w:after="0" w:line="110" w:lineRule="exact"/>
        <w:rPr>
          <w:rFonts w:ascii="Arial" w:cs="Arial" w:eastAsia="Arial" w:hAnsi="Arial"/>
          <w:sz w:val="18"/>
          <w:szCs w:val="18"/>
          <w:color w:val="auto"/>
        </w:rPr>
      </w:pPr>
    </w:p>
    <w:p>
      <w:pPr>
        <w:ind w:left="980" w:right="120" w:hanging="432"/>
        <w:spacing w:after="0" w:line="248"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amounts in this column for 2019 include: (a) company contributions in January 2019 to our retirement-investment plan accounts in the amount of $10,000 for each NEO; (b) company contributions to deferred compensation accounts (Mr. Roberts, $4,653,984; Mr. Cavanagh, $2,100,000; Mr. Burke, $4,466,986; Mr. Cohen, $1,477,454; and Mr. Watson, $1,477,454); and</w:t>
      </w:r>
    </w:p>
    <w:p>
      <w:pPr>
        <w:spacing w:after="0" w:line="1" w:lineRule="exact"/>
        <w:rPr>
          <w:rFonts w:ascii="Arial" w:cs="Arial" w:eastAsia="Arial" w:hAnsi="Arial"/>
          <w:sz w:val="17"/>
          <w:szCs w:val="17"/>
          <w:color w:val="auto"/>
        </w:rPr>
      </w:pPr>
    </w:p>
    <w:p>
      <w:pPr>
        <w:ind w:left="980"/>
        <w:spacing w:after="0" w:line="234" w:lineRule="auto"/>
        <w:rPr>
          <w:rFonts w:ascii="Arial" w:cs="Arial" w:eastAsia="Arial" w:hAnsi="Arial"/>
          <w:sz w:val="17"/>
          <w:szCs w:val="17"/>
          <w:color w:val="auto"/>
        </w:rPr>
      </w:pPr>
      <w:r>
        <w:rPr>
          <w:rFonts w:ascii="Arial" w:cs="Arial" w:eastAsia="Arial" w:hAnsi="Arial"/>
          <w:sz w:val="18"/>
          <w:szCs w:val="18"/>
          <w:color w:val="auto"/>
        </w:rPr>
        <w:t>(c) amounts on account of personal use of Company-provided aircraft (Mr. Roberts, $199,259; Mr. Cavanagh, $170,818;</w:t>
      </w:r>
    </w:p>
    <w:p>
      <w:pPr>
        <w:spacing w:after="0" w:line="1" w:lineRule="exact"/>
        <w:rPr>
          <w:sz w:val="20"/>
          <w:szCs w:val="20"/>
          <w:color w:val="auto"/>
        </w:rPr>
      </w:pPr>
    </w:p>
    <w:p>
      <w:pPr>
        <w:ind w:left="980"/>
        <w:spacing w:after="0" w:line="246" w:lineRule="auto"/>
        <w:rPr>
          <w:sz w:val="20"/>
          <w:szCs w:val="20"/>
          <w:color w:val="auto"/>
        </w:rPr>
      </w:pPr>
      <w:r>
        <w:rPr>
          <w:rFonts w:ascii="Arial" w:cs="Arial" w:eastAsia="Arial" w:hAnsi="Arial"/>
          <w:sz w:val="18"/>
          <w:szCs w:val="18"/>
          <w:color w:val="auto"/>
        </w:rPr>
        <w:t>Mr. Burke, $ 288,637; Mr. Cohen, $198,780; and Mr. Watson, $47,000). Starting in 2020, we and each of our NEOs have agreed to eliminate company contributions to their deferred compensation accounts.</w:t>
      </w:r>
    </w:p>
    <w:p>
      <w:pPr>
        <w:spacing w:after="0" w:line="89" w:lineRule="exact"/>
        <w:rPr>
          <w:sz w:val="20"/>
          <w:szCs w:val="20"/>
          <w:color w:val="auto"/>
        </w:rPr>
      </w:pPr>
    </w:p>
    <w:p>
      <w:pPr>
        <w:ind w:left="1000" w:right="80"/>
        <w:spacing w:after="0" w:line="236" w:lineRule="auto"/>
        <w:rPr>
          <w:sz w:val="20"/>
          <w:szCs w:val="20"/>
          <w:color w:val="auto"/>
        </w:rPr>
      </w:pPr>
      <w:r>
        <w:rPr>
          <w:rFonts w:ascii="Arial" w:cs="Arial" w:eastAsia="Arial" w:hAnsi="Arial"/>
          <w:sz w:val="18"/>
          <w:szCs w:val="18"/>
          <w:color w:val="auto"/>
        </w:rPr>
        <w:t>For security and business reasons, Company practices and policy strongly encourage, and in some cases may require, Messrs. Roberts and Burke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2019 disallowed tax deduction of $10.7 million resulting from the personal use of Company-provided aircraft by our NEOs and any guests.</w:t>
      </w:r>
    </w:p>
    <w:p>
      <w:pPr>
        <w:spacing w:after="0" w:line="97" w:lineRule="exact"/>
        <w:rPr>
          <w:sz w:val="20"/>
          <w:szCs w:val="20"/>
          <w:color w:val="auto"/>
        </w:rPr>
      </w:pPr>
    </w:p>
    <w:p>
      <w:pPr>
        <w:ind w:left="1000" w:right="100"/>
        <w:spacing w:after="0" w:line="236" w:lineRule="auto"/>
        <w:rPr>
          <w:sz w:val="20"/>
          <w:szCs w:val="20"/>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w:t>
      </w:r>
    </w:p>
    <w:p>
      <w:pPr>
        <w:spacing w:after="0" w:line="99" w:lineRule="exact"/>
        <w:rPr>
          <w:sz w:val="20"/>
          <w:szCs w:val="20"/>
          <w:color w:val="auto"/>
        </w:rPr>
      </w:pPr>
    </w:p>
    <w:p>
      <w:pPr>
        <w:ind w:left="1000" w:right="60"/>
        <w:spacing w:after="0" w:line="246" w:lineRule="auto"/>
        <w:rPr>
          <w:sz w:val="20"/>
          <w:szCs w:val="20"/>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102" w:lineRule="exact"/>
        <w:rPr>
          <w:sz w:val="20"/>
          <w:szCs w:val="20"/>
          <w:color w:val="auto"/>
        </w:rPr>
      </w:pPr>
    </w:p>
    <w:p>
      <w:pPr>
        <w:ind w:left="980" w:right="80" w:hanging="432"/>
        <w:spacing w:after="0" w:line="246"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previously disclosed, effective January 1, 2020, Mr. Burke became Chairman of NBCUniversal in anticipation of his planned retirement on August 14, 2020.</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GRANTS OF PLAN-BASED AWARDS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table below provides information about equity and non-equity awards granted to our NEOs in 2019 as follows: (1) the grant date for equity awards;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Borders>
              <w:top w:val="single" w:sz="8" w:color="auto"/>
            </w:tcBorders>
            <w:shd w:val="clear" w:color="auto" w:fill="F2F2F2"/>
          </w:tcPr>
          <w:p>
            <w:pPr>
              <w:spacing w:after="0"/>
              <w:rPr>
                <w:sz w:val="15"/>
                <w:szCs w:val="15"/>
                <w:color w:val="auto"/>
              </w:rPr>
            </w:pPr>
          </w:p>
        </w:tc>
        <w:tc>
          <w:tcPr>
            <w:tcW w:w="940" w:type="dxa"/>
            <w:vAlign w:val="bottom"/>
            <w:tcBorders>
              <w:top w:val="single" w:sz="8" w:color="auto"/>
            </w:tcBorders>
            <w:shd w:val="clear" w:color="auto" w:fill="F2F2F2"/>
          </w:tcPr>
          <w:p>
            <w:pPr>
              <w:spacing w:after="0"/>
              <w:rPr>
                <w:sz w:val="15"/>
                <w:szCs w:val="15"/>
                <w:color w:val="auto"/>
              </w:rPr>
            </w:pPr>
          </w:p>
        </w:tc>
        <w:tc>
          <w:tcPr>
            <w:tcW w:w="1020" w:type="dxa"/>
            <w:vAlign w:val="bottom"/>
            <w:tcBorders>
              <w:top w:val="single" w:sz="8" w:color="auto"/>
              <w:right w:val="single" w:sz="8" w:color="auto"/>
            </w:tcBorders>
            <w:shd w:val="clear" w:color="auto" w:fill="F2F2F2"/>
          </w:tcPr>
          <w:p>
            <w:pPr>
              <w:spacing w:after="0"/>
              <w:rPr>
                <w:sz w:val="15"/>
                <w:szCs w:val="15"/>
                <w:color w:val="auto"/>
              </w:rPr>
            </w:pPr>
          </w:p>
        </w:tc>
        <w:tc>
          <w:tcPr>
            <w:tcW w:w="2740" w:type="dxa"/>
            <w:vAlign w:val="bottom"/>
            <w:tcBorders>
              <w:top w:val="single" w:sz="8" w:color="auto"/>
            </w:tcBorders>
            <w:gridSpan w:val="3"/>
            <w:shd w:val="clear" w:color="auto" w:fill="F2F2F2"/>
          </w:tcPr>
          <w:p>
            <w:pPr>
              <w:jc w:val="center"/>
              <w:spacing w:after="0"/>
              <w:rPr>
                <w:sz w:val="20"/>
                <w:szCs w:val="20"/>
                <w:color w:val="auto"/>
              </w:rPr>
            </w:pPr>
            <w:r>
              <w:rPr>
                <w:rFonts w:ascii="Arial" w:cs="Arial" w:eastAsia="Arial" w:hAnsi="Arial"/>
                <w:sz w:val="14"/>
                <w:szCs w:val="14"/>
                <w:b w:val="1"/>
                <w:bCs w:val="1"/>
                <w:color w:val="0A33A5"/>
              </w:rPr>
              <w:t>Estimated Future Payouts</w:t>
            </w:r>
          </w:p>
        </w:tc>
        <w:tc>
          <w:tcPr>
            <w:tcW w:w="1780" w:type="dxa"/>
            <w:vAlign w:val="bottom"/>
            <w:tcBorders>
              <w:top w:val="single" w:sz="8" w:color="auto"/>
            </w:tcBorders>
            <w:shd w:val="clear" w:color="auto" w:fill="DDF2F9"/>
          </w:tcPr>
          <w:p>
            <w:pPr>
              <w:jc w:val="center"/>
              <w:ind w:left="66"/>
              <w:spacing w:after="0"/>
              <w:rPr>
                <w:sz w:val="20"/>
                <w:szCs w:val="20"/>
                <w:color w:val="auto"/>
              </w:rPr>
            </w:pPr>
            <w:r>
              <w:rPr>
                <w:rFonts w:ascii="Arial" w:cs="Arial" w:eastAsia="Arial" w:hAnsi="Arial"/>
                <w:sz w:val="14"/>
                <w:szCs w:val="14"/>
                <w:b w:val="1"/>
                <w:bCs w:val="1"/>
                <w:color w:val="0A33A5"/>
              </w:rPr>
              <w:t>All Other Option</w:t>
            </w:r>
          </w:p>
        </w:tc>
        <w:tc>
          <w:tcPr>
            <w:tcW w:w="800" w:type="dxa"/>
            <w:vAlign w:val="bottom"/>
            <w:tcBorders>
              <w:top w:val="single" w:sz="8" w:color="auto"/>
            </w:tcBorders>
            <w:shd w:val="clear" w:color="auto" w:fill="DDF2F9"/>
          </w:tcPr>
          <w:p>
            <w:pPr>
              <w:jc w:val="center"/>
              <w:ind w:left="5"/>
              <w:spacing w:after="0"/>
              <w:rPr>
                <w:sz w:val="20"/>
                <w:szCs w:val="20"/>
                <w:color w:val="auto"/>
              </w:rPr>
            </w:pPr>
            <w:r>
              <w:rPr>
                <w:rFonts w:ascii="Arial" w:cs="Arial" w:eastAsia="Arial" w:hAnsi="Arial"/>
                <w:sz w:val="14"/>
                <w:szCs w:val="14"/>
                <w:b w:val="1"/>
                <w:bCs w:val="1"/>
                <w:color w:val="0A33A5"/>
              </w:rPr>
              <w:t>Exercise</w:t>
            </w:r>
          </w:p>
        </w:tc>
        <w:tc>
          <w:tcPr>
            <w:tcW w:w="90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Grant Date</w:t>
            </w:r>
          </w:p>
        </w:tc>
      </w:tr>
      <w:tr>
        <w:trPr>
          <w:trHeight w:val="159"/>
        </w:trPr>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80" w:type="dxa"/>
            <w:vAlign w:val="bottom"/>
            <w:tcBorders>
              <w:right w:val="single" w:sz="8" w:color="auto"/>
            </w:tcBorders>
            <w:gridSpan w:val="3"/>
            <w:shd w:val="clear" w:color="auto" w:fill="F2F2F2"/>
          </w:tcPr>
          <w:p>
            <w:pPr>
              <w:jc w:val="right"/>
              <w:ind w:right="262"/>
              <w:spacing w:after="0" w:line="159" w:lineRule="exact"/>
              <w:rPr>
                <w:sz w:val="20"/>
                <w:szCs w:val="20"/>
                <w:color w:val="auto"/>
              </w:rPr>
            </w:pPr>
            <w:r>
              <w:rPr>
                <w:rFonts w:ascii="Arial" w:cs="Arial" w:eastAsia="Arial" w:hAnsi="Arial"/>
                <w:sz w:val="14"/>
                <w:szCs w:val="14"/>
                <w:b w:val="1"/>
                <w:bCs w:val="1"/>
                <w:color w:val="0A33A5"/>
              </w:rPr>
              <w:t>Estimated Future Payouts Under</w:t>
            </w:r>
          </w:p>
        </w:tc>
        <w:tc>
          <w:tcPr>
            <w:tcW w:w="2000" w:type="dxa"/>
            <w:vAlign w:val="bottom"/>
            <w:gridSpan w:val="2"/>
            <w:shd w:val="clear" w:color="auto" w:fill="F2F2F2"/>
          </w:tcPr>
          <w:p>
            <w:pPr>
              <w:jc w:val="center"/>
              <w:ind w:left="725"/>
              <w:spacing w:after="0" w:line="159" w:lineRule="exact"/>
              <w:rPr>
                <w:sz w:val="20"/>
                <w:szCs w:val="20"/>
                <w:color w:val="auto"/>
              </w:rPr>
            </w:pPr>
            <w:r>
              <w:rPr>
                <w:rFonts w:ascii="Arial" w:cs="Arial" w:eastAsia="Arial" w:hAnsi="Arial"/>
                <w:sz w:val="14"/>
                <w:szCs w:val="14"/>
                <w:b w:val="1"/>
                <w:bCs w:val="1"/>
                <w:color w:val="0A33A5"/>
              </w:rPr>
              <w:t>Under Equity</w:t>
            </w:r>
          </w:p>
        </w:tc>
        <w:tc>
          <w:tcPr>
            <w:tcW w:w="740" w:type="dxa"/>
            <w:vAlign w:val="bottom"/>
            <w:shd w:val="clear" w:color="auto" w:fill="F2F2F2"/>
          </w:tcPr>
          <w:p>
            <w:pPr>
              <w:spacing w:after="0"/>
              <w:rPr>
                <w:sz w:val="13"/>
                <w:szCs w:val="13"/>
                <w:color w:val="auto"/>
              </w:rPr>
            </w:pPr>
          </w:p>
        </w:tc>
        <w:tc>
          <w:tcPr>
            <w:tcW w:w="1780" w:type="dxa"/>
            <w:vAlign w:val="bottom"/>
            <w:shd w:val="clear" w:color="auto" w:fill="DDF2F9"/>
          </w:tcPr>
          <w:p>
            <w:pPr>
              <w:jc w:val="center"/>
              <w:ind w:left="66"/>
              <w:spacing w:after="0" w:line="159" w:lineRule="exact"/>
              <w:rPr>
                <w:sz w:val="20"/>
                <w:szCs w:val="20"/>
                <w:color w:val="auto"/>
              </w:rPr>
            </w:pPr>
            <w:r>
              <w:rPr>
                <w:rFonts w:ascii="Arial" w:cs="Arial" w:eastAsia="Arial" w:hAnsi="Arial"/>
                <w:sz w:val="14"/>
                <w:szCs w:val="14"/>
                <w:b w:val="1"/>
                <w:bCs w:val="1"/>
                <w:color w:val="0A33A5"/>
              </w:rPr>
              <w:t>Awards: Number of</w:t>
            </w:r>
          </w:p>
        </w:tc>
        <w:tc>
          <w:tcPr>
            <w:tcW w:w="800" w:type="dxa"/>
            <w:vAlign w:val="bottom"/>
            <w:shd w:val="clear" w:color="auto" w:fill="DDF2F9"/>
          </w:tcPr>
          <w:p>
            <w:pPr>
              <w:jc w:val="center"/>
              <w:ind w:left="5"/>
              <w:spacing w:after="0" w:line="159" w:lineRule="exact"/>
              <w:rPr>
                <w:sz w:val="20"/>
                <w:szCs w:val="20"/>
                <w:color w:val="auto"/>
              </w:rPr>
            </w:pPr>
            <w:r>
              <w:rPr>
                <w:rFonts w:ascii="Arial" w:cs="Arial" w:eastAsia="Arial" w:hAnsi="Arial"/>
                <w:sz w:val="14"/>
                <w:szCs w:val="14"/>
                <w:b w:val="1"/>
                <w:bCs w:val="1"/>
                <w:color w:val="0A33A5"/>
              </w:rPr>
              <w:t>or Base</w:t>
            </w:r>
          </w:p>
        </w:tc>
        <w:tc>
          <w:tcPr>
            <w:tcW w:w="90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Fair Value</w:t>
            </w:r>
          </w:p>
        </w:tc>
      </w:tr>
      <w:tr>
        <w:trPr>
          <w:trHeight w:val="192"/>
        </w:trPr>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80" w:type="dxa"/>
            <w:vAlign w:val="bottom"/>
            <w:tcBorders>
              <w:bottom w:val="single" w:sz="8" w:color="F2F2F2"/>
              <w:right w:val="single" w:sz="8" w:color="auto"/>
            </w:tcBorders>
            <w:gridSpan w:val="3"/>
            <w:shd w:val="clear" w:color="auto" w:fill="F2F2F2"/>
          </w:tcPr>
          <w:p>
            <w:pPr>
              <w:jc w:val="right"/>
              <w:ind w:right="142"/>
              <w:spacing w:after="0" w:line="165" w:lineRule="exact"/>
              <w:rPr>
                <w:sz w:val="20"/>
                <w:szCs w:val="20"/>
                <w:color w:val="auto"/>
              </w:rPr>
            </w:pPr>
            <w:r>
              <w:rPr>
                <w:rFonts w:ascii="Arial" w:cs="Arial" w:eastAsia="Arial" w:hAnsi="Arial"/>
                <w:sz w:val="12"/>
                <w:szCs w:val="12"/>
                <w:b w:val="1"/>
                <w:bCs w:val="1"/>
                <w:color w:val="0A33A5"/>
              </w:rPr>
              <w:t>Non-Equity Incentive Plan Awards</w:t>
            </w:r>
            <w:r>
              <w:rPr>
                <w:rFonts w:ascii="Arial" w:cs="Arial" w:eastAsia="Arial" w:hAnsi="Arial"/>
                <w:sz w:val="19"/>
                <w:szCs w:val="19"/>
                <w:b w:val="1"/>
                <w:bCs w:val="1"/>
                <w:color w:val="0A33A5"/>
                <w:vertAlign w:val="superscript"/>
              </w:rPr>
              <w:t>(1)</w:t>
            </w:r>
          </w:p>
        </w:tc>
        <w:tc>
          <w:tcPr>
            <w:tcW w:w="2740" w:type="dxa"/>
            <w:vAlign w:val="bottom"/>
            <w:tcBorders>
              <w:bottom w:val="single" w:sz="8" w:color="F2F2F2"/>
            </w:tcBorders>
            <w:gridSpan w:val="3"/>
            <w:shd w:val="clear" w:color="auto" w:fill="F2F2F2"/>
          </w:tcPr>
          <w:p>
            <w:pPr>
              <w:jc w:val="center"/>
              <w:spacing w:after="0" w:line="165" w:lineRule="exact"/>
              <w:rPr>
                <w:sz w:val="20"/>
                <w:szCs w:val="20"/>
                <w:color w:val="auto"/>
              </w:rPr>
            </w:pPr>
            <w:r>
              <w:rPr>
                <w:rFonts w:ascii="Arial" w:cs="Arial" w:eastAsia="Arial" w:hAnsi="Arial"/>
                <w:sz w:val="12"/>
                <w:szCs w:val="12"/>
                <w:b w:val="1"/>
                <w:bCs w:val="1"/>
                <w:color w:val="0A33A5"/>
              </w:rPr>
              <w:t>Incentive Plan Awards</w:t>
            </w:r>
            <w:r>
              <w:rPr>
                <w:rFonts w:ascii="Arial" w:cs="Arial" w:eastAsia="Arial" w:hAnsi="Arial"/>
                <w:sz w:val="19"/>
                <w:szCs w:val="19"/>
                <w:b w:val="1"/>
                <w:bCs w:val="1"/>
                <w:color w:val="0A33A5"/>
                <w:vertAlign w:val="superscript"/>
              </w:rPr>
              <w:t>(2)</w:t>
            </w:r>
          </w:p>
        </w:tc>
        <w:tc>
          <w:tcPr>
            <w:tcW w:w="1780" w:type="dxa"/>
            <w:vAlign w:val="bottom"/>
            <w:tcBorders>
              <w:bottom w:val="single" w:sz="8" w:color="DDF2F9"/>
            </w:tcBorders>
            <w:shd w:val="clear" w:color="auto" w:fill="DDF2F9"/>
          </w:tcPr>
          <w:p>
            <w:pPr>
              <w:jc w:val="center"/>
              <w:ind w:left="66"/>
              <w:spacing w:after="0"/>
              <w:rPr>
                <w:sz w:val="20"/>
                <w:szCs w:val="20"/>
                <w:color w:val="auto"/>
              </w:rPr>
            </w:pPr>
            <w:r>
              <w:rPr>
                <w:rFonts w:ascii="Arial" w:cs="Arial" w:eastAsia="Arial" w:hAnsi="Arial"/>
                <w:sz w:val="14"/>
                <w:szCs w:val="14"/>
                <w:b w:val="1"/>
                <w:bCs w:val="1"/>
                <w:color w:val="0A33A5"/>
              </w:rPr>
              <w:t>Securities</w:t>
            </w:r>
          </w:p>
        </w:tc>
        <w:tc>
          <w:tcPr>
            <w:tcW w:w="800" w:type="dxa"/>
            <w:vAlign w:val="bottom"/>
            <w:tcBorders>
              <w:bottom w:val="single" w:sz="8" w:color="DDF2F9"/>
            </w:tcBorders>
            <w:shd w:val="clear" w:color="auto" w:fill="DDF2F9"/>
          </w:tcPr>
          <w:p>
            <w:pPr>
              <w:jc w:val="center"/>
              <w:ind w:left="5"/>
              <w:spacing w:after="0"/>
              <w:rPr>
                <w:sz w:val="20"/>
                <w:szCs w:val="20"/>
                <w:color w:val="auto"/>
              </w:rPr>
            </w:pPr>
            <w:r>
              <w:rPr>
                <w:rFonts w:ascii="Arial" w:cs="Arial" w:eastAsia="Arial" w:hAnsi="Arial"/>
                <w:sz w:val="14"/>
                <w:szCs w:val="14"/>
                <w:b w:val="1"/>
                <w:bCs w:val="1"/>
                <w:color w:val="0A33A5"/>
              </w:rPr>
              <w:t>Price of</w:t>
            </w:r>
          </w:p>
        </w:tc>
        <w:tc>
          <w:tcPr>
            <w:tcW w:w="900" w:type="dxa"/>
            <w:vAlign w:val="bottom"/>
            <w:tcBorders>
              <w:bottom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of Stock</w:t>
            </w:r>
          </w:p>
        </w:tc>
      </w:tr>
      <w:tr>
        <w:trPr>
          <w:trHeight w:val="112"/>
        </w:trPr>
        <w:tc>
          <w:tcPr>
            <w:tcW w:w="940" w:type="dxa"/>
            <w:vAlign w:val="bottom"/>
            <w:tcBorders>
              <w:top w:val="single" w:sz="8" w:color="auto"/>
            </w:tcBorders>
            <w:shd w:val="clear" w:color="auto" w:fill="DDF2F9"/>
          </w:tcPr>
          <w:p>
            <w:pPr>
              <w:spacing w:after="0"/>
              <w:rPr>
                <w:sz w:val="9"/>
                <w:szCs w:val="9"/>
                <w:color w:val="auto"/>
              </w:rPr>
            </w:pPr>
          </w:p>
        </w:tc>
        <w:tc>
          <w:tcPr>
            <w:tcW w:w="880" w:type="dxa"/>
            <w:vAlign w:val="bottom"/>
            <w:tcBorders>
              <w:top w:val="single" w:sz="8" w:color="auto"/>
            </w:tcBorders>
            <w:shd w:val="clear" w:color="auto" w:fill="DDF2F9"/>
          </w:tcPr>
          <w:p>
            <w:pPr>
              <w:spacing w:after="0"/>
              <w:rPr>
                <w:sz w:val="9"/>
                <w:szCs w:val="9"/>
                <w:color w:val="auto"/>
              </w:rPr>
            </w:pPr>
          </w:p>
        </w:tc>
        <w:tc>
          <w:tcPr>
            <w:tcW w:w="1020" w:type="dxa"/>
            <w:vAlign w:val="bottom"/>
            <w:tcBorders>
              <w:top w:val="single" w:sz="8" w:color="auto"/>
            </w:tcBorders>
            <w:shd w:val="clear" w:color="auto" w:fill="DDF2F9"/>
          </w:tcPr>
          <w:p>
            <w:pPr>
              <w:spacing w:after="0"/>
              <w:rPr>
                <w:sz w:val="9"/>
                <w:szCs w:val="9"/>
                <w:color w:val="auto"/>
              </w:rPr>
            </w:pPr>
          </w:p>
        </w:tc>
        <w:tc>
          <w:tcPr>
            <w:tcW w:w="940" w:type="dxa"/>
            <w:vAlign w:val="bottom"/>
            <w:tcBorders>
              <w:top w:val="single" w:sz="8" w:color="auto"/>
            </w:tcBorders>
            <w:shd w:val="clear" w:color="auto" w:fill="DDF2F9"/>
          </w:tcPr>
          <w:p>
            <w:pPr>
              <w:spacing w:after="0"/>
              <w:rPr>
                <w:sz w:val="9"/>
                <w:szCs w:val="9"/>
                <w:color w:val="auto"/>
              </w:rPr>
            </w:pPr>
          </w:p>
        </w:tc>
        <w:tc>
          <w:tcPr>
            <w:tcW w:w="1020" w:type="dxa"/>
            <w:vAlign w:val="bottom"/>
            <w:tcBorders>
              <w:top w:val="single" w:sz="8" w:color="auto"/>
              <w:right w:val="single" w:sz="8" w:color="DDF2F9"/>
            </w:tcBorders>
            <w:shd w:val="clear" w:color="auto" w:fill="DDF2F9"/>
          </w:tcPr>
          <w:p>
            <w:pPr>
              <w:spacing w:after="0"/>
              <w:rPr>
                <w:sz w:val="9"/>
                <w:szCs w:val="9"/>
                <w:color w:val="auto"/>
              </w:rPr>
            </w:pPr>
          </w:p>
        </w:tc>
        <w:tc>
          <w:tcPr>
            <w:tcW w:w="1160" w:type="dxa"/>
            <w:vAlign w:val="bottom"/>
            <w:tcBorders>
              <w:top w:val="single" w:sz="8" w:color="auto"/>
            </w:tcBorders>
            <w:shd w:val="clear" w:color="auto" w:fill="DDF2F9"/>
          </w:tcPr>
          <w:p>
            <w:pPr>
              <w:spacing w:after="0"/>
              <w:rPr>
                <w:sz w:val="9"/>
                <w:szCs w:val="9"/>
                <w:color w:val="auto"/>
              </w:rPr>
            </w:pPr>
          </w:p>
        </w:tc>
        <w:tc>
          <w:tcPr>
            <w:tcW w:w="840" w:type="dxa"/>
            <w:vAlign w:val="bottom"/>
            <w:tcBorders>
              <w:top w:val="single" w:sz="8" w:color="auto"/>
            </w:tcBorders>
            <w:shd w:val="clear" w:color="auto" w:fill="DDF2F9"/>
          </w:tcPr>
          <w:p>
            <w:pPr>
              <w:spacing w:after="0"/>
              <w:rPr>
                <w:sz w:val="9"/>
                <w:szCs w:val="9"/>
                <w:color w:val="auto"/>
              </w:rPr>
            </w:pPr>
          </w:p>
        </w:tc>
        <w:tc>
          <w:tcPr>
            <w:tcW w:w="740" w:type="dxa"/>
            <w:vAlign w:val="bottom"/>
            <w:tcBorders>
              <w:top w:val="single" w:sz="8" w:color="auto"/>
            </w:tcBorders>
            <w:shd w:val="clear" w:color="auto" w:fill="DDF2F9"/>
          </w:tcPr>
          <w:p>
            <w:pPr>
              <w:spacing w:after="0"/>
              <w:rPr>
                <w:sz w:val="9"/>
                <w:szCs w:val="9"/>
                <w:color w:val="auto"/>
              </w:rPr>
            </w:pPr>
          </w:p>
        </w:tc>
        <w:tc>
          <w:tcPr>
            <w:tcW w:w="1780" w:type="dxa"/>
            <w:vAlign w:val="bottom"/>
            <w:tcBorders>
              <w:top w:val="single" w:sz="8" w:color="DDF2F9"/>
            </w:tcBorders>
            <w:shd w:val="clear" w:color="auto" w:fill="DDF2F9"/>
          </w:tcPr>
          <w:p>
            <w:pPr>
              <w:jc w:val="center"/>
              <w:ind w:left="66"/>
              <w:spacing w:after="0" w:line="112" w:lineRule="exact"/>
              <w:rPr>
                <w:sz w:val="20"/>
                <w:szCs w:val="20"/>
                <w:color w:val="auto"/>
              </w:rPr>
            </w:pPr>
            <w:r>
              <w:rPr>
                <w:rFonts w:ascii="Arial" w:cs="Arial" w:eastAsia="Arial" w:hAnsi="Arial"/>
                <w:sz w:val="12"/>
                <w:szCs w:val="12"/>
                <w:b w:val="1"/>
                <w:bCs w:val="1"/>
                <w:color w:val="0A33A5"/>
              </w:rPr>
              <w:t>Underlying</w:t>
            </w:r>
          </w:p>
        </w:tc>
        <w:tc>
          <w:tcPr>
            <w:tcW w:w="800" w:type="dxa"/>
            <w:vAlign w:val="bottom"/>
            <w:tcBorders>
              <w:top w:val="single" w:sz="8" w:color="DDF2F9"/>
            </w:tcBorders>
            <w:shd w:val="clear" w:color="auto" w:fill="DDF2F9"/>
          </w:tcPr>
          <w:p>
            <w:pPr>
              <w:jc w:val="center"/>
              <w:spacing w:after="0" w:line="112" w:lineRule="exact"/>
              <w:rPr>
                <w:sz w:val="20"/>
                <w:szCs w:val="20"/>
                <w:color w:val="auto"/>
              </w:rPr>
            </w:pPr>
            <w:r>
              <w:rPr>
                <w:rFonts w:ascii="Arial" w:cs="Arial" w:eastAsia="Arial" w:hAnsi="Arial"/>
                <w:sz w:val="12"/>
                <w:szCs w:val="12"/>
                <w:b w:val="1"/>
                <w:bCs w:val="1"/>
                <w:color w:val="0A33A5"/>
              </w:rPr>
              <w:t>Option</w:t>
            </w:r>
          </w:p>
        </w:tc>
        <w:tc>
          <w:tcPr>
            <w:tcW w:w="900" w:type="dxa"/>
            <w:vAlign w:val="bottom"/>
            <w:tcBorders>
              <w:top w:val="single" w:sz="8" w:color="DDF2F9"/>
            </w:tcBorders>
            <w:shd w:val="clear" w:color="auto" w:fill="DDF2F9"/>
          </w:tcPr>
          <w:p>
            <w:pPr>
              <w:jc w:val="center"/>
              <w:spacing w:after="0" w:line="112" w:lineRule="exact"/>
              <w:rPr>
                <w:sz w:val="20"/>
                <w:szCs w:val="20"/>
                <w:color w:val="auto"/>
              </w:rPr>
            </w:pPr>
            <w:r>
              <w:rPr>
                <w:rFonts w:ascii="Arial" w:cs="Arial" w:eastAsia="Arial" w:hAnsi="Arial"/>
                <w:sz w:val="12"/>
                <w:szCs w:val="12"/>
                <w:b w:val="1"/>
                <w:bCs w:val="1"/>
                <w:color w:val="0A33A5"/>
              </w:rPr>
              <w:t>and Option</w:t>
            </w:r>
          </w:p>
        </w:tc>
      </w:tr>
      <w:tr>
        <w:trPr>
          <w:trHeight w:val="165"/>
        </w:trPr>
        <w:tc>
          <w:tcPr>
            <w:tcW w:w="940" w:type="dxa"/>
            <w:vAlign w:val="bottom"/>
            <w:shd w:val="clear" w:color="auto" w:fill="DDF2F9"/>
          </w:tcPr>
          <w:p>
            <w:pPr>
              <w:spacing w:after="0"/>
              <w:rPr>
                <w:sz w:val="14"/>
                <w:szCs w:val="14"/>
                <w:color w:val="auto"/>
              </w:rPr>
            </w:pPr>
          </w:p>
        </w:tc>
        <w:tc>
          <w:tcPr>
            <w:tcW w:w="880" w:type="dxa"/>
            <w:vAlign w:val="bottom"/>
            <w:shd w:val="clear" w:color="auto" w:fill="DDF2F9"/>
          </w:tcPr>
          <w:p>
            <w:pPr>
              <w:spacing w:after="0"/>
              <w:rPr>
                <w:sz w:val="14"/>
                <w:szCs w:val="14"/>
                <w:color w:val="auto"/>
              </w:rPr>
            </w:pPr>
          </w:p>
        </w:tc>
        <w:tc>
          <w:tcPr>
            <w:tcW w:w="1020" w:type="dxa"/>
            <w:vAlign w:val="bottom"/>
            <w:shd w:val="clear" w:color="auto" w:fill="DDF2F9"/>
          </w:tcPr>
          <w:p>
            <w:pPr>
              <w:jc w:val="right"/>
              <w:ind w:right="84"/>
              <w:spacing w:after="0"/>
              <w:rPr>
                <w:sz w:val="20"/>
                <w:szCs w:val="20"/>
                <w:color w:val="auto"/>
              </w:rPr>
            </w:pPr>
            <w:r>
              <w:rPr>
                <w:rFonts w:ascii="Arial" w:cs="Arial" w:eastAsia="Arial" w:hAnsi="Arial"/>
                <w:sz w:val="14"/>
                <w:szCs w:val="14"/>
                <w:b w:val="1"/>
                <w:bCs w:val="1"/>
                <w:color w:val="0A33A5"/>
              </w:rPr>
              <w:t>Threshold</w:t>
            </w:r>
          </w:p>
        </w:tc>
        <w:tc>
          <w:tcPr>
            <w:tcW w:w="940" w:type="dxa"/>
            <w:vAlign w:val="bottom"/>
            <w:shd w:val="clear" w:color="auto" w:fill="DDF2F9"/>
          </w:tcPr>
          <w:p>
            <w:pPr>
              <w:jc w:val="right"/>
              <w:ind w:right="202"/>
              <w:spacing w:after="0"/>
              <w:rPr>
                <w:sz w:val="20"/>
                <w:szCs w:val="20"/>
                <w:color w:val="auto"/>
              </w:rPr>
            </w:pPr>
            <w:r>
              <w:rPr>
                <w:rFonts w:ascii="Arial" w:cs="Arial" w:eastAsia="Arial" w:hAnsi="Arial"/>
                <w:sz w:val="14"/>
                <w:szCs w:val="14"/>
                <w:b w:val="1"/>
                <w:bCs w:val="1"/>
                <w:color w:val="0A33A5"/>
              </w:rPr>
              <w:t>Target</w:t>
            </w:r>
          </w:p>
        </w:tc>
        <w:tc>
          <w:tcPr>
            <w:tcW w:w="1020" w:type="dxa"/>
            <w:vAlign w:val="bottom"/>
            <w:tcBorders>
              <w:right w:val="single" w:sz="8" w:color="DDF2F9"/>
            </w:tcBorders>
            <w:shd w:val="clear" w:color="auto" w:fill="DDF2F9"/>
          </w:tcPr>
          <w:p>
            <w:pPr>
              <w:jc w:val="right"/>
              <w:ind w:right="102"/>
              <w:spacing w:after="0"/>
              <w:rPr>
                <w:sz w:val="20"/>
                <w:szCs w:val="20"/>
                <w:color w:val="auto"/>
              </w:rPr>
            </w:pPr>
            <w:r>
              <w:rPr>
                <w:rFonts w:ascii="Arial" w:cs="Arial" w:eastAsia="Arial" w:hAnsi="Arial"/>
                <w:sz w:val="14"/>
                <w:szCs w:val="14"/>
                <w:b w:val="1"/>
                <w:bCs w:val="1"/>
                <w:color w:val="0A33A5"/>
              </w:rPr>
              <w:t>Maximum</w:t>
            </w:r>
          </w:p>
        </w:tc>
        <w:tc>
          <w:tcPr>
            <w:tcW w:w="1160" w:type="dxa"/>
            <w:vAlign w:val="bottom"/>
            <w:shd w:val="clear" w:color="auto" w:fill="DDF2F9"/>
          </w:tcPr>
          <w:p>
            <w:pPr>
              <w:jc w:val="right"/>
              <w:ind w:right="125"/>
              <w:spacing w:after="0"/>
              <w:rPr>
                <w:sz w:val="20"/>
                <w:szCs w:val="20"/>
                <w:color w:val="auto"/>
              </w:rPr>
            </w:pPr>
            <w:r>
              <w:rPr>
                <w:rFonts w:ascii="Arial" w:cs="Arial" w:eastAsia="Arial" w:hAnsi="Arial"/>
                <w:sz w:val="14"/>
                <w:szCs w:val="14"/>
                <w:b w:val="1"/>
                <w:bCs w:val="1"/>
                <w:color w:val="0A33A5"/>
              </w:rPr>
              <w:t>Threshold</w:t>
            </w:r>
          </w:p>
        </w:tc>
        <w:tc>
          <w:tcPr>
            <w:tcW w:w="840" w:type="dxa"/>
            <w:vAlign w:val="bottom"/>
            <w:shd w:val="clear" w:color="auto" w:fill="DDF2F9"/>
          </w:tcPr>
          <w:p>
            <w:pPr>
              <w:jc w:val="right"/>
              <w:ind w:right="102"/>
              <w:spacing w:after="0"/>
              <w:rPr>
                <w:sz w:val="20"/>
                <w:szCs w:val="20"/>
                <w:color w:val="auto"/>
              </w:rPr>
            </w:pPr>
            <w:r>
              <w:rPr>
                <w:rFonts w:ascii="Arial" w:cs="Arial" w:eastAsia="Arial" w:hAnsi="Arial"/>
                <w:sz w:val="14"/>
                <w:szCs w:val="14"/>
                <w:b w:val="1"/>
                <w:bCs w:val="1"/>
                <w:color w:val="0A33A5"/>
              </w:rPr>
              <w:t>Target</w:t>
            </w:r>
          </w:p>
        </w:tc>
        <w:tc>
          <w:tcPr>
            <w:tcW w:w="740" w:type="dxa"/>
            <w:vAlign w:val="bottom"/>
            <w:shd w:val="clear" w:color="auto" w:fill="DDF2F9"/>
          </w:tcPr>
          <w:p>
            <w:pPr>
              <w:jc w:val="right"/>
              <w:spacing w:after="0"/>
              <w:rPr>
                <w:sz w:val="20"/>
                <w:szCs w:val="20"/>
                <w:color w:val="auto"/>
              </w:rPr>
            </w:pPr>
            <w:r>
              <w:rPr>
                <w:rFonts w:ascii="Arial" w:cs="Arial" w:eastAsia="Arial" w:hAnsi="Arial"/>
                <w:sz w:val="14"/>
                <w:szCs w:val="14"/>
                <w:b w:val="1"/>
                <w:bCs w:val="1"/>
                <w:color w:val="0A33A5"/>
              </w:rPr>
              <w:t>Maximum</w:t>
            </w:r>
          </w:p>
        </w:tc>
        <w:tc>
          <w:tcPr>
            <w:tcW w:w="1780" w:type="dxa"/>
            <w:vAlign w:val="bottom"/>
            <w:shd w:val="clear" w:color="auto" w:fill="DDF2F9"/>
          </w:tcPr>
          <w:p>
            <w:pPr>
              <w:jc w:val="center"/>
              <w:ind w:left="66"/>
              <w:spacing w:after="0" w:line="165" w:lineRule="exact"/>
              <w:rPr>
                <w:sz w:val="20"/>
                <w:szCs w:val="20"/>
                <w:color w:val="auto"/>
              </w:rPr>
            </w:pPr>
            <w:r>
              <w:rPr>
                <w:rFonts w:ascii="Arial" w:cs="Arial" w:eastAsia="Arial" w:hAnsi="Arial"/>
                <w:sz w:val="12"/>
                <w:szCs w:val="12"/>
                <w:b w:val="1"/>
                <w:bCs w:val="1"/>
                <w:color w:val="0A33A5"/>
              </w:rPr>
              <w:t>Options</w:t>
            </w:r>
            <w:r>
              <w:rPr>
                <w:rFonts w:ascii="Arial" w:cs="Arial" w:eastAsia="Arial" w:hAnsi="Arial"/>
                <w:sz w:val="19"/>
                <w:szCs w:val="19"/>
                <w:b w:val="1"/>
                <w:bCs w:val="1"/>
                <w:color w:val="0A33A5"/>
                <w:vertAlign w:val="superscript"/>
              </w:rPr>
              <w:t>(3)</w:t>
            </w:r>
          </w:p>
        </w:tc>
        <w:tc>
          <w:tcPr>
            <w:tcW w:w="800" w:type="dxa"/>
            <w:vAlign w:val="bottom"/>
            <w:shd w:val="clear" w:color="auto" w:fill="DDF2F9"/>
          </w:tcPr>
          <w:p>
            <w:pPr>
              <w:jc w:val="center"/>
              <w:ind w:left="5"/>
              <w:spacing w:after="0"/>
              <w:rPr>
                <w:sz w:val="20"/>
                <w:szCs w:val="20"/>
                <w:color w:val="auto"/>
              </w:rPr>
            </w:pPr>
            <w:r>
              <w:rPr>
                <w:rFonts w:ascii="Arial" w:cs="Arial" w:eastAsia="Arial" w:hAnsi="Arial"/>
                <w:sz w:val="14"/>
                <w:szCs w:val="14"/>
                <w:b w:val="1"/>
                <w:bCs w:val="1"/>
                <w:color w:val="0A33A5"/>
              </w:rPr>
              <w:t>Awards</w:t>
            </w:r>
          </w:p>
        </w:tc>
        <w:tc>
          <w:tcPr>
            <w:tcW w:w="900" w:type="dxa"/>
            <w:vAlign w:val="bottom"/>
            <w:shd w:val="clear" w:color="auto" w:fill="DDF2F9"/>
          </w:tcPr>
          <w:p>
            <w:pPr>
              <w:jc w:val="center"/>
              <w:spacing w:after="0" w:line="165" w:lineRule="exact"/>
              <w:rPr>
                <w:sz w:val="20"/>
                <w:szCs w:val="20"/>
                <w:color w:val="auto"/>
              </w:rPr>
            </w:pPr>
            <w:r>
              <w:rPr>
                <w:rFonts w:ascii="Arial" w:cs="Arial" w:eastAsia="Arial" w:hAnsi="Arial"/>
                <w:sz w:val="12"/>
                <w:szCs w:val="12"/>
                <w:b w:val="1"/>
                <w:bCs w:val="1"/>
                <w:color w:val="0A33A5"/>
              </w:rPr>
              <w:t>Awards</w:t>
            </w:r>
            <w:r>
              <w:rPr>
                <w:rFonts w:ascii="Arial" w:cs="Arial" w:eastAsia="Arial" w:hAnsi="Arial"/>
                <w:sz w:val="19"/>
                <w:szCs w:val="19"/>
                <w:b w:val="1"/>
                <w:bCs w:val="1"/>
                <w:color w:val="0A33A5"/>
                <w:vertAlign w:val="superscript"/>
              </w:rPr>
              <w:t>(4)</w:t>
            </w:r>
          </w:p>
        </w:tc>
      </w:tr>
      <w:tr>
        <w:trPr>
          <w:trHeight w:val="189"/>
        </w:trPr>
        <w:tc>
          <w:tcPr>
            <w:tcW w:w="940" w:type="dxa"/>
            <w:vAlign w:val="bottom"/>
            <w:tcBorders>
              <w:bottom w:val="single" w:sz="8" w:color="auto"/>
            </w:tcBorders>
            <w:shd w:val="clear" w:color="auto" w:fill="DDF2F9"/>
          </w:tcPr>
          <w:p>
            <w:pPr>
              <w:spacing w:after="0"/>
              <w:rPr>
                <w:sz w:val="20"/>
                <w:szCs w:val="20"/>
                <w:color w:val="auto"/>
              </w:rPr>
            </w:pPr>
            <w:r>
              <w:rPr>
                <w:rFonts w:ascii="Arial" w:cs="Arial" w:eastAsia="Arial" w:hAnsi="Arial"/>
                <w:sz w:val="14"/>
                <w:szCs w:val="14"/>
                <w:b w:val="1"/>
                <w:bCs w:val="1"/>
                <w:color w:val="0A33A5"/>
              </w:rPr>
              <w:t>Name</w:t>
            </w:r>
          </w:p>
        </w:tc>
        <w:tc>
          <w:tcPr>
            <w:tcW w:w="880" w:type="dxa"/>
            <w:vAlign w:val="bottom"/>
            <w:tcBorders>
              <w:bottom w:val="single" w:sz="8" w:color="auto"/>
            </w:tcBorders>
            <w:shd w:val="clear" w:color="auto" w:fill="DDF2F9"/>
          </w:tcPr>
          <w:p>
            <w:pPr>
              <w:jc w:val="right"/>
              <w:spacing w:after="0"/>
              <w:rPr>
                <w:sz w:val="20"/>
                <w:szCs w:val="20"/>
                <w:color w:val="auto"/>
              </w:rPr>
            </w:pPr>
            <w:r>
              <w:rPr>
                <w:rFonts w:ascii="Arial" w:cs="Arial" w:eastAsia="Arial" w:hAnsi="Arial"/>
                <w:sz w:val="14"/>
                <w:szCs w:val="14"/>
                <w:b w:val="1"/>
                <w:bCs w:val="1"/>
                <w:color w:val="0A33A5"/>
              </w:rPr>
              <w:t>Grant Date</w:t>
            </w:r>
          </w:p>
        </w:tc>
        <w:tc>
          <w:tcPr>
            <w:tcW w:w="1020" w:type="dxa"/>
            <w:vAlign w:val="bottom"/>
            <w:tcBorders>
              <w:bottom w:val="single" w:sz="8" w:color="auto"/>
            </w:tcBorders>
            <w:shd w:val="clear" w:color="auto" w:fill="DDF2F9"/>
          </w:tcPr>
          <w:p>
            <w:pPr>
              <w:jc w:val="right"/>
              <w:ind w:right="344"/>
              <w:spacing w:after="0"/>
              <w:rPr>
                <w:sz w:val="20"/>
                <w:szCs w:val="20"/>
                <w:color w:val="auto"/>
              </w:rPr>
            </w:pPr>
            <w:r>
              <w:rPr>
                <w:rFonts w:ascii="Arial" w:cs="Arial" w:eastAsia="Arial" w:hAnsi="Arial"/>
                <w:sz w:val="14"/>
                <w:szCs w:val="14"/>
                <w:b w:val="1"/>
                <w:bCs w:val="1"/>
                <w:color w:val="0A33A5"/>
              </w:rPr>
              <w:t>(a)</w:t>
            </w:r>
          </w:p>
        </w:tc>
        <w:tc>
          <w:tcPr>
            <w:tcW w:w="940" w:type="dxa"/>
            <w:vAlign w:val="bottom"/>
            <w:tcBorders>
              <w:bottom w:val="single" w:sz="8" w:color="auto"/>
            </w:tcBorders>
            <w:shd w:val="clear" w:color="auto" w:fill="DDF2F9"/>
          </w:tcPr>
          <w:p>
            <w:pPr>
              <w:jc w:val="right"/>
              <w:ind w:right="322"/>
              <w:spacing w:after="0"/>
              <w:rPr>
                <w:sz w:val="20"/>
                <w:szCs w:val="20"/>
                <w:color w:val="auto"/>
              </w:rPr>
            </w:pPr>
            <w:r>
              <w:rPr>
                <w:rFonts w:ascii="Arial" w:cs="Arial" w:eastAsia="Arial" w:hAnsi="Arial"/>
                <w:sz w:val="14"/>
                <w:szCs w:val="14"/>
                <w:b w:val="1"/>
                <w:bCs w:val="1"/>
                <w:color w:val="0A33A5"/>
              </w:rPr>
              <w:t>(b)</w:t>
            </w:r>
          </w:p>
        </w:tc>
        <w:tc>
          <w:tcPr>
            <w:tcW w:w="1020" w:type="dxa"/>
            <w:vAlign w:val="bottom"/>
            <w:tcBorders>
              <w:bottom w:val="single" w:sz="8" w:color="auto"/>
              <w:right w:val="single" w:sz="8" w:color="DDF2F9"/>
            </w:tcBorders>
            <w:shd w:val="clear" w:color="auto" w:fill="DDF2F9"/>
          </w:tcPr>
          <w:p>
            <w:pPr>
              <w:jc w:val="right"/>
              <w:ind w:right="342"/>
              <w:spacing w:after="0"/>
              <w:rPr>
                <w:sz w:val="20"/>
                <w:szCs w:val="20"/>
                <w:color w:val="auto"/>
              </w:rPr>
            </w:pPr>
            <w:r>
              <w:rPr>
                <w:rFonts w:ascii="Arial" w:cs="Arial" w:eastAsia="Arial" w:hAnsi="Arial"/>
                <w:sz w:val="14"/>
                <w:szCs w:val="14"/>
                <w:b w:val="1"/>
                <w:bCs w:val="1"/>
                <w:color w:val="0A33A5"/>
              </w:rPr>
              <w:t>(c)</w:t>
            </w:r>
          </w:p>
        </w:tc>
        <w:tc>
          <w:tcPr>
            <w:tcW w:w="1160" w:type="dxa"/>
            <w:vAlign w:val="bottom"/>
            <w:tcBorders>
              <w:bottom w:val="single" w:sz="8" w:color="auto"/>
            </w:tcBorders>
            <w:shd w:val="clear" w:color="auto" w:fill="DDF2F9"/>
          </w:tcPr>
          <w:p>
            <w:pPr>
              <w:jc w:val="right"/>
              <w:ind w:right="385"/>
              <w:spacing w:after="0"/>
              <w:rPr>
                <w:sz w:val="20"/>
                <w:szCs w:val="20"/>
                <w:color w:val="auto"/>
              </w:rPr>
            </w:pPr>
            <w:r>
              <w:rPr>
                <w:rFonts w:ascii="Arial" w:cs="Arial" w:eastAsia="Arial" w:hAnsi="Arial"/>
                <w:sz w:val="14"/>
                <w:szCs w:val="14"/>
                <w:b w:val="1"/>
                <w:bCs w:val="1"/>
                <w:color w:val="0A33A5"/>
              </w:rPr>
              <w:t>(d)</w:t>
            </w:r>
          </w:p>
        </w:tc>
        <w:tc>
          <w:tcPr>
            <w:tcW w:w="840" w:type="dxa"/>
            <w:vAlign w:val="bottom"/>
            <w:tcBorders>
              <w:bottom w:val="single" w:sz="8" w:color="auto"/>
            </w:tcBorders>
            <w:shd w:val="clear" w:color="auto" w:fill="DDF2F9"/>
          </w:tcPr>
          <w:p>
            <w:pPr>
              <w:jc w:val="right"/>
              <w:ind w:right="242"/>
              <w:spacing w:after="0"/>
              <w:rPr>
                <w:sz w:val="20"/>
                <w:szCs w:val="20"/>
                <w:color w:val="auto"/>
              </w:rPr>
            </w:pPr>
            <w:r>
              <w:rPr>
                <w:rFonts w:ascii="Arial" w:cs="Arial" w:eastAsia="Arial" w:hAnsi="Arial"/>
                <w:sz w:val="14"/>
                <w:szCs w:val="14"/>
                <w:b w:val="1"/>
                <w:bCs w:val="1"/>
                <w:color w:val="0A33A5"/>
              </w:rPr>
              <w:t>(e)</w:t>
            </w:r>
          </w:p>
        </w:tc>
        <w:tc>
          <w:tcPr>
            <w:tcW w:w="740" w:type="dxa"/>
            <w:vAlign w:val="bottom"/>
            <w:tcBorders>
              <w:bottom w:val="single" w:sz="8" w:color="auto"/>
            </w:tcBorders>
            <w:shd w:val="clear" w:color="auto" w:fill="DDF2F9"/>
          </w:tcPr>
          <w:p>
            <w:pPr>
              <w:jc w:val="right"/>
              <w:ind w:right="202"/>
              <w:spacing w:after="0"/>
              <w:rPr>
                <w:sz w:val="20"/>
                <w:szCs w:val="20"/>
                <w:color w:val="auto"/>
              </w:rPr>
            </w:pPr>
            <w:r>
              <w:rPr>
                <w:rFonts w:ascii="Arial" w:cs="Arial" w:eastAsia="Arial" w:hAnsi="Arial"/>
                <w:sz w:val="14"/>
                <w:szCs w:val="14"/>
                <w:b w:val="1"/>
                <w:bCs w:val="1"/>
                <w:color w:val="0A33A5"/>
              </w:rPr>
              <w:t>(f)</w:t>
            </w:r>
          </w:p>
        </w:tc>
        <w:tc>
          <w:tcPr>
            <w:tcW w:w="1780" w:type="dxa"/>
            <w:vAlign w:val="bottom"/>
            <w:tcBorders>
              <w:bottom w:val="single" w:sz="8" w:color="auto"/>
            </w:tcBorders>
            <w:shd w:val="clear" w:color="auto" w:fill="DDF2F9"/>
          </w:tcPr>
          <w:p>
            <w:pPr>
              <w:jc w:val="center"/>
              <w:ind w:left="66"/>
              <w:spacing w:after="0"/>
              <w:rPr>
                <w:sz w:val="20"/>
                <w:szCs w:val="20"/>
                <w:color w:val="auto"/>
              </w:rPr>
            </w:pPr>
            <w:r>
              <w:rPr>
                <w:rFonts w:ascii="Arial" w:cs="Arial" w:eastAsia="Arial" w:hAnsi="Arial"/>
                <w:sz w:val="14"/>
                <w:szCs w:val="14"/>
                <w:b w:val="1"/>
                <w:bCs w:val="1"/>
                <w:color w:val="0A33A5"/>
              </w:rPr>
              <w:t>(g)</w:t>
            </w:r>
          </w:p>
        </w:tc>
        <w:tc>
          <w:tcPr>
            <w:tcW w:w="8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(h)</w:t>
            </w:r>
          </w:p>
        </w:tc>
        <w:tc>
          <w:tcPr>
            <w:tcW w:w="9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(i)</w:t>
            </w:r>
          </w:p>
        </w:tc>
      </w:tr>
      <w:tr>
        <w:trPr>
          <w:trHeight w:val="205"/>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Brian L.</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$2,172,609</w:t>
            </w:r>
          </w:p>
        </w:tc>
        <w:tc>
          <w:tcPr>
            <w:tcW w:w="940" w:type="dxa"/>
            <w:vAlign w:val="bottom"/>
          </w:tcPr>
          <w:p>
            <w:pPr>
              <w:jc w:val="right"/>
              <w:spacing w:after="0"/>
              <w:rPr>
                <w:sz w:val="20"/>
                <w:szCs w:val="20"/>
                <w:color w:val="auto"/>
              </w:rPr>
            </w:pPr>
            <w:r>
              <w:rPr>
                <w:rFonts w:ascii="Arial" w:cs="Arial" w:eastAsia="Arial" w:hAnsi="Arial"/>
                <w:sz w:val="16"/>
                <w:szCs w:val="16"/>
                <w:color w:val="auto"/>
              </w:rPr>
              <w:t>$9,875,496</w:t>
            </w:r>
          </w:p>
        </w:tc>
        <w:tc>
          <w:tcPr>
            <w:tcW w:w="1020" w:type="dxa"/>
            <w:vAlign w:val="bottom"/>
          </w:tcPr>
          <w:p>
            <w:pPr>
              <w:jc w:val="right"/>
              <w:spacing w:after="0"/>
              <w:rPr>
                <w:sz w:val="20"/>
                <w:szCs w:val="20"/>
                <w:color w:val="auto"/>
              </w:rPr>
            </w:pPr>
            <w:r>
              <w:rPr>
                <w:rFonts w:ascii="Arial" w:cs="Arial" w:eastAsia="Arial" w:hAnsi="Arial"/>
                <w:sz w:val="16"/>
                <w:szCs w:val="16"/>
                <w:color w:val="auto"/>
              </w:rPr>
              <w:t>$17,035,231</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5"/>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Roberts</w:t>
            </w: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33,048</w:t>
            </w:r>
          </w:p>
        </w:tc>
        <w:tc>
          <w:tcPr>
            <w:tcW w:w="840" w:type="dxa"/>
            <w:vAlign w:val="bottom"/>
          </w:tcPr>
          <w:p>
            <w:pPr>
              <w:jc w:val="right"/>
              <w:spacing w:after="0"/>
              <w:rPr>
                <w:sz w:val="20"/>
                <w:szCs w:val="20"/>
                <w:color w:val="auto"/>
              </w:rPr>
            </w:pPr>
            <w:r>
              <w:rPr>
                <w:rFonts w:ascii="Arial" w:cs="Arial" w:eastAsia="Arial" w:hAnsi="Arial"/>
                <w:sz w:val="16"/>
                <w:szCs w:val="16"/>
                <w:color w:val="auto"/>
              </w:rPr>
              <w:t>132,200</w:t>
            </w:r>
          </w:p>
        </w:tc>
        <w:tc>
          <w:tcPr>
            <w:tcW w:w="740" w:type="dxa"/>
            <w:vAlign w:val="bottom"/>
          </w:tcPr>
          <w:p>
            <w:pPr>
              <w:jc w:val="right"/>
              <w:spacing w:after="0"/>
              <w:rPr>
                <w:sz w:val="20"/>
                <w:szCs w:val="20"/>
                <w:color w:val="auto"/>
              </w:rPr>
            </w:pPr>
            <w:r>
              <w:rPr>
                <w:rFonts w:ascii="Arial" w:cs="Arial" w:eastAsia="Arial" w:hAnsi="Arial"/>
                <w:sz w:val="16"/>
                <w:szCs w:val="16"/>
                <w:color w:val="auto"/>
              </w:rPr>
              <w:t>165,248</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$5,330,304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ind w:right="426"/>
              <w:spacing w:after="0"/>
              <w:rPr>
                <w:sz w:val="20"/>
                <w:szCs w:val="20"/>
                <w:color w:val="auto"/>
              </w:rPr>
            </w:pPr>
            <w:r>
              <w:rPr>
                <w:rFonts w:ascii="Arial" w:cs="Arial" w:eastAsia="Arial" w:hAnsi="Arial"/>
                <w:sz w:val="16"/>
                <w:szCs w:val="16"/>
                <w:color w:val="auto"/>
              </w:rPr>
              <w:t>676,400</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5,350,324</w:t>
            </w: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Michael J.</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1,508,699</w:t>
            </w:r>
          </w:p>
        </w:tc>
        <w:tc>
          <w:tcPr>
            <w:tcW w:w="940" w:type="dxa"/>
            <w:vAlign w:val="bottom"/>
          </w:tcPr>
          <w:p>
            <w:pPr>
              <w:jc w:val="right"/>
              <w:spacing w:after="0"/>
              <w:rPr>
                <w:sz w:val="20"/>
                <w:szCs w:val="20"/>
                <w:color w:val="auto"/>
              </w:rPr>
            </w:pPr>
            <w:r>
              <w:rPr>
                <w:rFonts w:ascii="Arial" w:cs="Arial" w:eastAsia="Arial" w:hAnsi="Arial"/>
                <w:sz w:val="16"/>
                <w:szCs w:val="16"/>
                <w:color w:val="auto"/>
              </w:rPr>
              <w:t>6,857,724</w:t>
            </w:r>
          </w:p>
        </w:tc>
        <w:tc>
          <w:tcPr>
            <w:tcW w:w="1020" w:type="dxa"/>
            <w:vAlign w:val="bottom"/>
          </w:tcPr>
          <w:p>
            <w:pPr>
              <w:jc w:val="right"/>
              <w:spacing w:after="0"/>
              <w:rPr>
                <w:sz w:val="20"/>
                <w:szCs w:val="20"/>
                <w:color w:val="auto"/>
              </w:rPr>
            </w:pPr>
            <w:r>
              <w:rPr>
                <w:rFonts w:ascii="Arial" w:cs="Arial" w:eastAsia="Arial" w:hAnsi="Arial"/>
                <w:sz w:val="16"/>
                <w:szCs w:val="16"/>
                <w:color w:val="auto"/>
              </w:rPr>
              <w:t>11,829,574</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Cavanagh</w:t>
            </w: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41,700</w:t>
            </w:r>
          </w:p>
        </w:tc>
        <w:tc>
          <w:tcPr>
            <w:tcW w:w="840" w:type="dxa"/>
            <w:vAlign w:val="bottom"/>
          </w:tcPr>
          <w:p>
            <w:pPr>
              <w:jc w:val="right"/>
              <w:spacing w:after="0"/>
              <w:rPr>
                <w:sz w:val="20"/>
                <w:szCs w:val="20"/>
                <w:color w:val="auto"/>
              </w:rPr>
            </w:pPr>
            <w:r>
              <w:rPr>
                <w:rFonts w:ascii="Arial" w:cs="Arial" w:eastAsia="Arial" w:hAnsi="Arial"/>
                <w:sz w:val="16"/>
                <w:szCs w:val="16"/>
                <w:color w:val="auto"/>
              </w:rPr>
              <w:t>166,800</w:t>
            </w:r>
          </w:p>
        </w:tc>
        <w:tc>
          <w:tcPr>
            <w:tcW w:w="740" w:type="dxa"/>
            <w:vAlign w:val="bottom"/>
          </w:tcPr>
          <w:p>
            <w:pPr>
              <w:jc w:val="right"/>
              <w:spacing w:after="0"/>
              <w:rPr>
                <w:sz w:val="20"/>
                <w:szCs w:val="20"/>
                <w:color w:val="auto"/>
              </w:rPr>
            </w:pPr>
            <w:r>
              <w:rPr>
                <w:rFonts w:ascii="Arial" w:cs="Arial" w:eastAsia="Arial" w:hAnsi="Arial"/>
                <w:sz w:val="16"/>
                <w:szCs w:val="16"/>
                <w:color w:val="auto"/>
              </w:rPr>
              <w:t>208,500</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6,725,376</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ind w:right="426"/>
              <w:spacing w:after="0"/>
              <w:rPr>
                <w:sz w:val="20"/>
                <w:szCs w:val="20"/>
                <w:color w:val="auto"/>
              </w:rPr>
            </w:pPr>
            <w:r>
              <w:rPr>
                <w:rFonts w:ascii="Arial" w:cs="Arial" w:eastAsia="Arial" w:hAnsi="Arial"/>
                <w:sz w:val="16"/>
                <w:szCs w:val="16"/>
                <w:color w:val="auto"/>
              </w:rPr>
              <w:t>600,500</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4,749,955</w:t>
            </w: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Stephen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2,200,226</w:t>
            </w:r>
          </w:p>
        </w:tc>
        <w:tc>
          <w:tcPr>
            <w:tcW w:w="940" w:type="dxa"/>
            <w:vAlign w:val="bottom"/>
          </w:tcPr>
          <w:p>
            <w:pPr>
              <w:jc w:val="right"/>
              <w:spacing w:after="0"/>
              <w:rPr>
                <w:sz w:val="20"/>
                <w:szCs w:val="20"/>
                <w:color w:val="auto"/>
              </w:rPr>
            </w:pPr>
            <w:r>
              <w:rPr>
                <w:rFonts w:ascii="Arial" w:cs="Arial" w:eastAsia="Arial" w:hAnsi="Arial"/>
                <w:sz w:val="16"/>
                <w:szCs w:val="16"/>
                <w:color w:val="auto"/>
              </w:rPr>
              <w:t>9,167,610</w:t>
            </w:r>
          </w:p>
        </w:tc>
        <w:tc>
          <w:tcPr>
            <w:tcW w:w="1020" w:type="dxa"/>
            <w:vAlign w:val="bottom"/>
          </w:tcPr>
          <w:p>
            <w:pPr>
              <w:jc w:val="right"/>
              <w:spacing w:after="0"/>
              <w:rPr>
                <w:sz w:val="20"/>
                <w:szCs w:val="20"/>
                <w:color w:val="auto"/>
              </w:rPr>
            </w:pPr>
            <w:r>
              <w:rPr>
                <w:rFonts w:ascii="Arial" w:cs="Arial" w:eastAsia="Arial" w:hAnsi="Arial"/>
                <w:sz w:val="16"/>
                <w:szCs w:val="16"/>
                <w:color w:val="auto"/>
              </w:rPr>
              <w:t>15,584,937</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B. Burke</w:t>
            </w: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33,048</w:t>
            </w:r>
          </w:p>
        </w:tc>
        <w:tc>
          <w:tcPr>
            <w:tcW w:w="840" w:type="dxa"/>
            <w:vAlign w:val="bottom"/>
          </w:tcPr>
          <w:p>
            <w:pPr>
              <w:jc w:val="right"/>
              <w:spacing w:after="0"/>
              <w:rPr>
                <w:sz w:val="20"/>
                <w:szCs w:val="20"/>
                <w:color w:val="auto"/>
              </w:rPr>
            </w:pPr>
            <w:r>
              <w:rPr>
                <w:rFonts w:ascii="Arial" w:cs="Arial" w:eastAsia="Arial" w:hAnsi="Arial"/>
                <w:sz w:val="16"/>
                <w:szCs w:val="16"/>
                <w:color w:val="auto"/>
              </w:rPr>
              <w:t>132,200</w:t>
            </w:r>
          </w:p>
        </w:tc>
        <w:tc>
          <w:tcPr>
            <w:tcW w:w="740" w:type="dxa"/>
            <w:vAlign w:val="bottom"/>
          </w:tcPr>
          <w:p>
            <w:pPr>
              <w:jc w:val="right"/>
              <w:spacing w:after="0"/>
              <w:rPr>
                <w:sz w:val="20"/>
                <w:szCs w:val="20"/>
                <w:color w:val="auto"/>
              </w:rPr>
            </w:pPr>
            <w:r>
              <w:rPr>
                <w:rFonts w:ascii="Arial" w:cs="Arial" w:eastAsia="Arial" w:hAnsi="Arial"/>
                <w:sz w:val="16"/>
                <w:szCs w:val="16"/>
                <w:color w:val="auto"/>
              </w:rPr>
              <w:t>165,248</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5,330,304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ind w:right="426"/>
              <w:spacing w:after="0"/>
              <w:rPr>
                <w:sz w:val="20"/>
                <w:szCs w:val="20"/>
                <w:color w:val="auto"/>
              </w:rPr>
            </w:pPr>
            <w:r>
              <w:rPr>
                <w:rFonts w:ascii="Arial" w:cs="Arial" w:eastAsia="Arial" w:hAnsi="Arial"/>
                <w:sz w:val="16"/>
                <w:szCs w:val="16"/>
                <w:color w:val="auto"/>
              </w:rPr>
              <w:t>676,400</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5,350,324</w:t>
            </w: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David L.</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886,548</w:t>
            </w:r>
          </w:p>
        </w:tc>
        <w:tc>
          <w:tcPr>
            <w:tcW w:w="940" w:type="dxa"/>
            <w:vAlign w:val="bottom"/>
          </w:tcPr>
          <w:p>
            <w:pPr>
              <w:jc w:val="right"/>
              <w:spacing w:after="0"/>
              <w:rPr>
                <w:sz w:val="20"/>
                <w:szCs w:val="20"/>
                <w:color w:val="auto"/>
              </w:rPr>
            </w:pPr>
            <w:r>
              <w:rPr>
                <w:rFonts w:ascii="Arial" w:cs="Arial" w:eastAsia="Arial" w:hAnsi="Arial"/>
                <w:sz w:val="16"/>
                <w:szCs w:val="16"/>
                <w:color w:val="auto"/>
              </w:rPr>
              <w:t>4,029,763</w:t>
            </w:r>
          </w:p>
        </w:tc>
        <w:tc>
          <w:tcPr>
            <w:tcW w:w="1020" w:type="dxa"/>
            <w:vAlign w:val="bottom"/>
          </w:tcPr>
          <w:p>
            <w:pPr>
              <w:jc w:val="right"/>
              <w:spacing w:after="0"/>
              <w:rPr>
                <w:sz w:val="20"/>
                <w:szCs w:val="20"/>
                <w:color w:val="auto"/>
              </w:rPr>
            </w:pPr>
            <w:r>
              <w:rPr>
                <w:rFonts w:ascii="Arial" w:cs="Arial" w:eastAsia="Arial" w:hAnsi="Arial"/>
                <w:sz w:val="16"/>
                <w:szCs w:val="16"/>
                <w:color w:val="auto"/>
              </w:rPr>
              <w:t>6,951,340</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Cohen</w:t>
            </w: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23,174</w:t>
            </w:r>
          </w:p>
        </w:tc>
        <w:tc>
          <w:tcPr>
            <w:tcW w:w="840" w:type="dxa"/>
            <w:vAlign w:val="bottom"/>
          </w:tcPr>
          <w:p>
            <w:pPr>
              <w:jc w:val="right"/>
              <w:spacing w:after="0"/>
              <w:rPr>
                <w:sz w:val="20"/>
                <w:szCs w:val="20"/>
                <w:color w:val="auto"/>
              </w:rPr>
            </w:pPr>
            <w:r>
              <w:rPr>
                <w:rFonts w:ascii="Arial" w:cs="Arial" w:eastAsia="Arial" w:hAnsi="Arial"/>
                <w:sz w:val="16"/>
                <w:szCs w:val="16"/>
                <w:color w:val="auto"/>
              </w:rPr>
              <w:t>92,700</w:t>
            </w:r>
          </w:p>
        </w:tc>
        <w:tc>
          <w:tcPr>
            <w:tcW w:w="740" w:type="dxa"/>
            <w:vAlign w:val="bottom"/>
          </w:tcPr>
          <w:p>
            <w:pPr>
              <w:jc w:val="right"/>
              <w:spacing w:after="0"/>
              <w:rPr>
                <w:sz w:val="20"/>
                <w:szCs w:val="20"/>
                <w:color w:val="auto"/>
              </w:rPr>
            </w:pPr>
            <w:r>
              <w:rPr>
                <w:rFonts w:ascii="Arial" w:cs="Arial" w:eastAsia="Arial" w:hAnsi="Arial"/>
                <w:sz w:val="16"/>
                <w:szCs w:val="16"/>
                <w:color w:val="auto"/>
              </w:rPr>
              <w:t>115,874</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3,737,664</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ind w:right="426"/>
              <w:spacing w:after="0"/>
              <w:rPr>
                <w:sz w:val="20"/>
                <w:szCs w:val="20"/>
                <w:color w:val="auto"/>
              </w:rPr>
            </w:pPr>
            <w:r>
              <w:rPr>
                <w:rFonts w:ascii="Arial" w:cs="Arial" w:eastAsia="Arial" w:hAnsi="Arial"/>
                <w:sz w:val="16"/>
                <w:szCs w:val="16"/>
                <w:color w:val="auto"/>
              </w:rPr>
              <w:t>347,500</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2,748,725</w:t>
            </w: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David 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906,952</w:t>
            </w:r>
          </w:p>
        </w:tc>
        <w:tc>
          <w:tcPr>
            <w:tcW w:w="940" w:type="dxa"/>
            <w:vAlign w:val="bottom"/>
          </w:tcPr>
          <w:p>
            <w:pPr>
              <w:jc w:val="right"/>
              <w:spacing w:after="0"/>
              <w:rPr>
                <w:sz w:val="20"/>
                <w:szCs w:val="20"/>
                <w:color w:val="auto"/>
              </w:rPr>
            </w:pPr>
            <w:r>
              <w:rPr>
                <w:rFonts w:ascii="Arial" w:cs="Arial" w:eastAsia="Arial" w:hAnsi="Arial"/>
                <w:sz w:val="16"/>
                <w:szCs w:val="16"/>
                <w:color w:val="auto"/>
              </w:rPr>
              <w:t>4,534,760</w:t>
            </w:r>
          </w:p>
        </w:tc>
        <w:tc>
          <w:tcPr>
            <w:tcW w:w="1020" w:type="dxa"/>
            <w:vAlign w:val="bottom"/>
          </w:tcPr>
          <w:p>
            <w:pPr>
              <w:jc w:val="right"/>
              <w:spacing w:after="0"/>
              <w:rPr>
                <w:sz w:val="20"/>
                <w:szCs w:val="20"/>
                <w:color w:val="auto"/>
              </w:rPr>
            </w:pPr>
            <w:r>
              <w:rPr>
                <w:rFonts w:ascii="Arial" w:cs="Arial" w:eastAsia="Arial" w:hAnsi="Arial"/>
                <w:sz w:val="16"/>
                <w:szCs w:val="16"/>
                <w:color w:val="auto"/>
              </w:rPr>
              <w:t>7,935,830</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40" w:type="dxa"/>
            <w:vAlign w:val="bottom"/>
          </w:tcPr>
          <w:p>
            <w:pPr>
              <w:ind w:left="80"/>
              <w:spacing w:after="0"/>
              <w:rPr>
                <w:sz w:val="20"/>
                <w:szCs w:val="20"/>
                <w:color w:val="auto"/>
              </w:rPr>
            </w:pPr>
            <w:r>
              <w:rPr>
                <w:rFonts w:ascii="Arial" w:cs="Arial" w:eastAsia="Arial" w:hAnsi="Arial"/>
                <w:sz w:val="16"/>
                <w:szCs w:val="16"/>
                <w:b w:val="1"/>
                <w:bCs w:val="1"/>
                <w:color w:val="auto"/>
              </w:rPr>
              <w:t>Watson</w:t>
            </w: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jc w:val="right"/>
              <w:ind w:right="185"/>
              <w:spacing w:after="0"/>
              <w:rPr>
                <w:sz w:val="20"/>
                <w:szCs w:val="20"/>
                <w:color w:val="auto"/>
              </w:rPr>
            </w:pPr>
            <w:r>
              <w:rPr>
                <w:rFonts w:ascii="Arial" w:cs="Arial" w:eastAsia="Arial" w:hAnsi="Arial"/>
                <w:sz w:val="16"/>
                <w:szCs w:val="16"/>
                <w:color w:val="auto"/>
              </w:rPr>
              <w:t>20,074</w:t>
            </w:r>
          </w:p>
        </w:tc>
        <w:tc>
          <w:tcPr>
            <w:tcW w:w="840" w:type="dxa"/>
            <w:vAlign w:val="bottom"/>
          </w:tcPr>
          <w:p>
            <w:pPr>
              <w:jc w:val="right"/>
              <w:spacing w:after="0"/>
              <w:rPr>
                <w:sz w:val="20"/>
                <w:szCs w:val="20"/>
                <w:color w:val="auto"/>
              </w:rPr>
            </w:pPr>
            <w:r>
              <w:rPr>
                <w:rFonts w:ascii="Arial" w:cs="Arial" w:eastAsia="Arial" w:hAnsi="Arial"/>
                <w:sz w:val="16"/>
                <w:szCs w:val="16"/>
                <w:color w:val="auto"/>
              </w:rPr>
              <w:t>80,300</w:t>
            </w:r>
          </w:p>
        </w:tc>
        <w:tc>
          <w:tcPr>
            <w:tcW w:w="740" w:type="dxa"/>
            <w:vAlign w:val="bottom"/>
          </w:tcPr>
          <w:p>
            <w:pPr>
              <w:jc w:val="right"/>
              <w:spacing w:after="0"/>
              <w:rPr>
                <w:sz w:val="20"/>
                <w:szCs w:val="20"/>
                <w:color w:val="auto"/>
              </w:rPr>
            </w:pPr>
            <w:r>
              <w:rPr>
                <w:rFonts w:ascii="Arial" w:cs="Arial" w:eastAsia="Arial" w:hAnsi="Arial"/>
                <w:sz w:val="16"/>
                <w:szCs w:val="16"/>
                <w:color w:val="auto"/>
              </w:rPr>
              <w:t>100,374</w:t>
            </w:r>
          </w:p>
        </w:tc>
        <w:tc>
          <w:tcPr>
            <w:tcW w:w="1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3,237,696</w:t>
            </w:r>
          </w:p>
        </w:tc>
      </w:tr>
      <w:tr>
        <w:trPr>
          <w:trHeight w:val="216"/>
        </w:trPr>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3/15/2019</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jc w:val="right"/>
              <w:ind w:right="426"/>
              <w:spacing w:after="0"/>
              <w:rPr>
                <w:sz w:val="20"/>
                <w:szCs w:val="20"/>
                <w:color w:val="auto"/>
              </w:rPr>
            </w:pPr>
            <w:r>
              <w:rPr>
                <w:rFonts w:ascii="Arial" w:cs="Arial" w:eastAsia="Arial" w:hAnsi="Arial"/>
                <w:sz w:val="16"/>
                <w:szCs w:val="16"/>
                <w:color w:val="auto"/>
              </w:rPr>
              <w:t>411,000</w:t>
            </w: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40.47</w:t>
            </w:r>
          </w:p>
        </w:tc>
        <w:tc>
          <w:tcPr>
            <w:tcW w:w="900" w:type="dxa"/>
            <w:vAlign w:val="bottom"/>
          </w:tcPr>
          <w:p>
            <w:pPr>
              <w:jc w:val="right"/>
              <w:spacing w:after="0"/>
              <w:rPr>
                <w:sz w:val="20"/>
                <w:szCs w:val="20"/>
                <w:color w:val="auto"/>
              </w:rPr>
            </w:pPr>
            <w:r>
              <w:rPr>
                <w:rFonts w:ascii="Arial" w:cs="Arial" w:eastAsia="Arial" w:hAnsi="Arial"/>
                <w:sz w:val="16"/>
                <w:szCs w:val="16"/>
                <w:color w:val="auto"/>
              </w:rPr>
              <w:t>3,251,010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 w:lineRule="exact"/>
        <w:rPr>
          <w:sz w:val="20"/>
          <w:szCs w:val="20"/>
          <w:color w:val="auto"/>
        </w:rPr>
      </w:pPr>
    </w:p>
    <w:p>
      <w:pPr>
        <w:ind w:left="760" w:right="60" w:hanging="644"/>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2019 are included in the “Summary Compensation Table” above under the “Non-Equity Incentive Plan Compensation” column.</w:t>
      </w:r>
    </w:p>
    <w:p>
      <w:pPr>
        <w:spacing w:after="0" w:line="108" w:lineRule="exact"/>
        <w:rPr>
          <w:rFonts w:ascii="Arial" w:cs="Arial" w:eastAsia="Arial" w:hAnsi="Arial"/>
          <w:sz w:val="18"/>
          <w:szCs w:val="18"/>
          <w:color w:val="auto"/>
        </w:rPr>
      </w:pPr>
    </w:p>
    <w:p>
      <w:pPr>
        <w:jc w:val="both"/>
        <w:ind w:left="760" w:right="60" w:hanging="644"/>
        <w:spacing w:after="0" w:line="248" w:lineRule="auto"/>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amounts in columns (d) through (f) represent shares of our Class A common stock underlying PSUs granted under our 2002 Restricted Stock Plan. Amounts in columns (d) through (f) represent shares underlying PSUs that vest based on the achievement of the performance condition as described above in “Compensation Discussion and Analysis — Compensation Decisions for 2019</w:t>
      </w:r>
    </w:p>
    <w:p>
      <w:pPr>
        <w:spacing w:after="0" w:line="1" w:lineRule="exact"/>
        <w:rPr>
          <w:rFonts w:ascii="Arial" w:cs="Arial" w:eastAsia="Arial" w:hAnsi="Arial"/>
          <w:sz w:val="17"/>
          <w:szCs w:val="17"/>
          <w:color w:val="auto"/>
        </w:rPr>
      </w:pPr>
    </w:p>
    <w:p>
      <w:pPr>
        <w:ind w:left="760" w:right="40"/>
        <w:spacing w:after="0"/>
        <w:rPr>
          <w:rFonts w:ascii="Arial" w:cs="Arial" w:eastAsia="Arial" w:hAnsi="Arial"/>
          <w:sz w:val="17"/>
          <w:szCs w:val="17"/>
          <w:color w:val="auto"/>
        </w:rPr>
      </w:pPr>
      <w:r>
        <w:rPr>
          <w:rFonts w:ascii="Arial" w:cs="Arial" w:eastAsia="Arial" w:hAnsi="Arial"/>
          <w:sz w:val="18"/>
          <w:szCs w:val="18"/>
          <w:color w:val="auto"/>
        </w:rPr>
        <w:t>— Equity-Based Incentive Compensation.” The PSUs vest as follows: 15% on the 13-month anniversary, and the second, third and fourth anniversaries, of the date of grant and 40% on the fifth anniversary of the date of grant. Dividend equivalents accrue on shares underlying PSUs, although the amounts only will be paid (without interest) if and when the shares underlying PSUs vest.</w:t>
      </w:r>
    </w:p>
    <w:p>
      <w:pPr>
        <w:spacing w:after="0" w:line="108" w:lineRule="exact"/>
        <w:rPr>
          <w:rFonts w:ascii="Arial" w:cs="Arial" w:eastAsia="Arial" w:hAnsi="Arial"/>
          <w:sz w:val="17"/>
          <w:szCs w:val="17"/>
          <w:color w:val="auto"/>
        </w:rPr>
      </w:pPr>
    </w:p>
    <w:p>
      <w:pPr>
        <w:ind w:left="760" w:right="20" w:hanging="644"/>
        <w:spacing w:after="0" w:line="238"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Options become exercisable as follows: 30% of the shares become exercisable on the second anniversary of the date of grant, 15% on each of the third, fourth and fifth anniversaries of the date of grant, 5% on each of the sixth through ninth anniversaries of the date of grant and 5% on the nine-and-a-half-year anniversary of the date of grant.</w:t>
      </w:r>
    </w:p>
    <w:p>
      <w:pPr>
        <w:spacing w:after="0" w:line="110" w:lineRule="exact"/>
        <w:rPr>
          <w:rFonts w:ascii="Arial" w:cs="Arial" w:eastAsia="Arial" w:hAnsi="Arial"/>
          <w:sz w:val="18"/>
          <w:szCs w:val="18"/>
          <w:color w:val="auto"/>
        </w:rPr>
      </w:pPr>
    </w:p>
    <w:p>
      <w:pPr>
        <w:ind w:left="760" w:right="40" w:hanging="644"/>
        <w:spacing w:after="0" w:line="248" w:lineRule="auto"/>
        <w:tabs>
          <w:tab w:leader="none" w:pos="7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(1) to the “Summary Compensation Table.” Amounts with respect to stock options were calculated using the Black-Scholes option-pricing model, based upon the assumptions set forth in footnote</w:t>
      </w:r>
    </w:p>
    <w:p>
      <w:pPr>
        <w:spacing w:after="0" w:line="2"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(2) to the “Summary Compensation Table.”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OUTSTANDING EQUITY AWARDS AT FISCAL YEAR-END</w:t>
      </w:r>
    </w:p>
    <w:p>
      <w:pPr>
        <w:spacing w:after="0" w:line="126"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following table provides information on the holdings of stock option and stock awards by our NEOs as of December 31, 2019. This table includes unexercised vested and unvested options to purchase shares of Class A common stock (see columns (a), (b), (c) and (d)), unvested RSUs with respect to shares of Class A common stock (see columns (e) and (f)) and unvested PSUs with respect to shares of Class A common stock (see columns (g) and (h)). The vesting schedules for these grants are disclosed in the footnotes to this table. The market value of stock awards is based on the closing market price of a share of our Class A common stock as of December 31, 2019, or $44.97.</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040" w:type="dxa"/>
            <w:vAlign w:val="bottom"/>
            <w:tcBorders>
              <w:bottom w:val="single" w:sz="8" w:color="DDF2F9"/>
            </w:tcBorders>
          </w:tcPr>
          <w:p>
            <w:pPr>
              <w:spacing w:after="0"/>
              <w:rPr>
                <w:sz w:val="17"/>
                <w:szCs w:val="17"/>
                <w:color w:val="auto"/>
              </w:rPr>
            </w:pPr>
          </w:p>
        </w:tc>
        <w:tc>
          <w:tcPr>
            <w:tcW w:w="1040" w:type="dxa"/>
            <w:vAlign w:val="bottom"/>
            <w:tcBorders>
              <w:top w:val="single" w:sz="8" w:color="auto"/>
              <w:bottom w:val="single" w:sz="8" w:color="auto"/>
            </w:tcBorders>
            <w:shd w:val="clear" w:color="auto" w:fill="F2F2F2"/>
          </w:tcPr>
          <w:p>
            <w:pPr>
              <w:spacing w:after="0"/>
              <w:rPr>
                <w:sz w:val="17"/>
                <w:szCs w:val="17"/>
                <w:color w:val="auto"/>
              </w:rPr>
            </w:pPr>
          </w:p>
        </w:tc>
        <w:tc>
          <w:tcPr>
            <w:tcW w:w="1940" w:type="dxa"/>
            <w:vAlign w:val="bottom"/>
            <w:tcBorders>
              <w:top w:val="single" w:sz="8" w:color="auto"/>
              <w:bottom w:val="single" w:sz="8" w:color="auto"/>
            </w:tcBorders>
            <w:gridSpan w:val="2"/>
            <w:shd w:val="clear" w:color="auto" w:fill="F2F2F2"/>
          </w:tcPr>
          <w:p>
            <w:pPr>
              <w:jc w:val="right"/>
              <w:ind w:right="320"/>
              <w:spacing w:after="0"/>
              <w:rPr>
                <w:sz w:val="20"/>
                <w:szCs w:val="20"/>
                <w:color w:val="auto"/>
              </w:rPr>
            </w:pPr>
            <w:r>
              <w:rPr>
                <w:rFonts w:ascii="Arial" w:cs="Arial" w:eastAsia="Arial" w:hAnsi="Arial"/>
                <w:sz w:val="16"/>
                <w:szCs w:val="16"/>
                <w:b w:val="1"/>
                <w:bCs w:val="1"/>
                <w:color w:val="0A33A5"/>
              </w:rPr>
              <w:t>Option Awards</w:t>
            </w:r>
          </w:p>
        </w:tc>
        <w:tc>
          <w:tcPr>
            <w:tcW w:w="980" w:type="dxa"/>
            <w:vAlign w:val="bottom"/>
            <w:tcBorders>
              <w:top w:val="single" w:sz="8" w:color="auto"/>
              <w:bottom w:val="single" w:sz="8" w:color="auto"/>
              <w:right w:val="single" w:sz="8" w:color="auto"/>
            </w:tcBorders>
            <w:shd w:val="clear" w:color="auto" w:fill="F2F2F2"/>
          </w:tcPr>
          <w:p>
            <w:pPr>
              <w:spacing w:after="0"/>
              <w:rPr>
                <w:sz w:val="17"/>
                <w:szCs w:val="17"/>
                <w:color w:val="auto"/>
              </w:rPr>
            </w:pPr>
          </w:p>
        </w:tc>
        <w:tc>
          <w:tcPr>
            <w:tcW w:w="920" w:type="dxa"/>
            <w:vAlign w:val="bottom"/>
            <w:tcBorders>
              <w:top w:val="single" w:sz="8" w:color="auto"/>
              <w:bottom w:val="single" w:sz="8" w:color="auto"/>
            </w:tcBorders>
            <w:shd w:val="clear" w:color="auto" w:fill="F2F2F2"/>
          </w:tcPr>
          <w:p>
            <w:pPr>
              <w:spacing w:after="0"/>
              <w:rPr>
                <w:sz w:val="17"/>
                <w:szCs w:val="17"/>
                <w:color w:val="auto"/>
              </w:rPr>
            </w:pPr>
          </w:p>
        </w:tc>
        <w:tc>
          <w:tcPr>
            <w:tcW w:w="1060" w:type="dxa"/>
            <w:vAlign w:val="bottom"/>
            <w:tcBorders>
              <w:top w:val="single" w:sz="8" w:color="auto"/>
              <w:bottom w:val="single" w:sz="8" w:color="auto"/>
            </w:tcBorders>
            <w:shd w:val="clear" w:color="auto" w:fill="F2F2F2"/>
          </w:tcPr>
          <w:p>
            <w:pPr>
              <w:spacing w:after="0"/>
              <w:rPr>
                <w:sz w:val="17"/>
                <w:szCs w:val="17"/>
                <w:color w:val="auto"/>
              </w:rPr>
            </w:pPr>
          </w:p>
        </w:tc>
        <w:tc>
          <w:tcPr>
            <w:tcW w:w="1440" w:type="dxa"/>
            <w:vAlign w:val="bottom"/>
            <w:tcBorders>
              <w:top w:val="single" w:sz="8" w:color="auto"/>
              <w:bottom w:val="single" w:sz="8" w:color="auto"/>
            </w:tcBorders>
            <w:shd w:val="clear" w:color="auto" w:fill="F2F2F2"/>
          </w:tcPr>
          <w:p>
            <w:pPr>
              <w:jc w:val="right"/>
              <w:ind w:right="286"/>
              <w:spacing w:after="0"/>
              <w:rPr>
                <w:sz w:val="20"/>
                <w:szCs w:val="20"/>
                <w:color w:val="auto"/>
              </w:rPr>
            </w:pPr>
            <w:r>
              <w:rPr>
                <w:rFonts w:ascii="Arial" w:cs="Arial" w:eastAsia="Arial" w:hAnsi="Arial"/>
                <w:sz w:val="16"/>
                <w:szCs w:val="16"/>
                <w:b w:val="1"/>
                <w:bCs w:val="1"/>
                <w:color w:val="0A33A5"/>
              </w:rPr>
              <w:t>Stock Awards</w:t>
            </w:r>
          </w:p>
        </w:tc>
        <w:tc>
          <w:tcPr>
            <w:tcW w:w="180" w:type="dxa"/>
            <w:vAlign w:val="bottom"/>
            <w:tcBorders>
              <w:top w:val="single" w:sz="8" w:color="auto"/>
              <w:bottom w:val="single" w:sz="8" w:color="auto"/>
            </w:tcBorders>
            <w:shd w:val="clear" w:color="auto" w:fill="F2F2F2"/>
          </w:tcPr>
          <w:p>
            <w:pPr>
              <w:spacing w:after="0"/>
              <w:rPr>
                <w:sz w:val="17"/>
                <w:szCs w:val="17"/>
                <w:color w:val="auto"/>
              </w:rPr>
            </w:pPr>
          </w:p>
        </w:tc>
        <w:tc>
          <w:tcPr>
            <w:tcW w:w="1420" w:type="dxa"/>
            <w:vAlign w:val="bottom"/>
            <w:tcBorders>
              <w:top w:val="single" w:sz="8" w:color="auto"/>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DDF2F9"/>
          </w:tcPr>
          <w:p>
            <w:pPr>
              <w:spacing w:after="0"/>
              <w:rPr>
                <w:sz w:val="15"/>
                <w:szCs w:val="15"/>
                <w:color w:val="auto"/>
              </w:rPr>
            </w:pPr>
          </w:p>
        </w:tc>
        <w:tc>
          <w:tcPr>
            <w:tcW w:w="1040" w:type="dxa"/>
            <w:vAlign w:val="bottom"/>
            <w:shd w:val="clear" w:color="auto" w:fill="DDF2F9"/>
          </w:tcPr>
          <w:p>
            <w:pPr>
              <w:spacing w:after="0"/>
              <w:rPr>
                <w:sz w:val="15"/>
                <w:szCs w:val="15"/>
                <w:color w:val="auto"/>
              </w:rPr>
            </w:pPr>
          </w:p>
        </w:tc>
        <w:tc>
          <w:tcPr>
            <w:tcW w:w="1140" w:type="dxa"/>
            <w:vAlign w:val="bottom"/>
            <w:shd w:val="clear" w:color="auto" w:fill="DDF2F9"/>
          </w:tcPr>
          <w:p>
            <w:pPr>
              <w:spacing w:after="0"/>
              <w:rPr>
                <w:sz w:val="15"/>
                <w:szCs w:val="15"/>
                <w:color w:val="auto"/>
              </w:rPr>
            </w:pPr>
          </w:p>
        </w:tc>
        <w:tc>
          <w:tcPr>
            <w:tcW w:w="800" w:type="dxa"/>
            <w:vAlign w:val="bottom"/>
            <w:shd w:val="clear" w:color="auto" w:fill="DDF2F9"/>
          </w:tcPr>
          <w:p>
            <w:pPr>
              <w:spacing w:after="0"/>
              <w:rPr>
                <w:sz w:val="15"/>
                <w:szCs w:val="15"/>
                <w:color w:val="auto"/>
              </w:rPr>
            </w:pPr>
          </w:p>
        </w:tc>
        <w:tc>
          <w:tcPr>
            <w:tcW w:w="980" w:type="dxa"/>
            <w:vAlign w:val="bottom"/>
            <w:tcBorders>
              <w:right w:val="single" w:sz="8" w:color="DDF2F9"/>
            </w:tcBorders>
            <w:shd w:val="clear" w:color="auto" w:fill="DDF2F9"/>
          </w:tcPr>
          <w:p>
            <w:pPr>
              <w:spacing w:after="0"/>
              <w:rPr>
                <w:sz w:val="15"/>
                <w:szCs w:val="15"/>
                <w:color w:val="auto"/>
              </w:rPr>
            </w:pPr>
          </w:p>
        </w:tc>
        <w:tc>
          <w:tcPr>
            <w:tcW w:w="920" w:type="dxa"/>
            <w:vAlign w:val="bottom"/>
            <w:shd w:val="clear" w:color="auto" w:fill="DDF2F9"/>
          </w:tcPr>
          <w:p>
            <w:pPr>
              <w:spacing w:after="0"/>
              <w:rPr>
                <w:sz w:val="15"/>
                <w:szCs w:val="15"/>
                <w:color w:val="auto"/>
              </w:rPr>
            </w:pPr>
          </w:p>
        </w:tc>
        <w:tc>
          <w:tcPr>
            <w:tcW w:w="1060" w:type="dxa"/>
            <w:vAlign w:val="bottom"/>
            <w:shd w:val="clear" w:color="auto" w:fill="DDF2F9"/>
          </w:tcPr>
          <w:p>
            <w:pPr>
              <w:spacing w:after="0"/>
              <w:rPr>
                <w:sz w:val="15"/>
                <w:szCs w:val="15"/>
                <w:color w:val="auto"/>
              </w:rPr>
            </w:pPr>
          </w:p>
        </w:tc>
        <w:tc>
          <w:tcPr>
            <w:tcW w:w="14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Equity Incentive</w:t>
            </w:r>
          </w:p>
        </w:tc>
        <w:tc>
          <w:tcPr>
            <w:tcW w:w="1600" w:type="dxa"/>
            <w:vAlign w:val="bottom"/>
            <w:gridSpan w:val="2"/>
            <w:shd w:val="clear" w:color="auto" w:fill="DDF2F9"/>
          </w:tcPr>
          <w:p>
            <w:pPr>
              <w:jc w:val="center"/>
              <w:spacing w:after="0"/>
              <w:rPr>
                <w:sz w:val="20"/>
                <w:szCs w:val="20"/>
                <w:color w:val="auto"/>
              </w:rPr>
            </w:pPr>
            <w:r>
              <w:rPr>
                <w:rFonts w:ascii="Arial" w:cs="Arial" w:eastAsia="Arial" w:hAnsi="Arial"/>
                <w:sz w:val="14"/>
                <w:szCs w:val="14"/>
                <w:b w:val="1"/>
                <w:bCs w:val="1"/>
                <w:color w:val="0A33A5"/>
              </w:rPr>
              <w:t>Equity Incentive Plan</w:t>
            </w:r>
          </w:p>
        </w:tc>
        <w:tc>
          <w:tcPr>
            <w:tcW w:w="0" w:type="dxa"/>
            <w:vAlign w:val="bottom"/>
          </w:tcPr>
          <w:p>
            <w:pPr>
              <w:spacing w:after="0"/>
              <w:rPr>
                <w:sz w:val="1"/>
                <w:szCs w:val="1"/>
                <w:color w:val="auto"/>
              </w:rPr>
            </w:pPr>
          </w:p>
        </w:tc>
      </w:tr>
      <w:tr>
        <w:trPr>
          <w:trHeight w:val="162"/>
        </w:trPr>
        <w:tc>
          <w:tcPr>
            <w:tcW w:w="2040" w:type="dxa"/>
            <w:vAlign w:val="bottom"/>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800" w:type="dxa"/>
            <w:vAlign w:val="bottom"/>
            <w:shd w:val="clear" w:color="auto" w:fill="DDF2F9"/>
          </w:tcPr>
          <w:p>
            <w:pPr>
              <w:spacing w:after="0"/>
              <w:rPr>
                <w:sz w:val="14"/>
                <w:szCs w:val="14"/>
                <w:color w:val="auto"/>
              </w:rPr>
            </w:pPr>
          </w:p>
        </w:tc>
        <w:tc>
          <w:tcPr>
            <w:tcW w:w="980" w:type="dxa"/>
            <w:vAlign w:val="bottom"/>
            <w:tcBorders>
              <w:right w:val="single" w:sz="8" w:color="DDF2F9"/>
            </w:tcBorders>
            <w:shd w:val="clear" w:color="auto" w:fill="DDF2F9"/>
          </w:tcPr>
          <w:p>
            <w:pPr>
              <w:spacing w:after="0"/>
              <w:rPr>
                <w:sz w:val="14"/>
                <w:szCs w:val="14"/>
                <w:color w:val="auto"/>
              </w:rPr>
            </w:pPr>
          </w:p>
        </w:tc>
        <w:tc>
          <w:tcPr>
            <w:tcW w:w="9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1060" w:type="dxa"/>
            <w:vAlign w:val="bottom"/>
            <w:shd w:val="clear" w:color="auto" w:fill="DDF2F9"/>
          </w:tcPr>
          <w:p>
            <w:pPr>
              <w:spacing w:after="0"/>
              <w:rPr>
                <w:sz w:val="14"/>
                <w:szCs w:val="14"/>
                <w:color w:val="auto"/>
              </w:rPr>
            </w:pPr>
          </w:p>
        </w:tc>
        <w:tc>
          <w:tcPr>
            <w:tcW w:w="14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Plan Awards:</w:t>
            </w:r>
          </w:p>
        </w:tc>
        <w:tc>
          <w:tcPr>
            <w:tcW w:w="180" w:type="dxa"/>
            <w:vAlign w:val="bottom"/>
            <w:shd w:val="clear" w:color="auto" w:fill="DDF2F9"/>
          </w:tcPr>
          <w:p>
            <w:pPr>
              <w:spacing w:after="0"/>
              <w:rPr>
                <w:sz w:val="14"/>
                <w:szCs w:val="14"/>
                <w:color w:val="auto"/>
              </w:rPr>
            </w:pPr>
          </w:p>
        </w:tc>
        <w:tc>
          <w:tcPr>
            <w:tcW w:w="1420" w:type="dxa"/>
            <w:vAlign w:val="bottom"/>
            <w:shd w:val="clear" w:color="auto" w:fill="DDF2F9"/>
          </w:tcPr>
          <w:p>
            <w:pPr>
              <w:jc w:val="center"/>
              <w:ind w:right="85"/>
              <w:spacing w:after="0"/>
              <w:rPr>
                <w:sz w:val="20"/>
                <w:szCs w:val="20"/>
                <w:color w:val="auto"/>
              </w:rPr>
            </w:pPr>
            <w:r>
              <w:rPr>
                <w:rFonts w:ascii="Arial" w:cs="Arial" w:eastAsia="Arial" w:hAnsi="Arial"/>
                <w:sz w:val="14"/>
                <w:szCs w:val="14"/>
                <w:b w:val="1"/>
                <w:bCs w:val="1"/>
                <w:color w:val="0A33A5"/>
              </w:rPr>
              <w:t>Awards: Market</w:t>
            </w:r>
          </w:p>
        </w:tc>
        <w:tc>
          <w:tcPr>
            <w:tcW w:w="0" w:type="dxa"/>
            <w:vAlign w:val="bottom"/>
          </w:tcPr>
          <w:p>
            <w:pPr>
              <w:spacing w:after="0"/>
              <w:rPr>
                <w:sz w:val="1"/>
                <w:szCs w:val="1"/>
                <w:color w:val="auto"/>
              </w:rPr>
            </w:pPr>
          </w:p>
        </w:tc>
      </w:tr>
      <w:tr>
        <w:trPr>
          <w:trHeight w:val="162"/>
        </w:trPr>
        <w:tc>
          <w:tcPr>
            <w:tcW w:w="2040" w:type="dxa"/>
            <w:vAlign w:val="bottom"/>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Securities</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Securities</w:t>
            </w:r>
          </w:p>
        </w:tc>
        <w:tc>
          <w:tcPr>
            <w:tcW w:w="800" w:type="dxa"/>
            <w:vAlign w:val="bottom"/>
            <w:shd w:val="clear" w:color="auto" w:fill="DDF2F9"/>
          </w:tcPr>
          <w:p>
            <w:pPr>
              <w:spacing w:after="0"/>
              <w:rPr>
                <w:sz w:val="14"/>
                <w:szCs w:val="14"/>
                <w:color w:val="auto"/>
              </w:rPr>
            </w:pPr>
          </w:p>
        </w:tc>
        <w:tc>
          <w:tcPr>
            <w:tcW w:w="980" w:type="dxa"/>
            <w:vAlign w:val="bottom"/>
            <w:tcBorders>
              <w:right w:val="single" w:sz="8" w:color="DDF2F9"/>
            </w:tcBorders>
            <w:shd w:val="clear" w:color="auto" w:fill="DDF2F9"/>
          </w:tcPr>
          <w:p>
            <w:pPr>
              <w:spacing w:after="0"/>
              <w:rPr>
                <w:sz w:val="14"/>
                <w:szCs w:val="14"/>
                <w:color w:val="auto"/>
              </w:rPr>
            </w:pPr>
          </w:p>
        </w:tc>
        <w:tc>
          <w:tcPr>
            <w:tcW w:w="9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Shares or</w:t>
            </w: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Market Value</w:t>
            </w:r>
          </w:p>
        </w:tc>
        <w:tc>
          <w:tcPr>
            <w:tcW w:w="14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180" w:type="dxa"/>
            <w:vAlign w:val="bottom"/>
            <w:shd w:val="clear" w:color="auto" w:fill="DDF2F9"/>
          </w:tcPr>
          <w:p>
            <w:pPr>
              <w:spacing w:after="0"/>
              <w:rPr>
                <w:sz w:val="14"/>
                <w:szCs w:val="14"/>
                <w:color w:val="auto"/>
              </w:rPr>
            </w:pPr>
          </w:p>
        </w:tc>
        <w:tc>
          <w:tcPr>
            <w:tcW w:w="1420" w:type="dxa"/>
            <w:vAlign w:val="bottom"/>
            <w:shd w:val="clear" w:color="auto" w:fill="DDF2F9"/>
          </w:tcPr>
          <w:p>
            <w:pPr>
              <w:jc w:val="center"/>
              <w:ind w:right="105"/>
              <w:spacing w:after="0"/>
              <w:rPr>
                <w:sz w:val="20"/>
                <w:szCs w:val="20"/>
                <w:color w:val="auto"/>
              </w:rPr>
            </w:pPr>
            <w:r>
              <w:rPr>
                <w:rFonts w:ascii="Arial" w:cs="Arial" w:eastAsia="Arial" w:hAnsi="Arial"/>
                <w:sz w:val="14"/>
                <w:szCs w:val="14"/>
                <w:b w:val="1"/>
                <w:bCs w:val="1"/>
                <w:color w:val="0A33A5"/>
              </w:rPr>
              <w:t>Value or Payout</w:t>
            </w:r>
          </w:p>
        </w:tc>
        <w:tc>
          <w:tcPr>
            <w:tcW w:w="0" w:type="dxa"/>
            <w:vAlign w:val="bottom"/>
          </w:tcPr>
          <w:p>
            <w:pPr>
              <w:spacing w:after="0"/>
              <w:rPr>
                <w:sz w:val="1"/>
                <w:szCs w:val="1"/>
                <w:color w:val="auto"/>
              </w:rPr>
            </w:pPr>
          </w:p>
        </w:tc>
      </w:tr>
      <w:tr>
        <w:trPr>
          <w:trHeight w:val="162"/>
        </w:trPr>
        <w:tc>
          <w:tcPr>
            <w:tcW w:w="2040" w:type="dxa"/>
            <w:vAlign w:val="bottom"/>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Underlying</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Underlying</w:t>
            </w:r>
          </w:p>
        </w:tc>
        <w:tc>
          <w:tcPr>
            <w:tcW w:w="800" w:type="dxa"/>
            <w:vAlign w:val="bottom"/>
            <w:shd w:val="clear" w:color="auto" w:fill="DDF2F9"/>
          </w:tcPr>
          <w:p>
            <w:pPr>
              <w:spacing w:after="0"/>
              <w:rPr>
                <w:sz w:val="14"/>
                <w:szCs w:val="14"/>
                <w:color w:val="auto"/>
              </w:rPr>
            </w:pPr>
          </w:p>
        </w:tc>
        <w:tc>
          <w:tcPr>
            <w:tcW w:w="980" w:type="dxa"/>
            <w:vAlign w:val="bottom"/>
            <w:tcBorders>
              <w:right w:val="single" w:sz="8" w:color="DDF2F9"/>
            </w:tcBorders>
            <w:shd w:val="clear" w:color="auto" w:fill="DDF2F9"/>
          </w:tcPr>
          <w:p>
            <w:pPr>
              <w:spacing w:after="0"/>
              <w:rPr>
                <w:sz w:val="14"/>
                <w:szCs w:val="14"/>
                <w:color w:val="auto"/>
              </w:rPr>
            </w:pPr>
          </w:p>
        </w:tc>
        <w:tc>
          <w:tcPr>
            <w:tcW w:w="9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Units of</w:t>
            </w: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of Shares or</w:t>
            </w:r>
          </w:p>
        </w:tc>
        <w:tc>
          <w:tcPr>
            <w:tcW w:w="14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Unearned Shares,</w:t>
            </w:r>
          </w:p>
        </w:tc>
        <w:tc>
          <w:tcPr>
            <w:tcW w:w="180" w:type="dxa"/>
            <w:vAlign w:val="bottom"/>
            <w:shd w:val="clear" w:color="auto" w:fill="DDF2F9"/>
          </w:tcPr>
          <w:p>
            <w:pPr>
              <w:spacing w:after="0"/>
              <w:rPr>
                <w:sz w:val="14"/>
                <w:szCs w:val="14"/>
                <w:color w:val="auto"/>
              </w:rPr>
            </w:pPr>
          </w:p>
        </w:tc>
        <w:tc>
          <w:tcPr>
            <w:tcW w:w="1420" w:type="dxa"/>
            <w:vAlign w:val="bottom"/>
            <w:shd w:val="clear" w:color="auto" w:fill="DDF2F9"/>
          </w:tcPr>
          <w:p>
            <w:pPr>
              <w:jc w:val="center"/>
              <w:ind w:right="85"/>
              <w:spacing w:after="0"/>
              <w:rPr>
                <w:sz w:val="20"/>
                <w:szCs w:val="20"/>
                <w:color w:val="auto"/>
              </w:rPr>
            </w:pPr>
            <w:r>
              <w:rPr>
                <w:rFonts w:ascii="Arial" w:cs="Arial" w:eastAsia="Arial" w:hAnsi="Arial"/>
                <w:sz w:val="14"/>
                <w:szCs w:val="14"/>
                <w:b w:val="1"/>
                <w:bCs w:val="1"/>
                <w:color w:val="0A33A5"/>
              </w:rPr>
              <w:t>Value of Unearned</w:t>
            </w:r>
          </w:p>
        </w:tc>
        <w:tc>
          <w:tcPr>
            <w:tcW w:w="0" w:type="dxa"/>
            <w:vAlign w:val="bottom"/>
          </w:tcPr>
          <w:p>
            <w:pPr>
              <w:spacing w:after="0"/>
              <w:rPr>
                <w:sz w:val="1"/>
                <w:szCs w:val="1"/>
                <w:color w:val="auto"/>
              </w:rPr>
            </w:pPr>
          </w:p>
        </w:tc>
      </w:tr>
      <w:tr>
        <w:trPr>
          <w:trHeight w:val="162"/>
        </w:trPr>
        <w:tc>
          <w:tcPr>
            <w:tcW w:w="2040" w:type="dxa"/>
            <w:vAlign w:val="bottom"/>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Unexercised</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Unexercised</w:t>
            </w:r>
          </w:p>
        </w:tc>
        <w:tc>
          <w:tcPr>
            <w:tcW w:w="8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Option</w:t>
            </w:r>
          </w:p>
        </w:tc>
        <w:tc>
          <w:tcPr>
            <w:tcW w:w="98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Option</w:t>
            </w:r>
          </w:p>
        </w:tc>
        <w:tc>
          <w:tcPr>
            <w:tcW w:w="9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Stock That</w:t>
            </w: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Units of Stock</w:t>
            </w:r>
          </w:p>
        </w:tc>
        <w:tc>
          <w:tcPr>
            <w:tcW w:w="14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Units or Other</w:t>
            </w:r>
          </w:p>
        </w:tc>
        <w:tc>
          <w:tcPr>
            <w:tcW w:w="180" w:type="dxa"/>
            <w:vAlign w:val="bottom"/>
            <w:shd w:val="clear" w:color="auto" w:fill="DDF2F9"/>
          </w:tcPr>
          <w:p>
            <w:pPr>
              <w:spacing w:after="0"/>
              <w:rPr>
                <w:sz w:val="14"/>
                <w:szCs w:val="14"/>
                <w:color w:val="auto"/>
              </w:rPr>
            </w:pPr>
          </w:p>
        </w:tc>
        <w:tc>
          <w:tcPr>
            <w:tcW w:w="1420" w:type="dxa"/>
            <w:vAlign w:val="bottom"/>
            <w:shd w:val="clear" w:color="auto" w:fill="DDF2F9"/>
          </w:tcPr>
          <w:p>
            <w:pPr>
              <w:jc w:val="center"/>
              <w:ind w:right="85"/>
              <w:spacing w:after="0"/>
              <w:rPr>
                <w:sz w:val="20"/>
                <w:szCs w:val="20"/>
                <w:color w:val="auto"/>
              </w:rPr>
            </w:pPr>
            <w:r>
              <w:rPr>
                <w:rFonts w:ascii="Arial" w:cs="Arial" w:eastAsia="Arial" w:hAnsi="Arial"/>
                <w:sz w:val="14"/>
                <w:szCs w:val="14"/>
                <w:b w:val="1"/>
                <w:bCs w:val="1"/>
                <w:color w:val="0A33A5"/>
              </w:rPr>
              <w:t>Shares, Units or</w:t>
            </w:r>
          </w:p>
        </w:tc>
        <w:tc>
          <w:tcPr>
            <w:tcW w:w="0" w:type="dxa"/>
            <w:vAlign w:val="bottom"/>
          </w:tcPr>
          <w:p>
            <w:pPr>
              <w:spacing w:after="0"/>
              <w:rPr>
                <w:sz w:val="1"/>
                <w:szCs w:val="1"/>
                <w:color w:val="auto"/>
              </w:rPr>
            </w:pPr>
          </w:p>
        </w:tc>
      </w:tr>
      <w:tr>
        <w:trPr>
          <w:trHeight w:val="159"/>
        </w:trPr>
        <w:tc>
          <w:tcPr>
            <w:tcW w:w="2040" w:type="dxa"/>
            <w:vAlign w:val="bottom"/>
            <w:vMerge w:val="restart"/>
            <w:shd w:val="clear" w:color="auto" w:fill="DDF2F9"/>
          </w:tcPr>
          <w:p>
            <w:pPr>
              <w:ind w:left="60"/>
              <w:spacing w:after="0"/>
              <w:rPr>
                <w:sz w:val="20"/>
                <w:szCs w:val="20"/>
                <w:color w:val="auto"/>
              </w:rPr>
            </w:pPr>
            <w:r>
              <w:rPr>
                <w:rFonts w:ascii="Arial" w:cs="Arial" w:eastAsia="Arial" w:hAnsi="Arial"/>
                <w:sz w:val="14"/>
                <w:szCs w:val="14"/>
                <w:b w:val="1"/>
                <w:bCs w:val="1"/>
                <w:color w:val="0A33A5"/>
              </w:rPr>
              <w:t>Name</w:t>
            </w:r>
          </w:p>
        </w:tc>
        <w:tc>
          <w:tcPr>
            <w:tcW w:w="10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Options</w:t>
            </w:r>
          </w:p>
        </w:tc>
        <w:tc>
          <w:tcPr>
            <w:tcW w:w="11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Options</w:t>
            </w:r>
          </w:p>
        </w:tc>
        <w:tc>
          <w:tcPr>
            <w:tcW w:w="80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Exercise</w:t>
            </w:r>
          </w:p>
        </w:tc>
        <w:tc>
          <w:tcPr>
            <w:tcW w:w="980" w:type="dxa"/>
            <w:vAlign w:val="bottom"/>
            <w:tcBorders>
              <w:right w:val="single" w:sz="8" w:color="DDF2F9"/>
            </w:tcBorders>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Expiration</w:t>
            </w:r>
          </w:p>
        </w:tc>
        <w:tc>
          <w:tcPr>
            <w:tcW w:w="92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Have Not</w:t>
            </w:r>
          </w:p>
        </w:tc>
        <w:tc>
          <w:tcPr>
            <w:tcW w:w="106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That Have</w:t>
            </w:r>
          </w:p>
        </w:tc>
        <w:tc>
          <w:tcPr>
            <w:tcW w:w="14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Rights That Have</w:t>
            </w:r>
          </w:p>
        </w:tc>
        <w:tc>
          <w:tcPr>
            <w:tcW w:w="180" w:type="dxa"/>
            <w:vAlign w:val="bottom"/>
            <w:shd w:val="clear" w:color="auto" w:fill="DDF2F9"/>
          </w:tcPr>
          <w:p>
            <w:pPr>
              <w:spacing w:after="0"/>
              <w:rPr>
                <w:sz w:val="13"/>
                <w:szCs w:val="13"/>
                <w:color w:val="auto"/>
              </w:rPr>
            </w:pPr>
          </w:p>
        </w:tc>
        <w:tc>
          <w:tcPr>
            <w:tcW w:w="1420" w:type="dxa"/>
            <w:vAlign w:val="bottom"/>
            <w:shd w:val="clear" w:color="auto" w:fill="DDF2F9"/>
          </w:tcPr>
          <w:p>
            <w:pPr>
              <w:jc w:val="center"/>
              <w:ind w:right="85"/>
              <w:spacing w:after="0" w:line="159" w:lineRule="exact"/>
              <w:rPr>
                <w:sz w:val="20"/>
                <w:szCs w:val="20"/>
                <w:color w:val="auto"/>
              </w:rPr>
            </w:pPr>
            <w:r>
              <w:rPr>
                <w:rFonts w:ascii="Arial" w:cs="Arial" w:eastAsia="Arial" w:hAnsi="Arial"/>
                <w:sz w:val="14"/>
                <w:szCs w:val="14"/>
                <w:b w:val="1"/>
                <w:bCs w:val="1"/>
                <w:color w:val="0A33A5"/>
              </w:rPr>
              <w:t>Other Rights That</w:t>
            </w:r>
          </w:p>
        </w:tc>
        <w:tc>
          <w:tcPr>
            <w:tcW w:w="0" w:type="dxa"/>
            <w:vAlign w:val="bottom"/>
          </w:tcPr>
          <w:p>
            <w:pPr>
              <w:spacing w:after="0"/>
              <w:rPr>
                <w:sz w:val="1"/>
                <w:szCs w:val="1"/>
                <w:color w:val="auto"/>
              </w:rPr>
            </w:pPr>
          </w:p>
        </w:tc>
      </w:tr>
      <w:tr>
        <w:trPr>
          <w:trHeight w:val="165"/>
        </w:trPr>
        <w:tc>
          <w:tcPr>
            <w:tcW w:w="2040" w:type="dxa"/>
            <w:vAlign w:val="bottom"/>
            <w:vMerge w:val="continue"/>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Exercisable</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Unexercisable</w:t>
            </w:r>
          </w:p>
        </w:tc>
        <w:tc>
          <w:tcPr>
            <w:tcW w:w="8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Price</w:t>
            </w:r>
          </w:p>
        </w:tc>
        <w:tc>
          <w:tcPr>
            <w:tcW w:w="98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Date</w:t>
            </w:r>
          </w:p>
        </w:tc>
        <w:tc>
          <w:tcPr>
            <w:tcW w:w="920" w:type="dxa"/>
            <w:vAlign w:val="bottom"/>
            <w:shd w:val="clear" w:color="auto" w:fill="DDF2F9"/>
          </w:tcPr>
          <w:p>
            <w:pPr>
              <w:jc w:val="center"/>
              <w:spacing w:after="0" w:line="165" w:lineRule="exact"/>
              <w:rPr>
                <w:sz w:val="20"/>
                <w:szCs w:val="20"/>
                <w:color w:val="auto"/>
              </w:rPr>
            </w:pPr>
            <w:r>
              <w:rPr>
                <w:rFonts w:ascii="Arial" w:cs="Arial" w:eastAsia="Arial" w:hAnsi="Arial"/>
                <w:sz w:val="12"/>
                <w:szCs w:val="12"/>
                <w:b w:val="1"/>
                <w:bCs w:val="1"/>
                <w:color w:val="0A33A5"/>
              </w:rPr>
              <w:t>Vested</w:t>
            </w:r>
            <w:r>
              <w:rPr>
                <w:rFonts w:ascii="Arial" w:cs="Arial" w:eastAsia="Arial" w:hAnsi="Arial"/>
                <w:sz w:val="19"/>
                <w:szCs w:val="19"/>
                <w:b w:val="1"/>
                <w:bCs w:val="1"/>
                <w:color w:val="0A33A5"/>
                <w:vertAlign w:val="superscript"/>
              </w:rPr>
              <w:t>(5)</w:t>
            </w: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Not Vested</w:t>
            </w:r>
          </w:p>
        </w:tc>
        <w:tc>
          <w:tcPr>
            <w:tcW w:w="1440" w:type="dxa"/>
            <w:vAlign w:val="bottom"/>
            <w:shd w:val="clear" w:color="auto" w:fill="DDF2F9"/>
          </w:tcPr>
          <w:p>
            <w:pPr>
              <w:jc w:val="center"/>
              <w:spacing w:after="0" w:line="165" w:lineRule="exact"/>
              <w:rPr>
                <w:sz w:val="20"/>
                <w:szCs w:val="20"/>
                <w:color w:val="auto"/>
              </w:rPr>
            </w:pPr>
            <w:r>
              <w:rPr>
                <w:rFonts w:ascii="Arial" w:cs="Arial" w:eastAsia="Arial" w:hAnsi="Arial"/>
                <w:sz w:val="12"/>
                <w:szCs w:val="12"/>
                <w:b w:val="1"/>
                <w:bCs w:val="1"/>
                <w:color w:val="0A33A5"/>
              </w:rPr>
              <w:t>Not Vested</w:t>
            </w:r>
            <w:r>
              <w:rPr>
                <w:rFonts w:ascii="Arial" w:cs="Arial" w:eastAsia="Arial" w:hAnsi="Arial"/>
                <w:sz w:val="19"/>
                <w:szCs w:val="19"/>
                <w:b w:val="1"/>
                <w:bCs w:val="1"/>
                <w:color w:val="0A33A5"/>
                <w:vertAlign w:val="superscript"/>
              </w:rPr>
              <w:t>(5)</w:t>
            </w:r>
          </w:p>
        </w:tc>
        <w:tc>
          <w:tcPr>
            <w:tcW w:w="180" w:type="dxa"/>
            <w:vAlign w:val="bottom"/>
            <w:shd w:val="clear" w:color="auto" w:fill="DDF2F9"/>
          </w:tcPr>
          <w:p>
            <w:pPr>
              <w:spacing w:after="0"/>
              <w:rPr>
                <w:sz w:val="14"/>
                <w:szCs w:val="14"/>
                <w:color w:val="auto"/>
              </w:rPr>
            </w:pPr>
          </w:p>
        </w:tc>
        <w:tc>
          <w:tcPr>
            <w:tcW w:w="1420" w:type="dxa"/>
            <w:vAlign w:val="bottom"/>
            <w:shd w:val="clear" w:color="auto" w:fill="DDF2F9"/>
          </w:tcPr>
          <w:p>
            <w:pPr>
              <w:jc w:val="center"/>
              <w:ind w:right="85"/>
              <w:spacing w:after="0"/>
              <w:rPr>
                <w:sz w:val="20"/>
                <w:szCs w:val="20"/>
                <w:color w:val="auto"/>
              </w:rPr>
            </w:pPr>
            <w:r>
              <w:rPr>
                <w:rFonts w:ascii="Arial" w:cs="Arial" w:eastAsia="Arial" w:hAnsi="Arial"/>
                <w:sz w:val="14"/>
                <w:szCs w:val="14"/>
                <w:b w:val="1"/>
                <w:bCs w:val="1"/>
                <w:color w:val="0A33A5"/>
              </w:rPr>
              <w:t>Have Not Vested</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shd w:val="clear" w:color="auto" w:fill="DDF2F9"/>
          </w:tcPr>
          <w:p>
            <w:pPr>
              <w:spacing w:after="0"/>
              <w:rPr>
                <w:sz w:val="16"/>
                <w:szCs w:val="16"/>
                <w:color w:val="auto"/>
              </w:rPr>
            </w:pPr>
          </w:p>
        </w:tc>
        <w:tc>
          <w:tcPr>
            <w:tcW w:w="10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(a)</w:t>
            </w:r>
          </w:p>
        </w:tc>
        <w:tc>
          <w:tcPr>
            <w:tcW w:w="11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(b)</w:t>
            </w:r>
          </w:p>
        </w:tc>
        <w:tc>
          <w:tcPr>
            <w:tcW w:w="8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w w:val="93"/>
              </w:rPr>
              <w:t>(c)</w:t>
            </w:r>
          </w:p>
        </w:tc>
        <w:tc>
          <w:tcPr>
            <w:tcW w:w="980" w:type="dxa"/>
            <w:vAlign w:val="bottom"/>
            <w:tcBorders>
              <w:bottom w:val="single" w:sz="8" w:color="auto"/>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(d)</w:t>
            </w:r>
          </w:p>
        </w:tc>
        <w:tc>
          <w:tcPr>
            <w:tcW w:w="9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(e)</w:t>
            </w:r>
          </w:p>
        </w:tc>
        <w:tc>
          <w:tcPr>
            <w:tcW w:w="10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w w:val="99"/>
              </w:rPr>
              <w:t>(f)</w:t>
            </w:r>
          </w:p>
        </w:tc>
        <w:tc>
          <w:tcPr>
            <w:tcW w:w="14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(g)</w:t>
            </w:r>
          </w:p>
        </w:tc>
        <w:tc>
          <w:tcPr>
            <w:tcW w:w="180" w:type="dxa"/>
            <w:vAlign w:val="bottom"/>
            <w:tcBorders>
              <w:bottom w:val="single" w:sz="8" w:color="auto"/>
            </w:tcBorders>
            <w:shd w:val="clear" w:color="auto" w:fill="DDF2F9"/>
          </w:tcPr>
          <w:p>
            <w:pPr>
              <w:spacing w:after="0"/>
              <w:rPr>
                <w:sz w:val="16"/>
                <w:szCs w:val="16"/>
                <w:color w:val="auto"/>
              </w:rPr>
            </w:pPr>
          </w:p>
        </w:tc>
        <w:tc>
          <w:tcPr>
            <w:tcW w:w="1420" w:type="dxa"/>
            <w:vAlign w:val="bottom"/>
            <w:tcBorders>
              <w:bottom w:val="single" w:sz="8" w:color="auto"/>
            </w:tcBorders>
            <w:shd w:val="clear" w:color="auto" w:fill="DDF2F9"/>
          </w:tcPr>
          <w:p>
            <w:pPr>
              <w:jc w:val="center"/>
              <w:ind w:right="85"/>
              <w:spacing w:after="0"/>
              <w:rPr>
                <w:sz w:val="20"/>
                <w:szCs w:val="20"/>
                <w:color w:val="auto"/>
              </w:rPr>
            </w:pPr>
            <w:r>
              <w:rPr>
                <w:rFonts w:ascii="Arial" w:cs="Arial" w:eastAsia="Arial" w:hAnsi="Arial"/>
                <w:sz w:val="14"/>
                <w:szCs w:val="14"/>
                <w:b w:val="1"/>
                <w:bCs w:val="1"/>
                <w:color w:val="0A33A5"/>
              </w:rPr>
              <w:t>(h)</w:t>
            </w:r>
          </w:p>
        </w:tc>
        <w:tc>
          <w:tcPr>
            <w:tcW w:w="0" w:type="dxa"/>
            <w:vAlign w:val="bottom"/>
          </w:tcPr>
          <w:p>
            <w:pPr>
              <w:spacing w:after="0"/>
              <w:rPr>
                <w:sz w:val="1"/>
                <w:szCs w:val="1"/>
                <w:color w:val="auto"/>
              </w:rPr>
            </w:pPr>
          </w:p>
        </w:tc>
      </w:tr>
      <w:tr>
        <w:trPr>
          <w:trHeight w:val="217"/>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Brian L. Roberts</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448,827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20,183,750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1,166,000</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9.170</w:t>
            </w:r>
          </w:p>
        </w:tc>
        <w:tc>
          <w:tcPr>
            <w:tcW w:w="980" w:type="dxa"/>
            <w:vAlign w:val="bottom"/>
          </w:tcPr>
          <w:p>
            <w:pPr>
              <w:jc w:val="right"/>
              <w:spacing w:after="0"/>
              <w:rPr>
                <w:sz w:val="20"/>
                <w:szCs w:val="20"/>
                <w:color w:val="auto"/>
              </w:rPr>
            </w:pPr>
            <w:r>
              <w:rPr>
                <w:rFonts w:ascii="Arial" w:cs="Arial" w:eastAsia="Arial" w:hAnsi="Arial"/>
                <w:sz w:val="16"/>
                <w:szCs w:val="16"/>
                <w:color w:val="auto"/>
              </w:rPr>
              <w:t>03/25/2020</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1,510,200</w:t>
            </w:r>
          </w:p>
        </w:tc>
        <w:tc>
          <w:tcPr>
            <w:tcW w:w="1140" w:type="dxa"/>
            <w:vAlign w:val="bottom"/>
          </w:tcPr>
          <w:p>
            <w:pPr>
              <w:jc w:val="right"/>
              <w:ind w:right="4"/>
              <w:spacing w:after="0" w:line="218" w:lineRule="exact"/>
              <w:rPr>
                <w:sz w:val="20"/>
                <w:szCs w:val="20"/>
                <w:color w:val="auto"/>
              </w:rPr>
            </w:pPr>
            <w:r>
              <w:rPr>
                <w:rFonts w:ascii="Arial" w:cs="Arial" w:eastAsia="Arial" w:hAnsi="Arial"/>
                <w:sz w:val="15"/>
                <w:szCs w:val="15"/>
                <w:color w:val="auto"/>
              </w:rPr>
              <w:t>167,800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12.510</w:t>
            </w:r>
          </w:p>
        </w:tc>
        <w:tc>
          <w:tcPr>
            <w:tcW w:w="980" w:type="dxa"/>
            <w:vAlign w:val="bottom"/>
          </w:tcPr>
          <w:p>
            <w:pPr>
              <w:jc w:val="right"/>
              <w:spacing w:after="0"/>
              <w:rPr>
                <w:sz w:val="20"/>
                <w:szCs w:val="20"/>
                <w:color w:val="auto"/>
              </w:rPr>
            </w:pPr>
            <w:r>
              <w:rPr>
                <w:rFonts w:ascii="Arial" w:cs="Arial" w:eastAsia="Arial" w:hAnsi="Arial"/>
                <w:sz w:val="16"/>
                <w:szCs w:val="16"/>
                <w:color w:val="auto"/>
              </w:rPr>
              <w:t>03/24/2021</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1,113,500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196,500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14.995</w:t>
            </w:r>
          </w:p>
        </w:tc>
        <w:tc>
          <w:tcPr>
            <w:tcW w:w="980" w:type="dxa"/>
            <w:vAlign w:val="bottom"/>
          </w:tcPr>
          <w:p>
            <w:pPr>
              <w:jc w:val="right"/>
              <w:spacing w:after="0"/>
              <w:rPr>
                <w:sz w:val="20"/>
                <w:szCs w:val="20"/>
                <w:color w:val="auto"/>
              </w:rPr>
            </w:pPr>
            <w:r>
              <w:rPr>
                <w:rFonts w:ascii="Arial" w:cs="Arial" w:eastAsia="Arial" w:hAnsi="Arial"/>
                <w:sz w:val="16"/>
                <w:szCs w:val="16"/>
                <w:color w:val="auto"/>
              </w:rPr>
              <w:t>03/22/2022</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969,600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242,400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20.610</w:t>
            </w:r>
          </w:p>
        </w:tc>
        <w:tc>
          <w:tcPr>
            <w:tcW w:w="980" w:type="dxa"/>
            <w:vAlign w:val="bottom"/>
          </w:tcPr>
          <w:p>
            <w:pPr>
              <w:jc w:val="right"/>
              <w:spacing w:after="0"/>
              <w:rPr>
                <w:sz w:val="20"/>
                <w:szCs w:val="20"/>
                <w:color w:val="auto"/>
              </w:rPr>
            </w:pPr>
            <w:r>
              <w:rPr>
                <w:rFonts w:ascii="Arial" w:cs="Arial" w:eastAsia="Arial" w:hAnsi="Arial"/>
                <w:sz w:val="16"/>
                <w:szCs w:val="16"/>
                <w:color w:val="auto"/>
              </w:rPr>
              <w:t>03/21/2023</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723,750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241,250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80" w:type="dxa"/>
            <w:vAlign w:val="bottom"/>
          </w:tcPr>
          <w:p>
            <w:pPr>
              <w:jc w:val="right"/>
              <w:spacing w:after="0"/>
              <w:rPr>
                <w:sz w:val="20"/>
                <w:szCs w:val="20"/>
                <w:color w:val="auto"/>
              </w:rPr>
            </w:pPr>
            <w:r>
              <w:rPr>
                <w:rFonts w:ascii="Arial" w:cs="Arial" w:eastAsia="Arial" w:hAnsi="Arial"/>
                <w:sz w:val="16"/>
                <w:szCs w:val="16"/>
                <w:color w:val="auto"/>
              </w:rPr>
              <w:t>03/20/2024</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544,560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363,040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29.725</w:t>
            </w:r>
          </w:p>
        </w:tc>
        <w:tc>
          <w:tcPr>
            <w:tcW w:w="980" w:type="dxa"/>
            <w:vAlign w:val="bottom"/>
          </w:tcPr>
          <w:p>
            <w:pPr>
              <w:jc w:val="right"/>
              <w:spacing w:after="0"/>
              <w:rPr>
                <w:sz w:val="20"/>
                <w:szCs w:val="20"/>
                <w:color w:val="auto"/>
              </w:rPr>
            </w:pPr>
            <w:r>
              <w:rPr>
                <w:rFonts w:ascii="Arial" w:cs="Arial" w:eastAsia="Arial" w:hAnsi="Arial"/>
                <w:sz w:val="16"/>
                <w:szCs w:val="16"/>
                <w:color w:val="auto"/>
              </w:rPr>
              <w:t>03/19/2025</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420,660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514,140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29.880</w:t>
            </w:r>
          </w:p>
        </w:tc>
        <w:tc>
          <w:tcPr>
            <w:tcW w:w="980" w:type="dxa"/>
            <w:vAlign w:val="bottom"/>
          </w:tcPr>
          <w:p>
            <w:pPr>
              <w:jc w:val="right"/>
              <w:spacing w:after="0"/>
              <w:rPr>
                <w:sz w:val="20"/>
                <w:szCs w:val="20"/>
                <w:color w:val="auto"/>
              </w:rPr>
            </w:pPr>
            <w:r>
              <w:rPr>
                <w:rFonts w:ascii="Arial" w:cs="Arial" w:eastAsia="Arial" w:hAnsi="Arial"/>
                <w:sz w:val="16"/>
                <w:szCs w:val="16"/>
                <w:color w:val="auto"/>
              </w:rPr>
              <w:t>03/17/2026</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230,640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538,160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37.460</w:t>
            </w:r>
          </w:p>
        </w:tc>
        <w:tc>
          <w:tcPr>
            <w:tcW w:w="980" w:type="dxa"/>
            <w:vAlign w:val="bottom"/>
          </w:tcPr>
          <w:p>
            <w:pPr>
              <w:jc w:val="right"/>
              <w:spacing w:after="0"/>
              <w:rPr>
                <w:sz w:val="20"/>
                <w:szCs w:val="20"/>
                <w:color w:val="auto"/>
              </w:rPr>
            </w:pPr>
            <w:r>
              <w:rPr>
                <w:rFonts w:ascii="Arial" w:cs="Arial" w:eastAsia="Arial" w:hAnsi="Arial"/>
                <w:sz w:val="16"/>
                <w:szCs w:val="16"/>
                <w:color w:val="auto"/>
              </w:rPr>
              <w:t>03/16/2027</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748,400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35.830</w:t>
            </w:r>
          </w:p>
        </w:tc>
        <w:tc>
          <w:tcPr>
            <w:tcW w:w="980" w:type="dxa"/>
            <w:vAlign w:val="bottom"/>
          </w:tcPr>
          <w:p>
            <w:pPr>
              <w:jc w:val="right"/>
              <w:spacing w:after="0"/>
              <w:rPr>
                <w:sz w:val="20"/>
                <w:szCs w:val="20"/>
                <w:color w:val="auto"/>
              </w:rPr>
            </w:pPr>
            <w:r>
              <w:rPr>
                <w:rFonts w:ascii="Arial" w:cs="Arial" w:eastAsia="Arial" w:hAnsi="Arial"/>
                <w:sz w:val="16"/>
                <w:szCs w:val="16"/>
                <w:color w:val="auto"/>
              </w:rPr>
              <w:t>03/15/2028</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676,400</w:t>
            </w:r>
            <w:r>
              <w:rPr>
                <w:rFonts w:ascii="Arial" w:cs="Arial" w:eastAsia="Arial" w:hAnsi="Arial"/>
                <w:sz w:val="27"/>
                <w:szCs w:val="27"/>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40.470</w:t>
            </w:r>
          </w:p>
        </w:tc>
        <w:tc>
          <w:tcPr>
            <w:tcW w:w="980" w:type="dxa"/>
            <w:vAlign w:val="bottom"/>
          </w:tcPr>
          <w:p>
            <w:pPr>
              <w:jc w:val="right"/>
              <w:spacing w:after="0"/>
              <w:rPr>
                <w:sz w:val="20"/>
                <w:szCs w:val="20"/>
                <w:color w:val="auto"/>
              </w:rPr>
            </w:pPr>
            <w:r>
              <w:rPr>
                <w:rFonts w:ascii="Arial" w:cs="Arial" w:eastAsia="Arial" w:hAnsi="Arial"/>
                <w:sz w:val="16"/>
                <w:szCs w:val="16"/>
                <w:color w:val="auto"/>
              </w:rPr>
              <w:t>03/14/2029</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Michael J. Cavanagh</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550,737</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24,766,643</w:t>
            </w: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428,976</w:t>
            </w:r>
          </w:p>
        </w:tc>
        <w:tc>
          <w:tcPr>
            <w:tcW w:w="1140" w:type="dxa"/>
            <w:vAlign w:val="bottom"/>
          </w:tcPr>
          <w:p>
            <w:pPr>
              <w:jc w:val="right"/>
              <w:ind w:right="4"/>
              <w:spacing w:after="0" w:line="218" w:lineRule="exact"/>
              <w:rPr>
                <w:sz w:val="20"/>
                <w:szCs w:val="20"/>
                <w:color w:val="auto"/>
              </w:rPr>
            </w:pPr>
            <w:r>
              <w:rPr>
                <w:rFonts w:ascii="Arial" w:cs="Arial" w:eastAsia="Arial" w:hAnsi="Arial"/>
                <w:sz w:val="15"/>
                <w:szCs w:val="15"/>
                <w:color w:val="auto"/>
              </w:rPr>
              <w:t>285,984</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28.320</w:t>
            </w:r>
          </w:p>
        </w:tc>
        <w:tc>
          <w:tcPr>
            <w:tcW w:w="980" w:type="dxa"/>
            <w:vAlign w:val="bottom"/>
          </w:tcPr>
          <w:p>
            <w:pPr>
              <w:jc w:val="right"/>
              <w:spacing w:after="0"/>
              <w:rPr>
                <w:sz w:val="20"/>
                <w:szCs w:val="20"/>
                <w:color w:val="auto"/>
              </w:rPr>
            </w:pPr>
            <w:r>
              <w:rPr>
                <w:rFonts w:ascii="Arial" w:cs="Arial" w:eastAsia="Arial" w:hAnsi="Arial"/>
                <w:sz w:val="16"/>
                <w:szCs w:val="16"/>
                <w:color w:val="auto"/>
              </w:rPr>
              <w:t>05/14/2025</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314,640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384,560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29.880</w:t>
            </w:r>
          </w:p>
        </w:tc>
        <w:tc>
          <w:tcPr>
            <w:tcW w:w="980" w:type="dxa"/>
            <w:vAlign w:val="bottom"/>
          </w:tcPr>
          <w:p>
            <w:pPr>
              <w:jc w:val="right"/>
              <w:spacing w:after="0"/>
              <w:rPr>
                <w:sz w:val="20"/>
                <w:szCs w:val="20"/>
                <w:color w:val="auto"/>
              </w:rPr>
            </w:pPr>
            <w:r>
              <w:rPr>
                <w:rFonts w:ascii="Arial" w:cs="Arial" w:eastAsia="Arial" w:hAnsi="Arial"/>
                <w:sz w:val="16"/>
                <w:szCs w:val="16"/>
                <w:color w:val="auto"/>
              </w:rPr>
              <w:t>03/17/2026</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172,410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402,290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37.460</w:t>
            </w:r>
          </w:p>
        </w:tc>
        <w:tc>
          <w:tcPr>
            <w:tcW w:w="980" w:type="dxa"/>
            <w:vAlign w:val="bottom"/>
          </w:tcPr>
          <w:p>
            <w:pPr>
              <w:jc w:val="right"/>
              <w:spacing w:after="0"/>
              <w:rPr>
                <w:sz w:val="20"/>
                <w:szCs w:val="20"/>
                <w:color w:val="auto"/>
              </w:rPr>
            </w:pPr>
            <w:r>
              <w:rPr>
                <w:rFonts w:ascii="Arial" w:cs="Arial" w:eastAsia="Arial" w:hAnsi="Arial"/>
                <w:sz w:val="16"/>
                <w:szCs w:val="16"/>
                <w:color w:val="auto"/>
              </w:rPr>
              <w:t>03/16/2027</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559,700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35.830</w:t>
            </w:r>
          </w:p>
        </w:tc>
        <w:tc>
          <w:tcPr>
            <w:tcW w:w="980" w:type="dxa"/>
            <w:vAlign w:val="bottom"/>
          </w:tcPr>
          <w:p>
            <w:pPr>
              <w:jc w:val="right"/>
              <w:spacing w:after="0"/>
              <w:rPr>
                <w:sz w:val="20"/>
                <w:szCs w:val="20"/>
                <w:color w:val="auto"/>
              </w:rPr>
            </w:pPr>
            <w:r>
              <w:rPr>
                <w:rFonts w:ascii="Arial" w:cs="Arial" w:eastAsia="Arial" w:hAnsi="Arial"/>
                <w:sz w:val="16"/>
                <w:szCs w:val="16"/>
                <w:color w:val="auto"/>
              </w:rPr>
              <w:t>03/15/2028</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600,500</w:t>
            </w:r>
            <w:r>
              <w:rPr>
                <w:rFonts w:ascii="Arial" w:cs="Arial" w:eastAsia="Arial" w:hAnsi="Arial"/>
                <w:sz w:val="27"/>
                <w:szCs w:val="27"/>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40.470</w:t>
            </w:r>
          </w:p>
        </w:tc>
        <w:tc>
          <w:tcPr>
            <w:tcW w:w="980" w:type="dxa"/>
            <w:vAlign w:val="bottom"/>
          </w:tcPr>
          <w:p>
            <w:pPr>
              <w:jc w:val="right"/>
              <w:spacing w:after="0"/>
              <w:rPr>
                <w:sz w:val="20"/>
                <w:szCs w:val="20"/>
                <w:color w:val="auto"/>
              </w:rPr>
            </w:pPr>
            <w:r>
              <w:rPr>
                <w:rFonts w:ascii="Arial" w:cs="Arial" w:eastAsia="Arial" w:hAnsi="Arial"/>
                <w:sz w:val="16"/>
                <w:szCs w:val="16"/>
                <w:color w:val="auto"/>
              </w:rPr>
              <w:t>03/14/2029</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Stephen B. Burke</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632,733</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28,454,003</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93,300</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9.170</w:t>
            </w:r>
          </w:p>
        </w:tc>
        <w:tc>
          <w:tcPr>
            <w:tcW w:w="980" w:type="dxa"/>
            <w:vAlign w:val="bottom"/>
          </w:tcPr>
          <w:p>
            <w:pPr>
              <w:jc w:val="right"/>
              <w:spacing w:after="0"/>
              <w:rPr>
                <w:sz w:val="20"/>
                <w:szCs w:val="20"/>
                <w:color w:val="auto"/>
              </w:rPr>
            </w:pPr>
            <w:r>
              <w:rPr>
                <w:rFonts w:ascii="Arial" w:cs="Arial" w:eastAsia="Arial" w:hAnsi="Arial"/>
                <w:sz w:val="16"/>
                <w:szCs w:val="16"/>
                <w:color w:val="auto"/>
              </w:rPr>
              <w:t>03/25/2020</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line="218" w:lineRule="exact"/>
              <w:rPr>
                <w:sz w:val="20"/>
                <w:szCs w:val="20"/>
                <w:color w:val="auto"/>
              </w:rPr>
            </w:pPr>
            <w:r>
              <w:rPr>
                <w:rFonts w:ascii="Arial" w:cs="Arial" w:eastAsia="Arial" w:hAnsi="Arial"/>
                <w:sz w:val="15"/>
                <w:szCs w:val="15"/>
                <w:color w:val="auto"/>
              </w:rPr>
              <w:t>135,200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12.510</w:t>
            </w:r>
          </w:p>
        </w:tc>
        <w:tc>
          <w:tcPr>
            <w:tcW w:w="980" w:type="dxa"/>
            <w:vAlign w:val="bottom"/>
          </w:tcPr>
          <w:p>
            <w:pPr>
              <w:jc w:val="right"/>
              <w:spacing w:after="0"/>
              <w:rPr>
                <w:sz w:val="20"/>
                <w:szCs w:val="20"/>
                <w:color w:val="auto"/>
              </w:rPr>
            </w:pPr>
            <w:r>
              <w:rPr>
                <w:rFonts w:ascii="Arial" w:cs="Arial" w:eastAsia="Arial" w:hAnsi="Arial"/>
                <w:sz w:val="16"/>
                <w:szCs w:val="16"/>
                <w:color w:val="auto"/>
              </w:rPr>
              <w:t>03/24/2021</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191,400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14.995</w:t>
            </w:r>
          </w:p>
        </w:tc>
        <w:tc>
          <w:tcPr>
            <w:tcW w:w="980" w:type="dxa"/>
            <w:vAlign w:val="bottom"/>
          </w:tcPr>
          <w:p>
            <w:pPr>
              <w:jc w:val="right"/>
              <w:spacing w:after="0"/>
              <w:rPr>
                <w:sz w:val="20"/>
                <w:szCs w:val="20"/>
                <w:color w:val="auto"/>
              </w:rPr>
            </w:pPr>
            <w:r>
              <w:rPr>
                <w:rFonts w:ascii="Arial" w:cs="Arial" w:eastAsia="Arial" w:hAnsi="Arial"/>
                <w:sz w:val="16"/>
                <w:szCs w:val="16"/>
                <w:color w:val="auto"/>
              </w:rPr>
              <w:t>03/22/2022</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856,000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214,000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20.610</w:t>
            </w:r>
          </w:p>
        </w:tc>
        <w:tc>
          <w:tcPr>
            <w:tcW w:w="980" w:type="dxa"/>
            <w:vAlign w:val="bottom"/>
          </w:tcPr>
          <w:p>
            <w:pPr>
              <w:jc w:val="right"/>
              <w:spacing w:after="0"/>
              <w:rPr>
                <w:sz w:val="20"/>
                <w:szCs w:val="20"/>
                <w:color w:val="auto"/>
              </w:rPr>
            </w:pPr>
            <w:r>
              <w:rPr>
                <w:rFonts w:ascii="Arial" w:cs="Arial" w:eastAsia="Arial" w:hAnsi="Arial"/>
                <w:sz w:val="16"/>
                <w:szCs w:val="16"/>
                <w:color w:val="auto"/>
              </w:rPr>
              <w:t>03/21/2023</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723,750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241,250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80" w:type="dxa"/>
            <w:vAlign w:val="bottom"/>
          </w:tcPr>
          <w:p>
            <w:pPr>
              <w:jc w:val="right"/>
              <w:spacing w:after="0"/>
              <w:rPr>
                <w:sz w:val="20"/>
                <w:szCs w:val="20"/>
                <w:color w:val="auto"/>
              </w:rPr>
            </w:pPr>
            <w:r>
              <w:rPr>
                <w:rFonts w:ascii="Arial" w:cs="Arial" w:eastAsia="Arial" w:hAnsi="Arial"/>
                <w:sz w:val="16"/>
                <w:szCs w:val="16"/>
                <w:color w:val="auto"/>
              </w:rPr>
              <w:t>03/20/2024</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544,560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363,040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29.725</w:t>
            </w:r>
          </w:p>
        </w:tc>
        <w:tc>
          <w:tcPr>
            <w:tcW w:w="980" w:type="dxa"/>
            <w:vAlign w:val="bottom"/>
          </w:tcPr>
          <w:p>
            <w:pPr>
              <w:jc w:val="right"/>
              <w:spacing w:after="0"/>
              <w:rPr>
                <w:sz w:val="20"/>
                <w:szCs w:val="20"/>
                <w:color w:val="auto"/>
              </w:rPr>
            </w:pPr>
            <w:r>
              <w:rPr>
                <w:rFonts w:ascii="Arial" w:cs="Arial" w:eastAsia="Arial" w:hAnsi="Arial"/>
                <w:sz w:val="16"/>
                <w:szCs w:val="16"/>
                <w:color w:val="auto"/>
              </w:rPr>
              <w:t>03/19/2025</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420,660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514,140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29.880</w:t>
            </w:r>
          </w:p>
        </w:tc>
        <w:tc>
          <w:tcPr>
            <w:tcW w:w="980" w:type="dxa"/>
            <w:vAlign w:val="bottom"/>
          </w:tcPr>
          <w:p>
            <w:pPr>
              <w:jc w:val="right"/>
              <w:spacing w:after="0"/>
              <w:rPr>
                <w:sz w:val="20"/>
                <w:szCs w:val="20"/>
                <w:color w:val="auto"/>
              </w:rPr>
            </w:pPr>
            <w:r>
              <w:rPr>
                <w:rFonts w:ascii="Arial" w:cs="Arial" w:eastAsia="Arial" w:hAnsi="Arial"/>
                <w:sz w:val="16"/>
                <w:szCs w:val="16"/>
                <w:color w:val="auto"/>
              </w:rPr>
              <w:t>03/17/2026</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180" w:type="dxa"/>
            <w:vAlign w:val="bottom"/>
            <w:gridSpan w:val="2"/>
          </w:tcPr>
          <w:p>
            <w:pPr>
              <w:jc w:val="right"/>
              <w:ind w:right="4"/>
              <w:spacing w:after="0" w:line="216" w:lineRule="exact"/>
              <w:rPr>
                <w:sz w:val="20"/>
                <w:szCs w:val="20"/>
                <w:color w:val="auto"/>
              </w:rPr>
            </w:pPr>
            <w:r>
              <w:rPr>
                <w:rFonts w:ascii="Arial" w:cs="Arial" w:eastAsia="Arial" w:hAnsi="Arial"/>
                <w:sz w:val="15"/>
                <w:szCs w:val="15"/>
                <w:color w:val="auto"/>
              </w:rPr>
              <w:t>–   1,389,856</w:t>
            </w:r>
            <w:r>
              <w:rPr>
                <w:rFonts w:ascii="Arial" w:cs="Arial" w:eastAsia="Arial" w:hAnsi="Arial"/>
                <w:sz w:val="25"/>
                <w:szCs w:val="25"/>
                <w:color w:val="auto"/>
                <w:vertAlign w:val="superscript"/>
              </w:rPr>
              <w:t>(3)</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33.695   08/04/2026</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230,640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1,710,494</w:t>
            </w:r>
            <w:r>
              <w:rPr>
                <w:rFonts w:ascii="Arial" w:cs="Arial" w:eastAsia="Arial" w:hAnsi="Arial"/>
                <w:sz w:val="25"/>
                <w:szCs w:val="25"/>
                <w:color w:val="auto"/>
                <w:vertAlign w:val="superscript"/>
              </w:rPr>
              <w:t>(4)</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37.460</w:t>
            </w:r>
          </w:p>
        </w:tc>
        <w:tc>
          <w:tcPr>
            <w:tcW w:w="980" w:type="dxa"/>
            <w:vAlign w:val="bottom"/>
          </w:tcPr>
          <w:p>
            <w:pPr>
              <w:jc w:val="right"/>
              <w:spacing w:after="0"/>
              <w:rPr>
                <w:sz w:val="20"/>
                <w:szCs w:val="20"/>
                <w:color w:val="auto"/>
              </w:rPr>
            </w:pPr>
            <w:r>
              <w:rPr>
                <w:rFonts w:ascii="Arial" w:cs="Arial" w:eastAsia="Arial" w:hAnsi="Arial"/>
                <w:sz w:val="16"/>
                <w:szCs w:val="16"/>
                <w:color w:val="auto"/>
              </w:rPr>
              <w:t>03/16/2027</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748,400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35.830</w:t>
            </w:r>
          </w:p>
        </w:tc>
        <w:tc>
          <w:tcPr>
            <w:tcW w:w="980" w:type="dxa"/>
            <w:vAlign w:val="bottom"/>
          </w:tcPr>
          <w:p>
            <w:pPr>
              <w:jc w:val="right"/>
              <w:spacing w:after="0"/>
              <w:rPr>
                <w:sz w:val="20"/>
                <w:szCs w:val="20"/>
                <w:color w:val="auto"/>
              </w:rPr>
            </w:pPr>
            <w:r>
              <w:rPr>
                <w:rFonts w:ascii="Arial" w:cs="Arial" w:eastAsia="Arial" w:hAnsi="Arial"/>
                <w:sz w:val="16"/>
                <w:szCs w:val="16"/>
                <w:color w:val="auto"/>
              </w:rPr>
              <w:t>03/15/2028</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676,400</w:t>
            </w:r>
            <w:r>
              <w:rPr>
                <w:rFonts w:ascii="Arial" w:cs="Arial" w:eastAsia="Arial" w:hAnsi="Arial"/>
                <w:sz w:val="27"/>
                <w:szCs w:val="27"/>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40.470</w:t>
            </w:r>
          </w:p>
        </w:tc>
        <w:tc>
          <w:tcPr>
            <w:tcW w:w="980" w:type="dxa"/>
            <w:vAlign w:val="bottom"/>
          </w:tcPr>
          <w:p>
            <w:pPr>
              <w:jc w:val="right"/>
              <w:spacing w:after="0"/>
              <w:rPr>
                <w:sz w:val="20"/>
                <w:szCs w:val="20"/>
                <w:color w:val="auto"/>
              </w:rPr>
            </w:pPr>
            <w:r>
              <w:rPr>
                <w:rFonts w:ascii="Arial" w:cs="Arial" w:eastAsia="Arial" w:hAnsi="Arial"/>
                <w:sz w:val="16"/>
                <w:szCs w:val="16"/>
                <w:color w:val="auto"/>
              </w:rPr>
              <w:t>03/14/2029</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40" w:type="dxa"/>
            <w:vAlign w:val="bottom"/>
          </w:tcPr>
          <w:p>
            <w:pPr>
              <w:ind w:left="60"/>
              <w:spacing w:after="0"/>
              <w:rPr>
                <w:sz w:val="20"/>
                <w:szCs w:val="20"/>
                <w:color w:val="auto"/>
              </w:rPr>
            </w:pPr>
            <w:r>
              <w:rPr>
                <w:rFonts w:ascii="Arial" w:cs="Arial" w:eastAsia="Arial" w:hAnsi="Arial"/>
                <w:sz w:val="16"/>
                <w:szCs w:val="16"/>
                <w:b w:val="1"/>
                <w:bCs w:val="1"/>
                <w:color w:val="auto"/>
              </w:rPr>
              <w:t>David L. Cohen</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459,212</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20,650,764</w:t>
            </w: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357,300</w:t>
            </w:r>
          </w:p>
        </w:tc>
        <w:tc>
          <w:tcPr>
            <w:tcW w:w="1140" w:type="dxa"/>
            <w:vAlign w:val="bottom"/>
          </w:tcPr>
          <w:p>
            <w:pPr>
              <w:jc w:val="right"/>
              <w:ind w:right="4"/>
              <w:spacing w:after="0" w:line="218" w:lineRule="exact"/>
              <w:rPr>
                <w:sz w:val="20"/>
                <w:szCs w:val="20"/>
                <w:color w:val="auto"/>
              </w:rPr>
            </w:pPr>
            <w:r>
              <w:rPr>
                <w:rFonts w:ascii="Arial" w:cs="Arial" w:eastAsia="Arial" w:hAnsi="Arial"/>
                <w:sz w:val="15"/>
                <w:szCs w:val="15"/>
                <w:color w:val="auto"/>
              </w:rPr>
              <w:t>79,400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12.510</w:t>
            </w:r>
          </w:p>
        </w:tc>
        <w:tc>
          <w:tcPr>
            <w:tcW w:w="980" w:type="dxa"/>
            <w:vAlign w:val="bottom"/>
          </w:tcPr>
          <w:p>
            <w:pPr>
              <w:jc w:val="right"/>
              <w:spacing w:after="0"/>
              <w:rPr>
                <w:sz w:val="20"/>
                <w:szCs w:val="20"/>
                <w:color w:val="auto"/>
              </w:rPr>
            </w:pPr>
            <w:r>
              <w:rPr>
                <w:rFonts w:ascii="Arial" w:cs="Arial" w:eastAsia="Arial" w:hAnsi="Arial"/>
                <w:sz w:val="16"/>
                <w:szCs w:val="16"/>
                <w:color w:val="auto"/>
              </w:rPr>
              <w:t>03/24/2021</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637,500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112,500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14.995</w:t>
            </w:r>
          </w:p>
        </w:tc>
        <w:tc>
          <w:tcPr>
            <w:tcW w:w="980" w:type="dxa"/>
            <w:vAlign w:val="bottom"/>
          </w:tcPr>
          <w:p>
            <w:pPr>
              <w:jc w:val="right"/>
              <w:spacing w:after="0"/>
              <w:rPr>
                <w:sz w:val="20"/>
                <w:szCs w:val="20"/>
                <w:color w:val="auto"/>
              </w:rPr>
            </w:pPr>
            <w:r>
              <w:rPr>
                <w:rFonts w:ascii="Arial" w:cs="Arial" w:eastAsia="Arial" w:hAnsi="Arial"/>
                <w:sz w:val="16"/>
                <w:szCs w:val="16"/>
                <w:color w:val="auto"/>
              </w:rPr>
              <w:t>03/22/2022</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502,400</w:t>
            </w:r>
          </w:p>
        </w:tc>
        <w:tc>
          <w:tcPr>
            <w:tcW w:w="1140" w:type="dxa"/>
            <w:vAlign w:val="bottom"/>
          </w:tcPr>
          <w:p>
            <w:pPr>
              <w:jc w:val="right"/>
              <w:ind w:right="4"/>
              <w:spacing w:after="0" w:line="216" w:lineRule="exact"/>
              <w:rPr>
                <w:sz w:val="20"/>
                <w:szCs w:val="20"/>
                <w:color w:val="auto"/>
              </w:rPr>
            </w:pPr>
            <w:r>
              <w:rPr>
                <w:rFonts w:ascii="Arial" w:cs="Arial" w:eastAsia="Arial" w:hAnsi="Arial"/>
                <w:sz w:val="15"/>
                <w:szCs w:val="15"/>
                <w:color w:val="auto"/>
              </w:rPr>
              <w:t>125,600</w:t>
            </w:r>
            <w:r>
              <w:rPr>
                <w:rFonts w:ascii="Arial" w:cs="Arial" w:eastAsia="Arial" w:hAnsi="Arial"/>
                <w:sz w:val="25"/>
                <w:szCs w:val="25"/>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20.610</w:t>
            </w:r>
          </w:p>
        </w:tc>
        <w:tc>
          <w:tcPr>
            <w:tcW w:w="980" w:type="dxa"/>
            <w:vAlign w:val="bottom"/>
          </w:tcPr>
          <w:p>
            <w:pPr>
              <w:jc w:val="right"/>
              <w:spacing w:after="0"/>
              <w:rPr>
                <w:sz w:val="20"/>
                <w:szCs w:val="20"/>
                <w:color w:val="auto"/>
              </w:rPr>
            </w:pPr>
            <w:r>
              <w:rPr>
                <w:rFonts w:ascii="Arial" w:cs="Arial" w:eastAsia="Arial" w:hAnsi="Arial"/>
                <w:sz w:val="16"/>
                <w:szCs w:val="16"/>
                <w:color w:val="auto"/>
              </w:rPr>
              <w:t>03/21/2023</w:t>
            </w: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40" w:type="dxa"/>
            <w:vAlign w:val="bottom"/>
          </w:tcPr>
          <w:p>
            <w:pPr>
              <w:spacing w:after="0"/>
              <w:rPr>
                <w:sz w:val="24"/>
                <w:szCs w:val="24"/>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374,400</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124,800</w:t>
            </w:r>
            <w:r>
              <w:rPr>
                <w:rFonts w:ascii="Arial" w:cs="Arial" w:eastAsia="Arial" w:hAnsi="Arial"/>
                <w:sz w:val="27"/>
                <w:szCs w:val="27"/>
                <w:color w:val="auto"/>
                <w:vertAlign w:val="superscript"/>
              </w:rPr>
              <w:t>(2)</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980" w:type="dxa"/>
            <w:vAlign w:val="bottom"/>
          </w:tcPr>
          <w:p>
            <w:pPr>
              <w:jc w:val="right"/>
              <w:spacing w:after="0"/>
              <w:rPr>
                <w:sz w:val="20"/>
                <w:szCs w:val="20"/>
                <w:color w:val="auto"/>
              </w:rPr>
            </w:pPr>
            <w:r>
              <w:rPr>
                <w:rFonts w:ascii="Arial" w:cs="Arial" w:eastAsia="Arial" w:hAnsi="Arial"/>
                <w:sz w:val="16"/>
                <w:szCs w:val="16"/>
                <w:color w:val="auto"/>
              </w:rPr>
              <w:t>03/20/2024</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1660" w:type="dxa"/>
            <w:vAlign w:val="bottom"/>
            <w:tcBorders>
              <w:bottom w:val="single" w:sz="8" w:color="DDF2F9"/>
            </w:tcBorders>
          </w:tcPr>
          <w:p>
            <w:pPr>
              <w:spacing w:after="0"/>
              <w:rPr>
                <w:sz w:val="17"/>
                <w:szCs w:val="17"/>
                <w:color w:val="auto"/>
              </w:rPr>
            </w:pPr>
          </w:p>
        </w:tc>
        <w:tc>
          <w:tcPr>
            <w:tcW w:w="1240" w:type="dxa"/>
            <w:vAlign w:val="bottom"/>
            <w:tcBorders>
              <w:top w:val="single" w:sz="8" w:color="auto"/>
              <w:bottom w:val="single" w:sz="8" w:color="auto"/>
            </w:tcBorders>
            <w:shd w:val="clear" w:color="auto" w:fill="F2F2F2"/>
          </w:tcPr>
          <w:p>
            <w:pPr>
              <w:spacing w:after="0"/>
              <w:rPr>
                <w:sz w:val="17"/>
                <w:szCs w:val="17"/>
                <w:color w:val="auto"/>
              </w:rPr>
            </w:pPr>
          </w:p>
        </w:tc>
        <w:tc>
          <w:tcPr>
            <w:tcW w:w="1960" w:type="dxa"/>
            <w:vAlign w:val="bottom"/>
            <w:tcBorders>
              <w:top w:val="single" w:sz="8" w:color="auto"/>
              <w:bottom w:val="single" w:sz="8" w:color="auto"/>
            </w:tcBorders>
            <w:gridSpan w:val="2"/>
            <w:shd w:val="clear" w:color="auto" w:fill="F2F2F2"/>
          </w:tcPr>
          <w:p>
            <w:pPr>
              <w:jc w:val="right"/>
              <w:ind w:right="421"/>
              <w:spacing w:after="0"/>
              <w:rPr>
                <w:sz w:val="20"/>
                <w:szCs w:val="20"/>
                <w:color w:val="auto"/>
              </w:rPr>
            </w:pPr>
            <w:r>
              <w:rPr>
                <w:rFonts w:ascii="Arial" w:cs="Arial" w:eastAsia="Arial" w:hAnsi="Arial"/>
                <w:sz w:val="16"/>
                <w:szCs w:val="16"/>
                <w:b w:val="1"/>
                <w:bCs w:val="1"/>
                <w:color w:val="0A33A5"/>
              </w:rPr>
              <w:t>Option Awards</w:t>
            </w:r>
          </w:p>
        </w:tc>
        <w:tc>
          <w:tcPr>
            <w:tcW w:w="1020" w:type="dxa"/>
            <w:vAlign w:val="bottom"/>
            <w:tcBorders>
              <w:top w:val="single" w:sz="8" w:color="auto"/>
              <w:bottom w:val="single" w:sz="8" w:color="auto"/>
              <w:right w:val="single" w:sz="8" w:color="auto"/>
            </w:tcBorders>
            <w:shd w:val="clear" w:color="auto" w:fill="F2F2F2"/>
          </w:tcPr>
          <w:p>
            <w:pPr>
              <w:spacing w:after="0"/>
              <w:rPr>
                <w:sz w:val="17"/>
                <w:szCs w:val="17"/>
                <w:color w:val="auto"/>
              </w:rPr>
            </w:pPr>
          </w:p>
        </w:tc>
        <w:tc>
          <w:tcPr>
            <w:tcW w:w="940" w:type="dxa"/>
            <w:vAlign w:val="bottom"/>
            <w:tcBorders>
              <w:top w:val="single" w:sz="8" w:color="auto"/>
              <w:bottom w:val="single" w:sz="8" w:color="auto"/>
            </w:tcBorders>
            <w:shd w:val="clear" w:color="auto" w:fill="F2F2F2"/>
          </w:tcPr>
          <w:p>
            <w:pPr>
              <w:spacing w:after="0"/>
              <w:rPr>
                <w:sz w:val="17"/>
                <w:szCs w:val="17"/>
                <w:color w:val="auto"/>
              </w:rPr>
            </w:pPr>
          </w:p>
        </w:tc>
        <w:tc>
          <w:tcPr>
            <w:tcW w:w="1100" w:type="dxa"/>
            <w:vAlign w:val="bottom"/>
            <w:tcBorders>
              <w:top w:val="single" w:sz="8" w:color="auto"/>
              <w:bottom w:val="single" w:sz="8" w:color="auto"/>
            </w:tcBorders>
            <w:shd w:val="clear" w:color="auto" w:fill="F2F2F2"/>
          </w:tcPr>
          <w:p>
            <w:pPr>
              <w:spacing w:after="0"/>
              <w:rPr>
                <w:sz w:val="17"/>
                <w:szCs w:val="17"/>
                <w:color w:val="auto"/>
              </w:rPr>
            </w:pPr>
          </w:p>
        </w:tc>
        <w:tc>
          <w:tcPr>
            <w:tcW w:w="1480" w:type="dxa"/>
            <w:vAlign w:val="bottom"/>
            <w:tcBorders>
              <w:top w:val="single" w:sz="8" w:color="auto"/>
              <w:bottom w:val="single" w:sz="8" w:color="auto"/>
            </w:tcBorders>
            <w:shd w:val="clear" w:color="auto" w:fill="F2F2F2"/>
          </w:tcPr>
          <w:p>
            <w:pPr>
              <w:jc w:val="right"/>
              <w:ind w:right="327"/>
              <w:spacing w:after="0"/>
              <w:rPr>
                <w:sz w:val="20"/>
                <w:szCs w:val="20"/>
                <w:color w:val="auto"/>
              </w:rPr>
            </w:pPr>
            <w:r>
              <w:rPr>
                <w:rFonts w:ascii="Arial" w:cs="Arial" w:eastAsia="Arial" w:hAnsi="Arial"/>
                <w:sz w:val="16"/>
                <w:szCs w:val="16"/>
                <w:b w:val="1"/>
                <w:bCs w:val="1"/>
                <w:color w:val="0A33A5"/>
              </w:rPr>
              <w:t>Stock Awards</w:t>
            </w:r>
          </w:p>
        </w:tc>
        <w:tc>
          <w:tcPr>
            <w:tcW w:w="1620" w:type="dxa"/>
            <w:vAlign w:val="bottom"/>
            <w:tcBorders>
              <w:top w:val="single" w:sz="8" w:color="auto"/>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60" w:type="dxa"/>
            <w:vAlign w:val="bottom"/>
            <w:shd w:val="clear" w:color="auto" w:fill="DDF2F9"/>
          </w:tcPr>
          <w:p>
            <w:pPr>
              <w:spacing w:after="0"/>
              <w:rPr>
                <w:sz w:val="15"/>
                <w:szCs w:val="15"/>
                <w:color w:val="auto"/>
              </w:rPr>
            </w:pPr>
          </w:p>
        </w:tc>
        <w:tc>
          <w:tcPr>
            <w:tcW w:w="1240" w:type="dxa"/>
            <w:vAlign w:val="bottom"/>
            <w:shd w:val="clear" w:color="auto" w:fill="DDF2F9"/>
          </w:tcPr>
          <w:p>
            <w:pPr>
              <w:spacing w:after="0"/>
              <w:rPr>
                <w:sz w:val="15"/>
                <w:szCs w:val="15"/>
                <w:color w:val="auto"/>
              </w:rPr>
            </w:pPr>
          </w:p>
        </w:tc>
        <w:tc>
          <w:tcPr>
            <w:tcW w:w="1160" w:type="dxa"/>
            <w:vAlign w:val="bottom"/>
            <w:shd w:val="clear" w:color="auto" w:fill="DDF2F9"/>
          </w:tcPr>
          <w:p>
            <w:pPr>
              <w:spacing w:after="0"/>
              <w:rPr>
                <w:sz w:val="15"/>
                <w:szCs w:val="15"/>
                <w:color w:val="auto"/>
              </w:rPr>
            </w:pPr>
          </w:p>
        </w:tc>
        <w:tc>
          <w:tcPr>
            <w:tcW w:w="800" w:type="dxa"/>
            <w:vAlign w:val="bottom"/>
            <w:shd w:val="clear" w:color="auto" w:fill="DDF2F9"/>
          </w:tcPr>
          <w:p>
            <w:pPr>
              <w:spacing w:after="0"/>
              <w:rPr>
                <w:sz w:val="15"/>
                <w:szCs w:val="15"/>
                <w:color w:val="auto"/>
              </w:rPr>
            </w:pPr>
          </w:p>
        </w:tc>
        <w:tc>
          <w:tcPr>
            <w:tcW w:w="1020" w:type="dxa"/>
            <w:vAlign w:val="bottom"/>
            <w:tcBorders>
              <w:right w:val="single" w:sz="8" w:color="DDF2F9"/>
            </w:tcBorders>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1100" w:type="dxa"/>
            <w:vAlign w:val="bottom"/>
            <w:shd w:val="clear" w:color="auto" w:fill="DDF2F9"/>
          </w:tcPr>
          <w:p>
            <w:pPr>
              <w:spacing w:after="0"/>
              <w:rPr>
                <w:sz w:val="15"/>
                <w:szCs w:val="15"/>
                <w:color w:val="auto"/>
              </w:rPr>
            </w:pPr>
          </w:p>
        </w:tc>
        <w:tc>
          <w:tcPr>
            <w:tcW w:w="14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Equity Incentive</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Equity Incentive Plan</w:t>
            </w:r>
          </w:p>
        </w:tc>
        <w:tc>
          <w:tcPr>
            <w:tcW w:w="0" w:type="dxa"/>
            <w:vAlign w:val="bottom"/>
          </w:tcPr>
          <w:p>
            <w:pPr>
              <w:spacing w:after="0"/>
              <w:rPr>
                <w:sz w:val="1"/>
                <w:szCs w:val="1"/>
                <w:color w:val="auto"/>
              </w:rPr>
            </w:pPr>
          </w:p>
        </w:tc>
      </w:tr>
      <w:tr>
        <w:trPr>
          <w:trHeight w:val="162"/>
        </w:trPr>
        <w:tc>
          <w:tcPr>
            <w:tcW w:w="1660" w:type="dxa"/>
            <w:vAlign w:val="bottom"/>
            <w:shd w:val="clear" w:color="auto" w:fill="DDF2F9"/>
          </w:tcPr>
          <w:p>
            <w:pPr>
              <w:spacing w:after="0"/>
              <w:rPr>
                <w:sz w:val="14"/>
                <w:szCs w:val="14"/>
                <w:color w:val="auto"/>
              </w:rPr>
            </w:pPr>
          </w:p>
        </w:tc>
        <w:tc>
          <w:tcPr>
            <w:tcW w:w="1240" w:type="dxa"/>
            <w:vAlign w:val="bottom"/>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w w:val="99"/>
              </w:rPr>
              <w:t>Number of</w:t>
            </w:r>
          </w:p>
        </w:tc>
        <w:tc>
          <w:tcPr>
            <w:tcW w:w="11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800" w:type="dxa"/>
            <w:vAlign w:val="bottom"/>
            <w:shd w:val="clear" w:color="auto" w:fill="DDF2F9"/>
          </w:tcPr>
          <w:p>
            <w:pPr>
              <w:spacing w:after="0"/>
              <w:rPr>
                <w:sz w:val="14"/>
                <w:szCs w:val="14"/>
                <w:color w:val="auto"/>
              </w:rPr>
            </w:pPr>
          </w:p>
        </w:tc>
        <w:tc>
          <w:tcPr>
            <w:tcW w:w="1020" w:type="dxa"/>
            <w:vAlign w:val="bottom"/>
            <w:tcBorders>
              <w:right w:val="single" w:sz="8" w:color="DDF2F9"/>
            </w:tcBorders>
            <w:shd w:val="clear" w:color="auto" w:fill="DDF2F9"/>
          </w:tcPr>
          <w:p>
            <w:pPr>
              <w:spacing w:after="0"/>
              <w:rPr>
                <w:sz w:val="14"/>
                <w:szCs w:val="14"/>
                <w:color w:val="auto"/>
              </w:rPr>
            </w:pPr>
          </w:p>
        </w:tc>
        <w:tc>
          <w:tcPr>
            <w:tcW w:w="9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Number of</w:t>
            </w:r>
          </w:p>
        </w:tc>
        <w:tc>
          <w:tcPr>
            <w:tcW w:w="1100" w:type="dxa"/>
            <w:vAlign w:val="bottom"/>
            <w:shd w:val="clear" w:color="auto" w:fill="DDF2F9"/>
          </w:tcPr>
          <w:p>
            <w:pPr>
              <w:spacing w:after="0"/>
              <w:rPr>
                <w:sz w:val="14"/>
                <w:szCs w:val="14"/>
                <w:color w:val="auto"/>
              </w:rPr>
            </w:pPr>
          </w:p>
        </w:tc>
        <w:tc>
          <w:tcPr>
            <w:tcW w:w="14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Plan Awards:</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Awards: Market</w:t>
            </w:r>
          </w:p>
        </w:tc>
        <w:tc>
          <w:tcPr>
            <w:tcW w:w="0" w:type="dxa"/>
            <w:vAlign w:val="bottom"/>
          </w:tcPr>
          <w:p>
            <w:pPr>
              <w:spacing w:after="0"/>
              <w:rPr>
                <w:sz w:val="1"/>
                <w:szCs w:val="1"/>
                <w:color w:val="auto"/>
              </w:rPr>
            </w:pPr>
          </w:p>
        </w:tc>
      </w:tr>
      <w:tr>
        <w:trPr>
          <w:trHeight w:val="162"/>
        </w:trPr>
        <w:tc>
          <w:tcPr>
            <w:tcW w:w="1660" w:type="dxa"/>
            <w:vAlign w:val="bottom"/>
            <w:shd w:val="clear" w:color="auto" w:fill="DDF2F9"/>
          </w:tcPr>
          <w:p>
            <w:pPr>
              <w:spacing w:after="0"/>
              <w:rPr>
                <w:sz w:val="14"/>
                <w:szCs w:val="14"/>
                <w:color w:val="auto"/>
              </w:rPr>
            </w:pPr>
          </w:p>
        </w:tc>
        <w:tc>
          <w:tcPr>
            <w:tcW w:w="1240" w:type="dxa"/>
            <w:vAlign w:val="bottom"/>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rPr>
              <w:t>Securities</w:t>
            </w:r>
          </w:p>
        </w:tc>
        <w:tc>
          <w:tcPr>
            <w:tcW w:w="11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Securities</w:t>
            </w:r>
          </w:p>
        </w:tc>
        <w:tc>
          <w:tcPr>
            <w:tcW w:w="800" w:type="dxa"/>
            <w:vAlign w:val="bottom"/>
            <w:shd w:val="clear" w:color="auto" w:fill="DDF2F9"/>
          </w:tcPr>
          <w:p>
            <w:pPr>
              <w:spacing w:after="0"/>
              <w:rPr>
                <w:sz w:val="14"/>
                <w:szCs w:val="14"/>
                <w:color w:val="auto"/>
              </w:rPr>
            </w:pPr>
          </w:p>
        </w:tc>
        <w:tc>
          <w:tcPr>
            <w:tcW w:w="1020" w:type="dxa"/>
            <w:vAlign w:val="bottom"/>
            <w:tcBorders>
              <w:right w:val="single" w:sz="8" w:color="DDF2F9"/>
            </w:tcBorders>
            <w:shd w:val="clear" w:color="auto" w:fill="DDF2F9"/>
          </w:tcPr>
          <w:p>
            <w:pPr>
              <w:spacing w:after="0"/>
              <w:rPr>
                <w:sz w:val="14"/>
                <w:szCs w:val="14"/>
                <w:color w:val="auto"/>
              </w:rPr>
            </w:pPr>
          </w:p>
        </w:tc>
        <w:tc>
          <w:tcPr>
            <w:tcW w:w="9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Shares or</w:t>
            </w:r>
          </w:p>
        </w:tc>
        <w:tc>
          <w:tcPr>
            <w:tcW w:w="11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Market Value</w:t>
            </w:r>
          </w:p>
        </w:tc>
        <w:tc>
          <w:tcPr>
            <w:tcW w:w="1480" w:type="dxa"/>
            <w:vAlign w:val="bottom"/>
            <w:shd w:val="clear" w:color="auto" w:fill="DDF2F9"/>
          </w:tcPr>
          <w:p>
            <w:pPr>
              <w:jc w:val="center"/>
              <w:ind w:left="7"/>
              <w:spacing w:after="0"/>
              <w:rPr>
                <w:sz w:val="20"/>
                <w:szCs w:val="20"/>
                <w:color w:val="auto"/>
              </w:rPr>
            </w:pPr>
            <w:r>
              <w:rPr>
                <w:rFonts w:ascii="Arial" w:cs="Arial" w:eastAsia="Arial" w:hAnsi="Arial"/>
                <w:sz w:val="14"/>
                <w:szCs w:val="14"/>
                <w:b w:val="1"/>
                <w:bCs w:val="1"/>
                <w:color w:val="0A33A5"/>
              </w:rPr>
              <w:t>Number of</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Value or Payout</w:t>
            </w:r>
          </w:p>
        </w:tc>
        <w:tc>
          <w:tcPr>
            <w:tcW w:w="0" w:type="dxa"/>
            <w:vAlign w:val="bottom"/>
          </w:tcPr>
          <w:p>
            <w:pPr>
              <w:spacing w:after="0"/>
              <w:rPr>
                <w:sz w:val="1"/>
                <w:szCs w:val="1"/>
                <w:color w:val="auto"/>
              </w:rPr>
            </w:pPr>
          </w:p>
        </w:tc>
      </w:tr>
      <w:tr>
        <w:trPr>
          <w:trHeight w:val="162"/>
        </w:trPr>
        <w:tc>
          <w:tcPr>
            <w:tcW w:w="1660" w:type="dxa"/>
            <w:vAlign w:val="bottom"/>
            <w:shd w:val="clear" w:color="auto" w:fill="DDF2F9"/>
          </w:tcPr>
          <w:p>
            <w:pPr>
              <w:spacing w:after="0"/>
              <w:rPr>
                <w:sz w:val="14"/>
                <w:szCs w:val="14"/>
                <w:color w:val="auto"/>
              </w:rPr>
            </w:pPr>
          </w:p>
        </w:tc>
        <w:tc>
          <w:tcPr>
            <w:tcW w:w="1240" w:type="dxa"/>
            <w:vAlign w:val="bottom"/>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rPr>
              <w:t>Underlying</w:t>
            </w:r>
          </w:p>
        </w:tc>
        <w:tc>
          <w:tcPr>
            <w:tcW w:w="11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Underlying</w:t>
            </w:r>
          </w:p>
        </w:tc>
        <w:tc>
          <w:tcPr>
            <w:tcW w:w="800" w:type="dxa"/>
            <w:vAlign w:val="bottom"/>
            <w:shd w:val="clear" w:color="auto" w:fill="DDF2F9"/>
          </w:tcPr>
          <w:p>
            <w:pPr>
              <w:spacing w:after="0"/>
              <w:rPr>
                <w:sz w:val="14"/>
                <w:szCs w:val="14"/>
                <w:color w:val="auto"/>
              </w:rPr>
            </w:pPr>
          </w:p>
        </w:tc>
        <w:tc>
          <w:tcPr>
            <w:tcW w:w="1020" w:type="dxa"/>
            <w:vAlign w:val="bottom"/>
            <w:tcBorders>
              <w:right w:val="single" w:sz="8" w:color="DDF2F9"/>
            </w:tcBorders>
            <w:shd w:val="clear" w:color="auto" w:fill="DDF2F9"/>
          </w:tcPr>
          <w:p>
            <w:pPr>
              <w:spacing w:after="0"/>
              <w:rPr>
                <w:sz w:val="14"/>
                <w:szCs w:val="14"/>
                <w:color w:val="auto"/>
              </w:rPr>
            </w:pPr>
          </w:p>
        </w:tc>
        <w:tc>
          <w:tcPr>
            <w:tcW w:w="9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w w:val="99"/>
              </w:rPr>
              <w:t>Units of</w:t>
            </w:r>
          </w:p>
        </w:tc>
        <w:tc>
          <w:tcPr>
            <w:tcW w:w="11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of Shares or</w:t>
            </w:r>
          </w:p>
        </w:tc>
        <w:tc>
          <w:tcPr>
            <w:tcW w:w="14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Unearned Shares,</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Value of Unearned</w:t>
            </w:r>
          </w:p>
        </w:tc>
        <w:tc>
          <w:tcPr>
            <w:tcW w:w="0" w:type="dxa"/>
            <w:vAlign w:val="bottom"/>
          </w:tcPr>
          <w:p>
            <w:pPr>
              <w:spacing w:after="0"/>
              <w:rPr>
                <w:sz w:val="1"/>
                <w:szCs w:val="1"/>
                <w:color w:val="auto"/>
              </w:rPr>
            </w:pPr>
          </w:p>
        </w:tc>
      </w:tr>
      <w:tr>
        <w:trPr>
          <w:trHeight w:val="162"/>
        </w:trPr>
        <w:tc>
          <w:tcPr>
            <w:tcW w:w="1660" w:type="dxa"/>
            <w:vAlign w:val="bottom"/>
            <w:shd w:val="clear" w:color="auto" w:fill="DDF2F9"/>
          </w:tcPr>
          <w:p>
            <w:pPr>
              <w:spacing w:after="0"/>
              <w:rPr>
                <w:sz w:val="14"/>
                <w:szCs w:val="14"/>
                <w:color w:val="auto"/>
              </w:rPr>
            </w:pPr>
          </w:p>
        </w:tc>
        <w:tc>
          <w:tcPr>
            <w:tcW w:w="1240" w:type="dxa"/>
            <w:vAlign w:val="bottom"/>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rPr>
              <w:t>Unexercised</w:t>
            </w:r>
          </w:p>
        </w:tc>
        <w:tc>
          <w:tcPr>
            <w:tcW w:w="11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Unexercised</w:t>
            </w:r>
          </w:p>
        </w:tc>
        <w:tc>
          <w:tcPr>
            <w:tcW w:w="8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Option</w:t>
            </w:r>
          </w:p>
        </w:tc>
        <w:tc>
          <w:tcPr>
            <w:tcW w:w="102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Option</w:t>
            </w:r>
          </w:p>
        </w:tc>
        <w:tc>
          <w:tcPr>
            <w:tcW w:w="9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Stock That</w:t>
            </w:r>
          </w:p>
        </w:tc>
        <w:tc>
          <w:tcPr>
            <w:tcW w:w="1100" w:type="dxa"/>
            <w:vAlign w:val="bottom"/>
            <w:shd w:val="clear" w:color="auto" w:fill="DDF2F9"/>
          </w:tcPr>
          <w:p>
            <w:pPr>
              <w:jc w:val="center"/>
              <w:ind w:left="7"/>
              <w:spacing w:after="0"/>
              <w:rPr>
                <w:sz w:val="20"/>
                <w:szCs w:val="20"/>
                <w:color w:val="auto"/>
              </w:rPr>
            </w:pPr>
            <w:r>
              <w:rPr>
                <w:rFonts w:ascii="Arial" w:cs="Arial" w:eastAsia="Arial" w:hAnsi="Arial"/>
                <w:sz w:val="14"/>
                <w:szCs w:val="14"/>
                <w:b w:val="1"/>
                <w:bCs w:val="1"/>
                <w:color w:val="0A33A5"/>
              </w:rPr>
              <w:t>Units of Stock</w:t>
            </w:r>
          </w:p>
        </w:tc>
        <w:tc>
          <w:tcPr>
            <w:tcW w:w="1480" w:type="dxa"/>
            <w:vAlign w:val="bottom"/>
            <w:shd w:val="clear" w:color="auto" w:fill="DDF2F9"/>
          </w:tcPr>
          <w:p>
            <w:pPr>
              <w:jc w:val="center"/>
              <w:ind w:left="7"/>
              <w:spacing w:after="0"/>
              <w:rPr>
                <w:sz w:val="20"/>
                <w:szCs w:val="20"/>
                <w:color w:val="auto"/>
              </w:rPr>
            </w:pPr>
            <w:r>
              <w:rPr>
                <w:rFonts w:ascii="Arial" w:cs="Arial" w:eastAsia="Arial" w:hAnsi="Arial"/>
                <w:sz w:val="14"/>
                <w:szCs w:val="14"/>
                <w:b w:val="1"/>
                <w:bCs w:val="1"/>
                <w:color w:val="0A33A5"/>
              </w:rPr>
              <w:t>Units or Other</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Shares, Units or</w:t>
            </w:r>
          </w:p>
        </w:tc>
        <w:tc>
          <w:tcPr>
            <w:tcW w:w="0" w:type="dxa"/>
            <w:vAlign w:val="bottom"/>
          </w:tcPr>
          <w:p>
            <w:pPr>
              <w:spacing w:after="0"/>
              <w:rPr>
                <w:sz w:val="1"/>
                <w:szCs w:val="1"/>
                <w:color w:val="auto"/>
              </w:rPr>
            </w:pPr>
          </w:p>
        </w:tc>
      </w:tr>
      <w:tr>
        <w:trPr>
          <w:trHeight w:val="159"/>
        </w:trPr>
        <w:tc>
          <w:tcPr>
            <w:tcW w:w="1660" w:type="dxa"/>
            <w:vAlign w:val="bottom"/>
            <w:vMerge w:val="restart"/>
            <w:shd w:val="clear" w:color="auto" w:fill="DDF2F9"/>
          </w:tcPr>
          <w:p>
            <w:pPr>
              <w:ind w:left="60"/>
              <w:spacing w:after="0"/>
              <w:rPr>
                <w:sz w:val="20"/>
                <w:szCs w:val="20"/>
                <w:color w:val="auto"/>
              </w:rPr>
            </w:pPr>
            <w:r>
              <w:rPr>
                <w:rFonts w:ascii="Arial" w:cs="Arial" w:eastAsia="Arial" w:hAnsi="Arial"/>
                <w:sz w:val="14"/>
                <w:szCs w:val="14"/>
                <w:b w:val="1"/>
                <w:bCs w:val="1"/>
                <w:color w:val="0A33A5"/>
              </w:rPr>
              <w:t>Name</w:t>
            </w:r>
          </w:p>
        </w:tc>
        <w:tc>
          <w:tcPr>
            <w:tcW w:w="1240" w:type="dxa"/>
            <w:vAlign w:val="bottom"/>
            <w:shd w:val="clear" w:color="auto" w:fill="DDF2F9"/>
          </w:tcPr>
          <w:p>
            <w:pPr>
              <w:jc w:val="center"/>
              <w:ind w:right="62"/>
              <w:spacing w:after="0" w:line="159" w:lineRule="exact"/>
              <w:rPr>
                <w:sz w:val="20"/>
                <w:szCs w:val="20"/>
                <w:color w:val="auto"/>
              </w:rPr>
            </w:pPr>
            <w:r>
              <w:rPr>
                <w:rFonts w:ascii="Arial" w:cs="Arial" w:eastAsia="Arial" w:hAnsi="Arial"/>
                <w:sz w:val="14"/>
                <w:szCs w:val="14"/>
                <w:b w:val="1"/>
                <w:bCs w:val="1"/>
                <w:color w:val="0A33A5"/>
              </w:rPr>
              <w:t>Options</w:t>
            </w:r>
          </w:p>
        </w:tc>
        <w:tc>
          <w:tcPr>
            <w:tcW w:w="116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Options</w:t>
            </w:r>
          </w:p>
        </w:tc>
        <w:tc>
          <w:tcPr>
            <w:tcW w:w="80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Exercise</w:t>
            </w:r>
          </w:p>
        </w:tc>
        <w:tc>
          <w:tcPr>
            <w:tcW w:w="1020" w:type="dxa"/>
            <w:vAlign w:val="bottom"/>
            <w:tcBorders>
              <w:right w:val="single" w:sz="8" w:color="DDF2F9"/>
            </w:tcBorders>
            <w:shd w:val="clear" w:color="auto" w:fill="DDF2F9"/>
          </w:tcPr>
          <w:p>
            <w:pPr>
              <w:ind w:left="160"/>
              <w:spacing w:after="0" w:line="159" w:lineRule="exact"/>
              <w:rPr>
                <w:sz w:val="20"/>
                <w:szCs w:val="20"/>
                <w:color w:val="auto"/>
              </w:rPr>
            </w:pPr>
            <w:r>
              <w:rPr>
                <w:rFonts w:ascii="Arial" w:cs="Arial" w:eastAsia="Arial" w:hAnsi="Arial"/>
                <w:sz w:val="14"/>
                <w:szCs w:val="14"/>
                <w:b w:val="1"/>
                <w:bCs w:val="1"/>
                <w:color w:val="0A33A5"/>
              </w:rPr>
              <w:t>Expiration</w:t>
            </w:r>
          </w:p>
        </w:tc>
        <w:tc>
          <w:tcPr>
            <w:tcW w:w="9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Have Not</w:t>
            </w:r>
          </w:p>
        </w:tc>
        <w:tc>
          <w:tcPr>
            <w:tcW w:w="1100" w:type="dxa"/>
            <w:vAlign w:val="bottom"/>
            <w:shd w:val="clear" w:color="auto" w:fill="DDF2F9"/>
          </w:tcPr>
          <w:p>
            <w:pPr>
              <w:jc w:val="center"/>
              <w:ind w:left="7"/>
              <w:spacing w:after="0" w:line="159" w:lineRule="exact"/>
              <w:rPr>
                <w:sz w:val="20"/>
                <w:szCs w:val="20"/>
                <w:color w:val="auto"/>
              </w:rPr>
            </w:pPr>
            <w:r>
              <w:rPr>
                <w:rFonts w:ascii="Arial" w:cs="Arial" w:eastAsia="Arial" w:hAnsi="Arial"/>
                <w:sz w:val="14"/>
                <w:szCs w:val="14"/>
                <w:b w:val="1"/>
                <w:bCs w:val="1"/>
                <w:color w:val="0A33A5"/>
              </w:rPr>
              <w:t>That Have</w:t>
            </w:r>
          </w:p>
        </w:tc>
        <w:tc>
          <w:tcPr>
            <w:tcW w:w="148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Rights That Have</w:t>
            </w:r>
          </w:p>
        </w:tc>
        <w:tc>
          <w:tcPr>
            <w:tcW w:w="162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Other Rights That</w:t>
            </w:r>
          </w:p>
        </w:tc>
        <w:tc>
          <w:tcPr>
            <w:tcW w:w="0" w:type="dxa"/>
            <w:vAlign w:val="bottom"/>
          </w:tcPr>
          <w:p>
            <w:pPr>
              <w:spacing w:after="0"/>
              <w:rPr>
                <w:sz w:val="1"/>
                <w:szCs w:val="1"/>
                <w:color w:val="auto"/>
              </w:rPr>
            </w:pPr>
          </w:p>
        </w:tc>
      </w:tr>
      <w:tr>
        <w:trPr>
          <w:trHeight w:val="165"/>
        </w:trPr>
        <w:tc>
          <w:tcPr>
            <w:tcW w:w="1660" w:type="dxa"/>
            <w:vAlign w:val="bottom"/>
            <w:vMerge w:val="continue"/>
            <w:shd w:val="clear" w:color="auto" w:fill="DDF2F9"/>
          </w:tcPr>
          <w:p>
            <w:pPr>
              <w:spacing w:after="0"/>
              <w:rPr>
                <w:sz w:val="14"/>
                <w:szCs w:val="14"/>
                <w:color w:val="auto"/>
              </w:rPr>
            </w:pPr>
          </w:p>
        </w:tc>
        <w:tc>
          <w:tcPr>
            <w:tcW w:w="1240" w:type="dxa"/>
            <w:vAlign w:val="bottom"/>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rPr>
              <w:t>Exercisable</w:t>
            </w:r>
          </w:p>
        </w:tc>
        <w:tc>
          <w:tcPr>
            <w:tcW w:w="11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Unexercisable</w:t>
            </w:r>
          </w:p>
        </w:tc>
        <w:tc>
          <w:tcPr>
            <w:tcW w:w="8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Price</w:t>
            </w:r>
          </w:p>
        </w:tc>
        <w:tc>
          <w:tcPr>
            <w:tcW w:w="1020" w:type="dxa"/>
            <w:vAlign w:val="bottom"/>
            <w:tcBorders>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Date</w:t>
            </w:r>
          </w:p>
        </w:tc>
        <w:tc>
          <w:tcPr>
            <w:tcW w:w="940" w:type="dxa"/>
            <w:vAlign w:val="bottom"/>
            <w:shd w:val="clear" w:color="auto" w:fill="DDF2F9"/>
          </w:tcPr>
          <w:p>
            <w:pPr>
              <w:jc w:val="center"/>
              <w:spacing w:after="0" w:line="165" w:lineRule="exact"/>
              <w:rPr>
                <w:sz w:val="20"/>
                <w:szCs w:val="20"/>
                <w:color w:val="auto"/>
              </w:rPr>
            </w:pPr>
            <w:r>
              <w:rPr>
                <w:rFonts w:ascii="Arial" w:cs="Arial" w:eastAsia="Arial" w:hAnsi="Arial"/>
                <w:sz w:val="12"/>
                <w:szCs w:val="12"/>
                <w:b w:val="1"/>
                <w:bCs w:val="1"/>
                <w:color w:val="0A33A5"/>
              </w:rPr>
              <w:t>Vested</w:t>
            </w:r>
            <w:r>
              <w:rPr>
                <w:rFonts w:ascii="Arial" w:cs="Arial" w:eastAsia="Arial" w:hAnsi="Arial"/>
                <w:sz w:val="19"/>
                <w:szCs w:val="19"/>
                <w:b w:val="1"/>
                <w:bCs w:val="1"/>
                <w:color w:val="0A33A5"/>
                <w:vertAlign w:val="superscript"/>
              </w:rPr>
              <w:t>(5)</w:t>
            </w:r>
          </w:p>
        </w:tc>
        <w:tc>
          <w:tcPr>
            <w:tcW w:w="1100" w:type="dxa"/>
            <w:vAlign w:val="bottom"/>
            <w:shd w:val="clear" w:color="auto" w:fill="DDF2F9"/>
          </w:tcPr>
          <w:p>
            <w:pPr>
              <w:jc w:val="center"/>
              <w:ind w:left="7"/>
              <w:spacing w:after="0"/>
              <w:rPr>
                <w:sz w:val="20"/>
                <w:szCs w:val="20"/>
                <w:color w:val="auto"/>
              </w:rPr>
            </w:pPr>
            <w:r>
              <w:rPr>
                <w:rFonts w:ascii="Arial" w:cs="Arial" w:eastAsia="Arial" w:hAnsi="Arial"/>
                <w:sz w:val="14"/>
                <w:szCs w:val="14"/>
                <w:b w:val="1"/>
                <w:bCs w:val="1"/>
                <w:color w:val="0A33A5"/>
              </w:rPr>
              <w:t>Not Vested</w:t>
            </w:r>
          </w:p>
        </w:tc>
        <w:tc>
          <w:tcPr>
            <w:tcW w:w="1480" w:type="dxa"/>
            <w:vAlign w:val="bottom"/>
            <w:shd w:val="clear" w:color="auto" w:fill="DDF2F9"/>
          </w:tcPr>
          <w:p>
            <w:pPr>
              <w:jc w:val="center"/>
              <w:ind w:left="7"/>
              <w:spacing w:after="0" w:line="165" w:lineRule="exact"/>
              <w:rPr>
                <w:sz w:val="20"/>
                <w:szCs w:val="20"/>
                <w:color w:val="auto"/>
              </w:rPr>
            </w:pPr>
            <w:r>
              <w:rPr>
                <w:rFonts w:ascii="Arial" w:cs="Arial" w:eastAsia="Arial" w:hAnsi="Arial"/>
                <w:sz w:val="12"/>
                <w:szCs w:val="12"/>
                <w:b w:val="1"/>
                <w:bCs w:val="1"/>
                <w:color w:val="0A33A5"/>
              </w:rPr>
              <w:t>Not Vested</w:t>
            </w:r>
            <w:r>
              <w:rPr>
                <w:rFonts w:ascii="Arial" w:cs="Arial" w:eastAsia="Arial" w:hAnsi="Arial"/>
                <w:sz w:val="19"/>
                <w:szCs w:val="19"/>
                <w:b w:val="1"/>
                <w:bCs w:val="1"/>
                <w:color w:val="0A33A5"/>
                <w:vertAlign w:val="superscript"/>
              </w:rPr>
              <w:t>(5)</w:t>
            </w:r>
          </w:p>
        </w:tc>
        <w:tc>
          <w:tcPr>
            <w:tcW w:w="16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Have Not Vested</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auto"/>
            </w:tcBorders>
            <w:shd w:val="clear" w:color="auto" w:fill="DDF2F9"/>
          </w:tcPr>
          <w:p>
            <w:pPr>
              <w:spacing w:after="0"/>
              <w:rPr>
                <w:sz w:val="16"/>
                <w:szCs w:val="16"/>
                <w:color w:val="auto"/>
              </w:rPr>
            </w:pPr>
          </w:p>
        </w:tc>
        <w:tc>
          <w:tcPr>
            <w:tcW w:w="1240" w:type="dxa"/>
            <w:vAlign w:val="bottom"/>
            <w:tcBorders>
              <w:bottom w:val="single" w:sz="8" w:color="auto"/>
            </w:tcBorders>
            <w:shd w:val="clear" w:color="auto" w:fill="DDF2F9"/>
          </w:tcPr>
          <w:p>
            <w:pPr>
              <w:jc w:val="center"/>
              <w:ind w:right="62"/>
              <w:spacing w:after="0"/>
              <w:rPr>
                <w:sz w:val="20"/>
                <w:szCs w:val="20"/>
                <w:color w:val="auto"/>
              </w:rPr>
            </w:pPr>
            <w:r>
              <w:rPr>
                <w:rFonts w:ascii="Arial" w:cs="Arial" w:eastAsia="Arial" w:hAnsi="Arial"/>
                <w:sz w:val="14"/>
                <w:szCs w:val="14"/>
                <w:b w:val="1"/>
                <w:bCs w:val="1"/>
                <w:color w:val="0A33A5"/>
              </w:rPr>
              <w:t>(a)</w:t>
            </w:r>
          </w:p>
        </w:tc>
        <w:tc>
          <w:tcPr>
            <w:tcW w:w="11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(b)</w:t>
            </w:r>
          </w:p>
        </w:tc>
        <w:tc>
          <w:tcPr>
            <w:tcW w:w="8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(c)</w:t>
            </w:r>
          </w:p>
        </w:tc>
        <w:tc>
          <w:tcPr>
            <w:tcW w:w="1020" w:type="dxa"/>
            <w:vAlign w:val="bottom"/>
            <w:tcBorders>
              <w:bottom w:val="single" w:sz="8" w:color="auto"/>
              <w:right w:val="single" w:sz="8" w:color="DDF2F9"/>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(d)</w:t>
            </w:r>
          </w:p>
        </w:tc>
        <w:tc>
          <w:tcPr>
            <w:tcW w:w="9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w w:val="93"/>
              </w:rPr>
              <w:t>(e)</w:t>
            </w:r>
          </w:p>
        </w:tc>
        <w:tc>
          <w:tcPr>
            <w:tcW w:w="1100" w:type="dxa"/>
            <w:vAlign w:val="bottom"/>
            <w:tcBorders>
              <w:bottom w:val="single" w:sz="8" w:color="auto"/>
            </w:tcBorders>
            <w:shd w:val="clear" w:color="auto" w:fill="DDF2F9"/>
          </w:tcPr>
          <w:p>
            <w:pPr>
              <w:jc w:val="center"/>
              <w:ind w:left="7"/>
              <w:spacing w:after="0"/>
              <w:rPr>
                <w:sz w:val="20"/>
                <w:szCs w:val="20"/>
                <w:color w:val="auto"/>
              </w:rPr>
            </w:pPr>
            <w:r>
              <w:rPr>
                <w:rFonts w:ascii="Arial" w:cs="Arial" w:eastAsia="Arial" w:hAnsi="Arial"/>
                <w:sz w:val="14"/>
                <w:szCs w:val="14"/>
                <w:b w:val="1"/>
                <w:bCs w:val="1"/>
                <w:color w:val="0A33A5"/>
                <w:w w:val="99"/>
              </w:rPr>
              <w:t>(f)</w:t>
            </w:r>
          </w:p>
        </w:tc>
        <w:tc>
          <w:tcPr>
            <w:tcW w:w="148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(g)</w:t>
            </w:r>
          </w:p>
        </w:tc>
        <w:tc>
          <w:tcPr>
            <w:tcW w:w="16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(h)</w:t>
            </w: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281,880</w:t>
            </w:r>
          </w:p>
        </w:tc>
        <w:tc>
          <w:tcPr>
            <w:tcW w:w="1160" w:type="dxa"/>
            <w:vAlign w:val="bottom"/>
          </w:tcPr>
          <w:p>
            <w:pPr>
              <w:jc w:val="right"/>
              <w:ind w:right="24"/>
              <w:spacing w:after="0" w:line="207" w:lineRule="exact"/>
              <w:rPr>
                <w:sz w:val="20"/>
                <w:szCs w:val="20"/>
                <w:color w:val="auto"/>
              </w:rPr>
            </w:pPr>
            <w:r>
              <w:rPr>
                <w:rFonts w:ascii="Arial" w:cs="Arial" w:eastAsia="Arial" w:hAnsi="Arial"/>
                <w:sz w:val="14"/>
                <w:szCs w:val="14"/>
                <w:color w:val="auto"/>
              </w:rPr>
              <w:t>187,920</w:t>
            </w:r>
            <w:r>
              <w:rPr>
                <w:rFonts w:ascii="Arial" w:cs="Arial" w:eastAsia="Arial" w:hAnsi="Arial"/>
                <w:sz w:val="23"/>
                <w:szCs w:val="23"/>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29.725</w:t>
            </w:r>
          </w:p>
        </w:tc>
        <w:tc>
          <w:tcPr>
            <w:tcW w:w="1020" w:type="dxa"/>
            <w:vAlign w:val="bottom"/>
          </w:tcPr>
          <w:p>
            <w:pPr>
              <w:ind w:left="140"/>
              <w:spacing w:after="0"/>
              <w:rPr>
                <w:sz w:val="20"/>
                <w:szCs w:val="20"/>
                <w:color w:val="auto"/>
              </w:rPr>
            </w:pPr>
            <w:r>
              <w:rPr>
                <w:rFonts w:ascii="Arial" w:cs="Arial" w:eastAsia="Arial" w:hAnsi="Arial"/>
                <w:sz w:val="16"/>
                <w:szCs w:val="16"/>
                <w:color w:val="auto"/>
              </w:rPr>
              <w:t>03/19/2025</w:t>
            </w: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2"/>
              <w:spacing w:after="0" w:line="216" w:lineRule="exact"/>
              <w:rPr>
                <w:sz w:val="20"/>
                <w:szCs w:val="20"/>
                <w:color w:val="auto"/>
              </w:rPr>
            </w:pPr>
            <w:r>
              <w:rPr>
                <w:rFonts w:ascii="Arial" w:cs="Arial" w:eastAsia="Arial" w:hAnsi="Arial"/>
                <w:sz w:val="15"/>
                <w:szCs w:val="15"/>
                <w:color w:val="auto"/>
              </w:rPr>
              <w:t>216,000</w:t>
            </w:r>
            <w:r>
              <w:rPr>
                <w:rFonts w:ascii="Arial" w:cs="Arial" w:eastAsia="Arial" w:hAnsi="Arial"/>
                <w:sz w:val="25"/>
                <w:szCs w:val="25"/>
                <w:color w:val="auto"/>
                <w:vertAlign w:val="superscript"/>
              </w:rPr>
              <w:t>(1)</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264,000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29.880</w:t>
            </w:r>
          </w:p>
        </w:tc>
        <w:tc>
          <w:tcPr>
            <w:tcW w:w="1020" w:type="dxa"/>
            <w:vAlign w:val="bottom"/>
          </w:tcPr>
          <w:p>
            <w:pPr>
              <w:ind w:left="140"/>
              <w:spacing w:after="0"/>
              <w:rPr>
                <w:sz w:val="20"/>
                <w:szCs w:val="20"/>
                <w:color w:val="auto"/>
              </w:rPr>
            </w:pPr>
            <w:r>
              <w:rPr>
                <w:rFonts w:ascii="Arial" w:cs="Arial" w:eastAsia="Arial" w:hAnsi="Arial"/>
                <w:sz w:val="16"/>
                <w:szCs w:val="16"/>
                <w:color w:val="auto"/>
              </w:rPr>
              <w:t>03/17/2026</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2"/>
              <w:spacing w:after="0" w:line="216" w:lineRule="exact"/>
              <w:rPr>
                <w:sz w:val="20"/>
                <w:szCs w:val="20"/>
                <w:color w:val="auto"/>
              </w:rPr>
            </w:pPr>
            <w:r>
              <w:rPr>
                <w:rFonts w:ascii="Arial" w:cs="Arial" w:eastAsia="Arial" w:hAnsi="Arial"/>
                <w:sz w:val="15"/>
                <w:szCs w:val="15"/>
                <w:color w:val="auto"/>
              </w:rPr>
              <w:t>118,560</w:t>
            </w:r>
            <w:r>
              <w:rPr>
                <w:rFonts w:ascii="Arial" w:cs="Arial" w:eastAsia="Arial" w:hAnsi="Arial"/>
                <w:sz w:val="25"/>
                <w:szCs w:val="25"/>
                <w:color w:val="auto"/>
                <w:vertAlign w:val="superscript"/>
              </w:rPr>
              <w:t>(1)</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276,640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37.460</w:t>
            </w:r>
          </w:p>
        </w:tc>
        <w:tc>
          <w:tcPr>
            <w:tcW w:w="1020" w:type="dxa"/>
            <w:vAlign w:val="bottom"/>
          </w:tcPr>
          <w:p>
            <w:pPr>
              <w:ind w:left="140"/>
              <w:spacing w:after="0"/>
              <w:rPr>
                <w:sz w:val="20"/>
                <w:szCs w:val="20"/>
                <w:color w:val="auto"/>
              </w:rPr>
            </w:pPr>
            <w:r>
              <w:rPr>
                <w:rFonts w:ascii="Arial" w:cs="Arial" w:eastAsia="Arial" w:hAnsi="Arial"/>
                <w:sz w:val="16"/>
                <w:szCs w:val="16"/>
                <w:color w:val="auto"/>
              </w:rPr>
              <w:t>03/16/2027</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385,000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35.830</w:t>
            </w:r>
          </w:p>
        </w:tc>
        <w:tc>
          <w:tcPr>
            <w:tcW w:w="1020" w:type="dxa"/>
            <w:vAlign w:val="bottom"/>
          </w:tcPr>
          <w:p>
            <w:pPr>
              <w:ind w:left="140"/>
              <w:spacing w:after="0"/>
              <w:rPr>
                <w:sz w:val="20"/>
                <w:szCs w:val="20"/>
                <w:color w:val="auto"/>
              </w:rPr>
            </w:pPr>
            <w:r>
              <w:rPr>
                <w:rFonts w:ascii="Arial" w:cs="Arial" w:eastAsia="Arial" w:hAnsi="Arial"/>
                <w:sz w:val="16"/>
                <w:szCs w:val="16"/>
                <w:color w:val="auto"/>
              </w:rPr>
              <w:t>03/15/2028</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660" w:type="dxa"/>
            <w:vAlign w:val="bottom"/>
          </w:tcPr>
          <w:p>
            <w:pPr>
              <w:spacing w:after="0"/>
              <w:rPr>
                <w:sz w:val="24"/>
                <w:szCs w:val="24"/>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347,500</w:t>
            </w:r>
            <w:r>
              <w:rPr>
                <w:rFonts w:ascii="Arial" w:cs="Arial" w:eastAsia="Arial" w:hAnsi="Arial"/>
                <w:sz w:val="27"/>
                <w:szCs w:val="27"/>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40.470</w:t>
            </w:r>
          </w:p>
        </w:tc>
        <w:tc>
          <w:tcPr>
            <w:tcW w:w="1020" w:type="dxa"/>
            <w:vAlign w:val="bottom"/>
          </w:tcPr>
          <w:p>
            <w:pPr>
              <w:ind w:left="140"/>
              <w:spacing w:after="0"/>
              <w:rPr>
                <w:sz w:val="20"/>
                <w:szCs w:val="20"/>
                <w:color w:val="auto"/>
              </w:rPr>
            </w:pPr>
            <w:r>
              <w:rPr>
                <w:rFonts w:ascii="Arial" w:cs="Arial" w:eastAsia="Arial" w:hAnsi="Arial"/>
                <w:sz w:val="16"/>
                <w:szCs w:val="16"/>
                <w:color w:val="auto"/>
              </w:rPr>
              <w:t>03/14/2029</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David N. Watson</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6"/>
                <w:szCs w:val="16"/>
                <w:color w:val="auto"/>
              </w:rPr>
              <w:t>63,170</w:t>
            </w:r>
          </w:p>
        </w:tc>
        <w:tc>
          <w:tcPr>
            <w:tcW w:w="1100" w:type="dxa"/>
            <w:vAlign w:val="bottom"/>
          </w:tcPr>
          <w:p>
            <w:pPr>
              <w:jc w:val="center"/>
              <w:ind w:left="7"/>
              <w:spacing w:after="0"/>
              <w:rPr>
                <w:sz w:val="20"/>
                <w:szCs w:val="20"/>
                <w:color w:val="auto"/>
              </w:rPr>
            </w:pPr>
            <w:r>
              <w:rPr>
                <w:rFonts w:ascii="Arial" w:cs="Arial" w:eastAsia="Arial" w:hAnsi="Arial"/>
                <w:sz w:val="16"/>
                <w:szCs w:val="16"/>
                <w:color w:val="auto"/>
              </w:rPr>
              <w:t>$  2,840,755</w:t>
            </w:r>
          </w:p>
        </w:tc>
        <w:tc>
          <w:tcPr>
            <w:tcW w:w="1480" w:type="dxa"/>
            <w:vAlign w:val="bottom"/>
          </w:tcPr>
          <w:p>
            <w:pPr>
              <w:jc w:val="right"/>
              <w:ind w:right="7"/>
              <w:spacing w:after="0"/>
              <w:rPr>
                <w:sz w:val="20"/>
                <w:szCs w:val="20"/>
                <w:color w:val="auto"/>
              </w:rPr>
            </w:pPr>
            <w:r>
              <w:rPr>
                <w:rFonts w:ascii="Arial" w:cs="Arial" w:eastAsia="Arial" w:hAnsi="Arial"/>
                <w:sz w:val="16"/>
                <w:szCs w:val="16"/>
                <w:color w:val="auto"/>
              </w:rPr>
              <w:t>240,878</w:t>
            </w:r>
          </w:p>
        </w:tc>
        <w:tc>
          <w:tcPr>
            <w:tcW w:w="1620" w:type="dxa"/>
            <w:vAlign w:val="bottom"/>
          </w:tcPr>
          <w:p>
            <w:pPr>
              <w:jc w:val="right"/>
              <w:spacing w:after="0"/>
              <w:rPr>
                <w:sz w:val="20"/>
                <w:szCs w:val="20"/>
                <w:color w:val="auto"/>
              </w:rPr>
            </w:pPr>
            <w:r>
              <w:rPr>
                <w:rFonts w:ascii="Arial" w:cs="Arial" w:eastAsia="Arial" w:hAnsi="Arial"/>
                <w:sz w:val="16"/>
                <w:szCs w:val="16"/>
                <w:color w:val="auto"/>
              </w:rPr>
              <w:t>10,832,284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470,000</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9.170</w:t>
            </w:r>
          </w:p>
        </w:tc>
        <w:tc>
          <w:tcPr>
            <w:tcW w:w="1020" w:type="dxa"/>
            <w:vAlign w:val="bottom"/>
          </w:tcPr>
          <w:p>
            <w:pPr>
              <w:ind w:left="140"/>
              <w:spacing w:after="0"/>
              <w:rPr>
                <w:sz w:val="20"/>
                <w:szCs w:val="20"/>
                <w:color w:val="auto"/>
              </w:rPr>
            </w:pPr>
            <w:r>
              <w:rPr>
                <w:rFonts w:ascii="Arial" w:cs="Arial" w:eastAsia="Arial" w:hAnsi="Arial"/>
                <w:sz w:val="16"/>
                <w:szCs w:val="16"/>
                <w:color w:val="auto"/>
              </w:rPr>
              <w:t>03/25/2020</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79,314</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12.630</w:t>
            </w:r>
          </w:p>
        </w:tc>
        <w:tc>
          <w:tcPr>
            <w:tcW w:w="1020" w:type="dxa"/>
            <w:vAlign w:val="bottom"/>
          </w:tcPr>
          <w:p>
            <w:pPr>
              <w:ind w:left="140"/>
              <w:spacing w:after="0"/>
              <w:rPr>
                <w:sz w:val="20"/>
                <w:szCs w:val="20"/>
                <w:color w:val="auto"/>
              </w:rPr>
            </w:pPr>
            <w:r>
              <w:rPr>
                <w:rFonts w:ascii="Arial" w:cs="Arial" w:eastAsia="Arial" w:hAnsi="Arial"/>
                <w:sz w:val="16"/>
                <w:szCs w:val="16"/>
                <w:color w:val="auto"/>
              </w:rPr>
              <w:t>02/24/2021</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60" w:type="dxa"/>
            <w:vAlign w:val="bottom"/>
          </w:tcPr>
          <w:p>
            <w:pPr>
              <w:spacing w:after="0"/>
              <w:rPr>
                <w:sz w:val="19"/>
                <w:szCs w:val="19"/>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297,000</w:t>
            </w:r>
          </w:p>
        </w:tc>
        <w:tc>
          <w:tcPr>
            <w:tcW w:w="1160" w:type="dxa"/>
            <w:vAlign w:val="bottom"/>
          </w:tcPr>
          <w:p>
            <w:pPr>
              <w:jc w:val="right"/>
              <w:ind w:right="24"/>
              <w:spacing w:after="0" w:line="218" w:lineRule="exact"/>
              <w:rPr>
                <w:sz w:val="20"/>
                <w:szCs w:val="20"/>
                <w:color w:val="auto"/>
              </w:rPr>
            </w:pPr>
            <w:r>
              <w:rPr>
                <w:rFonts w:ascii="Arial" w:cs="Arial" w:eastAsia="Arial" w:hAnsi="Arial"/>
                <w:sz w:val="15"/>
                <w:szCs w:val="15"/>
                <w:color w:val="auto"/>
              </w:rPr>
              <w:t>33,000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12.510</w:t>
            </w:r>
          </w:p>
        </w:tc>
        <w:tc>
          <w:tcPr>
            <w:tcW w:w="1020" w:type="dxa"/>
            <w:vAlign w:val="bottom"/>
          </w:tcPr>
          <w:p>
            <w:pPr>
              <w:ind w:left="140"/>
              <w:spacing w:after="0"/>
              <w:rPr>
                <w:sz w:val="20"/>
                <w:szCs w:val="20"/>
                <w:color w:val="auto"/>
              </w:rPr>
            </w:pPr>
            <w:r>
              <w:rPr>
                <w:rFonts w:ascii="Arial" w:cs="Arial" w:eastAsia="Arial" w:hAnsi="Arial"/>
                <w:sz w:val="16"/>
                <w:szCs w:val="16"/>
                <w:color w:val="auto"/>
              </w:rPr>
              <w:t>03/24/2021</w:t>
            </w:r>
          </w:p>
        </w:tc>
        <w:tc>
          <w:tcPr>
            <w:tcW w:w="9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122,500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46,500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14.995</w:t>
            </w:r>
          </w:p>
        </w:tc>
        <w:tc>
          <w:tcPr>
            <w:tcW w:w="1020" w:type="dxa"/>
            <w:vAlign w:val="bottom"/>
          </w:tcPr>
          <w:p>
            <w:pPr>
              <w:ind w:left="140"/>
              <w:spacing w:after="0"/>
              <w:rPr>
                <w:sz w:val="20"/>
                <w:szCs w:val="20"/>
                <w:color w:val="auto"/>
              </w:rPr>
            </w:pPr>
            <w:r>
              <w:rPr>
                <w:rFonts w:ascii="Arial" w:cs="Arial" w:eastAsia="Arial" w:hAnsi="Arial"/>
                <w:sz w:val="16"/>
                <w:szCs w:val="16"/>
                <w:color w:val="auto"/>
              </w:rPr>
              <w:t>03/22/2022</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157,020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56,880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20.610</w:t>
            </w:r>
          </w:p>
        </w:tc>
        <w:tc>
          <w:tcPr>
            <w:tcW w:w="1020" w:type="dxa"/>
            <w:vAlign w:val="bottom"/>
          </w:tcPr>
          <w:p>
            <w:pPr>
              <w:ind w:left="140"/>
              <w:spacing w:after="0"/>
              <w:rPr>
                <w:sz w:val="20"/>
                <w:szCs w:val="20"/>
                <w:color w:val="auto"/>
              </w:rPr>
            </w:pPr>
            <w:r>
              <w:rPr>
                <w:rFonts w:ascii="Arial" w:cs="Arial" w:eastAsia="Arial" w:hAnsi="Arial"/>
                <w:sz w:val="16"/>
                <w:szCs w:val="16"/>
                <w:color w:val="auto"/>
              </w:rPr>
              <w:t>03/21/2023</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169,200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56,400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25.000</w:t>
            </w:r>
          </w:p>
        </w:tc>
        <w:tc>
          <w:tcPr>
            <w:tcW w:w="1020" w:type="dxa"/>
            <w:vAlign w:val="bottom"/>
          </w:tcPr>
          <w:p>
            <w:pPr>
              <w:ind w:left="140"/>
              <w:spacing w:after="0"/>
              <w:rPr>
                <w:sz w:val="20"/>
                <w:szCs w:val="20"/>
                <w:color w:val="auto"/>
              </w:rPr>
            </w:pPr>
            <w:r>
              <w:rPr>
                <w:rFonts w:ascii="Arial" w:cs="Arial" w:eastAsia="Arial" w:hAnsi="Arial"/>
                <w:sz w:val="16"/>
                <w:szCs w:val="16"/>
                <w:color w:val="auto"/>
              </w:rPr>
              <w:t>03/20/2024</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127,440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84,960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29.725</w:t>
            </w:r>
          </w:p>
        </w:tc>
        <w:tc>
          <w:tcPr>
            <w:tcW w:w="1020" w:type="dxa"/>
            <w:vAlign w:val="bottom"/>
          </w:tcPr>
          <w:p>
            <w:pPr>
              <w:ind w:left="140"/>
              <w:spacing w:after="0"/>
              <w:rPr>
                <w:sz w:val="20"/>
                <w:szCs w:val="20"/>
                <w:color w:val="auto"/>
              </w:rPr>
            </w:pPr>
            <w:r>
              <w:rPr>
                <w:rFonts w:ascii="Arial" w:cs="Arial" w:eastAsia="Arial" w:hAnsi="Arial"/>
                <w:sz w:val="16"/>
                <w:szCs w:val="16"/>
                <w:color w:val="auto"/>
              </w:rPr>
              <w:t>03/19/2025</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74,870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120,230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29.880</w:t>
            </w:r>
          </w:p>
        </w:tc>
        <w:tc>
          <w:tcPr>
            <w:tcW w:w="1020" w:type="dxa"/>
            <w:vAlign w:val="bottom"/>
          </w:tcPr>
          <w:p>
            <w:pPr>
              <w:ind w:left="140"/>
              <w:spacing w:after="0"/>
              <w:rPr>
                <w:sz w:val="20"/>
                <w:szCs w:val="20"/>
                <w:color w:val="auto"/>
              </w:rPr>
            </w:pPr>
            <w:r>
              <w:rPr>
                <w:rFonts w:ascii="Arial" w:cs="Arial" w:eastAsia="Arial" w:hAnsi="Arial"/>
                <w:sz w:val="16"/>
                <w:szCs w:val="16"/>
                <w:color w:val="auto"/>
              </w:rPr>
              <w:t>03/17/2026</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53,850</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125,650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37.460</w:t>
            </w:r>
          </w:p>
        </w:tc>
        <w:tc>
          <w:tcPr>
            <w:tcW w:w="1020" w:type="dxa"/>
            <w:vAlign w:val="bottom"/>
          </w:tcPr>
          <w:p>
            <w:pPr>
              <w:ind w:left="140"/>
              <w:spacing w:after="0"/>
              <w:rPr>
                <w:sz w:val="20"/>
                <w:szCs w:val="20"/>
                <w:color w:val="auto"/>
              </w:rPr>
            </w:pPr>
            <w:r>
              <w:rPr>
                <w:rFonts w:ascii="Arial" w:cs="Arial" w:eastAsia="Arial" w:hAnsi="Arial"/>
                <w:sz w:val="16"/>
                <w:szCs w:val="16"/>
                <w:color w:val="auto"/>
              </w:rPr>
              <w:t>03/16/2027</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line="216" w:lineRule="exact"/>
              <w:rPr>
                <w:sz w:val="20"/>
                <w:szCs w:val="20"/>
                <w:color w:val="auto"/>
              </w:rPr>
            </w:pPr>
            <w:r>
              <w:rPr>
                <w:rFonts w:ascii="Arial" w:cs="Arial" w:eastAsia="Arial" w:hAnsi="Arial"/>
                <w:sz w:val="15"/>
                <w:szCs w:val="15"/>
                <w:color w:val="auto"/>
              </w:rPr>
              <w:t>384,400</w:t>
            </w:r>
            <w:r>
              <w:rPr>
                <w:rFonts w:ascii="Arial" w:cs="Arial" w:eastAsia="Arial" w:hAnsi="Arial"/>
                <w:sz w:val="25"/>
                <w:szCs w:val="25"/>
                <w:color w:val="auto"/>
                <w:vertAlign w:val="superscript"/>
              </w:rPr>
              <w:t>(2)</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35.830</w:t>
            </w:r>
          </w:p>
        </w:tc>
        <w:tc>
          <w:tcPr>
            <w:tcW w:w="1020" w:type="dxa"/>
            <w:vAlign w:val="bottom"/>
          </w:tcPr>
          <w:p>
            <w:pPr>
              <w:ind w:left="140"/>
              <w:spacing w:after="0"/>
              <w:rPr>
                <w:sz w:val="20"/>
                <w:szCs w:val="20"/>
                <w:color w:val="auto"/>
              </w:rPr>
            </w:pPr>
            <w:r>
              <w:rPr>
                <w:rFonts w:ascii="Arial" w:cs="Arial" w:eastAsia="Arial" w:hAnsi="Arial"/>
                <w:sz w:val="16"/>
                <w:szCs w:val="16"/>
                <w:color w:val="auto"/>
              </w:rPr>
              <w:t>03/15/2028</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80"/>
        <w:spacing w:after="0" w:line="189" w:lineRule="auto"/>
        <w:rPr>
          <w:sz w:val="20"/>
          <w:szCs w:val="20"/>
          <w:color w:val="auto"/>
        </w:rPr>
      </w:pPr>
      <w:r>
        <w:rPr>
          <w:rFonts w:ascii="Arial" w:cs="Arial" w:eastAsia="Arial" w:hAnsi="Arial"/>
          <w:sz w:val="16"/>
          <w:szCs w:val="16"/>
          <w:color w:val="auto"/>
        </w:rPr>
        <w:t>–411,000</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40.470   03/14/2029</w:t>
      </w:r>
    </w:p>
    <w:p>
      <w:pPr>
        <w:ind w:left="980" w:hanging="432"/>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Cohen assigned to a family trust a portion of these options representing 280,560 shares.</w:t>
      </w:r>
    </w:p>
    <w:p>
      <w:pPr>
        <w:spacing w:after="0" w:line="63" w:lineRule="exact"/>
        <w:rPr>
          <w:rFonts w:ascii="Arial" w:cs="Arial" w:eastAsia="Arial" w:hAnsi="Arial"/>
          <w:sz w:val="18"/>
          <w:szCs w:val="18"/>
          <w:color w:val="auto"/>
        </w:rPr>
      </w:pPr>
    </w:p>
    <w:p>
      <w:pPr>
        <w:ind w:left="980" w:right="60" w:hanging="432"/>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stock options as of the respective grant date had the following vesting schedule: 30%, 15%, 15%, 15%, 5%, 5%, 5%, 5% and 5% on the second, third, fourth, fifth, sixth, seventh, eighth, ninth, and nine and a half anniversaries of the grant date, respectively.</w:t>
      </w:r>
    </w:p>
    <w:p>
      <w:pPr>
        <w:spacing w:after="0" w:line="54" w:lineRule="exact"/>
        <w:rPr>
          <w:rFonts w:ascii="Arial" w:cs="Arial" w:eastAsia="Arial" w:hAnsi="Arial"/>
          <w:sz w:val="18"/>
          <w:szCs w:val="18"/>
          <w:color w:val="auto"/>
        </w:rPr>
      </w:pPr>
    </w:p>
    <w:p>
      <w:pPr>
        <w:ind w:left="980" w:right="60" w:hanging="432"/>
        <w:spacing w:after="0" w:line="246"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the stock options vest on August 14, 2023.</w:t>
      </w:r>
    </w:p>
    <w:p>
      <w:pPr>
        <w:spacing w:after="0" w:line="48" w:lineRule="exact"/>
        <w:rPr>
          <w:rFonts w:ascii="Arial" w:cs="Arial" w:eastAsia="Arial" w:hAnsi="Arial"/>
          <w:sz w:val="18"/>
          <w:szCs w:val="18"/>
          <w:color w:val="auto"/>
        </w:rPr>
      </w:pPr>
    </w:p>
    <w:p>
      <w:pPr>
        <w:ind w:left="980" w:right="140" w:hanging="432"/>
        <w:spacing w:after="0" w:line="238"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expiration date occurs one day prior to the tenth anniversary of the grant date. Shares underlying 1,172,334 of the stock options vest on August 14, 2023; shares underlying 768,800 of the stock options as of the grant date had the following vesting schedule: 30%, 15%, 15%, 15%, 5%, 5%, 5%, 5% and 5% on the second, third, fourth, fifth, sixth, seventh, eighth, ninth, and nine and a half anniversaries of the grant date, respectively.</w:t>
      </w:r>
    </w:p>
    <w:p>
      <w:pPr>
        <w:spacing w:after="0" w:line="53" w:lineRule="exact"/>
        <w:rPr>
          <w:rFonts w:ascii="Arial" w:cs="Arial" w:eastAsia="Arial" w:hAnsi="Arial"/>
          <w:sz w:val="18"/>
          <w:szCs w:val="18"/>
          <w:color w:val="auto"/>
        </w:rPr>
      </w:pPr>
    </w:p>
    <w:p>
      <w:pPr>
        <w:ind w:left="980" w:hanging="432"/>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underlying each outstanding stock unit</w:t>
      </w:r>
      <w:r>
        <w:rPr>
          <w:rFonts w:ascii="Arial" w:cs="Arial" w:eastAsia="Arial" w:hAnsi="Arial"/>
          <w:sz w:val="15"/>
          <w:szCs w:val="15"/>
          <w:color w:val="auto"/>
        </w:rPr>
        <w:t>(1)</w:t>
      </w:r>
      <w:r>
        <w:rPr>
          <w:rFonts w:ascii="Arial" w:cs="Arial" w:eastAsia="Arial" w:hAnsi="Arial"/>
          <w:sz w:val="18"/>
          <w:szCs w:val="18"/>
          <w:color w:val="auto"/>
        </w:rPr>
        <w:t xml:space="preserve"> for the NEOs that remain subject to vesting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-1594485</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0" w:lineRule="exact"/>
        <w:rPr>
          <w:sz w:val="20"/>
          <w:szCs w:val="20"/>
          <w:color w:val="auto"/>
        </w:rPr>
      </w:pPr>
    </w:p>
    <w:tbl>
      <w:tblPr>
        <w:tblLayout w:type="fixed"/>
        <w:tblInd w:w="1220" w:type="dxa"/>
        <w:tblCellMar>
          <w:top w:w="0" w:type="dxa"/>
          <w:left w:w="0" w:type="dxa"/>
          <w:bottom w:w="0" w:type="dxa"/>
          <w:right w:w="0" w:type="dxa"/>
        </w:tblCellMar>
      </w:tblPr>
      <w:tr>
        <w:trPr>
          <w:trHeight w:val="211"/>
        </w:trPr>
        <w:tc>
          <w:tcPr>
            <w:tcW w:w="2940" w:type="dxa"/>
            <w:vAlign w:val="bottom"/>
            <w:tcBorders>
              <w:top w:val="single" w:sz="8" w:color="auto"/>
            </w:tcBorders>
            <w:shd w:val="clear" w:color="auto" w:fill="DDF2F9"/>
          </w:tcPr>
          <w:p>
            <w:pPr>
              <w:spacing w:after="0"/>
              <w:rPr>
                <w:sz w:val="18"/>
                <w:szCs w:val="18"/>
                <w:color w:val="auto"/>
              </w:rPr>
            </w:pPr>
          </w:p>
        </w:tc>
        <w:tc>
          <w:tcPr>
            <w:tcW w:w="1240" w:type="dxa"/>
            <w:vAlign w:val="bottom"/>
            <w:tcBorders>
              <w:top w:val="single" w:sz="8" w:color="auto"/>
            </w:tcBorders>
            <w:shd w:val="clear" w:color="auto" w:fill="DDF2F9"/>
          </w:tcPr>
          <w:p>
            <w:pPr>
              <w:jc w:val="right"/>
              <w:ind w:right="259"/>
              <w:spacing w:after="0"/>
              <w:rPr>
                <w:sz w:val="20"/>
                <w:szCs w:val="20"/>
                <w:color w:val="auto"/>
              </w:rPr>
            </w:pPr>
            <w:r>
              <w:rPr>
                <w:rFonts w:ascii="Arial" w:cs="Arial" w:eastAsia="Arial" w:hAnsi="Arial"/>
                <w:sz w:val="16"/>
                <w:szCs w:val="16"/>
                <w:b w:val="1"/>
                <w:bCs w:val="1"/>
                <w:color w:val="0A33A5"/>
              </w:rPr>
              <w:t>Brian L.</w:t>
            </w:r>
          </w:p>
        </w:tc>
        <w:tc>
          <w:tcPr>
            <w:tcW w:w="1260" w:type="dxa"/>
            <w:vAlign w:val="bottom"/>
            <w:tcBorders>
              <w:top w:val="single" w:sz="8" w:color="auto"/>
            </w:tcBorders>
            <w:shd w:val="clear" w:color="auto" w:fill="DDF2F9"/>
          </w:tcPr>
          <w:p>
            <w:pPr>
              <w:jc w:val="right"/>
              <w:ind w:right="239"/>
              <w:spacing w:after="0"/>
              <w:rPr>
                <w:sz w:val="20"/>
                <w:szCs w:val="20"/>
                <w:color w:val="auto"/>
              </w:rPr>
            </w:pPr>
            <w:r>
              <w:rPr>
                <w:rFonts w:ascii="Arial" w:cs="Arial" w:eastAsia="Arial" w:hAnsi="Arial"/>
                <w:sz w:val="16"/>
                <w:szCs w:val="16"/>
                <w:b w:val="1"/>
                <w:bCs w:val="1"/>
                <w:color w:val="0A33A5"/>
              </w:rPr>
              <w:t>Michael J.</w:t>
            </w:r>
          </w:p>
        </w:tc>
        <w:tc>
          <w:tcPr>
            <w:tcW w:w="1320" w:type="dxa"/>
            <w:vAlign w:val="bottom"/>
            <w:tcBorders>
              <w:top w:val="single" w:sz="8" w:color="auto"/>
            </w:tcBorders>
            <w:shd w:val="clear" w:color="auto" w:fill="DDF2F9"/>
          </w:tcPr>
          <w:p>
            <w:pPr>
              <w:jc w:val="right"/>
              <w:ind w:right="239"/>
              <w:spacing w:after="0"/>
              <w:rPr>
                <w:sz w:val="20"/>
                <w:szCs w:val="20"/>
                <w:color w:val="auto"/>
              </w:rPr>
            </w:pPr>
            <w:r>
              <w:rPr>
                <w:rFonts w:ascii="Arial" w:cs="Arial" w:eastAsia="Arial" w:hAnsi="Arial"/>
                <w:sz w:val="16"/>
                <w:szCs w:val="16"/>
                <w:b w:val="1"/>
                <w:bCs w:val="1"/>
                <w:color w:val="0A33A5"/>
              </w:rPr>
              <w:t>Stephen B.</w:t>
            </w:r>
          </w:p>
        </w:tc>
        <w:tc>
          <w:tcPr>
            <w:tcW w:w="1080" w:type="dxa"/>
            <w:vAlign w:val="bottom"/>
            <w:tcBorders>
              <w:top w:val="single" w:sz="8" w:color="auto"/>
            </w:tcBorders>
            <w:shd w:val="clear" w:color="auto" w:fill="DDF2F9"/>
          </w:tcPr>
          <w:p>
            <w:pPr>
              <w:jc w:val="right"/>
              <w:ind w:right="199"/>
              <w:spacing w:after="0"/>
              <w:rPr>
                <w:sz w:val="20"/>
                <w:szCs w:val="20"/>
                <w:color w:val="auto"/>
              </w:rPr>
            </w:pPr>
            <w:r>
              <w:rPr>
                <w:rFonts w:ascii="Arial" w:cs="Arial" w:eastAsia="Arial" w:hAnsi="Arial"/>
                <w:sz w:val="16"/>
                <w:szCs w:val="16"/>
                <w:b w:val="1"/>
                <w:bCs w:val="1"/>
                <w:color w:val="0A33A5"/>
              </w:rPr>
              <w:t>David L.</w:t>
            </w:r>
          </w:p>
        </w:tc>
        <w:tc>
          <w:tcPr>
            <w:tcW w:w="960" w:type="dxa"/>
            <w:vAlign w:val="bottom"/>
            <w:tcBorders>
              <w:top w:val="single" w:sz="8" w:color="auto"/>
            </w:tcBorders>
            <w:shd w:val="clear" w:color="auto" w:fill="DDF2F9"/>
          </w:tcPr>
          <w:p>
            <w:pPr>
              <w:jc w:val="right"/>
              <w:ind w:right="139"/>
              <w:spacing w:after="0"/>
              <w:rPr>
                <w:sz w:val="20"/>
                <w:szCs w:val="20"/>
                <w:color w:val="auto"/>
              </w:rPr>
            </w:pPr>
            <w:r>
              <w:rPr>
                <w:rFonts w:ascii="Arial" w:cs="Arial" w:eastAsia="Arial" w:hAnsi="Arial"/>
                <w:sz w:val="16"/>
                <w:szCs w:val="16"/>
                <w:b w:val="1"/>
                <w:bCs w:val="1"/>
                <w:color w:val="0A33A5"/>
              </w:rPr>
              <w:t>David N.</w:t>
            </w:r>
          </w:p>
        </w:tc>
      </w:tr>
      <w:tr>
        <w:trPr>
          <w:trHeight w:val="221"/>
        </w:trPr>
        <w:tc>
          <w:tcPr>
            <w:tcW w:w="2940" w:type="dxa"/>
            <w:vAlign w:val="bottom"/>
            <w:tcBorders>
              <w:bottom w:val="single" w:sz="8" w:color="auto"/>
            </w:tcBorders>
            <w:shd w:val="clear" w:color="auto" w:fill="DDF2F9"/>
          </w:tcPr>
          <w:p>
            <w:pPr>
              <w:jc w:val="right"/>
              <w:ind w:right="1659"/>
              <w:spacing w:after="0"/>
              <w:rPr>
                <w:sz w:val="20"/>
                <w:szCs w:val="20"/>
                <w:color w:val="auto"/>
              </w:rPr>
            </w:pPr>
            <w:r>
              <w:rPr>
                <w:rFonts w:ascii="Arial" w:cs="Arial" w:eastAsia="Arial" w:hAnsi="Arial"/>
                <w:sz w:val="16"/>
                <w:szCs w:val="16"/>
                <w:b w:val="1"/>
                <w:bCs w:val="1"/>
                <w:color w:val="0A33A5"/>
              </w:rPr>
              <w:t>Grant Date</w:t>
            </w:r>
          </w:p>
        </w:tc>
        <w:tc>
          <w:tcPr>
            <w:tcW w:w="1240" w:type="dxa"/>
            <w:vAlign w:val="bottom"/>
            <w:tcBorders>
              <w:bottom w:val="single" w:sz="8" w:color="auto"/>
            </w:tcBorders>
            <w:shd w:val="clear" w:color="auto" w:fill="DDF2F9"/>
          </w:tcPr>
          <w:p>
            <w:pPr>
              <w:jc w:val="right"/>
              <w:ind w:right="259"/>
              <w:spacing w:after="0"/>
              <w:rPr>
                <w:sz w:val="20"/>
                <w:szCs w:val="20"/>
                <w:color w:val="auto"/>
              </w:rPr>
            </w:pPr>
            <w:r>
              <w:rPr>
                <w:rFonts w:ascii="Arial" w:cs="Arial" w:eastAsia="Arial" w:hAnsi="Arial"/>
                <w:sz w:val="16"/>
                <w:szCs w:val="16"/>
                <w:b w:val="1"/>
                <w:bCs w:val="1"/>
                <w:color w:val="0A33A5"/>
              </w:rPr>
              <w:t>Roberts</w:t>
            </w:r>
          </w:p>
        </w:tc>
        <w:tc>
          <w:tcPr>
            <w:tcW w:w="1260" w:type="dxa"/>
            <w:vAlign w:val="bottom"/>
            <w:tcBorders>
              <w:bottom w:val="single" w:sz="8" w:color="auto"/>
            </w:tcBorders>
            <w:shd w:val="clear" w:color="auto" w:fill="DDF2F9"/>
          </w:tcPr>
          <w:p>
            <w:pPr>
              <w:jc w:val="right"/>
              <w:ind w:right="239"/>
              <w:spacing w:after="0"/>
              <w:rPr>
                <w:sz w:val="20"/>
                <w:szCs w:val="20"/>
                <w:color w:val="auto"/>
              </w:rPr>
            </w:pPr>
            <w:r>
              <w:rPr>
                <w:rFonts w:ascii="Arial" w:cs="Arial" w:eastAsia="Arial" w:hAnsi="Arial"/>
                <w:sz w:val="16"/>
                <w:szCs w:val="16"/>
                <w:b w:val="1"/>
                <w:bCs w:val="1"/>
                <w:color w:val="0A33A5"/>
              </w:rPr>
              <w:t>Cavanagh</w:t>
            </w:r>
          </w:p>
        </w:tc>
        <w:tc>
          <w:tcPr>
            <w:tcW w:w="1320" w:type="dxa"/>
            <w:vAlign w:val="bottom"/>
            <w:tcBorders>
              <w:bottom w:val="single" w:sz="8" w:color="auto"/>
            </w:tcBorders>
            <w:shd w:val="clear" w:color="auto" w:fill="DDF2F9"/>
          </w:tcPr>
          <w:p>
            <w:pPr>
              <w:jc w:val="right"/>
              <w:ind w:right="439"/>
              <w:spacing w:after="0"/>
              <w:rPr>
                <w:sz w:val="20"/>
                <w:szCs w:val="20"/>
                <w:color w:val="auto"/>
              </w:rPr>
            </w:pPr>
            <w:r>
              <w:rPr>
                <w:rFonts w:ascii="Arial" w:cs="Arial" w:eastAsia="Arial" w:hAnsi="Arial"/>
                <w:sz w:val="16"/>
                <w:szCs w:val="16"/>
                <w:b w:val="1"/>
                <w:bCs w:val="1"/>
                <w:color w:val="0A33A5"/>
              </w:rPr>
              <w:t>Burke</w:t>
            </w:r>
          </w:p>
        </w:tc>
        <w:tc>
          <w:tcPr>
            <w:tcW w:w="1080" w:type="dxa"/>
            <w:vAlign w:val="bottom"/>
            <w:tcBorders>
              <w:bottom w:val="single" w:sz="8" w:color="auto"/>
            </w:tcBorders>
            <w:shd w:val="clear" w:color="auto" w:fill="DDF2F9"/>
          </w:tcPr>
          <w:p>
            <w:pPr>
              <w:jc w:val="right"/>
              <w:ind w:right="259"/>
              <w:spacing w:after="0"/>
              <w:rPr>
                <w:sz w:val="20"/>
                <w:szCs w:val="20"/>
                <w:color w:val="auto"/>
              </w:rPr>
            </w:pPr>
            <w:r>
              <w:rPr>
                <w:rFonts w:ascii="Arial" w:cs="Arial" w:eastAsia="Arial" w:hAnsi="Arial"/>
                <w:sz w:val="16"/>
                <w:szCs w:val="16"/>
                <w:b w:val="1"/>
                <w:bCs w:val="1"/>
                <w:color w:val="0A33A5"/>
              </w:rPr>
              <w:t>Cohen</w:t>
            </w:r>
          </w:p>
        </w:tc>
        <w:tc>
          <w:tcPr>
            <w:tcW w:w="960" w:type="dxa"/>
            <w:vAlign w:val="bottom"/>
            <w:tcBorders>
              <w:bottom w:val="single" w:sz="8" w:color="auto"/>
            </w:tcBorders>
            <w:shd w:val="clear" w:color="auto" w:fill="DDF2F9"/>
          </w:tcPr>
          <w:p>
            <w:pPr>
              <w:jc w:val="right"/>
              <w:ind w:right="179"/>
              <w:spacing w:after="0"/>
              <w:rPr>
                <w:sz w:val="20"/>
                <w:szCs w:val="20"/>
                <w:color w:val="auto"/>
              </w:rPr>
            </w:pPr>
            <w:r>
              <w:rPr>
                <w:rFonts w:ascii="Arial" w:cs="Arial" w:eastAsia="Arial" w:hAnsi="Arial"/>
                <w:sz w:val="16"/>
                <w:szCs w:val="16"/>
                <w:b w:val="1"/>
                <w:bCs w:val="1"/>
                <w:color w:val="0A33A5"/>
              </w:rPr>
              <w:t>Watson</w:t>
            </w:r>
          </w:p>
        </w:tc>
      </w:tr>
      <w:tr>
        <w:trPr>
          <w:trHeight w:val="203"/>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03/20/2015</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85,456</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37,200</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16,800</w:t>
            </w:r>
          </w:p>
        </w:tc>
      </w:tr>
      <w:tr>
        <w:trPr>
          <w:trHeight w:val="264"/>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05/15/2015</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line="264" w:lineRule="exact"/>
              <w:rPr>
                <w:sz w:val="20"/>
                <w:szCs w:val="20"/>
                <w:color w:val="auto"/>
              </w:rPr>
            </w:pPr>
            <w:r>
              <w:rPr>
                <w:rFonts w:ascii="Arial" w:cs="Arial" w:eastAsia="Arial" w:hAnsi="Arial"/>
                <w:sz w:val="16"/>
                <w:szCs w:val="16"/>
                <w:color w:val="auto"/>
              </w:rPr>
              <w:t>56,512</w:t>
            </w:r>
            <w:r>
              <w:rPr>
                <w:rFonts w:ascii="Arial" w:cs="Arial" w:eastAsia="Arial" w:hAnsi="Arial"/>
                <w:sz w:val="27"/>
                <w:szCs w:val="27"/>
                <w:color w:val="auto"/>
                <w:vertAlign w:val="superscript"/>
              </w:rPr>
              <w:t>(2)</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195"/>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10/30/2015</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38,336</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9"/>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03/18/2016</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line="259" w:lineRule="exact"/>
              <w:rPr>
                <w:sz w:val="20"/>
                <w:szCs w:val="20"/>
                <w:color w:val="auto"/>
              </w:rPr>
            </w:pPr>
            <w:r>
              <w:rPr>
                <w:rFonts w:ascii="Arial" w:cs="Arial" w:eastAsia="Arial" w:hAnsi="Arial"/>
                <w:sz w:val="16"/>
                <w:szCs w:val="16"/>
                <w:color w:val="auto"/>
              </w:rPr>
              <w:t>73,700</w:t>
            </w:r>
            <w:r>
              <w:rPr>
                <w:rFonts w:ascii="Arial" w:cs="Arial" w:eastAsia="Arial" w:hAnsi="Arial"/>
                <w:sz w:val="27"/>
                <w:szCs w:val="27"/>
                <w:color w:val="auto"/>
                <w:vertAlign w:val="superscript"/>
              </w:rPr>
              <w:t>(3)</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98,450</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69,080</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22,990</w:t>
            </w:r>
          </w:p>
        </w:tc>
      </w:tr>
      <w:tr>
        <w:trPr>
          <w:trHeight w:val="230"/>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03/17/2017</w:t>
            </w:r>
          </w:p>
        </w:tc>
        <w:tc>
          <w:tcPr>
            <w:tcW w:w="1240" w:type="dxa"/>
            <w:vAlign w:val="bottom"/>
          </w:tcPr>
          <w:p>
            <w:pPr>
              <w:jc w:val="right"/>
              <w:ind w:right="59"/>
              <w:spacing w:after="0" w:line="230" w:lineRule="exact"/>
              <w:rPr>
                <w:sz w:val="20"/>
                <w:szCs w:val="20"/>
                <w:color w:val="auto"/>
              </w:rPr>
            </w:pPr>
            <w:r>
              <w:rPr>
                <w:rFonts w:ascii="Arial" w:cs="Arial" w:eastAsia="Arial" w:hAnsi="Arial"/>
                <w:sz w:val="16"/>
                <w:szCs w:val="16"/>
                <w:color w:val="auto"/>
              </w:rPr>
              <w:t>124,950</w:t>
            </w:r>
            <w:r>
              <w:rPr>
                <w:rFonts w:ascii="Arial" w:cs="Arial" w:eastAsia="Arial" w:hAnsi="Arial"/>
                <w:sz w:val="26"/>
                <w:szCs w:val="26"/>
                <w:color w:val="auto"/>
                <w:vertAlign w:val="superscript"/>
              </w:rPr>
              <w:t>(4)</w:t>
            </w:r>
          </w:p>
        </w:tc>
        <w:tc>
          <w:tcPr>
            <w:tcW w:w="1260" w:type="dxa"/>
            <w:vAlign w:val="bottom"/>
          </w:tcPr>
          <w:p>
            <w:pPr>
              <w:jc w:val="right"/>
              <w:ind w:right="79"/>
              <w:spacing w:after="0" w:line="230" w:lineRule="exact"/>
              <w:rPr>
                <w:sz w:val="20"/>
                <w:szCs w:val="20"/>
                <w:color w:val="auto"/>
              </w:rPr>
            </w:pPr>
            <w:r>
              <w:rPr>
                <w:rFonts w:ascii="Arial" w:cs="Arial" w:eastAsia="Arial" w:hAnsi="Arial"/>
                <w:sz w:val="16"/>
                <w:szCs w:val="16"/>
                <w:color w:val="auto"/>
              </w:rPr>
              <w:t>93,450</w:t>
            </w:r>
            <w:r>
              <w:rPr>
                <w:rFonts w:ascii="Arial" w:cs="Arial" w:eastAsia="Arial" w:hAnsi="Arial"/>
                <w:sz w:val="26"/>
                <w:szCs w:val="26"/>
                <w:color w:val="auto"/>
                <w:vertAlign w:val="superscript"/>
              </w:rPr>
              <w:t>(4)</w:t>
            </w:r>
          </w:p>
        </w:tc>
        <w:tc>
          <w:tcPr>
            <w:tcW w:w="1320" w:type="dxa"/>
            <w:vAlign w:val="bottom"/>
          </w:tcPr>
          <w:p>
            <w:pPr>
              <w:jc w:val="right"/>
              <w:ind w:right="59"/>
              <w:spacing w:after="0" w:line="230" w:lineRule="exact"/>
              <w:rPr>
                <w:sz w:val="20"/>
                <w:szCs w:val="20"/>
                <w:color w:val="auto"/>
              </w:rPr>
            </w:pPr>
            <w:r>
              <w:rPr>
                <w:rFonts w:ascii="Arial" w:cs="Arial" w:eastAsia="Arial" w:hAnsi="Arial"/>
                <w:sz w:val="16"/>
                <w:szCs w:val="16"/>
                <w:color w:val="auto"/>
              </w:rPr>
              <w:t>124,950</w:t>
            </w:r>
            <w:r>
              <w:rPr>
                <w:rFonts w:ascii="Arial" w:cs="Arial" w:eastAsia="Arial" w:hAnsi="Arial"/>
                <w:sz w:val="26"/>
                <w:szCs w:val="26"/>
                <w:color w:val="auto"/>
                <w:vertAlign w:val="superscript"/>
              </w:rPr>
              <w:t>(4)</w:t>
            </w:r>
          </w:p>
        </w:tc>
        <w:tc>
          <w:tcPr>
            <w:tcW w:w="1080" w:type="dxa"/>
            <w:vAlign w:val="bottom"/>
          </w:tcPr>
          <w:p>
            <w:pPr>
              <w:jc w:val="right"/>
              <w:ind w:right="19"/>
              <w:spacing w:after="0" w:line="230" w:lineRule="exact"/>
              <w:rPr>
                <w:sz w:val="20"/>
                <w:szCs w:val="20"/>
                <w:color w:val="auto"/>
              </w:rPr>
            </w:pPr>
            <w:r>
              <w:rPr>
                <w:rFonts w:ascii="Arial" w:cs="Arial" w:eastAsia="Arial" w:hAnsi="Arial"/>
                <w:sz w:val="16"/>
                <w:szCs w:val="16"/>
                <w:color w:val="auto"/>
              </w:rPr>
              <w:t>87,586</w:t>
            </w:r>
            <w:r>
              <w:rPr>
                <w:rFonts w:ascii="Arial" w:cs="Arial" w:eastAsia="Arial" w:hAnsi="Arial"/>
                <w:sz w:val="26"/>
                <w:szCs w:val="26"/>
                <w:color w:val="auto"/>
                <w:vertAlign w:val="superscript"/>
              </w:rPr>
              <w:t>(4)</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23,380</w:t>
            </w:r>
          </w:p>
        </w:tc>
      </w:tr>
      <w:tr>
        <w:trPr>
          <w:trHeight w:val="230"/>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04/14/2017</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line="230" w:lineRule="exact"/>
              <w:rPr>
                <w:sz w:val="20"/>
                <w:szCs w:val="20"/>
                <w:color w:val="auto"/>
              </w:rPr>
            </w:pPr>
            <w:r>
              <w:rPr>
                <w:rFonts w:ascii="Arial" w:cs="Arial" w:eastAsia="Arial" w:hAnsi="Arial"/>
                <w:sz w:val="16"/>
                <w:szCs w:val="16"/>
                <w:color w:val="auto"/>
              </w:rPr>
              <w:t>58,904</w:t>
            </w:r>
            <w:r>
              <w:rPr>
                <w:rFonts w:ascii="Arial" w:cs="Arial" w:eastAsia="Arial" w:hAnsi="Arial"/>
                <w:sz w:val="26"/>
                <w:szCs w:val="26"/>
                <w:color w:val="auto"/>
                <w:vertAlign w:val="superscript"/>
              </w:rPr>
              <w:t>(5)</w:t>
            </w:r>
          </w:p>
        </w:tc>
      </w:tr>
      <w:tr>
        <w:trPr>
          <w:trHeight w:val="230"/>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03/16/2018</w:t>
            </w:r>
          </w:p>
        </w:tc>
        <w:tc>
          <w:tcPr>
            <w:tcW w:w="1240" w:type="dxa"/>
            <w:vAlign w:val="bottom"/>
          </w:tcPr>
          <w:p>
            <w:pPr>
              <w:jc w:val="right"/>
              <w:ind w:right="59"/>
              <w:spacing w:after="0" w:line="230" w:lineRule="exact"/>
              <w:rPr>
                <w:sz w:val="20"/>
                <w:szCs w:val="20"/>
                <w:color w:val="auto"/>
              </w:rPr>
            </w:pPr>
            <w:r>
              <w:rPr>
                <w:rFonts w:ascii="Arial" w:cs="Arial" w:eastAsia="Arial" w:hAnsi="Arial"/>
                <w:sz w:val="16"/>
                <w:szCs w:val="16"/>
                <w:color w:val="auto"/>
              </w:rPr>
              <w:t>158,629</w:t>
            </w:r>
            <w:r>
              <w:rPr>
                <w:rFonts w:ascii="Arial" w:cs="Arial" w:eastAsia="Arial" w:hAnsi="Arial"/>
                <w:sz w:val="26"/>
                <w:szCs w:val="26"/>
                <w:color w:val="auto"/>
                <w:vertAlign w:val="superscript"/>
              </w:rPr>
              <w:t>(6)</w:t>
            </w:r>
          </w:p>
        </w:tc>
        <w:tc>
          <w:tcPr>
            <w:tcW w:w="1260" w:type="dxa"/>
            <w:vAlign w:val="bottom"/>
          </w:tcPr>
          <w:p>
            <w:pPr>
              <w:jc w:val="right"/>
              <w:ind w:right="79"/>
              <w:spacing w:after="0" w:line="230" w:lineRule="exact"/>
              <w:rPr>
                <w:sz w:val="20"/>
                <w:szCs w:val="20"/>
                <w:color w:val="auto"/>
              </w:rPr>
            </w:pPr>
            <w:r>
              <w:rPr>
                <w:rFonts w:ascii="Arial" w:cs="Arial" w:eastAsia="Arial" w:hAnsi="Arial"/>
                <w:sz w:val="16"/>
                <w:szCs w:val="16"/>
                <w:color w:val="auto"/>
              </w:rPr>
              <w:t>118,575</w:t>
            </w:r>
            <w:r>
              <w:rPr>
                <w:rFonts w:ascii="Arial" w:cs="Arial" w:eastAsia="Arial" w:hAnsi="Arial"/>
                <w:sz w:val="26"/>
                <w:szCs w:val="26"/>
                <w:color w:val="auto"/>
                <w:vertAlign w:val="superscript"/>
              </w:rPr>
              <w:t>(6)</w:t>
            </w:r>
          </w:p>
        </w:tc>
        <w:tc>
          <w:tcPr>
            <w:tcW w:w="1320" w:type="dxa"/>
            <w:vAlign w:val="bottom"/>
          </w:tcPr>
          <w:p>
            <w:pPr>
              <w:jc w:val="right"/>
              <w:ind w:right="59"/>
              <w:spacing w:after="0" w:line="230" w:lineRule="exact"/>
              <w:rPr>
                <w:sz w:val="20"/>
                <w:szCs w:val="20"/>
                <w:color w:val="auto"/>
              </w:rPr>
            </w:pPr>
            <w:r>
              <w:rPr>
                <w:rFonts w:ascii="Arial" w:cs="Arial" w:eastAsia="Arial" w:hAnsi="Arial"/>
                <w:sz w:val="16"/>
                <w:szCs w:val="16"/>
                <w:color w:val="auto"/>
              </w:rPr>
              <w:t>158,629</w:t>
            </w:r>
            <w:r>
              <w:rPr>
                <w:rFonts w:ascii="Arial" w:cs="Arial" w:eastAsia="Arial" w:hAnsi="Arial"/>
                <w:sz w:val="26"/>
                <w:szCs w:val="26"/>
                <w:color w:val="auto"/>
                <w:vertAlign w:val="superscript"/>
              </w:rPr>
              <w:t>(6)</w:t>
            </w:r>
          </w:p>
        </w:tc>
        <w:tc>
          <w:tcPr>
            <w:tcW w:w="1080" w:type="dxa"/>
            <w:vAlign w:val="bottom"/>
          </w:tcPr>
          <w:p>
            <w:pPr>
              <w:jc w:val="right"/>
              <w:ind w:right="19"/>
              <w:spacing w:after="0" w:line="230" w:lineRule="exact"/>
              <w:rPr>
                <w:sz w:val="20"/>
                <w:szCs w:val="20"/>
                <w:color w:val="auto"/>
              </w:rPr>
            </w:pPr>
            <w:r>
              <w:rPr>
                <w:rFonts w:ascii="Arial" w:cs="Arial" w:eastAsia="Arial" w:hAnsi="Arial"/>
                <w:sz w:val="16"/>
                <w:szCs w:val="16"/>
                <w:color w:val="auto"/>
              </w:rPr>
              <w:t>111,136</w:t>
            </w:r>
            <w:r>
              <w:rPr>
                <w:rFonts w:ascii="Arial" w:cs="Arial" w:eastAsia="Arial" w:hAnsi="Arial"/>
                <w:sz w:val="26"/>
                <w:szCs w:val="26"/>
                <w:color w:val="auto"/>
                <w:vertAlign w:val="superscript"/>
              </w:rPr>
              <w:t>(6)</w:t>
            </w:r>
          </w:p>
        </w:tc>
        <w:tc>
          <w:tcPr>
            <w:tcW w:w="960" w:type="dxa"/>
            <w:vAlign w:val="bottom"/>
          </w:tcPr>
          <w:p>
            <w:pPr>
              <w:jc w:val="right"/>
              <w:spacing w:after="0" w:line="230" w:lineRule="exact"/>
              <w:rPr>
                <w:sz w:val="20"/>
                <w:szCs w:val="20"/>
                <w:color w:val="auto"/>
              </w:rPr>
            </w:pPr>
            <w:r>
              <w:rPr>
                <w:rFonts w:ascii="Arial" w:cs="Arial" w:eastAsia="Arial" w:hAnsi="Arial"/>
                <w:sz w:val="16"/>
                <w:szCs w:val="16"/>
                <w:color w:val="auto"/>
              </w:rPr>
              <w:t>81,600</w:t>
            </w:r>
            <w:r>
              <w:rPr>
                <w:rFonts w:ascii="Arial" w:cs="Arial" w:eastAsia="Arial" w:hAnsi="Arial"/>
                <w:sz w:val="26"/>
                <w:szCs w:val="26"/>
                <w:color w:val="auto"/>
                <w:vertAlign w:val="superscript"/>
              </w:rPr>
              <w:t>(6)</w:t>
            </w:r>
          </w:p>
        </w:tc>
      </w:tr>
      <w:tr>
        <w:trPr>
          <w:trHeight w:val="313"/>
        </w:trPr>
        <w:tc>
          <w:tcPr>
            <w:tcW w:w="2940" w:type="dxa"/>
            <w:vAlign w:val="bottom"/>
          </w:tcPr>
          <w:p>
            <w:pPr>
              <w:jc w:val="right"/>
              <w:ind w:right="1859"/>
              <w:spacing w:after="0"/>
              <w:rPr>
                <w:sz w:val="20"/>
                <w:szCs w:val="20"/>
                <w:color w:val="auto"/>
              </w:rPr>
            </w:pPr>
            <w:r>
              <w:rPr>
                <w:rFonts w:ascii="Arial" w:cs="Arial" w:eastAsia="Arial" w:hAnsi="Arial"/>
                <w:sz w:val="16"/>
                <w:szCs w:val="16"/>
                <w:color w:val="auto"/>
              </w:rPr>
              <w:t>03/15/2019</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165,248</w:t>
            </w:r>
            <w:r>
              <w:rPr>
                <w:rFonts w:ascii="Arial" w:cs="Arial" w:eastAsia="Arial" w:hAnsi="Arial"/>
                <w:sz w:val="27"/>
                <w:szCs w:val="27"/>
                <w:color w:val="auto"/>
                <w:vertAlign w:val="superscript"/>
              </w:rPr>
              <w:t>(7)</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208,500</w:t>
            </w:r>
            <w:r>
              <w:rPr>
                <w:rFonts w:ascii="Arial" w:cs="Arial" w:eastAsia="Arial" w:hAnsi="Arial"/>
                <w:sz w:val="27"/>
                <w:szCs w:val="27"/>
                <w:color w:val="auto"/>
                <w:vertAlign w:val="superscript"/>
              </w:rPr>
              <w:t>(7)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165,248</w:t>
            </w:r>
            <w:r>
              <w:rPr>
                <w:rFonts w:ascii="Arial" w:cs="Arial" w:eastAsia="Arial" w:hAnsi="Arial"/>
                <w:sz w:val="27"/>
                <w:szCs w:val="27"/>
                <w:color w:val="auto"/>
                <w:vertAlign w:val="superscript"/>
              </w:rPr>
              <w:t>(7)</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115,874</w:t>
            </w:r>
            <w:r>
              <w:rPr>
                <w:rFonts w:ascii="Arial" w:cs="Arial" w:eastAsia="Arial" w:hAnsi="Arial"/>
                <w:sz w:val="27"/>
                <w:szCs w:val="27"/>
                <w:color w:val="auto"/>
                <w:vertAlign w:val="superscript"/>
              </w:rPr>
              <w:t>(7)</w:t>
            </w:r>
          </w:p>
        </w:tc>
        <w:tc>
          <w:tcPr>
            <w:tcW w:w="960" w:type="dxa"/>
            <w:vAlign w:val="bottom"/>
          </w:tcPr>
          <w:p>
            <w:pPr>
              <w:jc w:val="right"/>
              <w:spacing w:after="0"/>
              <w:rPr>
                <w:sz w:val="20"/>
                <w:szCs w:val="20"/>
                <w:color w:val="auto"/>
              </w:rPr>
            </w:pPr>
            <w:r>
              <w:rPr>
                <w:rFonts w:ascii="Arial" w:cs="Arial" w:eastAsia="Arial" w:hAnsi="Arial"/>
                <w:sz w:val="16"/>
                <w:szCs w:val="16"/>
                <w:color w:val="auto"/>
              </w:rPr>
              <w:t>100,374</w:t>
            </w:r>
            <w:r>
              <w:rPr>
                <w:rFonts w:ascii="Arial" w:cs="Arial" w:eastAsia="Arial" w:hAnsi="Arial"/>
                <w:sz w:val="27"/>
                <w:szCs w:val="27"/>
                <w:color w:val="auto"/>
                <w:vertAlign w:val="superscript"/>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-7620</wp:posOffset>
            </wp:positionV>
            <wp:extent cx="5589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ind w:left="1860" w:right="20" w:hanging="435"/>
        <w:spacing w:after="0"/>
        <w:tabs>
          <w:tab w:leader="none" w:pos="1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otherwise described in footnotes (2) and (3), all stock units granted as of the respective grant date had the following vesting schedule: 15%, 15%, 15%, 15% and 40% on the 13-month, second, third, fourth and fifth anniversaries of the grant date, respectively.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right="180" w:hanging="435"/>
        <w:spacing w:after="0" w:line="234"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PSUs granted as of the grant date had the following vesting schedule: 69.3%, 8.7%, 8.7%, 3.6% and 9.7% on the 13-month, second, third, fourth and fifth anniversaries of the grant date, respectively.</w:t>
      </w:r>
    </w:p>
    <w:p>
      <w:pPr>
        <w:spacing w:after="0" w:line="1" w:lineRule="exact"/>
        <w:rPr>
          <w:rFonts w:ascii="Arial" w:cs="Arial" w:eastAsia="Arial" w:hAnsi="Arial"/>
          <w:sz w:val="18"/>
          <w:szCs w:val="18"/>
          <w:color w:val="auto"/>
        </w:rPr>
      </w:pPr>
    </w:p>
    <w:p>
      <w:pPr>
        <w:ind w:left="1860" w:right="120" w:hanging="435"/>
        <w:spacing w:after="0" w:line="234"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PSUs granted as of the grant date had the following vesting schedule: 25.6%, 25.6%, 25.6%, 6.3% and 16.8% on the 13-month, second, third, fourth and fifth anniversaries of the grant date, respectively.</w:t>
      </w:r>
    </w:p>
    <w:p>
      <w:pPr>
        <w:spacing w:after="0" w:line="1" w:lineRule="exact"/>
        <w:rPr>
          <w:rFonts w:ascii="Arial" w:cs="Arial" w:eastAsia="Arial" w:hAnsi="Arial"/>
          <w:sz w:val="18"/>
          <w:szCs w:val="18"/>
          <w:color w:val="auto"/>
        </w:rPr>
      </w:pPr>
    </w:p>
    <w:p>
      <w:pPr>
        <w:ind w:left="1860" w:right="100" w:hanging="435"/>
        <w:spacing w:after="0" w:line="234"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number of shares underlying PSUs that, as of December 31, 2019, may be achieved assuming maximum attainment of a performance condition, which would result in 125% vesting of the award. In February 2018, the Compensation Committee certified performance for the first tranche of PSUs, resulting in attainment of 114.5% of the award as follows: Mr. Roberts, 163,502 shares; Mr. Cavanagh, 122,282 shares; Mr. Burke, 163,502 shares; and Mr. Cohen, 114,613 shares. The second and third tranches of PSUs were earned at the same percentage level as the first tranche, because the attainment of the performance condition for those tranches was not above 114.5%. Because the performance condition for these tranches was deemed achieved at 114.5% (rather than at maximum performance of 125%), (i) 10.5% of the target shares underlying these three PSU tranches that would have vested were not achieved and (ii) 10.5% of the target shares underlying the remaining two tranches of the PSUs may be earned based on achievement of the maximum performance conditions.</w:t>
      </w:r>
    </w:p>
    <w:p>
      <w:pPr>
        <w:spacing w:after="0" w:line="6" w:lineRule="exact"/>
        <w:rPr>
          <w:rFonts w:ascii="Arial" w:cs="Arial" w:eastAsia="Arial" w:hAnsi="Arial"/>
          <w:sz w:val="18"/>
          <w:szCs w:val="18"/>
          <w:color w:val="auto"/>
        </w:rPr>
      </w:pPr>
    </w:p>
    <w:p>
      <w:pPr>
        <w:ind w:left="1860" w:hanging="435"/>
        <w:spacing w:after="0" w:line="234"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number of shares underlying PSUs that, as of December 31, 2019, may be achieved assuming maximum attainment of a performance condition, which would result in 125% vesting of the award. In May 2018, the Compensation Committee certified performance for the first tranche of PSUs, resulting in attainment of 100% of the award (67,320 shares). The second and third tranches of PSUs were earned at the same percentage level as the first tranche, because the attainment of the performance condition for those tranches was not above 100%. Because the performance condition for these tranches was deemed achieved at 100% (rather than at maximum performance of 125%), (i) 25% of the target shares underlying these three PSU tranches that would have vested were not achieved and (ii) 25% of the target shares underlying the remaining two tranches of the PSUs may be earned based on achievement of the maximum performance conditions.</w:t>
      </w:r>
    </w:p>
    <w:p>
      <w:pPr>
        <w:spacing w:after="0" w:line="6" w:lineRule="exact"/>
        <w:rPr>
          <w:rFonts w:ascii="Arial" w:cs="Arial" w:eastAsia="Arial" w:hAnsi="Arial"/>
          <w:sz w:val="18"/>
          <w:szCs w:val="18"/>
          <w:color w:val="auto"/>
        </w:rPr>
      </w:pPr>
    </w:p>
    <w:p>
      <w:pPr>
        <w:ind w:left="1860" w:right="120" w:hanging="435"/>
        <w:spacing w:after="0" w:line="248" w:lineRule="auto"/>
        <w:tabs>
          <w:tab w:leader="none" w:pos="18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Reflects the number of shares underlying PSUs that, as of December 31, 2019, may be achieved assuming maximum attainment of a performance condition, which would result in 125% vesting of the award. In February 2019, the Compensation Committee certified performance for the first tranche of PSUs, resulting in attainment of 108.3% of the award as follows: Mr. Roberts, 161,688 shares; Mr. Cavanagh, 120,861 shares; Mr. Burke, 161,688 shares; Mr. Cohen, 113,280 shares; and Mr. Watson, 83,173 shares. The second tranche of PSUs was earned at the same percentage level as the first tranche, because the attainment of the performance condition for the second tranche was not above 108.3%. Because the performance condition for these tranches was deemed achieved at 108.3% (rather than at maximum performance of 125%), (i) 16.7% of the target shares underlying these two PSU tranches that would have vested were not achieved and (ii) 16.7% of the target shares underlying the remaining three tranches of the PSUs may be earned based on achievement of the maximum performance conditions.</w:t>
      </w:r>
    </w:p>
    <w:p>
      <w:pPr>
        <w:spacing w:after="0" w:line="5" w:lineRule="exact"/>
        <w:rPr>
          <w:rFonts w:ascii="Arial" w:cs="Arial" w:eastAsia="Arial" w:hAnsi="Arial"/>
          <w:sz w:val="17"/>
          <w:szCs w:val="17"/>
          <w:color w:val="auto"/>
        </w:rPr>
      </w:pPr>
    </w:p>
    <w:p>
      <w:pPr>
        <w:ind w:left="1860" w:right="100" w:hanging="435"/>
        <w:spacing w:after="0" w:line="236" w:lineRule="auto"/>
        <w:tabs>
          <w:tab w:leader="none" w:pos="1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the number of shares underlying PSUs that, as of December 31, 2019, may be achieved assuming maximum attainment of a performance condition, which would result in 125% vesting of the award. In February 2020, the Compensation Committee certified performance for the first tranche of PSUs, resulting in attainment of 100% of the award as follows: Mr. Roberts, 132,200 shares; Mr. Cavanagh, 166,800 shares; Mr. Burke, 132,200 shares; Mr. Cohen, 92,700 shares; and Mr. Watson, 80,300 shares. Because the performance condition for the first tranche was achieved at 100% (rather than at maximum performance of 125%), (i) 25% of the target shares underlying the first PSU tranche that would have vested were not achieved and (ii) 25% of the target shares underlying the remaining four tranches of the PSUs may be earned based on achievement of the maximum performance conditions.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OPTION EXERCISES AND STOCK VESTED</w:t>
      </w:r>
    </w:p>
    <w:p>
      <w:pPr>
        <w:spacing w:after="0" w:line="126" w:lineRule="exact"/>
        <w:rPr>
          <w:sz w:val="20"/>
          <w:szCs w:val="20"/>
          <w:color w:val="auto"/>
        </w:rPr>
      </w:pPr>
    </w:p>
    <w:p>
      <w:pPr>
        <w:jc w:val="both"/>
        <w:ind w:left="120" w:right="400"/>
        <w:spacing w:after="0"/>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2019.</w:t>
      </w:r>
    </w:p>
    <w:p>
      <w:pPr>
        <w:sectPr>
          <w:pgSz w:w="11900" w:h="16838" w:orient="portrait"/>
          <w:cols w:equalWidth="0" w:num="1">
            <w:col w:w="11140"/>
          </w:cols>
          <w:pgMar w:left="320" w:top="459" w:right="439" w:bottom="1440" w:gutter="0" w:footer="0" w:header="0"/>
        </w:sectPr>
      </w:pPr>
    </w:p>
    <w:p>
      <w:pPr>
        <w:spacing w:after="0" w:line="104" w:lineRule="exact"/>
        <w:rPr>
          <w:sz w:val="20"/>
          <w:szCs w:val="20"/>
          <w:color w:val="auto"/>
        </w:rPr>
      </w:pPr>
    </w:p>
    <w:p>
      <w:pPr>
        <w:jc w:val="center"/>
        <w:ind w:left="860"/>
        <w:spacing w:after="0"/>
        <w:rPr>
          <w:sz w:val="20"/>
          <w:szCs w:val="20"/>
          <w:color w:val="auto"/>
        </w:rPr>
      </w:pPr>
      <w:r>
        <w:rPr>
          <w:rFonts w:ascii="Arial" w:cs="Arial" w:eastAsia="Arial" w:hAnsi="Arial"/>
          <w:sz w:val="16"/>
          <w:szCs w:val="16"/>
          <w:b w:val="1"/>
          <w:bCs w:val="1"/>
          <w:color w:val="0A33A5"/>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A33A5"/>
        </w:rPr>
        <w:t>Stock Awards</w:t>
      </w:r>
    </w:p>
    <w:p>
      <w:pPr>
        <w:spacing w:after="0" w:line="24" w:lineRule="exact"/>
        <w:rPr>
          <w:sz w:val="20"/>
          <w:szCs w:val="20"/>
          <w:color w:val="auto"/>
        </w:rPr>
      </w:pPr>
    </w:p>
    <w:p>
      <w:pPr>
        <w:sectPr>
          <w:pgSz w:w="11900" w:h="16838" w:orient="portrait"/>
          <w:cols w:equalWidth="0" w:num="2">
            <w:col w:w="7760" w:space="720"/>
            <w:col w:w="26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1680" w:type="dxa"/>
            <w:vAlign w:val="bottom"/>
            <w:shd w:val="clear" w:color="auto" w:fill="DDF2F9"/>
          </w:tcPr>
          <w:p>
            <w:pPr>
              <w:ind w:left="720"/>
              <w:spacing w:after="0"/>
              <w:rPr>
                <w:sz w:val="20"/>
                <w:szCs w:val="20"/>
                <w:color w:val="auto"/>
              </w:rPr>
            </w:pPr>
            <w:r>
              <w:rPr>
                <w:rFonts w:ascii="Arial" w:cs="Arial" w:eastAsia="Arial" w:hAnsi="Arial"/>
                <w:sz w:val="16"/>
                <w:szCs w:val="16"/>
                <w:b w:val="1"/>
                <w:bCs w:val="1"/>
                <w:color w:val="0A33A5"/>
              </w:rPr>
              <w:t>Name</w:t>
            </w:r>
          </w:p>
        </w:tc>
        <w:tc>
          <w:tcPr>
            <w:tcW w:w="2260" w:type="dxa"/>
            <w:vAlign w:val="bottom"/>
            <w:shd w:val="clear" w:color="auto" w:fill="DDF2F9"/>
          </w:tcPr>
          <w:p>
            <w:pPr>
              <w:jc w:val="right"/>
              <w:ind w:right="479"/>
              <w:spacing w:after="0"/>
              <w:rPr>
                <w:sz w:val="20"/>
                <w:szCs w:val="20"/>
                <w:color w:val="auto"/>
              </w:rPr>
            </w:pPr>
            <w:r>
              <w:rPr>
                <w:rFonts w:ascii="Arial" w:cs="Arial" w:eastAsia="Arial" w:hAnsi="Arial"/>
                <w:sz w:val="16"/>
                <w:szCs w:val="16"/>
                <w:b w:val="1"/>
                <w:bCs w:val="1"/>
                <w:color w:val="0A33A5"/>
              </w:rPr>
              <w:t>Number of Shares</w:t>
            </w:r>
          </w:p>
        </w:tc>
        <w:tc>
          <w:tcPr>
            <w:tcW w:w="2440" w:type="dxa"/>
            <w:vAlign w:val="bottom"/>
            <w:shd w:val="clear" w:color="auto" w:fill="DDF2F9"/>
          </w:tcPr>
          <w:p>
            <w:pPr>
              <w:jc w:val="right"/>
              <w:ind w:right="899"/>
              <w:spacing w:after="0"/>
              <w:rPr>
                <w:sz w:val="20"/>
                <w:szCs w:val="20"/>
                <w:color w:val="auto"/>
              </w:rPr>
            </w:pPr>
            <w:r>
              <w:rPr>
                <w:rFonts w:ascii="Arial" w:cs="Arial" w:eastAsia="Arial" w:hAnsi="Arial"/>
                <w:sz w:val="16"/>
                <w:szCs w:val="16"/>
                <w:b w:val="1"/>
                <w:bCs w:val="1"/>
                <w:color w:val="0A33A5"/>
              </w:rPr>
              <w:t>Value</w:t>
            </w:r>
          </w:p>
        </w:tc>
        <w:tc>
          <w:tcPr>
            <w:tcW w:w="2280" w:type="dxa"/>
            <w:vAlign w:val="bottom"/>
            <w:shd w:val="clear" w:color="auto" w:fill="DDF2F9"/>
          </w:tcPr>
          <w:p>
            <w:pPr>
              <w:jc w:val="right"/>
              <w:ind w:right="339"/>
              <w:spacing w:after="0"/>
              <w:rPr>
                <w:sz w:val="20"/>
                <w:szCs w:val="20"/>
                <w:color w:val="auto"/>
              </w:rPr>
            </w:pPr>
            <w:r>
              <w:rPr>
                <w:rFonts w:ascii="Arial" w:cs="Arial" w:eastAsia="Arial" w:hAnsi="Arial"/>
                <w:sz w:val="16"/>
                <w:szCs w:val="16"/>
                <w:b w:val="1"/>
                <w:bCs w:val="1"/>
                <w:color w:val="0A33A5"/>
              </w:rPr>
              <w:t>Number of Shares</w:t>
            </w:r>
          </w:p>
        </w:tc>
        <w:tc>
          <w:tcPr>
            <w:tcW w:w="2360" w:type="dxa"/>
            <w:vAlign w:val="bottom"/>
            <w:shd w:val="clear" w:color="auto" w:fill="DDF2F9"/>
          </w:tcPr>
          <w:p>
            <w:pPr>
              <w:jc w:val="right"/>
              <w:ind w:right="959"/>
              <w:spacing w:after="0"/>
              <w:rPr>
                <w:sz w:val="20"/>
                <w:szCs w:val="20"/>
                <w:color w:val="auto"/>
              </w:rPr>
            </w:pPr>
            <w:r>
              <w:rPr>
                <w:rFonts w:ascii="Arial" w:cs="Arial" w:eastAsia="Arial" w:hAnsi="Arial"/>
                <w:sz w:val="16"/>
                <w:szCs w:val="16"/>
                <w:b w:val="1"/>
                <w:bCs w:val="1"/>
                <w:color w:val="0A33A5"/>
              </w:rPr>
              <w:t>Value</w:t>
            </w:r>
          </w:p>
        </w:tc>
      </w:tr>
      <w:tr>
        <w:trPr>
          <w:trHeight w:val="221"/>
        </w:trPr>
        <w:tc>
          <w:tcPr>
            <w:tcW w:w="1680" w:type="dxa"/>
            <w:vAlign w:val="bottom"/>
            <w:tcBorders>
              <w:bottom w:val="single" w:sz="8" w:color="auto"/>
            </w:tcBorders>
            <w:shd w:val="clear" w:color="auto" w:fill="DDF2F9"/>
          </w:tcPr>
          <w:p>
            <w:pPr>
              <w:spacing w:after="0"/>
              <w:rPr>
                <w:sz w:val="19"/>
                <w:szCs w:val="19"/>
                <w:color w:val="auto"/>
              </w:rPr>
            </w:pPr>
          </w:p>
        </w:tc>
        <w:tc>
          <w:tcPr>
            <w:tcW w:w="2260" w:type="dxa"/>
            <w:vAlign w:val="bottom"/>
            <w:tcBorders>
              <w:bottom w:val="single" w:sz="8" w:color="auto"/>
            </w:tcBorders>
            <w:shd w:val="clear" w:color="auto" w:fill="DDF2F9"/>
          </w:tcPr>
          <w:p>
            <w:pPr>
              <w:jc w:val="right"/>
              <w:ind w:right="339"/>
              <w:spacing w:after="0"/>
              <w:rPr>
                <w:sz w:val="20"/>
                <w:szCs w:val="20"/>
                <w:color w:val="auto"/>
              </w:rPr>
            </w:pPr>
            <w:r>
              <w:rPr>
                <w:rFonts w:ascii="Arial" w:cs="Arial" w:eastAsia="Arial" w:hAnsi="Arial"/>
                <w:sz w:val="16"/>
                <w:szCs w:val="16"/>
                <w:b w:val="1"/>
                <w:bCs w:val="1"/>
                <w:color w:val="0A33A5"/>
              </w:rPr>
              <w:t>Acquired on Exercise</w:t>
            </w:r>
          </w:p>
        </w:tc>
        <w:tc>
          <w:tcPr>
            <w:tcW w:w="2440" w:type="dxa"/>
            <w:vAlign w:val="bottom"/>
            <w:tcBorders>
              <w:bottom w:val="single" w:sz="8" w:color="auto"/>
            </w:tcBorders>
            <w:shd w:val="clear" w:color="auto" w:fill="DDF2F9"/>
          </w:tcPr>
          <w:p>
            <w:pPr>
              <w:jc w:val="right"/>
              <w:ind w:right="319"/>
              <w:spacing w:after="0"/>
              <w:rPr>
                <w:sz w:val="20"/>
                <w:szCs w:val="20"/>
                <w:color w:val="auto"/>
              </w:rPr>
            </w:pPr>
            <w:r>
              <w:rPr>
                <w:rFonts w:ascii="Arial" w:cs="Arial" w:eastAsia="Arial" w:hAnsi="Arial"/>
                <w:sz w:val="16"/>
                <w:szCs w:val="16"/>
                <w:b w:val="1"/>
                <w:bCs w:val="1"/>
                <w:color w:val="0A33A5"/>
              </w:rPr>
              <w:t>Realized on Exercise</w:t>
            </w:r>
          </w:p>
        </w:tc>
        <w:tc>
          <w:tcPr>
            <w:tcW w:w="2280" w:type="dxa"/>
            <w:vAlign w:val="bottom"/>
            <w:tcBorders>
              <w:bottom w:val="single" w:sz="8" w:color="auto"/>
            </w:tcBorders>
            <w:shd w:val="clear" w:color="auto" w:fill="DDF2F9"/>
          </w:tcPr>
          <w:p>
            <w:pPr>
              <w:jc w:val="right"/>
              <w:ind w:right="239"/>
              <w:spacing w:after="0"/>
              <w:rPr>
                <w:sz w:val="20"/>
                <w:szCs w:val="20"/>
                <w:color w:val="auto"/>
              </w:rPr>
            </w:pPr>
            <w:r>
              <w:rPr>
                <w:rFonts w:ascii="Arial" w:cs="Arial" w:eastAsia="Arial" w:hAnsi="Arial"/>
                <w:sz w:val="16"/>
                <w:szCs w:val="16"/>
                <w:b w:val="1"/>
                <w:bCs w:val="1"/>
                <w:color w:val="0A33A5"/>
              </w:rPr>
              <w:t>Acquired on Vesting</w:t>
            </w:r>
          </w:p>
        </w:tc>
        <w:tc>
          <w:tcPr>
            <w:tcW w:w="2360" w:type="dxa"/>
            <w:vAlign w:val="bottom"/>
            <w:tcBorders>
              <w:bottom w:val="single" w:sz="8" w:color="auto"/>
            </w:tcBorders>
            <w:shd w:val="clear" w:color="auto" w:fill="DDF2F9"/>
          </w:tcPr>
          <w:p>
            <w:pPr>
              <w:jc w:val="right"/>
              <w:ind w:right="419"/>
              <w:spacing w:after="0"/>
              <w:rPr>
                <w:sz w:val="20"/>
                <w:szCs w:val="20"/>
                <w:color w:val="auto"/>
              </w:rPr>
            </w:pPr>
            <w:r>
              <w:rPr>
                <w:rFonts w:ascii="Arial" w:cs="Arial" w:eastAsia="Arial" w:hAnsi="Arial"/>
                <w:sz w:val="16"/>
                <w:szCs w:val="16"/>
                <w:b w:val="1"/>
                <w:bCs w:val="1"/>
                <w:color w:val="0A33A5"/>
              </w:rPr>
              <w:t>Realized on Vesting</w:t>
            </w:r>
          </w:p>
        </w:tc>
      </w:tr>
      <w:tr>
        <w:trPr>
          <w:trHeight w:val="369"/>
        </w:trPr>
        <w:tc>
          <w:tcPr>
            <w:tcW w:w="1680" w:type="dxa"/>
            <w:vAlign w:val="bottom"/>
          </w:tcPr>
          <w:p>
            <w:pPr>
              <w:spacing w:after="0"/>
              <w:rPr>
                <w:sz w:val="20"/>
                <w:szCs w:val="20"/>
                <w:color w:val="auto"/>
              </w:rPr>
            </w:pPr>
            <w:r>
              <w:rPr>
                <w:rFonts w:ascii="Arial" w:cs="Arial" w:eastAsia="Arial" w:hAnsi="Arial"/>
                <w:sz w:val="16"/>
                <w:szCs w:val="16"/>
                <w:color w:val="auto"/>
              </w:rPr>
              <w:t>Brian L. Roberts</w:t>
            </w:r>
          </w:p>
        </w:tc>
        <w:tc>
          <w:tcPr>
            <w:tcW w:w="2260" w:type="dxa"/>
            <w:vAlign w:val="bottom"/>
          </w:tcPr>
          <w:p>
            <w:pPr>
              <w:jc w:val="right"/>
              <w:ind w:right="559"/>
              <w:spacing w:after="0"/>
              <w:rPr>
                <w:sz w:val="20"/>
                <w:szCs w:val="20"/>
                <w:color w:val="auto"/>
              </w:rPr>
            </w:pPr>
            <w:r>
              <w:rPr>
                <w:rFonts w:ascii="Arial" w:cs="Arial" w:eastAsia="Arial" w:hAnsi="Arial"/>
                <w:sz w:val="16"/>
                <w:szCs w:val="16"/>
                <w:color w:val="auto"/>
              </w:rPr>
              <w:t>3,440,000</w:t>
            </w:r>
          </w:p>
        </w:tc>
        <w:tc>
          <w:tcPr>
            <w:tcW w:w="2440" w:type="dxa"/>
            <w:vAlign w:val="bottom"/>
          </w:tcPr>
          <w:p>
            <w:pPr>
              <w:jc w:val="right"/>
              <w:ind w:right="599"/>
              <w:spacing w:after="0"/>
              <w:rPr>
                <w:sz w:val="20"/>
                <w:szCs w:val="20"/>
                <w:color w:val="auto"/>
              </w:rPr>
            </w:pPr>
            <w:r>
              <w:rPr>
                <w:rFonts w:ascii="Arial" w:cs="Arial" w:eastAsia="Arial" w:hAnsi="Arial"/>
                <w:sz w:val="16"/>
                <w:szCs w:val="16"/>
                <w:color w:val="auto"/>
              </w:rPr>
              <w:t>$116,583,900</w:t>
            </w:r>
          </w:p>
        </w:tc>
        <w:tc>
          <w:tcPr>
            <w:tcW w:w="2280" w:type="dxa"/>
            <w:vAlign w:val="bottom"/>
          </w:tcPr>
          <w:p>
            <w:pPr>
              <w:jc w:val="right"/>
              <w:ind w:right="359"/>
              <w:spacing w:after="0"/>
              <w:rPr>
                <w:sz w:val="20"/>
                <w:szCs w:val="20"/>
                <w:color w:val="auto"/>
              </w:rPr>
            </w:pPr>
            <w:r>
              <w:rPr>
                <w:rFonts w:ascii="Arial" w:cs="Arial" w:eastAsia="Arial" w:hAnsi="Arial"/>
                <w:sz w:val="16"/>
                <w:szCs w:val="16"/>
                <w:color w:val="auto"/>
              </w:rPr>
              <w:t>48,778</w:t>
            </w:r>
            <w:r>
              <w:rPr>
                <w:rFonts w:ascii="Arial" w:cs="Arial" w:eastAsia="Arial" w:hAnsi="Arial"/>
                <w:sz w:val="27"/>
                <w:szCs w:val="27"/>
                <w:color w:val="auto"/>
                <w:vertAlign w:val="superscript"/>
              </w:rPr>
              <w:t>(1)</w:t>
            </w:r>
          </w:p>
        </w:tc>
        <w:tc>
          <w:tcPr>
            <w:tcW w:w="2360" w:type="dxa"/>
            <w:vAlign w:val="bottom"/>
          </w:tcPr>
          <w:p>
            <w:pPr>
              <w:jc w:val="right"/>
              <w:ind w:right="739"/>
              <w:spacing w:after="0"/>
              <w:rPr>
                <w:sz w:val="20"/>
                <w:szCs w:val="20"/>
                <w:color w:val="auto"/>
              </w:rPr>
            </w:pPr>
            <w:r>
              <w:rPr>
                <w:rFonts w:ascii="Arial" w:cs="Arial" w:eastAsia="Arial" w:hAnsi="Arial"/>
                <w:sz w:val="16"/>
                <w:szCs w:val="16"/>
                <w:color w:val="auto"/>
              </w:rPr>
              <w:t>$2,010,425</w:t>
            </w:r>
          </w:p>
        </w:tc>
      </w:tr>
      <w:tr>
        <w:trPr>
          <w:trHeight w:val="418"/>
        </w:trPr>
        <w:tc>
          <w:tcPr>
            <w:tcW w:w="1680" w:type="dxa"/>
            <w:vAlign w:val="bottom"/>
          </w:tcPr>
          <w:p>
            <w:pPr>
              <w:spacing w:after="0"/>
              <w:rPr>
                <w:sz w:val="20"/>
                <w:szCs w:val="20"/>
                <w:color w:val="auto"/>
              </w:rPr>
            </w:pPr>
            <w:r>
              <w:rPr>
                <w:rFonts w:ascii="Arial" w:cs="Arial" w:eastAsia="Arial" w:hAnsi="Arial"/>
                <w:sz w:val="16"/>
                <w:szCs w:val="16"/>
                <w:color w:val="auto"/>
              </w:rPr>
              <w:t>Michael J. Cavanagh</w:t>
            </w:r>
          </w:p>
        </w:tc>
        <w:tc>
          <w:tcPr>
            <w:tcW w:w="22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359"/>
              <w:spacing w:after="0"/>
              <w:rPr>
                <w:sz w:val="20"/>
                <w:szCs w:val="20"/>
                <w:color w:val="auto"/>
              </w:rPr>
            </w:pPr>
            <w:r>
              <w:rPr>
                <w:rFonts w:ascii="Arial" w:cs="Arial" w:eastAsia="Arial" w:hAnsi="Arial"/>
                <w:sz w:val="16"/>
                <w:szCs w:val="16"/>
                <w:color w:val="auto"/>
              </w:rPr>
              <w:t>139,163</w:t>
            </w:r>
            <w:r>
              <w:rPr>
                <w:rFonts w:ascii="Arial" w:cs="Arial" w:eastAsia="Arial" w:hAnsi="Arial"/>
                <w:sz w:val="27"/>
                <w:szCs w:val="27"/>
                <w:color w:val="auto"/>
                <w:vertAlign w:val="superscript"/>
              </w:rPr>
              <w:t>(1)</w:t>
            </w:r>
          </w:p>
        </w:tc>
        <w:tc>
          <w:tcPr>
            <w:tcW w:w="2360" w:type="dxa"/>
            <w:vAlign w:val="bottom"/>
          </w:tcPr>
          <w:p>
            <w:pPr>
              <w:jc w:val="right"/>
              <w:ind w:right="739"/>
              <w:spacing w:after="0"/>
              <w:rPr>
                <w:sz w:val="20"/>
                <w:szCs w:val="20"/>
                <w:color w:val="auto"/>
              </w:rPr>
            </w:pPr>
            <w:r>
              <w:rPr>
                <w:rFonts w:ascii="Arial" w:cs="Arial" w:eastAsia="Arial" w:hAnsi="Arial"/>
                <w:sz w:val="16"/>
                <w:szCs w:val="16"/>
                <w:color w:val="auto"/>
              </w:rPr>
              <w:t>5,657,103</w:t>
            </w:r>
          </w:p>
        </w:tc>
      </w:tr>
      <w:tr>
        <w:trPr>
          <w:trHeight w:val="419"/>
        </w:trPr>
        <w:tc>
          <w:tcPr>
            <w:tcW w:w="1680" w:type="dxa"/>
            <w:vAlign w:val="bottom"/>
          </w:tcPr>
          <w:p>
            <w:pPr>
              <w:spacing w:after="0"/>
              <w:rPr>
                <w:sz w:val="20"/>
                <w:szCs w:val="20"/>
                <w:color w:val="auto"/>
              </w:rPr>
            </w:pPr>
            <w:r>
              <w:rPr>
                <w:rFonts w:ascii="Arial" w:cs="Arial" w:eastAsia="Arial" w:hAnsi="Arial"/>
                <w:sz w:val="16"/>
                <w:szCs w:val="16"/>
                <w:color w:val="auto"/>
              </w:rPr>
              <w:t>Stephen B. Burke</w:t>
            </w:r>
          </w:p>
        </w:tc>
        <w:tc>
          <w:tcPr>
            <w:tcW w:w="2260" w:type="dxa"/>
            <w:vAlign w:val="bottom"/>
          </w:tcPr>
          <w:p>
            <w:pPr>
              <w:jc w:val="right"/>
              <w:ind w:right="559"/>
              <w:spacing w:after="0"/>
              <w:rPr>
                <w:sz w:val="20"/>
                <w:szCs w:val="20"/>
                <w:color w:val="auto"/>
              </w:rPr>
            </w:pPr>
            <w:r>
              <w:rPr>
                <w:rFonts w:ascii="Arial" w:cs="Arial" w:eastAsia="Arial" w:hAnsi="Arial"/>
                <w:sz w:val="16"/>
                <w:szCs w:val="16"/>
                <w:color w:val="auto"/>
              </w:rPr>
              <w:t>2,172,000</w:t>
            </w:r>
          </w:p>
        </w:tc>
        <w:tc>
          <w:tcPr>
            <w:tcW w:w="2440" w:type="dxa"/>
            <w:vAlign w:val="bottom"/>
          </w:tcPr>
          <w:p>
            <w:pPr>
              <w:jc w:val="right"/>
              <w:ind w:right="599"/>
              <w:spacing w:after="0"/>
              <w:rPr>
                <w:sz w:val="20"/>
                <w:szCs w:val="20"/>
                <w:color w:val="auto"/>
              </w:rPr>
            </w:pPr>
            <w:r>
              <w:rPr>
                <w:rFonts w:ascii="Arial" w:cs="Arial" w:eastAsia="Arial" w:hAnsi="Arial"/>
                <w:sz w:val="16"/>
                <w:szCs w:val="16"/>
                <w:color w:val="auto"/>
              </w:rPr>
              <w:t>68,944,971</w:t>
            </w:r>
          </w:p>
        </w:tc>
        <w:tc>
          <w:tcPr>
            <w:tcW w:w="2280" w:type="dxa"/>
            <w:vAlign w:val="bottom"/>
          </w:tcPr>
          <w:p>
            <w:pPr>
              <w:jc w:val="right"/>
              <w:ind w:right="359"/>
              <w:spacing w:after="0"/>
              <w:rPr>
                <w:sz w:val="20"/>
                <w:szCs w:val="20"/>
                <w:color w:val="auto"/>
              </w:rPr>
            </w:pPr>
            <w:r>
              <w:rPr>
                <w:rFonts w:ascii="Arial" w:cs="Arial" w:eastAsia="Arial" w:hAnsi="Arial"/>
                <w:sz w:val="16"/>
                <w:szCs w:val="16"/>
                <w:color w:val="auto"/>
              </w:rPr>
              <w:t>193,274</w:t>
            </w:r>
            <w:r>
              <w:rPr>
                <w:rFonts w:ascii="Arial" w:cs="Arial" w:eastAsia="Arial" w:hAnsi="Arial"/>
                <w:sz w:val="27"/>
                <w:szCs w:val="27"/>
                <w:color w:val="auto"/>
                <w:vertAlign w:val="superscript"/>
              </w:rPr>
              <w:t>(1)</w:t>
            </w:r>
          </w:p>
        </w:tc>
        <w:tc>
          <w:tcPr>
            <w:tcW w:w="2360" w:type="dxa"/>
            <w:vAlign w:val="bottom"/>
          </w:tcPr>
          <w:p>
            <w:pPr>
              <w:jc w:val="right"/>
              <w:ind w:right="739"/>
              <w:spacing w:after="0"/>
              <w:rPr>
                <w:sz w:val="20"/>
                <w:szCs w:val="20"/>
                <w:color w:val="auto"/>
              </w:rPr>
            </w:pPr>
            <w:r>
              <w:rPr>
                <w:rFonts w:ascii="Arial" w:cs="Arial" w:eastAsia="Arial" w:hAnsi="Arial"/>
                <w:sz w:val="16"/>
                <w:szCs w:val="16"/>
                <w:color w:val="auto"/>
              </w:rPr>
              <w:t>7,775,413</w:t>
            </w:r>
          </w:p>
        </w:tc>
      </w:tr>
      <w:tr>
        <w:trPr>
          <w:trHeight w:val="267"/>
        </w:trPr>
        <w:tc>
          <w:tcPr>
            <w:tcW w:w="1680" w:type="dxa"/>
            <w:vAlign w:val="bottom"/>
          </w:tcPr>
          <w:p>
            <w:pPr>
              <w:spacing w:after="0"/>
              <w:rPr>
                <w:sz w:val="20"/>
                <w:szCs w:val="20"/>
                <w:color w:val="auto"/>
              </w:rPr>
            </w:pPr>
            <w:r>
              <w:rPr>
                <w:rFonts w:ascii="Arial" w:cs="Arial" w:eastAsia="Arial" w:hAnsi="Arial"/>
                <w:sz w:val="16"/>
                <w:szCs w:val="16"/>
                <w:color w:val="auto"/>
              </w:rPr>
              <w:t>David L. Cohen</w:t>
            </w:r>
          </w:p>
        </w:tc>
        <w:tc>
          <w:tcPr>
            <w:tcW w:w="2260" w:type="dxa"/>
            <w:vAlign w:val="bottom"/>
          </w:tcPr>
          <w:p>
            <w:pPr>
              <w:jc w:val="right"/>
              <w:ind w:right="559"/>
              <w:spacing w:after="0"/>
              <w:rPr>
                <w:sz w:val="20"/>
                <w:szCs w:val="20"/>
                <w:color w:val="auto"/>
              </w:rPr>
            </w:pPr>
            <w:r>
              <w:rPr>
                <w:rFonts w:ascii="Arial" w:cs="Arial" w:eastAsia="Arial" w:hAnsi="Arial"/>
                <w:sz w:val="16"/>
                <w:szCs w:val="16"/>
                <w:color w:val="auto"/>
              </w:rPr>
              <w:t>2,532,900</w:t>
            </w:r>
          </w:p>
        </w:tc>
        <w:tc>
          <w:tcPr>
            <w:tcW w:w="2440" w:type="dxa"/>
            <w:vAlign w:val="bottom"/>
          </w:tcPr>
          <w:p>
            <w:pPr>
              <w:jc w:val="right"/>
              <w:ind w:right="599"/>
              <w:spacing w:after="0"/>
              <w:rPr>
                <w:sz w:val="20"/>
                <w:szCs w:val="20"/>
                <w:color w:val="auto"/>
              </w:rPr>
            </w:pPr>
            <w:r>
              <w:rPr>
                <w:rFonts w:ascii="Arial" w:cs="Arial" w:eastAsia="Arial" w:hAnsi="Arial"/>
                <w:sz w:val="16"/>
                <w:szCs w:val="16"/>
                <w:color w:val="auto"/>
              </w:rPr>
              <w:t>81,896,824</w:t>
            </w:r>
          </w:p>
        </w:tc>
        <w:tc>
          <w:tcPr>
            <w:tcW w:w="2280" w:type="dxa"/>
            <w:vAlign w:val="bottom"/>
          </w:tcPr>
          <w:p>
            <w:pPr>
              <w:jc w:val="right"/>
              <w:ind w:right="539"/>
              <w:spacing w:after="0"/>
              <w:rPr>
                <w:sz w:val="20"/>
                <w:szCs w:val="20"/>
                <w:color w:val="auto"/>
              </w:rPr>
            </w:pPr>
            <w:r>
              <w:rPr>
                <w:rFonts w:ascii="Arial" w:cs="Arial" w:eastAsia="Arial" w:hAnsi="Arial"/>
                <w:sz w:val="16"/>
                <w:szCs w:val="16"/>
                <w:color w:val="auto"/>
              </w:rPr>
              <w:t>125,590</w:t>
            </w:r>
          </w:p>
        </w:tc>
        <w:tc>
          <w:tcPr>
            <w:tcW w:w="2360" w:type="dxa"/>
            <w:vAlign w:val="bottom"/>
          </w:tcPr>
          <w:p>
            <w:pPr>
              <w:jc w:val="right"/>
              <w:ind w:right="739"/>
              <w:spacing w:after="0"/>
              <w:rPr>
                <w:sz w:val="20"/>
                <w:szCs w:val="20"/>
                <w:color w:val="auto"/>
              </w:rPr>
            </w:pPr>
            <w:r>
              <w:rPr>
                <w:rFonts w:ascii="Arial" w:cs="Arial" w:eastAsia="Arial" w:hAnsi="Arial"/>
                <w:sz w:val="16"/>
                <w:szCs w:val="16"/>
                <w:color w:val="auto"/>
              </w:rPr>
              <w:t>5,125,889</w:t>
            </w:r>
          </w:p>
        </w:tc>
      </w:tr>
      <w:tr>
        <w:trPr>
          <w:trHeight w:val="283"/>
        </w:trPr>
        <w:tc>
          <w:tcPr>
            <w:tcW w:w="1680" w:type="dxa"/>
            <w:vAlign w:val="bottom"/>
          </w:tcPr>
          <w:p>
            <w:pPr>
              <w:spacing w:after="0"/>
              <w:rPr>
                <w:sz w:val="20"/>
                <w:szCs w:val="20"/>
                <w:color w:val="auto"/>
              </w:rPr>
            </w:pPr>
            <w:r>
              <w:rPr>
                <w:rFonts w:ascii="Arial" w:cs="Arial" w:eastAsia="Arial" w:hAnsi="Arial"/>
                <w:sz w:val="16"/>
                <w:szCs w:val="16"/>
                <w:color w:val="auto"/>
              </w:rPr>
              <w:t>David N. Watson</w:t>
            </w:r>
          </w:p>
        </w:tc>
        <w:tc>
          <w:tcPr>
            <w:tcW w:w="2260" w:type="dxa"/>
            <w:vAlign w:val="bottom"/>
          </w:tcPr>
          <w:p>
            <w:pPr>
              <w:jc w:val="right"/>
              <w:ind w:right="559"/>
              <w:spacing w:after="0"/>
              <w:rPr>
                <w:sz w:val="20"/>
                <w:szCs w:val="20"/>
                <w:color w:val="auto"/>
              </w:rPr>
            </w:pPr>
            <w:r>
              <w:rPr>
                <w:rFonts w:ascii="Arial" w:cs="Arial" w:eastAsia="Arial" w:hAnsi="Arial"/>
                <w:sz w:val="16"/>
                <w:szCs w:val="16"/>
                <w:color w:val="auto"/>
              </w:rPr>
              <w:t>663,000</w:t>
            </w:r>
          </w:p>
        </w:tc>
        <w:tc>
          <w:tcPr>
            <w:tcW w:w="2440" w:type="dxa"/>
            <w:vAlign w:val="bottom"/>
          </w:tcPr>
          <w:p>
            <w:pPr>
              <w:jc w:val="right"/>
              <w:ind w:right="599"/>
              <w:spacing w:after="0"/>
              <w:rPr>
                <w:sz w:val="20"/>
                <w:szCs w:val="20"/>
                <w:color w:val="auto"/>
              </w:rPr>
            </w:pPr>
            <w:r>
              <w:rPr>
                <w:rFonts w:ascii="Arial" w:cs="Arial" w:eastAsia="Arial" w:hAnsi="Arial"/>
                <w:sz w:val="16"/>
                <w:szCs w:val="16"/>
                <w:color w:val="auto"/>
              </w:rPr>
              <w:t>19,299,406</w:t>
            </w:r>
          </w:p>
        </w:tc>
        <w:tc>
          <w:tcPr>
            <w:tcW w:w="2280" w:type="dxa"/>
            <w:vAlign w:val="bottom"/>
          </w:tcPr>
          <w:p>
            <w:pPr>
              <w:jc w:val="right"/>
              <w:ind w:right="539"/>
              <w:spacing w:after="0"/>
              <w:rPr>
                <w:sz w:val="20"/>
                <w:szCs w:val="20"/>
                <w:color w:val="auto"/>
              </w:rPr>
            </w:pPr>
            <w:r>
              <w:rPr>
                <w:rFonts w:ascii="Arial" w:cs="Arial" w:eastAsia="Arial" w:hAnsi="Arial"/>
                <w:sz w:val="16"/>
                <w:szCs w:val="16"/>
                <w:color w:val="auto"/>
              </w:rPr>
              <w:t>60,154</w:t>
            </w:r>
          </w:p>
        </w:tc>
        <w:tc>
          <w:tcPr>
            <w:tcW w:w="2360" w:type="dxa"/>
            <w:vAlign w:val="bottom"/>
          </w:tcPr>
          <w:p>
            <w:pPr>
              <w:jc w:val="right"/>
              <w:ind w:right="739"/>
              <w:spacing w:after="0"/>
              <w:rPr>
                <w:sz w:val="20"/>
                <w:szCs w:val="20"/>
                <w:color w:val="auto"/>
              </w:rPr>
            </w:pPr>
            <w:r>
              <w:rPr>
                <w:rFonts w:ascii="Arial" w:cs="Arial" w:eastAsia="Arial" w:hAnsi="Arial"/>
                <w:sz w:val="16"/>
                <w:szCs w:val="16"/>
                <w:color w:val="auto"/>
              </w:rPr>
              <w:t>2,443,379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8"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Roberts deferred the vesting of 21,855 and 21,612 of these PSUs on March 17, 2019 and April 16, 2019, respectively,</w:t>
      </w:r>
    </w:p>
    <w:p>
      <w:pPr>
        <w:ind w:left="540" w:right="40"/>
        <w:spacing w:after="0" w:line="237" w:lineRule="auto"/>
        <w:rPr>
          <w:rFonts w:ascii="Arial" w:cs="Arial" w:eastAsia="Arial" w:hAnsi="Arial"/>
          <w:sz w:val="18"/>
          <w:szCs w:val="18"/>
          <w:color w:val="auto"/>
        </w:rPr>
      </w:pPr>
      <w:r>
        <w:rPr>
          <w:rFonts w:ascii="Arial" w:cs="Arial" w:eastAsia="Arial" w:hAnsi="Arial"/>
          <w:sz w:val="18"/>
          <w:szCs w:val="18"/>
          <w:color w:val="auto"/>
        </w:rPr>
        <w:t>Mr. Cavanagh deferred the March 18, 2019 vesting of 81,500 of these PSUs and Mr. Burke deferred the April 16, 2019 vesting of 24,253 of these PSUs. The value of the stock units realized on vesting is based on the value of a share of Class A common stock on the original vesting date, regardless of whether the vesting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 see footnote (6) to that table for additional information regarding these PSU deferrals.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NONQUALIFIED DEFERRED COMPENSATION IN AND AS OF FISCAL YEAR-END</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2019.</w:t>
      </w:r>
      <w:r>
        <w:rPr>
          <w:rFonts w:ascii="Arial" w:cs="Arial" w:eastAsia="Arial" w:hAnsi="Arial"/>
          <w:sz w:val="15"/>
          <w:szCs w:val="15"/>
          <w:color w:val="auto"/>
        </w:rPr>
        <w:t>(1)</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180" w:type="dxa"/>
            <w:vAlign w:val="bottom"/>
            <w:tcBorders>
              <w:top w:val="single" w:sz="8" w:color="auto"/>
            </w:tcBorders>
            <w:shd w:val="clear" w:color="auto" w:fill="DDF2F9"/>
          </w:tcPr>
          <w:p>
            <w:pPr>
              <w:spacing w:after="0"/>
              <w:rPr>
                <w:sz w:val="20"/>
                <w:szCs w:val="20"/>
                <w:color w:val="auto"/>
              </w:rPr>
            </w:pPr>
            <w:r>
              <w:rPr>
                <w:rFonts w:ascii="Arial" w:cs="Arial" w:eastAsia="Arial" w:hAnsi="Arial"/>
                <w:sz w:val="16"/>
                <w:szCs w:val="16"/>
                <w:b w:val="1"/>
                <w:bCs w:val="1"/>
                <w:color w:val="0A33A5"/>
              </w:rPr>
              <w:t>Name</w:t>
            </w:r>
          </w:p>
        </w:tc>
        <w:tc>
          <w:tcPr>
            <w:tcW w:w="1760" w:type="dxa"/>
            <w:vAlign w:val="bottom"/>
            <w:tcBorders>
              <w:top w:val="single" w:sz="8" w:color="auto"/>
            </w:tcBorders>
            <w:shd w:val="clear" w:color="auto" w:fill="DDF2F9"/>
          </w:tcPr>
          <w:p>
            <w:pPr>
              <w:jc w:val="center"/>
              <w:ind w:left="479"/>
              <w:spacing w:after="0"/>
              <w:rPr>
                <w:sz w:val="20"/>
                <w:szCs w:val="20"/>
                <w:color w:val="auto"/>
              </w:rPr>
            </w:pPr>
            <w:r>
              <w:rPr>
                <w:rFonts w:ascii="Arial" w:cs="Arial" w:eastAsia="Arial" w:hAnsi="Arial"/>
                <w:sz w:val="16"/>
                <w:szCs w:val="16"/>
                <w:b w:val="1"/>
                <w:bCs w:val="1"/>
                <w:color w:val="0A33A5"/>
                <w:w w:val="98"/>
              </w:rPr>
              <w:t>Type of</w:t>
            </w:r>
          </w:p>
        </w:tc>
        <w:tc>
          <w:tcPr>
            <w:tcW w:w="1540" w:type="dxa"/>
            <w:vAlign w:val="bottom"/>
            <w:tcBorders>
              <w:top w:val="single" w:sz="8" w:color="auto"/>
            </w:tcBorders>
            <w:shd w:val="clear" w:color="auto" w:fill="DDF2F9"/>
          </w:tcPr>
          <w:p>
            <w:pPr>
              <w:jc w:val="center"/>
              <w:ind w:right="101"/>
              <w:spacing w:after="0"/>
              <w:rPr>
                <w:sz w:val="20"/>
                <w:szCs w:val="20"/>
                <w:color w:val="auto"/>
              </w:rPr>
            </w:pPr>
            <w:r>
              <w:rPr>
                <w:rFonts w:ascii="Arial" w:cs="Arial" w:eastAsia="Arial" w:hAnsi="Arial"/>
                <w:sz w:val="16"/>
                <w:szCs w:val="16"/>
                <w:b w:val="1"/>
                <w:bCs w:val="1"/>
                <w:color w:val="0A33A5"/>
              </w:rPr>
              <w:t>Executive</w:t>
            </w:r>
          </w:p>
        </w:tc>
        <w:tc>
          <w:tcPr>
            <w:tcW w:w="144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6"/>
                <w:szCs w:val="16"/>
                <w:b w:val="1"/>
                <w:bCs w:val="1"/>
                <w:color w:val="0A33A5"/>
              </w:rPr>
              <w:t>Company</w:t>
            </w:r>
          </w:p>
        </w:tc>
        <w:tc>
          <w:tcPr>
            <w:tcW w:w="1460" w:type="dxa"/>
            <w:vAlign w:val="bottom"/>
            <w:tcBorders>
              <w:top w:val="single" w:sz="8" w:color="auto"/>
            </w:tcBorders>
            <w:shd w:val="clear" w:color="auto" w:fill="DDF2F9"/>
          </w:tcPr>
          <w:p>
            <w:pPr>
              <w:jc w:val="center"/>
              <w:ind w:right="20"/>
              <w:spacing w:after="0"/>
              <w:rPr>
                <w:sz w:val="20"/>
                <w:szCs w:val="20"/>
                <w:color w:val="auto"/>
              </w:rPr>
            </w:pPr>
            <w:r>
              <w:rPr>
                <w:rFonts w:ascii="Arial" w:cs="Arial" w:eastAsia="Arial" w:hAnsi="Arial"/>
                <w:sz w:val="16"/>
                <w:szCs w:val="16"/>
                <w:b w:val="1"/>
                <w:bCs w:val="1"/>
                <w:color w:val="0A33A5"/>
              </w:rPr>
              <w:t>Aggregate</w:t>
            </w:r>
          </w:p>
        </w:tc>
        <w:tc>
          <w:tcPr>
            <w:tcW w:w="1540" w:type="dxa"/>
            <w:vAlign w:val="bottom"/>
            <w:tcBorders>
              <w:top w:val="single" w:sz="8" w:color="auto"/>
            </w:tcBorders>
            <w:shd w:val="clear" w:color="auto" w:fill="DDF2F9"/>
          </w:tcPr>
          <w:p>
            <w:pPr>
              <w:jc w:val="right"/>
              <w:ind w:right="379"/>
              <w:spacing w:after="0"/>
              <w:rPr>
                <w:sz w:val="20"/>
                <w:szCs w:val="20"/>
                <w:color w:val="auto"/>
              </w:rPr>
            </w:pPr>
            <w:r>
              <w:rPr>
                <w:rFonts w:ascii="Arial" w:cs="Arial" w:eastAsia="Arial" w:hAnsi="Arial"/>
                <w:sz w:val="16"/>
                <w:szCs w:val="16"/>
                <w:b w:val="1"/>
                <w:bCs w:val="1"/>
                <w:color w:val="0A33A5"/>
              </w:rPr>
              <w:t>Aggregate</w:t>
            </w:r>
          </w:p>
        </w:tc>
        <w:tc>
          <w:tcPr>
            <w:tcW w:w="110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6"/>
                <w:szCs w:val="16"/>
                <w:b w:val="1"/>
                <w:bCs w:val="1"/>
                <w:color w:val="0A33A5"/>
              </w:rPr>
              <w:t>Aggregate</w:t>
            </w:r>
          </w:p>
        </w:tc>
      </w:tr>
      <w:tr>
        <w:trPr>
          <w:trHeight w:val="188"/>
        </w:trPr>
        <w:tc>
          <w:tcPr>
            <w:tcW w:w="2180" w:type="dxa"/>
            <w:vAlign w:val="bottom"/>
            <w:shd w:val="clear" w:color="auto" w:fill="DDF2F9"/>
          </w:tcPr>
          <w:p>
            <w:pPr>
              <w:spacing w:after="0"/>
              <w:rPr>
                <w:sz w:val="16"/>
                <w:szCs w:val="16"/>
                <w:color w:val="auto"/>
              </w:rPr>
            </w:pPr>
          </w:p>
        </w:tc>
        <w:tc>
          <w:tcPr>
            <w:tcW w:w="1760" w:type="dxa"/>
            <w:vAlign w:val="bottom"/>
            <w:shd w:val="clear" w:color="auto" w:fill="DDF2F9"/>
          </w:tcPr>
          <w:p>
            <w:pPr>
              <w:jc w:val="center"/>
              <w:ind w:left="459"/>
              <w:spacing w:after="0"/>
              <w:rPr>
                <w:sz w:val="20"/>
                <w:szCs w:val="20"/>
                <w:color w:val="auto"/>
              </w:rPr>
            </w:pPr>
            <w:r>
              <w:rPr>
                <w:rFonts w:ascii="Arial" w:cs="Arial" w:eastAsia="Arial" w:hAnsi="Arial"/>
                <w:sz w:val="16"/>
                <w:szCs w:val="16"/>
                <w:b w:val="1"/>
                <w:bCs w:val="1"/>
                <w:color w:val="0A33A5"/>
              </w:rPr>
              <w:t>Investment</w:t>
            </w:r>
          </w:p>
        </w:tc>
        <w:tc>
          <w:tcPr>
            <w:tcW w:w="1540" w:type="dxa"/>
            <w:vAlign w:val="bottom"/>
            <w:shd w:val="clear" w:color="auto" w:fill="DDF2F9"/>
          </w:tcPr>
          <w:p>
            <w:pPr>
              <w:jc w:val="center"/>
              <w:ind w:right="101"/>
              <w:spacing w:after="0"/>
              <w:rPr>
                <w:sz w:val="20"/>
                <w:szCs w:val="20"/>
                <w:color w:val="auto"/>
              </w:rPr>
            </w:pPr>
            <w:r>
              <w:rPr>
                <w:rFonts w:ascii="Arial" w:cs="Arial" w:eastAsia="Arial" w:hAnsi="Arial"/>
                <w:sz w:val="16"/>
                <w:szCs w:val="16"/>
                <w:b w:val="1"/>
                <w:bCs w:val="1"/>
                <w:color w:val="0A33A5"/>
              </w:rPr>
              <w:t>Contributions</w:t>
            </w:r>
          </w:p>
        </w:tc>
        <w:tc>
          <w:tcPr>
            <w:tcW w:w="144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Contributions</w:t>
            </w:r>
          </w:p>
        </w:tc>
        <w:tc>
          <w:tcPr>
            <w:tcW w:w="1460" w:type="dxa"/>
            <w:vAlign w:val="bottom"/>
            <w:shd w:val="clear" w:color="auto" w:fill="DDF2F9"/>
          </w:tcPr>
          <w:p>
            <w:pPr>
              <w:jc w:val="center"/>
              <w:ind w:right="20"/>
              <w:spacing w:after="0"/>
              <w:rPr>
                <w:sz w:val="20"/>
                <w:szCs w:val="20"/>
                <w:color w:val="auto"/>
              </w:rPr>
            </w:pPr>
            <w:r>
              <w:rPr>
                <w:rFonts w:ascii="Arial" w:cs="Arial" w:eastAsia="Arial" w:hAnsi="Arial"/>
                <w:sz w:val="16"/>
                <w:szCs w:val="16"/>
                <w:b w:val="1"/>
                <w:bCs w:val="1"/>
                <w:color w:val="0A33A5"/>
              </w:rPr>
              <w:t>Earnings in</w:t>
            </w:r>
          </w:p>
        </w:tc>
        <w:tc>
          <w:tcPr>
            <w:tcW w:w="1540" w:type="dxa"/>
            <w:vAlign w:val="bottom"/>
            <w:shd w:val="clear" w:color="auto" w:fill="DDF2F9"/>
          </w:tcPr>
          <w:p>
            <w:pPr>
              <w:jc w:val="right"/>
              <w:ind w:right="279"/>
              <w:spacing w:after="0"/>
              <w:rPr>
                <w:sz w:val="20"/>
                <w:szCs w:val="20"/>
                <w:color w:val="auto"/>
              </w:rPr>
            </w:pPr>
            <w:r>
              <w:rPr>
                <w:rFonts w:ascii="Arial" w:cs="Arial" w:eastAsia="Arial" w:hAnsi="Arial"/>
                <w:sz w:val="16"/>
                <w:szCs w:val="16"/>
                <w:b w:val="1"/>
                <w:bCs w:val="1"/>
                <w:color w:val="0A33A5"/>
              </w:rPr>
              <w:t>Withdrawals/</w:t>
            </w:r>
          </w:p>
        </w:tc>
        <w:tc>
          <w:tcPr>
            <w:tcW w:w="11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w w:val="99"/>
              </w:rPr>
              <w:t>Balance at</w:t>
            </w:r>
          </w:p>
        </w:tc>
      </w:tr>
      <w:tr>
        <w:trPr>
          <w:trHeight w:val="208"/>
        </w:trPr>
        <w:tc>
          <w:tcPr>
            <w:tcW w:w="2180" w:type="dxa"/>
            <w:vAlign w:val="bottom"/>
            <w:tcBorders>
              <w:bottom w:val="single" w:sz="8" w:color="auto"/>
            </w:tcBorders>
            <w:shd w:val="clear" w:color="auto" w:fill="DDF2F9"/>
          </w:tcPr>
          <w:p>
            <w:pPr>
              <w:spacing w:after="0"/>
              <w:rPr>
                <w:sz w:val="18"/>
                <w:szCs w:val="18"/>
                <w:color w:val="auto"/>
              </w:rPr>
            </w:pPr>
          </w:p>
        </w:tc>
        <w:tc>
          <w:tcPr>
            <w:tcW w:w="1760" w:type="dxa"/>
            <w:vAlign w:val="bottom"/>
            <w:tcBorders>
              <w:bottom w:val="single" w:sz="8" w:color="auto"/>
            </w:tcBorders>
            <w:shd w:val="clear" w:color="auto" w:fill="DDF2F9"/>
          </w:tcPr>
          <w:p>
            <w:pPr>
              <w:jc w:val="center"/>
              <w:ind w:left="479"/>
              <w:spacing w:after="0"/>
              <w:rPr>
                <w:sz w:val="20"/>
                <w:szCs w:val="20"/>
                <w:color w:val="auto"/>
              </w:rPr>
            </w:pPr>
            <w:r>
              <w:rPr>
                <w:rFonts w:ascii="Arial" w:cs="Arial" w:eastAsia="Arial" w:hAnsi="Arial"/>
                <w:sz w:val="16"/>
                <w:szCs w:val="16"/>
                <w:b w:val="1"/>
                <w:bCs w:val="1"/>
                <w:color w:val="0A33A5"/>
              </w:rPr>
              <w:t>Fund</w:t>
            </w:r>
          </w:p>
        </w:tc>
        <w:tc>
          <w:tcPr>
            <w:tcW w:w="1540" w:type="dxa"/>
            <w:vAlign w:val="bottom"/>
            <w:tcBorders>
              <w:bottom w:val="single" w:sz="8" w:color="auto"/>
            </w:tcBorders>
            <w:shd w:val="clear" w:color="auto" w:fill="DDF2F9"/>
          </w:tcPr>
          <w:p>
            <w:pPr>
              <w:jc w:val="center"/>
              <w:ind w:right="101"/>
              <w:spacing w:after="0" w:line="207" w:lineRule="exact"/>
              <w:rPr>
                <w:sz w:val="20"/>
                <w:szCs w:val="20"/>
                <w:color w:val="auto"/>
              </w:rPr>
            </w:pPr>
            <w:r>
              <w:rPr>
                <w:rFonts w:ascii="Arial" w:cs="Arial" w:eastAsia="Arial" w:hAnsi="Arial"/>
                <w:sz w:val="15"/>
                <w:szCs w:val="15"/>
                <w:b w:val="1"/>
                <w:bCs w:val="1"/>
                <w:color w:val="0A33A5"/>
              </w:rPr>
              <w:t>in Last FY</w:t>
            </w:r>
            <w:r>
              <w:rPr>
                <w:rFonts w:ascii="Arial" w:cs="Arial" w:eastAsia="Arial" w:hAnsi="Arial"/>
                <w:sz w:val="24"/>
                <w:szCs w:val="24"/>
                <w:b w:val="1"/>
                <w:bCs w:val="1"/>
                <w:color w:val="0A33A5"/>
                <w:vertAlign w:val="superscript"/>
              </w:rPr>
              <w:t>(2)</w:t>
            </w:r>
          </w:p>
        </w:tc>
        <w:tc>
          <w:tcPr>
            <w:tcW w:w="1440" w:type="dxa"/>
            <w:vAlign w:val="bottom"/>
            <w:tcBorders>
              <w:bottom w:val="single" w:sz="8" w:color="auto"/>
            </w:tcBorders>
            <w:shd w:val="clear" w:color="auto" w:fill="DDF2F9"/>
          </w:tcPr>
          <w:p>
            <w:pPr>
              <w:jc w:val="center"/>
              <w:spacing w:after="0" w:line="207" w:lineRule="exact"/>
              <w:rPr>
                <w:sz w:val="20"/>
                <w:szCs w:val="20"/>
                <w:color w:val="auto"/>
              </w:rPr>
            </w:pPr>
            <w:r>
              <w:rPr>
                <w:rFonts w:ascii="Arial" w:cs="Arial" w:eastAsia="Arial" w:hAnsi="Arial"/>
                <w:sz w:val="15"/>
                <w:szCs w:val="15"/>
                <w:b w:val="1"/>
                <w:bCs w:val="1"/>
                <w:color w:val="0A33A5"/>
              </w:rPr>
              <w:t>in Last FY</w:t>
            </w:r>
            <w:r>
              <w:rPr>
                <w:rFonts w:ascii="Arial" w:cs="Arial" w:eastAsia="Arial" w:hAnsi="Arial"/>
                <w:sz w:val="24"/>
                <w:szCs w:val="24"/>
                <w:b w:val="1"/>
                <w:bCs w:val="1"/>
                <w:color w:val="0A33A5"/>
                <w:vertAlign w:val="superscript"/>
              </w:rPr>
              <w:t>(3)</w:t>
            </w:r>
          </w:p>
        </w:tc>
        <w:tc>
          <w:tcPr>
            <w:tcW w:w="1460" w:type="dxa"/>
            <w:vAlign w:val="bottom"/>
            <w:tcBorders>
              <w:bottom w:val="single" w:sz="8" w:color="auto"/>
            </w:tcBorders>
            <w:shd w:val="clear" w:color="auto" w:fill="DDF2F9"/>
          </w:tcPr>
          <w:p>
            <w:pPr>
              <w:jc w:val="center"/>
              <w:ind w:right="20"/>
              <w:spacing w:after="0" w:line="207" w:lineRule="exact"/>
              <w:rPr>
                <w:sz w:val="20"/>
                <w:szCs w:val="20"/>
                <w:color w:val="auto"/>
              </w:rPr>
            </w:pPr>
            <w:r>
              <w:rPr>
                <w:rFonts w:ascii="Arial" w:cs="Arial" w:eastAsia="Arial" w:hAnsi="Arial"/>
                <w:sz w:val="15"/>
                <w:szCs w:val="15"/>
                <w:b w:val="1"/>
                <w:bCs w:val="1"/>
                <w:color w:val="0A33A5"/>
              </w:rPr>
              <w:t>Last FY</w:t>
            </w:r>
            <w:r>
              <w:rPr>
                <w:rFonts w:ascii="Arial" w:cs="Arial" w:eastAsia="Arial" w:hAnsi="Arial"/>
                <w:sz w:val="24"/>
                <w:szCs w:val="24"/>
                <w:b w:val="1"/>
                <w:bCs w:val="1"/>
                <w:color w:val="0A33A5"/>
                <w:vertAlign w:val="superscript"/>
              </w:rPr>
              <w:t>(4)</w:t>
            </w:r>
          </w:p>
        </w:tc>
        <w:tc>
          <w:tcPr>
            <w:tcW w:w="1540" w:type="dxa"/>
            <w:vAlign w:val="bottom"/>
            <w:tcBorders>
              <w:bottom w:val="single" w:sz="8" w:color="auto"/>
            </w:tcBorders>
            <w:shd w:val="clear" w:color="auto" w:fill="DDF2F9"/>
          </w:tcPr>
          <w:p>
            <w:pPr>
              <w:jc w:val="right"/>
              <w:ind w:right="279"/>
              <w:spacing w:after="0"/>
              <w:rPr>
                <w:sz w:val="20"/>
                <w:szCs w:val="20"/>
                <w:color w:val="auto"/>
              </w:rPr>
            </w:pPr>
            <w:r>
              <w:rPr>
                <w:rFonts w:ascii="Arial" w:cs="Arial" w:eastAsia="Arial" w:hAnsi="Arial"/>
                <w:sz w:val="16"/>
                <w:szCs w:val="16"/>
                <w:b w:val="1"/>
                <w:bCs w:val="1"/>
                <w:color w:val="0A33A5"/>
              </w:rPr>
              <w:t>Distributions</w:t>
            </w:r>
          </w:p>
        </w:tc>
        <w:tc>
          <w:tcPr>
            <w:tcW w:w="1100" w:type="dxa"/>
            <w:vAlign w:val="bottom"/>
            <w:tcBorders>
              <w:bottom w:val="single" w:sz="8" w:color="auto"/>
            </w:tcBorders>
            <w:shd w:val="clear" w:color="auto" w:fill="DDF2F9"/>
          </w:tcPr>
          <w:p>
            <w:pPr>
              <w:jc w:val="center"/>
              <w:spacing w:after="0" w:line="207" w:lineRule="exact"/>
              <w:rPr>
                <w:sz w:val="20"/>
                <w:szCs w:val="20"/>
                <w:color w:val="auto"/>
              </w:rPr>
            </w:pPr>
            <w:r>
              <w:rPr>
                <w:rFonts w:ascii="Arial" w:cs="Arial" w:eastAsia="Arial" w:hAnsi="Arial"/>
                <w:sz w:val="15"/>
                <w:szCs w:val="15"/>
                <w:b w:val="1"/>
                <w:bCs w:val="1"/>
                <w:color w:val="0A33A5"/>
              </w:rPr>
              <w:t>Last FYE</w:t>
            </w:r>
            <w:r>
              <w:rPr>
                <w:rFonts w:ascii="Arial" w:cs="Arial" w:eastAsia="Arial" w:hAnsi="Arial"/>
                <w:sz w:val="24"/>
                <w:szCs w:val="24"/>
                <w:b w:val="1"/>
                <w:bCs w:val="1"/>
                <w:color w:val="0A33A5"/>
                <w:vertAlign w:val="superscript"/>
              </w:rPr>
              <w:t>(5)</w:t>
            </w:r>
          </w:p>
        </w:tc>
      </w:tr>
      <w:tr>
        <w:trPr>
          <w:trHeight w:val="247"/>
        </w:trPr>
        <w:tc>
          <w:tcPr>
            <w:tcW w:w="2180" w:type="dxa"/>
            <w:vAlign w:val="bottom"/>
          </w:tcPr>
          <w:p>
            <w:pPr>
              <w:spacing w:after="0"/>
              <w:rPr>
                <w:sz w:val="20"/>
                <w:szCs w:val="20"/>
                <w:color w:val="auto"/>
              </w:rPr>
            </w:pPr>
            <w:r>
              <w:rPr>
                <w:rFonts w:ascii="Arial" w:cs="Arial" w:eastAsia="Arial" w:hAnsi="Arial"/>
                <w:sz w:val="16"/>
                <w:szCs w:val="16"/>
                <w:color w:val="auto"/>
              </w:rPr>
              <w:t>Brian L. Roberts</w:t>
            </w:r>
          </w:p>
        </w:tc>
        <w:tc>
          <w:tcPr>
            <w:tcW w:w="1760" w:type="dxa"/>
            <w:vAlign w:val="bottom"/>
          </w:tcPr>
          <w:p>
            <w:pPr>
              <w:jc w:val="center"/>
              <w:ind w:left="479"/>
              <w:spacing w:after="0"/>
              <w:rPr>
                <w:sz w:val="20"/>
                <w:szCs w:val="20"/>
                <w:color w:val="auto"/>
              </w:rPr>
            </w:pPr>
            <w:r>
              <w:rPr>
                <w:rFonts w:ascii="Arial" w:cs="Arial" w:eastAsia="Arial" w:hAnsi="Arial"/>
                <w:sz w:val="16"/>
                <w:szCs w:val="16"/>
                <w:color w:val="auto"/>
              </w:rPr>
              <w:t>Income Fund</w:t>
            </w:r>
          </w:p>
        </w:tc>
        <w:tc>
          <w:tcPr>
            <w:tcW w:w="1540" w:type="dxa"/>
            <w:vAlign w:val="bottom"/>
          </w:tcPr>
          <w:p>
            <w:pPr>
              <w:jc w:val="right"/>
              <w:ind w:right="81"/>
              <w:spacing w:after="0" w:line="246" w:lineRule="exact"/>
              <w:rPr>
                <w:sz w:val="20"/>
                <w:szCs w:val="20"/>
                <w:color w:val="auto"/>
              </w:rPr>
            </w:pPr>
            <w:r>
              <w:rPr>
                <w:rFonts w:ascii="Arial" w:cs="Arial" w:eastAsia="Arial" w:hAnsi="Arial"/>
                <w:sz w:val="16"/>
                <w:szCs w:val="16"/>
                <w:color w:val="auto"/>
              </w:rPr>
              <w:t>$11,914,958</w:t>
            </w:r>
            <w:r>
              <w:rPr>
                <w:rFonts w:ascii="Arial" w:cs="Arial" w:eastAsia="Arial" w:hAnsi="Arial"/>
                <w:sz w:val="27"/>
                <w:szCs w:val="27"/>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$4,653,984</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$10,262,837</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$(102,703,952)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$8,479,892</w:t>
            </w:r>
          </w:p>
        </w:tc>
      </w:tr>
      <w:tr>
        <w:trPr>
          <w:trHeight w:val="338"/>
        </w:trPr>
        <w:tc>
          <w:tcPr>
            <w:tcW w:w="2180" w:type="dxa"/>
            <w:vAlign w:val="bottom"/>
          </w:tcPr>
          <w:p>
            <w:pPr>
              <w:spacing w:after="0"/>
              <w:rPr>
                <w:sz w:val="24"/>
                <w:szCs w:val="24"/>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color w:val="auto"/>
              </w:rPr>
              <w:t>Other Funds</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92,894,821</w:t>
            </w:r>
            <w:r>
              <w:rPr>
                <w:rFonts w:ascii="Arial" w:cs="Arial" w:eastAsia="Arial" w:hAnsi="Arial"/>
                <w:sz w:val="27"/>
                <w:szCs w:val="27"/>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200,338</w:t>
            </w:r>
            <w:r>
              <w:rPr>
                <w:rFonts w:ascii="Arial" w:cs="Arial" w:eastAsia="Arial" w:hAnsi="Arial"/>
                <w:sz w:val="27"/>
                <w:szCs w:val="27"/>
                <w:color w:val="auto"/>
                <w:vertAlign w:val="superscript"/>
              </w:rPr>
              <w:t>(6)</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(1,019,973)</w:t>
            </w:r>
            <w:r>
              <w:rPr>
                <w:rFonts w:ascii="Arial" w:cs="Arial" w:eastAsia="Arial" w:hAnsi="Arial"/>
                <w:sz w:val="27"/>
                <w:szCs w:val="27"/>
                <w:color w:val="auto"/>
                <w:vertAlign w:val="superscript"/>
              </w:rPr>
              <w:t>(6)</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92,075,186</w:t>
            </w: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Michael J. Cavanagh</w:t>
            </w:r>
          </w:p>
        </w:tc>
        <w:tc>
          <w:tcPr>
            <w:tcW w:w="1760" w:type="dxa"/>
            <w:vAlign w:val="bottom"/>
          </w:tcPr>
          <w:p>
            <w:pPr>
              <w:jc w:val="center"/>
              <w:ind w:left="479"/>
              <w:spacing w:after="0"/>
              <w:rPr>
                <w:sz w:val="20"/>
                <w:szCs w:val="20"/>
                <w:color w:val="auto"/>
              </w:rPr>
            </w:pPr>
            <w:r>
              <w:rPr>
                <w:rFonts w:ascii="Arial" w:cs="Arial" w:eastAsia="Arial" w:hAnsi="Arial"/>
                <w:sz w:val="16"/>
                <w:szCs w:val="16"/>
                <w:color w:val="auto"/>
              </w:rPr>
              <w:t>Income Fund</w:t>
            </w:r>
          </w:p>
        </w:tc>
        <w:tc>
          <w:tcPr>
            <w:tcW w:w="1540" w:type="dxa"/>
            <w:vAlign w:val="bottom"/>
          </w:tcPr>
          <w:p>
            <w:pPr>
              <w:jc w:val="right"/>
              <w:ind w:right="81"/>
              <w:spacing w:after="0" w:line="216" w:lineRule="exact"/>
              <w:rPr>
                <w:sz w:val="20"/>
                <w:szCs w:val="20"/>
                <w:color w:val="auto"/>
              </w:rPr>
            </w:pPr>
            <w:r>
              <w:rPr>
                <w:rFonts w:ascii="Arial" w:cs="Arial" w:eastAsia="Arial" w:hAnsi="Arial"/>
                <w:sz w:val="15"/>
                <w:szCs w:val="15"/>
                <w:color w:val="auto"/>
              </w:rPr>
              <w:t>3,825,610</w:t>
            </w:r>
            <w:r>
              <w:rPr>
                <w:rFonts w:ascii="Arial" w:cs="Arial" w:eastAsia="Arial" w:hAnsi="Arial"/>
                <w:sz w:val="25"/>
                <w:szCs w:val="25"/>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2,100,000</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5,972,739</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72,845,573</w:t>
            </w:r>
          </w:p>
        </w:tc>
      </w:tr>
      <w:tr>
        <w:trPr>
          <w:trHeight w:val="338"/>
        </w:trPr>
        <w:tc>
          <w:tcPr>
            <w:tcW w:w="2180" w:type="dxa"/>
            <w:vAlign w:val="bottom"/>
          </w:tcPr>
          <w:p>
            <w:pPr>
              <w:spacing w:after="0"/>
              <w:rPr>
                <w:sz w:val="24"/>
                <w:szCs w:val="24"/>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color w:val="auto"/>
              </w:rPr>
              <w:t>Other Funds</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3,253,480</w:t>
            </w:r>
            <w:r>
              <w:rPr>
                <w:rFonts w:ascii="Arial" w:cs="Arial" w:eastAsia="Arial" w:hAnsi="Arial"/>
                <w:sz w:val="27"/>
                <w:szCs w:val="27"/>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572,130</w:t>
            </w:r>
            <w:r>
              <w:rPr>
                <w:rFonts w:ascii="Arial" w:cs="Arial" w:eastAsia="Arial" w:hAnsi="Arial"/>
                <w:sz w:val="27"/>
                <w:szCs w:val="27"/>
                <w:color w:val="auto"/>
                <w:vertAlign w:val="superscript"/>
              </w:rPr>
              <w:t>(6)</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(3,825,610)</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6"/>
                <w:szCs w:val="16"/>
                <w:color w:val="auto"/>
              </w:rPr>
              <w:t>Stephen B. Burke</w:t>
            </w:r>
          </w:p>
        </w:tc>
        <w:tc>
          <w:tcPr>
            <w:tcW w:w="1760" w:type="dxa"/>
            <w:vAlign w:val="bottom"/>
          </w:tcPr>
          <w:p>
            <w:pPr>
              <w:jc w:val="center"/>
              <w:ind w:left="479"/>
              <w:spacing w:after="0"/>
              <w:rPr>
                <w:sz w:val="20"/>
                <w:szCs w:val="20"/>
                <w:color w:val="auto"/>
              </w:rPr>
            </w:pPr>
            <w:r>
              <w:rPr>
                <w:rFonts w:ascii="Arial" w:cs="Arial" w:eastAsia="Arial" w:hAnsi="Arial"/>
                <w:sz w:val="16"/>
                <w:szCs w:val="16"/>
                <w:color w:val="auto"/>
              </w:rPr>
              <w:t>Income Fund</w:t>
            </w:r>
          </w:p>
        </w:tc>
        <w:tc>
          <w:tcPr>
            <w:tcW w:w="1540" w:type="dxa"/>
            <w:vAlign w:val="bottom"/>
          </w:tcPr>
          <w:p>
            <w:pPr>
              <w:jc w:val="right"/>
              <w:ind w:right="81"/>
              <w:spacing w:after="0" w:line="216" w:lineRule="exact"/>
              <w:rPr>
                <w:sz w:val="20"/>
                <w:szCs w:val="20"/>
                <w:color w:val="auto"/>
              </w:rPr>
            </w:pPr>
            <w:r>
              <w:rPr>
                <w:rFonts w:ascii="Arial" w:cs="Arial" w:eastAsia="Arial" w:hAnsi="Arial"/>
                <w:sz w:val="15"/>
                <w:szCs w:val="15"/>
                <w:color w:val="auto"/>
              </w:rPr>
              <w:t>11,451,944</w:t>
            </w:r>
            <w:r>
              <w:rPr>
                <w:rFonts w:ascii="Arial" w:cs="Arial" w:eastAsia="Arial" w:hAnsi="Arial"/>
                <w:sz w:val="25"/>
                <w:szCs w:val="25"/>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4,466,986</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20,249,781</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201,873,114</w:t>
            </w:r>
          </w:p>
        </w:tc>
      </w:tr>
      <w:tr>
        <w:trPr>
          <w:trHeight w:val="352"/>
        </w:trPr>
        <w:tc>
          <w:tcPr>
            <w:tcW w:w="2180" w:type="dxa"/>
            <w:vAlign w:val="bottom"/>
          </w:tcPr>
          <w:p>
            <w:pPr>
              <w:spacing w:after="0"/>
              <w:rPr>
                <w:sz w:val="24"/>
                <w:szCs w:val="24"/>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color w:val="auto"/>
              </w:rPr>
              <w:t>Other Funds</w:t>
            </w:r>
          </w:p>
        </w:tc>
        <w:tc>
          <w:tcPr>
            <w:tcW w:w="1540" w:type="dxa"/>
            <w:vAlign w:val="bottom"/>
          </w:tcPr>
          <w:p>
            <w:pPr>
              <w:jc w:val="right"/>
              <w:ind w:right="81"/>
              <w:spacing w:after="0"/>
              <w:rPr>
                <w:sz w:val="20"/>
                <w:szCs w:val="20"/>
                <w:color w:val="auto"/>
              </w:rPr>
            </w:pPr>
            <w:r>
              <w:rPr>
                <w:rFonts w:ascii="Arial" w:cs="Arial" w:eastAsia="Arial" w:hAnsi="Arial"/>
                <w:sz w:val="16"/>
                <w:szCs w:val="16"/>
                <w:color w:val="auto"/>
              </w:rPr>
              <w:t>1,017,898</w:t>
            </w:r>
            <w:r>
              <w:rPr>
                <w:rFonts w:ascii="Arial" w:cs="Arial" w:eastAsia="Arial" w:hAnsi="Arial"/>
                <w:sz w:val="27"/>
                <w:szCs w:val="27"/>
                <w:color w:val="auto"/>
                <w:vertAlign w:val="superscript"/>
              </w:rPr>
              <w:t>(6)</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88,039</w:t>
            </w:r>
            <w:r>
              <w:rPr>
                <w:rFonts w:ascii="Arial" w:cs="Arial" w:eastAsia="Arial" w:hAnsi="Arial"/>
                <w:sz w:val="27"/>
                <w:szCs w:val="27"/>
                <w:color w:val="auto"/>
                <w:vertAlign w:val="superscript"/>
              </w:rPr>
              <w:t>(6)</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(1,105,937)</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199"/>
        </w:trPr>
        <w:tc>
          <w:tcPr>
            <w:tcW w:w="2180" w:type="dxa"/>
            <w:vAlign w:val="bottom"/>
          </w:tcPr>
          <w:p>
            <w:pPr>
              <w:spacing w:after="0"/>
              <w:rPr>
                <w:sz w:val="20"/>
                <w:szCs w:val="20"/>
                <w:color w:val="auto"/>
              </w:rPr>
            </w:pPr>
            <w:r>
              <w:rPr>
                <w:rFonts w:ascii="Arial" w:cs="Arial" w:eastAsia="Arial" w:hAnsi="Arial"/>
                <w:sz w:val="16"/>
                <w:szCs w:val="16"/>
                <w:color w:val="auto"/>
              </w:rPr>
              <w:t>David L. Cohen</w:t>
            </w:r>
          </w:p>
        </w:tc>
        <w:tc>
          <w:tcPr>
            <w:tcW w:w="1760" w:type="dxa"/>
            <w:vAlign w:val="bottom"/>
          </w:tcPr>
          <w:p>
            <w:pPr>
              <w:jc w:val="center"/>
              <w:ind w:left="479"/>
              <w:spacing w:after="0"/>
              <w:rPr>
                <w:sz w:val="20"/>
                <w:szCs w:val="20"/>
                <w:color w:val="auto"/>
              </w:rPr>
            </w:pPr>
            <w:r>
              <w:rPr>
                <w:rFonts w:ascii="Arial" w:cs="Arial" w:eastAsia="Arial" w:hAnsi="Arial"/>
                <w:sz w:val="16"/>
                <w:szCs w:val="16"/>
                <w:color w:val="auto"/>
              </w:rPr>
              <w:t>Income Fund</w:t>
            </w:r>
          </w:p>
        </w:tc>
        <w:tc>
          <w:tcPr>
            <w:tcW w:w="1540" w:type="dxa"/>
            <w:vAlign w:val="bottom"/>
          </w:tcPr>
          <w:p>
            <w:pPr>
              <w:jc w:val="right"/>
              <w:ind w:right="241"/>
              <w:spacing w:after="0"/>
              <w:rPr>
                <w:sz w:val="20"/>
                <w:szCs w:val="20"/>
                <w:color w:val="auto"/>
              </w:rPr>
            </w:pPr>
            <w:r>
              <w:rPr>
                <w:rFonts w:ascii="Arial" w:cs="Arial" w:eastAsia="Arial" w:hAnsi="Arial"/>
                <w:sz w:val="16"/>
                <w:szCs w:val="16"/>
                <w:color w:val="auto"/>
              </w:rPr>
              <w:t>2,191,187</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1,477,454</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8,422,254</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83,196,110</w:t>
            </w:r>
          </w:p>
        </w:tc>
      </w:tr>
      <w:tr>
        <w:trPr>
          <w:trHeight w:val="338"/>
        </w:trPr>
        <w:tc>
          <w:tcPr>
            <w:tcW w:w="2180" w:type="dxa"/>
            <w:vAlign w:val="bottom"/>
          </w:tcPr>
          <w:p>
            <w:pPr>
              <w:spacing w:after="0"/>
              <w:rPr>
                <w:sz w:val="20"/>
                <w:szCs w:val="20"/>
                <w:color w:val="auto"/>
              </w:rPr>
            </w:pPr>
            <w:r>
              <w:rPr>
                <w:rFonts w:ascii="Arial" w:cs="Arial" w:eastAsia="Arial" w:hAnsi="Arial"/>
                <w:sz w:val="16"/>
                <w:szCs w:val="16"/>
                <w:color w:val="auto"/>
              </w:rPr>
              <w:t>David N. Watson</w:t>
            </w:r>
          </w:p>
        </w:tc>
        <w:tc>
          <w:tcPr>
            <w:tcW w:w="1760" w:type="dxa"/>
            <w:vAlign w:val="bottom"/>
          </w:tcPr>
          <w:p>
            <w:pPr>
              <w:jc w:val="center"/>
              <w:ind w:left="479"/>
              <w:spacing w:after="0"/>
              <w:rPr>
                <w:sz w:val="20"/>
                <w:szCs w:val="20"/>
                <w:color w:val="auto"/>
              </w:rPr>
            </w:pPr>
            <w:r>
              <w:rPr>
                <w:rFonts w:ascii="Arial" w:cs="Arial" w:eastAsia="Arial" w:hAnsi="Arial"/>
                <w:sz w:val="16"/>
                <w:szCs w:val="16"/>
                <w:color w:val="auto"/>
              </w:rPr>
              <w:t>Income Fund</w:t>
            </w:r>
          </w:p>
        </w:tc>
        <w:tc>
          <w:tcPr>
            <w:tcW w:w="1540" w:type="dxa"/>
            <w:vAlign w:val="bottom"/>
          </w:tcPr>
          <w:p>
            <w:pPr>
              <w:jc w:val="right"/>
              <w:ind w:right="241"/>
              <w:spacing w:after="0"/>
              <w:rPr>
                <w:sz w:val="20"/>
                <w:szCs w:val="20"/>
                <w:color w:val="auto"/>
              </w:rPr>
            </w:pPr>
            <w:r>
              <w:rPr>
                <w:rFonts w:ascii="Arial" w:cs="Arial" w:eastAsia="Arial" w:hAnsi="Arial"/>
                <w:sz w:val="16"/>
                <w:szCs w:val="16"/>
                <w:color w:val="auto"/>
              </w:rPr>
              <w:t>181,390</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1,477,454</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3,424,585</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33,257,190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6" w:lineRule="exact"/>
        <w:rPr>
          <w:sz w:val="20"/>
          <w:szCs w:val="20"/>
          <w:color w:val="auto"/>
        </w:rPr>
      </w:pPr>
    </w:p>
    <w:p>
      <w:pPr>
        <w:ind w:left="540" w:right="56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for deferrals of PSUs with respect to shares of Class A common stock under our restricted stock plan, as more fully described in footnote (6) to this table. Eligible employees and directors may participate in these plans.</w:t>
      </w:r>
    </w:p>
    <w:p>
      <w:pPr>
        <w:spacing w:after="0" w:line="94" w:lineRule="exact"/>
        <w:rPr>
          <w:rFonts w:ascii="Arial" w:cs="Arial" w:eastAsia="Arial" w:hAnsi="Arial"/>
          <w:sz w:val="18"/>
          <w:szCs w:val="18"/>
          <w:color w:val="auto"/>
        </w:rPr>
      </w:pPr>
    </w:p>
    <w:p>
      <w:pPr>
        <w:ind w:left="560" w:right="80"/>
        <w:spacing w:after="0" w:line="238" w:lineRule="auto"/>
        <w:rPr>
          <w:rFonts w:ascii="Arial" w:cs="Arial" w:eastAsia="Arial" w:hAnsi="Arial"/>
          <w:sz w:val="18"/>
          <w:szCs w:val="18"/>
          <w:color w:val="auto"/>
        </w:rPr>
      </w:pPr>
      <w:r>
        <w:rPr>
          <w:rFonts w:ascii="Arial" w:cs="Arial" w:eastAsia="Arial" w:hAnsi="Arial"/>
          <w:sz w:val="18"/>
          <w:szCs w:val="18"/>
          <w:color w:val="auto"/>
        </w:rPr>
        <w:t>Under our deferred compensation plans, each employee participant, including our NEOs, may only defer an amount of cash compensation of up to 35% of his or her annual salary, target bonus opportunity, annual stock option and stock unit grant values and any annual company contribution to his or her deferred compensation account (the “total compensation value”) as of the prior year (the “35% cap”), provided that his or her deferred compensation account balance as of the prior year does not exceed seven times the total compensation value (the “7x cap”).</w:t>
      </w:r>
    </w:p>
    <w:p>
      <w:pPr>
        <w:spacing w:after="0" w:line="94" w:lineRule="exact"/>
        <w:rPr>
          <w:rFonts w:ascii="Arial" w:cs="Arial" w:eastAsia="Arial" w:hAnsi="Arial"/>
          <w:sz w:val="18"/>
          <w:szCs w:val="18"/>
          <w:color w:val="auto"/>
        </w:rPr>
      </w:pPr>
    </w:p>
    <w:p>
      <w:pPr>
        <w:ind w:left="560" w:right="440"/>
        <w:spacing w:after="0"/>
        <w:rPr>
          <w:rFonts w:ascii="Arial" w:cs="Arial" w:eastAsia="Arial" w:hAnsi="Arial"/>
          <w:sz w:val="18"/>
          <w:szCs w:val="18"/>
          <w:color w:val="auto"/>
        </w:rPr>
      </w:pPr>
      <w:r>
        <w:rPr>
          <w:rFonts w:ascii="Arial" w:cs="Arial" w:eastAsia="Arial" w:hAnsi="Arial"/>
          <w:sz w:val="18"/>
          <w:szCs w:val="18"/>
          <w:color w:val="auto"/>
        </w:rPr>
        <w:t>Amounts credited to a participant’s account generally will be invested in an income fund, although beginning in December 2019, executive officers may invest instead in a third-party mutual fund or our company’s common stock fund. Beginning in 2020, our executive officers will be subject to a cap on the amount that can be invested in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60" w:right="160"/>
        <w:spacing w:after="0"/>
        <w:rPr>
          <w:sz w:val="20"/>
          <w:szCs w:val="20"/>
          <w:color w:val="auto"/>
        </w:rPr>
      </w:pPr>
      <w:r>
        <w:rPr>
          <w:rFonts w:ascii="Arial" w:cs="Arial" w:eastAsia="Arial" w:hAnsi="Arial"/>
          <w:sz w:val="18"/>
          <w:szCs w:val="18"/>
          <w:color w:val="auto"/>
        </w:rPr>
        <w:t>income fund (the “income fund cap”), with amounts in excess of the cap as of each year end automatically invested in a third-party mutual fund or our company’s common stock fund as selected by the participant. We expect these changes will result both in lower balances and above-market interest in respect of our NEOs’ income fund accounts.</w:t>
      </w:r>
    </w:p>
    <w:p>
      <w:pPr>
        <w:spacing w:after="0" w:line="95" w:lineRule="exact"/>
        <w:rPr>
          <w:sz w:val="20"/>
          <w:szCs w:val="20"/>
          <w:color w:val="auto"/>
        </w:rPr>
      </w:pPr>
    </w:p>
    <w:p>
      <w:pPr>
        <w:ind w:left="560" w:right="80"/>
        <w:spacing w:after="0" w:line="238" w:lineRule="auto"/>
        <w:rPr>
          <w:sz w:val="20"/>
          <w:szCs w:val="20"/>
          <w:color w:val="auto"/>
        </w:rPr>
      </w:pPr>
      <w:r>
        <w:rPr>
          <w:rFonts w:ascii="Arial" w:cs="Arial" w:eastAsia="Arial" w:hAnsi="Arial"/>
          <w:sz w:val="18"/>
          <w:szCs w:val="18"/>
          <w:color w:val="auto"/>
        </w:rPr>
        <w:t>In 2014, the interest crediting rate in the income fund was reduced from 12% to 9%, but remained at 12% for (i) compensation originally earned before 2014 (including any subsequent redeferrals) and (ii) certain other compensation as described in more detail in our 2005 Deferred Compensation Plan (which resulted in all amounts earned in 2019 that are reflected in the Income Fund row under the “Executive Contributions in Last FY” and “Company Contributions in Last FY” columns for Mr. Roberts being credited at 12%).</w:t>
      </w:r>
    </w:p>
    <w:p>
      <w:pPr>
        <w:spacing w:after="0" w:line="94" w:lineRule="exact"/>
        <w:rPr>
          <w:sz w:val="20"/>
          <w:szCs w:val="20"/>
          <w:color w:val="auto"/>
        </w:rPr>
      </w:pPr>
    </w:p>
    <w:p>
      <w:pPr>
        <w:ind w:left="560" w:right="60"/>
        <w:spacing w:after="0" w:line="238"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up to 40% of the shares subject to such stock units (or such greater percentage authorized by the Compensation Committee or its authorized delegate) to have the value of such stock units transferred to our income fund; these amounts do not count toward the 35% cap, but count toward the 7x cap and the income fund cap.</w:t>
      </w:r>
    </w:p>
    <w:p>
      <w:pPr>
        <w:spacing w:after="0" w:line="108" w:lineRule="exact"/>
        <w:rPr>
          <w:sz w:val="20"/>
          <w:szCs w:val="20"/>
          <w:color w:val="auto"/>
        </w:rPr>
      </w:pPr>
    </w:p>
    <w:p>
      <w:pPr>
        <w:ind w:left="540" w:right="320" w:hanging="424"/>
        <w:spacing w:after="0" w:line="246"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(other than amounts related to deferrals of PSUs) are reported as compensation in the “Summary Compensation Table” above under the columns “Salary” and “Non-Equity Incentive Plan Compensation.”</w:t>
      </w:r>
    </w:p>
    <w:p>
      <w:pPr>
        <w:spacing w:after="0" w:line="102" w:lineRule="exact"/>
        <w:rPr>
          <w:rFonts w:ascii="Arial" w:cs="Arial" w:eastAsia="Arial" w:hAnsi="Arial"/>
          <w:sz w:val="18"/>
          <w:szCs w:val="18"/>
          <w:color w:val="auto"/>
        </w:rPr>
      </w:pPr>
    </w:p>
    <w:p>
      <w:pPr>
        <w:ind w:left="540" w:right="960" w:hanging="424"/>
        <w:spacing w:after="0" w:line="246"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above under the column “All Other Compensation.”</w:t>
      </w:r>
    </w:p>
    <w:p>
      <w:pPr>
        <w:spacing w:after="0" w:line="102" w:lineRule="exact"/>
        <w:rPr>
          <w:rFonts w:ascii="Arial" w:cs="Arial" w:eastAsia="Arial" w:hAnsi="Arial"/>
          <w:sz w:val="18"/>
          <w:szCs w:val="18"/>
          <w:color w:val="auto"/>
        </w:rPr>
      </w:pPr>
    </w:p>
    <w:p>
      <w:pPr>
        <w:ind w:left="540" w:right="18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above under the column “Change in Pension Value and Nonqualified Deferred Compensation Earnings.”</w:t>
      </w:r>
    </w:p>
    <w:p>
      <w:pPr>
        <w:spacing w:after="0" w:line="108" w:lineRule="exact"/>
        <w:rPr>
          <w:rFonts w:ascii="Arial" w:cs="Arial" w:eastAsia="Arial" w:hAnsi="Arial"/>
          <w:sz w:val="18"/>
          <w:szCs w:val="18"/>
          <w:color w:val="auto"/>
        </w:rPr>
      </w:pPr>
    </w:p>
    <w:p>
      <w:pPr>
        <w:ind w:left="540" w:right="140" w:hanging="424"/>
        <w:spacing w:after="0" w:line="238"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PSUs deferred under our restricted stock plan has been reported in the year granted in the Summary Compensation Table in previously filed proxy statements.</w:t>
      </w:r>
    </w:p>
    <w:p>
      <w:pPr>
        <w:spacing w:after="0" w:line="110" w:lineRule="exact"/>
        <w:rPr>
          <w:rFonts w:ascii="Arial" w:cs="Arial" w:eastAsia="Arial" w:hAnsi="Arial"/>
          <w:sz w:val="18"/>
          <w:szCs w:val="18"/>
          <w:color w:val="auto"/>
        </w:rPr>
      </w:pPr>
    </w:p>
    <w:p>
      <w:pPr>
        <w:ind w:left="540" w:hanging="424"/>
        <w:spacing w:after="0" w:line="236"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(i) Mr. Roberts deferred the vestings of 21,855 PSUs on March 17, 2019 and 21,612 PSUs on April 16, 2019, Mr. Cavanagh deferred the March 18, 2019 vesting of 81,500 PSUs and Mr. Burke deferred the April 16, 2019 vesting of 24,253 PSUs. Pursuant to diversification elections for 2019, deferred PSUs with an aggregate fair market value on the date of the diversification of $1,019,973, $3,825,610 and $1,105,937 were deemed invested in an income fund instead of our stock fund for Messrs. Roberts, Cavanagh and Burke, respectively. These amounts are included in the “Other Funds” row of the “Aggregate Withdrawals/Distributions” column and are also included in the amount shown in the “Income Fund” row of the “Executive Contributions in Last FY” column to reflect the value deemed invested in the income fund and aggregated with the respective NEO’s cash deferred compensation accounts on their respective diversification dates. The amounts shown in the “Other Funds” row of the “Executive Contributions in Last FY” column reflect the aggregate value of (i) the PSUs that were deferred in 2019 as of their respective vesting dates and (ii) the amounts deemed invested in third-party mutual funds that were first made available to executive officers at the end of 2019; the amounts shown in the “Other Funds” row of the “Aggregate Earnings in Last FY” column reflect the value of any aggregate gain or loss in 2019 of deferred PSUs.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AGREEMENTS WITH OUR NAMED EXECUTIVE OFFICERS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Each of our NEOs has an employment agreement with us that has the following key provisions.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on December 21, 2018 and secures his employment through December 31, 2023. Mr. Burke’s agreement was entered into on December 16, 2009, and as amended on July 25, 2016, secures his employment through August 31, 2020. Mr. Cohen’s agreement was entered into on October 23, 2015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secures his employment through December 31, 2020. Mr. Watson’s agreement was entered into on March 1, 2018 and secures his employment through December 31, 2022.</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of the employment agreements provides for a base salary either as specified in the agreement or otherwise then in effect. An NEO’s salary may not be reduced, except under an overall plan to reduce the salary on a basis consistent with other senior executives at their respective levels. The NEOs also are eligible to receive an annual performance bonus, payable in cash, of a percentage of their respective base salaries for the applicable year. Messrs. Roberts, Cavanagh and Burke’s target bonus opportunity may not be less than 300% of their respective base salaries if all performance targets are achieved (250% of base salary in the case of Messrs. Cohen and Watson). Each NEO also was entitled to a company contribution to his respective deferred compensation account in 2019 as set forth in the 2019 Summary Compensation Table; however, in December 2019, all of the NEOs’ employment agreements were amended to eliminate these company contributions beginning in 2020. Our NEOs also are entitled to receive certain severance benefits under their respective agreements in the event of a qualifying termination of employment as described under the “Potential Payments upon Termination or Change in Control” table below.</w:t>
      </w:r>
    </w:p>
    <w:p>
      <w:pPr>
        <w:spacing w:after="0" w:line="98"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Under the agreements, each has agreed not to compete with us during his employment and, in the event his employment terminates other than by us without cause or by him with good reason, for one year after termination of his employment. For our NEOs (other than</w:t>
      </w:r>
    </w:p>
    <w:p>
      <w:pPr>
        <w:spacing w:after="0" w:line="1"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Mr. Roberts),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81"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POTENTIAL PAYMENTS UPON TERMINATION OR CHANGE IN CONTROL</w:t>
      </w:r>
    </w:p>
    <w:p>
      <w:pPr>
        <w:spacing w:after="0" w:line="126"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The table below describes the payments and benefits to which each of our NEOs would have been entitled (i) had his employment terminated on December 31, 2019 (a) by us without cause or by him with good reason, (b) because of his death, (c) due to his disability or</w:t>
      </w:r>
    </w:p>
    <w:p>
      <w:pPr>
        <w:spacing w:after="0" w:line="1" w:lineRule="exact"/>
        <w:rPr>
          <w:sz w:val="20"/>
          <w:szCs w:val="20"/>
          <w:color w:val="auto"/>
        </w:rPr>
      </w:pPr>
    </w:p>
    <w:p>
      <w:pPr>
        <w:ind w:left="120" w:right="60" w:hanging="4"/>
        <w:spacing w:after="0" w:line="238" w:lineRule="auto"/>
        <w:tabs>
          <w:tab w:leader="none" w:pos="3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4585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4585970"/>
                    </a:xfrm>
                    <a:prstGeom prst="rect">
                      <a:avLst/>
                    </a:prstGeom>
                    <a:noFill/>
                  </pic:spPr>
                </pic:pic>
              </a:graphicData>
            </a:graphic>
          </wp:anchor>
        </w:drawing>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80" w:type="dxa"/>
            <w:vAlign w:val="bottom"/>
            <w:tcBorders>
              <w:top w:val="single" w:sz="8" w:color="auto"/>
            </w:tcBorders>
            <w:shd w:val="clear" w:color="auto" w:fill="DDF2F9"/>
          </w:tcPr>
          <w:p>
            <w:pPr>
              <w:spacing w:after="0"/>
              <w:rPr>
                <w:sz w:val="18"/>
                <w:szCs w:val="18"/>
                <w:color w:val="auto"/>
              </w:rPr>
            </w:pPr>
          </w:p>
        </w:tc>
        <w:tc>
          <w:tcPr>
            <w:tcW w:w="1040" w:type="dxa"/>
            <w:vAlign w:val="bottom"/>
            <w:tcBorders>
              <w:top w:val="single" w:sz="8" w:color="auto"/>
            </w:tcBorders>
            <w:shd w:val="clear" w:color="auto" w:fill="DDF2F9"/>
          </w:tcPr>
          <w:p>
            <w:pPr>
              <w:spacing w:after="0"/>
              <w:rPr>
                <w:sz w:val="18"/>
                <w:szCs w:val="18"/>
                <w:color w:val="auto"/>
              </w:rPr>
            </w:pPr>
          </w:p>
        </w:tc>
        <w:tc>
          <w:tcPr>
            <w:tcW w:w="1040" w:type="dxa"/>
            <w:vAlign w:val="bottom"/>
            <w:tcBorders>
              <w:top w:val="single" w:sz="8" w:color="auto"/>
            </w:tcBorders>
            <w:shd w:val="clear" w:color="auto" w:fill="DDF2F9"/>
          </w:tcPr>
          <w:p>
            <w:pPr>
              <w:spacing w:after="0"/>
              <w:rPr>
                <w:sz w:val="18"/>
                <w:szCs w:val="18"/>
                <w:color w:val="auto"/>
              </w:rPr>
            </w:pPr>
          </w:p>
        </w:tc>
        <w:tc>
          <w:tcPr>
            <w:tcW w:w="1200" w:type="dxa"/>
            <w:vAlign w:val="bottom"/>
            <w:tcBorders>
              <w:top w:val="single" w:sz="8" w:color="auto"/>
            </w:tcBorders>
            <w:shd w:val="clear" w:color="auto" w:fill="DDF2F9"/>
          </w:tcPr>
          <w:p>
            <w:pPr>
              <w:spacing w:after="0"/>
              <w:rPr>
                <w:sz w:val="18"/>
                <w:szCs w:val="18"/>
                <w:color w:val="auto"/>
              </w:rPr>
            </w:pPr>
          </w:p>
        </w:tc>
        <w:tc>
          <w:tcPr>
            <w:tcW w:w="134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Acceleration/</w:t>
            </w:r>
          </w:p>
        </w:tc>
        <w:tc>
          <w:tcPr>
            <w:tcW w:w="1360" w:type="dxa"/>
            <w:vAlign w:val="bottom"/>
            <w:tcBorders>
              <w:top w:val="single" w:sz="8" w:color="auto"/>
            </w:tcBorders>
            <w:shd w:val="clear" w:color="auto" w:fill="DDF2F9"/>
          </w:tcPr>
          <w:p>
            <w:pPr>
              <w:spacing w:after="0"/>
              <w:rPr>
                <w:sz w:val="18"/>
                <w:szCs w:val="18"/>
                <w:color w:val="auto"/>
              </w:rPr>
            </w:pPr>
          </w:p>
        </w:tc>
        <w:tc>
          <w:tcPr>
            <w:tcW w:w="1080" w:type="dxa"/>
            <w:vAlign w:val="bottom"/>
            <w:tcBorders>
              <w:top w:val="single" w:sz="8" w:color="auto"/>
            </w:tcBorders>
            <w:shd w:val="clear" w:color="auto" w:fill="DDF2F9"/>
          </w:tcPr>
          <w:p>
            <w:pPr>
              <w:spacing w:after="0"/>
              <w:rPr>
                <w:sz w:val="18"/>
                <w:szCs w:val="18"/>
                <w:color w:val="auto"/>
              </w:rPr>
            </w:pPr>
          </w:p>
        </w:tc>
        <w:tc>
          <w:tcPr>
            <w:tcW w:w="1080" w:type="dxa"/>
            <w:vAlign w:val="bottom"/>
            <w:tcBorders>
              <w:top w:val="single" w:sz="8" w:color="auto"/>
            </w:tcBorders>
            <w:shd w:val="clear" w:color="auto" w:fill="DDF2F9"/>
          </w:tcPr>
          <w:p>
            <w:pPr>
              <w:spacing w:after="0"/>
              <w:rPr>
                <w:sz w:val="18"/>
                <w:szCs w:val="18"/>
                <w:color w:val="auto"/>
              </w:rPr>
            </w:pPr>
          </w:p>
        </w:tc>
      </w:tr>
      <w:tr>
        <w:trPr>
          <w:trHeight w:val="162"/>
        </w:trPr>
        <w:tc>
          <w:tcPr>
            <w:tcW w:w="2880" w:type="dxa"/>
            <w:vAlign w:val="bottom"/>
            <w:shd w:val="clear" w:color="auto" w:fill="DDF2F9"/>
          </w:tcPr>
          <w:p>
            <w:pPr>
              <w:spacing w:after="0"/>
              <w:rPr>
                <w:sz w:val="14"/>
                <w:szCs w:val="14"/>
                <w:color w:val="auto"/>
              </w:rPr>
            </w:pPr>
          </w:p>
        </w:tc>
        <w:tc>
          <w:tcPr>
            <w:tcW w:w="1040" w:type="dxa"/>
            <w:vAlign w:val="bottom"/>
            <w:shd w:val="clear" w:color="auto" w:fill="DDF2F9"/>
          </w:tcPr>
          <w:p>
            <w:pPr>
              <w:spacing w:after="0"/>
              <w:rPr>
                <w:sz w:val="14"/>
                <w:szCs w:val="14"/>
                <w:color w:val="auto"/>
              </w:rPr>
            </w:pPr>
          </w:p>
        </w:tc>
        <w:tc>
          <w:tcPr>
            <w:tcW w:w="1040" w:type="dxa"/>
            <w:vAlign w:val="bottom"/>
            <w:shd w:val="clear" w:color="auto" w:fill="DDF2F9"/>
          </w:tcPr>
          <w:p>
            <w:pPr>
              <w:spacing w:after="0"/>
              <w:rPr>
                <w:sz w:val="14"/>
                <w:szCs w:val="14"/>
                <w:color w:val="auto"/>
              </w:rPr>
            </w:pPr>
          </w:p>
        </w:tc>
        <w:tc>
          <w:tcPr>
            <w:tcW w:w="1200" w:type="dxa"/>
            <w:vAlign w:val="bottom"/>
            <w:shd w:val="clear" w:color="auto" w:fill="DDF2F9"/>
          </w:tcPr>
          <w:p>
            <w:pPr>
              <w:spacing w:after="0"/>
              <w:rPr>
                <w:sz w:val="14"/>
                <w:szCs w:val="14"/>
                <w:color w:val="auto"/>
              </w:rPr>
            </w:pPr>
          </w:p>
        </w:tc>
        <w:tc>
          <w:tcPr>
            <w:tcW w:w="13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Continued Vesting</w:t>
            </w:r>
          </w:p>
        </w:tc>
        <w:tc>
          <w:tcPr>
            <w:tcW w:w="13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Acceleration/</w:t>
            </w:r>
          </w:p>
        </w:tc>
        <w:tc>
          <w:tcPr>
            <w:tcW w:w="1080" w:type="dxa"/>
            <w:vAlign w:val="bottom"/>
            <w:shd w:val="clear" w:color="auto" w:fill="DDF2F9"/>
          </w:tcPr>
          <w:p>
            <w:pPr>
              <w:spacing w:after="0"/>
              <w:rPr>
                <w:sz w:val="14"/>
                <w:szCs w:val="14"/>
                <w:color w:val="auto"/>
              </w:rPr>
            </w:pPr>
          </w:p>
        </w:tc>
        <w:tc>
          <w:tcPr>
            <w:tcW w:w="1080" w:type="dxa"/>
            <w:vAlign w:val="bottom"/>
            <w:shd w:val="clear" w:color="auto" w:fill="DDF2F9"/>
          </w:tcPr>
          <w:p>
            <w:pPr>
              <w:spacing w:after="0"/>
              <w:rPr>
                <w:sz w:val="14"/>
                <w:szCs w:val="14"/>
                <w:color w:val="auto"/>
              </w:rPr>
            </w:pPr>
          </w:p>
        </w:tc>
      </w:tr>
      <w:tr>
        <w:trPr>
          <w:trHeight w:val="162"/>
        </w:trPr>
        <w:tc>
          <w:tcPr>
            <w:tcW w:w="2880" w:type="dxa"/>
            <w:vAlign w:val="bottom"/>
            <w:shd w:val="clear" w:color="auto" w:fill="DDF2F9"/>
          </w:tcPr>
          <w:p>
            <w:pPr>
              <w:spacing w:after="0"/>
              <w:rPr>
                <w:sz w:val="14"/>
                <w:szCs w:val="14"/>
                <w:color w:val="auto"/>
              </w:rPr>
            </w:pPr>
          </w:p>
        </w:tc>
        <w:tc>
          <w:tcPr>
            <w:tcW w:w="1040" w:type="dxa"/>
            <w:vAlign w:val="bottom"/>
            <w:shd w:val="clear" w:color="auto" w:fill="DDF2F9"/>
          </w:tcPr>
          <w:p>
            <w:pPr>
              <w:spacing w:after="0"/>
              <w:rPr>
                <w:sz w:val="14"/>
                <w:szCs w:val="14"/>
                <w:color w:val="auto"/>
              </w:rPr>
            </w:pPr>
          </w:p>
        </w:tc>
        <w:tc>
          <w:tcPr>
            <w:tcW w:w="10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Annual Cash</w:t>
            </w:r>
          </w:p>
        </w:tc>
        <w:tc>
          <w:tcPr>
            <w:tcW w:w="1200" w:type="dxa"/>
            <w:vAlign w:val="bottom"/>
            <w:shd w:val="clear" w:color="auto" w:fill="DDF2F9"/>
          </w:tcPr>
          <w:p>
            <w:pPr>
              <w:spacing w:after="0"/>
              <w:rPr>
                <w:sz w:val="14"/>
                <w:szCs w:val="14"/>
                <w:color w:val="auto"/>
              </w:rPr>
            </w:pPr>
          </w:p>
        </w:tc>
        <w:tc>
          <w:tcPr>
            <w:tcW w:w="13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&amp; Exercisability of</w:t>
            </w:r>
          </w:p>
        </w:tc>
        <w:tc>
          <w:tcPr>
            <w:tcW w:w="13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0A33A5"/>
              </w:rPr>
              <w:t>Continued Vesting</w:t>
            </w:r>
          </w:p>
        </w:tc>
        <w:tc>
          <w:tcPr>
            <w:tcW w:w="1080" w:type="dxa"/>
            <w:vAlign w:val="bottom"/>
            <w:shd w:val="clear" w:color="auto" w:fill="DDF2F9"/>
          </w:tcPr>
          <w:p>
            <w:pPr>
              <w:spacing w:after="0"/>
              <w:rPr>
                <w:sz w:val="14"/>
                <w:szCs w:val="14"/>
                <w:color w:val="auto"/>
              </w:rPr>
            </w:pPr>
          </w:p>
        </w:tc>
        <w:tc>
          <w:tcPr>
            <w:tcW w:w="1080" w:type="dxa"/>
            <w:vAlign w:val="bottom"/>
            <w:shd w:val="clear" w:color="auto" w:fill="DDF2F9"/>
          </w:tcPr>
          <w:p>
            <w:pPr>
              <w:spacing w:after="0"/>
              <w:rPr>
                <w:sz w:val="14"/>
                <w:szCs w:val="14"/>
                <w:color w:val="auto"/>
              </w:rPr>
            </w:pPr>
          </w:p>
        </w:tc>
      </w:tr>
      <w:tr>
        <w:trPr>
          <w:trHeight w:val="159"/>
        </w:trPr>
        <w:tc>
          <w:tcPr>
            <w:tcW w:w="2880" w:type="dxa"/>
            <w:vAlign w:val="bottom"/>
            <w:shd w:val="clear" w:color="auto" w:fill="DDF2F9"/>
          </w:tcPr>
          <w:p>
            <w:pPr>
              <w:spacing w:after="0"/>
              <w:rPr>
                <w:sz w:val="13"/>
                <w:szCs w:val="13"/>
                <w:color w:val="auto"/>
              </w:rPr>
            </w:pPr>
          </w:p>
        </w:tc>
        <w:tc>
          <w:tcPr>
            <w:tcW w:w="1040" w:type="dxa"/>
            <w:vAlign w:val="bottom"/>
            <w:shd w:val="clear" w:color="auto" w:fill="DDF2F9"/>
          </w:tcPr>
          <w:p>
            <w:pPr>
              <w:jc w:val="right"/>
              <w:ind w:right="20"/>
              <w:spacing w:after="0" w:line="159" w:lineRule="exact"/>
              <w:rPr>
                <w:sz w:val="20"/>
                <w:szCs w:val="20"/>
                <w:color w:val="auto"/>
              </w:rPr>
            </w:pPr>
            <w:r>
              <w:rPr>
                <w:rFonts w:ascii="Arial" w:cs="Arial" w:eastAsia="Arial" w:hAnsi="Arial"/>
                <w:sz w:val="14"/>
                <w:szCs w:val="14"/>
                <w:b w:val="1"/>
                <w:bCs w:val="1"/>
                <w:color w:val="0A33A5"/>
              </w:rPr>
              <w:t>Base Salary</w:t>
            </w:r>
          </w:p>
        </w:tc>
        <w:tc>
          <w:tcPr>
            <w:tcW w:w="10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Bonus</w:t>
            </w:r>
          </w:p>
        </w:tc>
        <w:tc>
          <w:tcPr>
            <w:tcW w:w="1200" w:type="dxa"/>
            <w:vAlign w:val="bottom"/>
            <w:shd w:val="clear" w:color="auto" w:fill="DDF2F9"/>
          </w:tcPr>
          <w:p>
            <w:pPr>
              <w:jc w:val="right"/>
              <w:spacing w:after="0" w:line="159" w:lineRule="exact"/>
              <w:rPr>
                <w:sz w:val="20"/>
                <w:szCs w:val="20"/>
                <w:color w:val="auto"/>
              </w:rPr>
            </w:pPr>
            <w:r>
              <w:rPr>
                <w:rFonts w:ascii="Arial" w:cs="Arial" w:eastAsia="Arial" w:hAnsi="Arial"/>
                <w:sz w:val="14"/>
                <w:szCs w:val="14"/>
                <w:b w:val="1"/>
                <w:bCs w:val="1"/>
                <w:color w:val="0A33A5"/>
              </w:rPr>
              <w:t>Accrued Annual</w:t>
            </w:r>
          </w:p>
        </w:tc>
        <w:tc>
          <w:tcPr>
            <w:tcW w:w="13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Unvested Stock</w:t>
            </w:r>
          </w:p>
        </w:tc>
        <w:tc>
          <w:tcPr>
            <w:tcW w:w="136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0A33A5"/>
              </w:rPr>
              <w:t>of Unvested Stock</w:t>
            </w:r>
          </w:p>
        </w:tc>
        <w:tc>
          <w:tcPr>
            <w:tcW w:w="1080" w:type="dxa"/>
            <w:vAlign w:val="bottom"/>
            <w:shd w:val="clear" w:color="auto" w:fill="DDF2F9"/>
          </w:tcPr>
          <w:p>
            <w:pPr>
              <w:jc w:val="right"/>
              <w:spacing w:after="0" w:line="159" w:lineRule="exact"/>
              <w:rPr>
                <w:sz w:val="20"/>
                <w:szCs w:val="20"/>
                <w:color w:val="auto"/>
              </w:rPr>
            </w:pPr>
            <w:r>
              <w:rPr>
                <w:rFonts w:ascii="Arial" w:cs="Arial" w:eastAsia="Arial" w:hAnsi="Arial"/>
                <w:sz w:val="14"/>
                <w:szCs w:val="14"/>
                <w:b w:val="1"/>
                <w:bCs w:val="1"/>
                <w:color w:val="0A33A5"/>
              </w:rPr>
              <w:t>Health Benefit</w:t>
            </w:r>
          </w:p>
        </w:tc>
        <w:tc>
          <w:tcPr>
            <w:tcW w:w="1080" w:type="dxa"/>
            <w:vAlign w:val="bottom"/>
            <w:shd w:val="clear" w:color="auto" w:fill="DDF2F9"/>
          </w:tcPr>
          <w:p>
            <w:pPr>
              <w:spacing w:after="0"/>
              <w:rPr>
                <w:sz w:val="13"/>
                <w:szCs w:val="13"/>
                <w:color w:val="auto"/>
              </w:rPr>
            </w:pPr>
          </w:p>
        </w:tc>
      </w:tr>
      <w:tr>
        <w:trPr>
          <w:trHeight w:val="179"/>
        </w:trPr>
        <w:tc>
          <w:tcPr>
            <w:tcW w:w="2880" w:type="dxa"/>
            <w:vAlign w:val="bottom"/>
            <w:tcBorders>
              <w:bottom w:val="single" w:sz="8" w:color="auto"/>
            </w:tcBorders>
            <w:shd w:val="clear" w:color="auto" w:fill="DDF2F9"/>
          </w:tcPr>
          <w:p>
            <w:pPr>
              <w:ind w:left="160"/>
              <w:spacing w:after="0"/>
              <w:rPr>
                <w:sz w:val="20"/>
                <w:szCs w:val="20"/>
                <w:color w:val="auto"/>
              </w:rPr>
            </w:pPr>
            <w:r>
              <w:rPr>
                <w:rFonts w:ascii="Arial" w:cs="Arial" w:eastAsia="Arial" w:hAnsi="Arial"/>
                <w:sz w:val="14"/>
                <w:szCs w:val="14"/>
                <w:b w:val="1"/>
                <w:bCs w:val="1"/>
                <w:color w:val="0A33A5"/>
              </w:rPr>
              <w:t>Name</w:t>
            </w:r>
          </w:p>
        </w:tc>
        <w:tc>
          <w:tcPr>
            <w:tcW w:w="1040" w:type="dxa"/>
            <w:vAlign w:val="bottom"/>
            <w:tcBorders>
              <w:bottom w:val="single" w:sz="8" w:color="auto"/>
            </w:tcBorders>
            <w:shd w:val="clear" w:color="auto" w:fill="DDF2F9"/>
          </w:tcPr>
          <w:p>
            <w:pPr>
              <w:jc w:val="right"/>
              <w:spacing w:after="0"/>
              <w:rPr>
                <w:sz w:val="20"/>
                <w:szCs w:val="20"/>
                <w:color w:val="auto"/>
              </w:rPr>
            </w:pPr>
            <w:r>
              <w:rPr>
                <w:rFonts w:ascii="Arial" w:cs="Arial" w:eastAsia="Arial" w:hAnsi="Arial"/>
                <w:sz w:val="14"/>
                <w:szCs w:val="14"/>
                <w:b w:val="1"/>
                <w:bCs w:val="1"/>
                <w:color w:val="0A33A5"/>
              </w:rPr>
              <w:t>Continuation</w:t>
            </w:r>
          </w:p>
        </w:tc>
        <w:tc>
          <w:tcPr>
            <w:tcW w:w="10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0A33A5"/>
              </w:rPr>
              <w:t>Continuation</w:t>
            </w:r>
          </w:p>
        </w:tc>
        <w:tc>
          <w:tcPr>
            <w:tcW w:w="1200" w:type="dxa"/>
            <w:vAlign w:val="bottom"/>
            <w:tcBorders>
              <w:bottom w:val="single" w:sz="8" w:color="auto"/>
            </w:tcBorders>
            <w:shd w:val="clear" w:color="auto" w:fill="DDF2F9"/>
          </w:tcPr>
          <w:p>
            <w:pPr>
              <w:jc w:val="right"/>
              <w:ind w:right="100"/>
              <w:spacing w:after="0"/>
              <w:rPr>
                <w:sz w:val="20"/>
                <w:szCs w:val="20"/>
                <w:color w:val="auto"/>
              </w:rPr>
            </w:pPr>
            <w:r>
              <w:rPr>
                <w:rFonts w:ascii="Arial" w:cs="Arial" w:eastAsia="Arial" w:hAnsi="Arial"/>
                <w:sz w:val="14"/>
                <w:szCs w:val="14"/>
                <w:b w:val="1"/>
                <w:bCs w:val="1"/>
                <w:color w:val="0A33A5"/>
              </w:rPr>
              <w:t>Cash Bonus</w:t>
            </w:r>
          </w:p>
        </w:tc>
        <w:tc>
          <w:tcPr>
            <w:tcW w:w="1340" w:type="dxa"/>
            <w:vAlign w:val="bottom"/>
            <w:tcBorders>
              <w:bottom w:val="single" w:sz="8" w:color="auto"/>
            </w:tcBorders>
            <w:shd w:val="clear" w:color="auto" w:fill="DDF2F9"/>
          </w:tcPr>
          <w:p>
            <w:pPr>
              <w:jc w:val="center"/>
              <w:spacing w:after="0" w:line="179" w:lineRule="exact"/>
              <w:rPr>
                <w:sz w:val="20"/>
                <w:szCs w:val="20"/>
                <w:color w:val="auto"/>
              </w:rPr>
            </w:pPr>
            <w:r>
              <w:rPr>
                <w:rFonts w:ascii="Arial" w:cs="Arial" w:eastAsia="Arial" w:hAnsi="Arial"/>
                <w:sz w:val="12"/>
                <w:szCs w:val="12"/>
                <w:b w:val="1"/>
                <w:bCs w:val="1"/>
                <w:color w:val="0A33A5"/>
              </w:rPr>
              <w:t>Options</w:t>
            </w:r>
            <w:r>
              <w:rPr>
                <w:rFonts w:ascii="Arial" w:cs="Arial" w:eastAsia="Arial" w:hAnsi="Arial"/>
                <w:sz w:val="20"/>
                <w:szCs w:val="20"/>
                <w:b w:val="1"/>
                <w:bCs w:val="1"/>
                <w:color w:val="0A33A5"/>
                <w:vertAlign w:val="superscript"/>
              </w:rPr>
              <w:t>(1)</w:t>
            </w:r>
          </w:p>
        </w:tc>
        <w:tc>
          <w:tcPr>
            <w:tcW w:w="1360" w:type="dxa"/>
            <w:vAlign w:val="bottom"/>
            <w:tcBorders>
              <w:bottom w:val="single" w:sz="8" w:color="auto"/>
            </w:tcBorders>
            <w:shd w:val="clear" w:color="auto" w:fill="DDF2F9"/>
          </w:tcPr>
          <w:p>
            <w:pPr>
              <w:jc w:val="center"/>
              <w:spacing w:after="0" w:line="179" w:lineRule="exact"/>
              <w:rPr>
                <w:sz w:val="20"/>
                <w:szCs w:val="20"/>
                <w:color w:val="auto"/>
              </w:rPr>
            </w:pPr>
            <w:r>
              <w:rPr>
                <w:rFonts w:ascii="Arial" w:cs="Arial" w:eastAsia="Arial" w:hAnsi="Arial"/>
                <w:sz w:val="12"/>
                <w:szCs w:val="12"/>
                <w:b w:val="1"/>
                <w:bCs w:val="1"/>
                <w:color w:val="0A33A5"/>
              </w:rPr>
              <w:t>Units</w:t>
            </w:r>
            <w:r>
              <w:rPr>
                <w:rFonts w:ascii="Arial" w:cs="Arial" w:eastAsia="Arial" w:hAnsi="Arial"/>
                <w:sz w:val="20"/>
                <w:szCs w:val="20"/>
                <w:b w:val="1"/>
                <w:bCs w:val="1"/>
                <w:color w:val="0A33A5"/>
                <w:vertAlign w:val="superscript"/>
              </w:rPr>
              <w:t>(1)</w:t>
            </w:r>
          </w:p>
        </w:tc>
        <w:tc>
          <w:tcPr>
            <w:tcW w:w="1080" w:type="dxa"/>
            <w:vAlign w:val="bottom"/>
            <w:tcBorders>
              <w:bottom w:val="single" w:sz="8" w:color="auto"/>
            </w:tcBorders>
            <w:shd w:val="clear" w:color="auto" w:fill="DDF2F9"/>
          </w:tcPr>
          <w:p>
            <w:pPr>
              <w:jc w:val="right"/>
              <w:ind w:right="40"/>
              <w:spacing w:after="0"/>
              <w:rPr>
                <w:sz w:val="20"/>
                <w:szCs w:val="20"/>
                <w:color w:val="auto"/>
              </w:rPr>
            </w:pPr>
            <w:r>
              <w:rPr>
                <w:rFonts w:ascii="Arial" w:cs="Arial" w:eastAsia="Arial" w:hAnsi="Arial"/>
                <w:sz w:val="14"/>
                <w:szCs w:val="14"/>
                <w:b w:val="1"/>
                <w:bCs w:val="1"/>
                <w:color w:val="0A33A5"/>
              </w:rPr>
              <w:t>Continuation</w:t>
            </w:r>
          </w:p>
        </w:tc>
        <w:tc>
          <w:tcPr>
            <w:tcW w:w="1080" w:type="dxa"/>
            <w:vAlign w:val="bottom"/>
            <w:tcBorders>
              <w:bottom w:val="single" w:sz="8" w:color="auto"/>
            </w:tcBorders>
            <w:shd w:val="clear" w:color="auto" w:fill="DDF2F9"/>
          </w:tcPr>
          <w:p>
            <w:pPr>
              <w:jc w:val="right"/>
              <w:ind w:right="299"/>
              <w:spacing w:after="0"/>
              <w:rPr>
                <w:sz w:val="20"/>
                <w:szCs w:val="20"/>
                <w:color w:val="auto"/>
              </w:rPr>
            </w:pPr>
            <w:r>
              <w:rPr>
                <w:rFonts w:ascii="Arial" w:cs="Arial" w:eastAsia="Arial" w:hAnsi="Arial"/>
                <w:sz w:val="14"/>
                <w:szCs w:val="14"/>
                <w:b w:val="1"/>
                <w:bCs w:val="1"/>
                <w:color w:val="0A33A5"/>
              </w:rPr>
              <w:t>Total</w:t>
            </w:r>
          </w:p>
        </w:tc>
      </w:tr>
      <w:tr>
        <w:trPr>
          <w:trHeight w:val="208"/>
        </w:trPr>
        <w:tc>
          <w:tcPr>
            <w:tcW w:w="2880" w:type="dxa"/>
            <w:vAlign w:val="bottom"/>
          </w:tcPr>
          <w:p>
            <w:pPr>
              <w:ind w:left="160"/>
              <w:spacing w:after="0"/>
              <w:rPr>
                <w:sz w:val="20"/>
                <w:szCs w:val="20"/>
                <w:color w:val="auto"/>
              </w:rPr>
            </w:pPr>
            <w:r>
              <w:rPr>
                <w:rFonts w:ascii="Arial" w:cs="Arial" w:eastAsia="Arial" w:hAnsi="Arial"/>
                <w:sz w:val="16"/>
                <w:szCs w:val="16"/>
                <w:b w:val="1"/>
                <w:bCs w:val="1"/>
                <w:color w:val="auto"/>
              </w:rPr>
              <w:t>Brian L. Roberts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2"/>
        </w:trPr>
        <w:tc>
          <w:tcPr>
            <w:tcW w:w="2880" w:type="dxa"/>
            <w:vAlign w:val="bottom"/>
          </w:tcPr>
          <w:p>
            <w:pPr>
              <w:ind w:left="200"/>
              <w:spacing w:after="0" w:line="281" w:lineRule="exact"/>
              <w:rPr>
                <w:sz w:val="20"/>
                <w:szCs w:val="20"/>
                <w:color w:val="auto"/>
              </w:rPr>
            </w:pPr>
            <w:r>
              <w:rPr>
                <w:rFonts w:ascii="Arial" w:cs="Arial" w:eastAsia="Arial" w:hAnsi="Arial"/>
                <w:sz w:val="16"/>
                <w:szCs w:val="16"/>
                <w:color w:val="auto"/>
                <w:w w:val="99"/>
              </w:rPr>
              <w:t>Without Cause/With Good Reason</w:t>
            </w:r>
            <w:r>
              <w:rPr>
                <w:rFonts w:ascii="Arial" w:cs="Arial" w:eastAsia="Arial" w:hAnsi="Arial"/>
                <w:sz w:val="27"/>
                <w:szCs w:val="27"/>
                <w:color w:val="auto"/>
                <w:w w:val="99"/>
                <w:vertAlign w:val="superscript"/>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$9,935,598</w:t>
            </w:r>
          </w:p>
        </w:tc>
        <w:tc>
          <w:tcPr>
            <w:tcW w:w="1040" w:type="dxa"/>
            <w:vAlign w:val="bottom"/>
          </w:tcPr>
          <w:p>
            <w:pPr>
              <w:jc w:val="right"/>
              <w:spacing w:after="0"/>
              <w:rPr>
                <w:sz w:val="20"/>
                <w:szCs w:val="20"/>
                <w:color w:val="auto"/>
              </w:rPr>
            </w:pPr>
            <w:r>
              <w:rPr>
                <w:rFonts w:ascii="Arial" w:cs="Arial" w:eastAsia="Arial" w:hAnsi="Arial"/>
                <w:sz w:val="16"/>
                <w:szCs w:val="16"/>
                <w:color w:val="auto"/>
              </w:rPr>
              <w:t>$29,806,794</w:t>
            </w:r>
          </w:p>
        </w:tc>
        <w:tc>
          <w:tcPr>
            <w:tcW w:w="1200" w:type="dxa"/>
            <w:vAlign w:val="bottom"/>
          </w:tcPr>
          <w:p>
            <w:pPr>
              <w:jc w:val="right"/>
              <w:spacing w:after="0"/>
              <w:rPr>
                <w:sz w:val="20"/>
                <w:szCs w:val="20"/>
                <w:color w:val="auto"/>
              </w:rPr>
            </w:pPr>
            <w:r>
              <w:rPr>
                <w:rFonts w:ascii="Arial" w:cs="Arial" w:eastAsia="Arial" w:hAnsi="Arial"/>
                <w:sz w:val="16"/>
                <w:szCs w:val="16"/>
                <w:color w:val="auto"/>
              </w:rPr>
              <w:t>$9,875,496</w:t>
            </w:r>
          </w:p>
        </w:tc>
        <w:tc>
          <w:tcPr>
            <w:tcW w:w="1340" w:type="dxa"/>
            <w:vAlign w:val="bottom"/>
          </w:tcPr>
          <w:p>
            <w:pPr>
              <w:jc w:val="right"/>
              <w:spacing w:after="0"/>
              <w:rPr>
                <w:sz w:val="20"/>
                <w:szCs w:val="20"/>
                <w:color w:val="auto"/>
              </w:rPr>
            </w:pPr>
            <w:r>
              <w:rPr>
                <w:rFonts w:ascii="Arial" w:cs="Arial" w:eastAsia="Arial" w:hAnsi="Arial"/>
                <w:sz w:val="16"/>
                <w:szCs w:val="16"/>
                <w:color w:val="auto"/>
              </w:rPr>
              <w:t>$49,278,177</w:t>
            </w:r>
          </w:p>
        </w:tc>
        <w:tc>
          <w:tcPr>
            <w:tcW w:w="1360" w:type="dxa"/>
            <w:vAlign w:val="bottom"/>
          </w:tcPr>
          <w:p>
            <w:pPr>
              <w:jc w:val="right"/>
              <w:spacing w:after="0"/>
              <w:rPr>
                <w:sz w:val="20"/>
                <w:szCs w:val="20"/>
                <w:color w:val="auto"/>
              </w:rPr>
            </w:pPr>
            <w:r>
              <w:rPr>
                <w:rFonts w:ascii="Arial" w:cs="Arial" w:eastAsia="Arial" w:hAnsi="Arial"/>
                <w:sz w:val="16"/>
                <w:szCs w:val="16"/>
                <w:color w:val="auto"/>
              </w:rPr>
              <w:t>$17,272,392</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$ 31,212</w:t>
            </w:r>
          </w:p>
        </w:tc>
        <w:tc>
          <w:tcPr>
            <w:tcW w:w="1080" w:type="dxa"/>
            <w:vAlign w:val="bottom"/>
          </w:tcPr>
          <w:p>
            <w:pPr>
              <w:jc w:val="right"/>
              <w:spacing w:after="0"/>
              <w:rPr>
                <w:sz w:val="20"/>
                <w:szCs w:val="20"/>
                <w:color w:val="auto"/>
              </w:rPr>
            </w:pPr>
            <w:r>
              <w:rPr>
                <w:rFonts w:ascii="Arial" w:cs="Arial" w:eastAsia="Arial" w:hAnsi="Arial"/>
                <w:sz w:val="16"/>
                <w:szCs w:val="16"/>
                <w:color w:val="auto"/>
              </w:rPr>
              <w:t>$116,199,669</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Death</w:t>
            </w:r>
            <w:r>
              <w:rPr>
                <w:rFonts w:ascii="Arial" w:cs="Arial" w:eastAsia="Arial" w:hAnsi="Arial"/>
                <w:sz w:val="27"/>
                <w:szCs w:val="27"/>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9,875,496</w:t>
            </w:r>
          </w:p>
        </w:tc>
        <w:tc>
          <w:tcPr>
            <w:tcW w:w="1340" w:type="dxa"/>
            <w:vAlign w:val="bottom"/>
          </w:tcPr>
          <w:p>
            <w:pPr>
              <w:jc w:val="right"/>
              <w:spacing w:after="0"/>
              <w:rPr>
                <w:sz w:val="20"/>
                <w:szCs w:val="20"/>
                <w:color w:val="auto"/>
              </w:rPr>
            </w:pPr>
            <w:r>
              <w:rPr>
                <w:rFonts w:ascii="Arial" w:cs="Arial" w:eastAsia="Arial" w:hAnsi="Arial"/>
                <w:sz w:val="16"/>
                <w:szCs w:val="16"/>
                <w:color w:val="auto"/>
              </w:rPr>
              <w:t>49,278,177</w:t>
            </w:r>
          </w:p>
        </w:tc>
        <w:tc>
          <w:tcPr>
            <w:tcW w:w="1360" w:type="dxa"/>
            <w:vAlign w:val="bottom"/>
          </w:tcPr>
          <w:p>
            <w:pPr>
              <w:jc w:val="right"/>
              <w:spacing w:after="0"/>
              <w:rPr>
                <w:sz w:val="20"/>
                <w:szCs w:val="20"/>
                <w:color w:val="auto"/>
              </w:rPr>
            </w:pPr>
            <w:r>
              <w:rPr>
                <w:rFonts w:ascii="Arial" w:cs="Arial" w:eastAsia="Arial" w:hAnsi="Arial"/>
                <w:sz w:val="16"/>
                <w:szCs w:val="16"/>
                <w:color w:val="auto"/>
              </w:rPr>
              <w:t>17,272,392</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208,080</w:t>
            </w:r>
          </w:p>
        </w:tc>
        <w:tc>
          <w:tcPr>
            <w:tcW w:w="1080" w:type="dxa"/>
            <w:vAlign w:val="bottom"/>
          </w:tcPr>
          <w:p>
            <w:pPr>
              <w:jc w:val="right"/>
              <w:spacing w:after="0"/>
              <w:rPr>
                <w:sz w:val="20"/>
                <w:szCs w:val="20"/>
                <w:color w:val="auto"/>
              </w:rPr>
            </w:pPr>
            <w:r>
              <w:rPr>
                <w:rFonts w:ascii="Arial" w:cs="Arial" w:eastAsia="Arial" w:hAnsi="Arial"/>
                <w:sz w:val="16"/>
                <w:szCs w:val="16"/>
                <w:color w:val="auto"/>
              </w:rPr>
              <w:t>76,634,145</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Disability</w:t>
            </w:r>
            <w:r>
              <w:rPr>
                <w:rFonts w:ascii="Arial" w:cs="Arial" w:eastAsia="Arial" w:hAnsi="Arial"/>
                <w:sz w:val="27"/>
                <w:szCs w:val="27"/>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9,935,598</w:t>
            </w:r>
          </w:p>
        </w:tc>
        <w:tc>
          <w:tcPr>
            <w:tcW w:w="1040" w:type="dxa"/>
            <w:vAlign w:val="bottom"/>
          </w:tcPr>
          <w:p>
            <w:pPr>
              <w:jc w:val="right"/>
              <w:spacing w:after="0"/>
              <w:rPr>
                <w:sz w:val="20"/>
                <w:szCs w:val="20"/>
                <w:color w:val="auto"/>
              </w:rPr>
            </w:pPr>
            <w:r>
              <w:rPr>
                <w:rFonts w:ascii="Arial" w:cs="Arial" w:eastAsia="Arial" w:hAnsi="Arial"/>
                <w:sz w:val="16"/>
                <w:szCs w:val="16"/>
                <w:color w:val="auto"/>
              </w:rPr>
              <w:t>29,806,794</w:t>
            </w:r>
          </w:p>
        </w:tc>
        <w:tc>
          <w:tcPr>
            <w:tcW w:w="1200" w:type="dxa"/>
            <w:vAlign w:val="bottom"/>
          </w:tcPr>
          <w:p>
            <w:pPr>
              <w:jc w:val="right"/>
              <w:spacing w:after="0"/>
              <w:rPr>
                <w:sz w:val="20"/>
                <w:szCs w:val="20"/>
                <w:color w:val="auto"/>
              </w:rPr>
            </w:pPr>
            <w:r>
              <w:rPr>
                <w:rFonts w:ascii="Arial" w:cs="Arial" w:eastAsia="Arial" w:hAnsi="Arial"/>
                <w:sz w:val="16"/>
                <w:szCs w:val="16"/>
                <w:color w:val="auto"/>
              </w:rPr>
              <w:t>9,875,496</w:t>
            </w:r>
          </w:p>
        </w:tc>
        <w:tc>
          <w:tcPr>
            <w:tcW w:w="1340" w:type="dxa"/>
            <w:vAlign w:val="bottom"/>
          </w:tcPr>
          <w:p>
            <w:pPr>
              <w:jc w:val="right"/>
              <w:spacing w:after="0"/>
              <w:rPr>
                <w:sz w:val="20"/>
                <w:szCs w:val="20"/>
                <w:color w:val="auto"/>
              </w:rPr>
            </w:pPr>
            <w:r>
              <w:rPr>
                <w:rFonts w:ascii="Arial" w:cs="Arial" w:eastAsia="Arial" w:hAnsi="Arial"/>
                <w:sz w:val="16"/>
                <w:szCs w:val="16"/>
                <w:color w:val="auto"/>
              </w:rPr>
              <w:t>49,278,177</w:t>
            </w:r>
          </w:p>
        </w:tc>
        <w:tc>
          <w:tcPr>
            <w:tcW w:w="1360" w:type="dxa"/>
            <w:vAlign w:val="bottom"/>
          </w:tcPr>
          <w:p>
            <w:pPr>
              <w:jc w:val="right"/>
              <w:spacing w:after="0"/>
              <w:rPr>
                <w:sz w:val="20"/>
                <w:szCs w:val="20"/>
                <w:color w:val="auto"/>
              </w:rPr>
            </w:pPr>
            <w:r>
              <w:rPr>
                <w:rFonts w:ascii="Arial" w:cs="Arial" w:eastAsia="Arial" w:hAnsi="Arial"/>
                <w:sz w:val="16"/>
                <w:szCs w:val="16"/>
                <w:color w:val="auto"/>
              </w:rPr>
              <w:t>17,272,392</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116,168,457</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Retirement</w:t>
            </w:r>
            <w:r>
              <w:rPr>
                <w:rFonts w:ascii="Arial" w:cs="Arial" w:eastAsia="Arial" w:hAnsi="Arial"/>
                <w:sz w:val="27"/>
                <w:szCs w:val="27"/>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880" w:type="dxa"/>
            <w:vAlign w:val="bottom"/>
          </w:tcPr>
          <w:p>
            <w:pPr>
              <w:ind w:left="200"/>
              <w:spacing w:after="0" w:line="228" w:lineRule="exact"/>
              <w:rPr>
                <w:sz w:val="20"/>
                <w:szCs w:val="20"/>
                <w:color w:val="auto"/>
              </w:rPr>
            </w:pPr>
            <w:r>
              <w:rPr>
                <w:rFonts w:ascii="Arial" w:cs="Arial" w:eastAsia="Arial" w:hAnsi="Arial"/>
                <w:sz w:val="16"/>
                <w:szCs w:val="16"/>
                <w:color w:val="auto"/>
              </w:rPr>
              <w:t>Change in Control</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80" w:type="dxa"/>
            <w:vAlign w:val="bottom"/>
          </w:tcPr>
          <w:p>
            <w:pPr>
              <w:ind w:left="160"/>
              <w:spacing w:after="0"/>
              <w:rPr>
                <w:sz w:val="20"/>
                <w:szCs w:val="20"/>
                <w:color w:val="auto"/>
              </w:rPr>
            </w:pPr>
            <w:r>
              <w:rPr>
                <w:rFonts w:ascii="Arial" w:cs="Arial" w:eastAsia="Arial" w:hAnsi="Arial"/>
                <w:sz w:val="16"/>
                <w:szCs w:val="16"/>
                <w:b w:val="1"/>
                <w:bCs w:val="1"/>
                <w:color w:val="auto"/>
              </w:rPr>
              <w:t>Michael J. Cavanagh</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6"/>
        </w:trPr>
        <w:tc>
          <w:tcPr>
            <w:tcW w:w="2880" w:type="dxa"/>
            <w:vAlign w:val="bottom"/>
          </w:tcPr>
          <w:p>
            <w:pPr>
              <w:ind w:left="200"/>
              <w:spacing w:after="0" w:line="286" w:lineRule="exact"/>
              <w:rPr>
                <w:sz w:val="20"/>
                <w:szCs w:val="20"/>
                <w:color w:val="auto"/>
              </w:rPr>
            </w:pPr>
            <w:r>
              <w:rPr>
                <w:rFonts w:ascii="Arial" w:cs="Arial" w:eastAsia="Arial" w:hAnsi="Arial"/>
                <w:sz w:val="16"/>
                <w:szCs w:val="16"/>
                <w:color w:val="auto"/>
                <w:w w:val="99"/>
              </w:rPr>
              <w:t>Without Cause/With Good Reason</w:t>
            </w:r>
            <w:r>
              <w:rPr>
                <w:rFonts w:ascii="Arial" w:cs="Arial" w:eastAsia="Arial" w:hAnsi="Arial"/>
                <w:sz w:val="27"/>
                <w:szCs w:val="27"/>
                <w:color w:val="auto"/>
                <w:w w:val="99"/>
                <w:vertAlign w:val="superscript"/>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4,600,000</w:t>
            </w:r>
          </w:p>
        </w:tc>
        <w:tc>
          <w:tcPr>
            <w:tcW w:w="1040" w:type="dxa"/>
            <w:vAlign w:val="bottom"/>
          </w:tcPr>
          <w:p>
            <w:pPr>
              <w:jc w:val="right"/>
              <w:spacing w:after="0"/>
              <w:rPr>
                <w:sz w:val="20"/>
                <w:szCs w:val="20"/>
                <w:color w:val="auto"/>
              </w:rPr>
            </w:pPr>
            <w:r>
              <w:rPr>
                <w:rFonts w:ascii="Arial" w:cs="Arial" w:eastAsia="Arial" w:hAnsi="Arial"/>
                <w:sz w:val="16"/>
                <w:szCs w:val="16"/>
                <w:color w:val="auto"/>
              </w:rPr>
              <w:t>6,900,000</w:t>
            </w:r>
          </w:p>
        </w:tc>
        <w:tc>
          <w:tcPr>
            <w:tcW w:w="1200" w:type="dxa"/>
            <w:vAlign w:val="bottom"/>
          </w:tcPr>
          <w:p>
            <w:pPr>
              <w:jc w:val="right"/>
              <w:spacing w:after="0"/>
              <w:rPr>
                <w:sz w:val="20"/>
                <w:szCs w:val="20"/>
                <w:color w:val="auto"/>
              </w:rPr>
            </w:pPr>
            <w:r>
              <w:rPr>
                <w:rFonts w:ascii="Arial" w:cs="Arial" w:eastAsia="Arial" w:hAnsi="Arial"/>
                <w:sz w:val="16"/>
                <w:szCs w:val="16"/>
                <w:color w:val="auto"/>
              </w:rPr>
              <w:t>6,857,724</w:t>
            </w:r>
          </w:p>
        </w:tc>
        <w:tc>
          <w:tcPr>
            <w:tcW w:w="1340" w:type="dxa"/>
            <w:vAlign w:val="bottom"/>
          </w:tcPr>
          <w:p>
            <w:pPr>
              <w:jc w:val="right"/>
              <w:spacing w:after="0"/>
              <w:rPr>
                <w:sz w:val="20"/>
                <w:szCs w:val="20"/>
                <w:color w:val="auto"/>
              </w:rPr>
            </w:pPr>
            <w:r>
              <w:rPr>
                <w:rFonts w:ascii="Arial" w:cs="Arial" w:eastAsia="Arial" w:hAnsi="Arial"/>
                <w:sz w:val="16"/>
                <w:szCs w:val="16"/>
                <w:color w:val="auto"/>
              </w:rPr>
              <w:t>5,550,349</w:t>
            </w:r>
          </w:p>
        </w:tc>
        <w:tc>
          <w:tcPr>
            <w:tcW w:w="1360" w:type="dxa"/>
            <w:vAlign w:val="bottom"/>
          </w:tcPr>
          <w:p>
            <w:pPr>
              <w:jc w:val="right"/>
              <w:spacing w:after="0"/>
              <w:rPr>
                <w:sz w:val="20"/>
                <w:szCs w:val="20"/>
                <w:color w:val="auto"/>
              </w:rPr>
            </w:pPr>
            <w:r>
              <w:rPr>
                <w:rFonts w:ascii="Arial" w:cs="Arial" w:eastAsia="Arial" w:hAnsi="Arial"/>
                <w:sz w:val="16"/>
                <w:szCs w:val="16"/>
                <w:color w:val="auto"/>
              </w:rPr>
              <w:t>6,210,492</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26,760</w:t>
            </w:r>
          </w:p>
        </w:tc>
        <w:tc>
          <w:tcPr>
            <w:tcW w:w="1080" w:type="dxa"/>
            <w:vAlign w:val="bottom"/>
          </w:tcPr>
          <w:p>
            <w:pPr>
              <w:jc w:val="right"/>
              <w:spacing w:after="0"/>
              <w:rPr>
                <w:sz w:val="20"/>
                <w:szCs w:val="20"/>
                <w:color w:val="auto"/>
              </w:rPr>
            </w:pPr>
            <w:r>
              <w:rPr>
                <w:rFonts w:ascii="Arial" w:cs="Arial" w:eastAsia="Arial" w:hAnsi="Arial"/>
                <w:sz w:val="16"/>
                <w:szCs w:val="16"/>
                <w:color w:val="auto"/>
              </w:rPr>
              <w:t>30,145,325</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Death/Disability</w:t>
            </w:r>
            <w:r>
              <w:rPr>
                <w:rFonts w:ascii="Arial" w:cs="Arial" w:eastAsia="Arial" w:hAnsi="Arial"/>
                <w:sz w:val="27"/>
                <w:szCs w:val="27"/>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575,000</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6,857,724</w:t>
            </w:r>
          </w:p>
        </w:tc>
        <w:tc>
          <w:tcPr>
            <w:tcW w:w="1340" w:type="dxa"/>
            <w:vAlign w:val="bottom"/>
          </w:tcPr>
          <w:p>
            <w:pPr>
              <w:jc w:val="right"/>
              <w:spacing w:after="0"/>
              <w:rPr>
                <w:sz w:val="20"/>
                <w:szCs w:val="20"/>
                <w:color w:val="auto"/>
              </w:rPr>
            </w:pPr>
            <w:r>
              <w:rPr>
                <w:rFonts w:ascii="Arial" w:cs="Arial" w:eastAsia="Arial" w:hAnsi="Arial"/>
                <w:sz w:val="16"/>
                <w:szCs w:val="16"/>
                <w:color w:val="auto"/>
              </w:rPr>
              <w:t>21,403,750</w:t>
            </w:r>
          </w:p>
        </w:tc>
        <w:tc>
          <w:tcPr>
            <w:tcW w:w="1360" w:type="dxa"/>
            <w:vAlign w:val="bottom"/>
          </w:tcPr>
          <w:p>
            <w:pPr>
              <w:jc w:val="right"/>
              <w:spacing w:after="0"/>
              <w:rPr>
                <w:sz w:val="20"/>
                <w:szCs w:val="20"/>
                <w:color w:val="auto"/>
              </w:rPr>
            </w:pPr>
            <w:r>
              <w:rPr>
                <w:rFonts w:ascii="Arial" w:cs="Arial" w:eastAsia="Arial" w:hAnsi="Arial"/>
                <w:sz w:val="16"/>
                <w:szCs w:val="16"/>
                <w:color w:val="auto"/>
              </w:rPr>
              <w:t>21,825,830</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50,662,304</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Retirement</w:t>
            </w:r>
            <w:r>
              <w:rPr>
                <w:rFonts w:ascii="Arial" w:cs="Arial" w:eastAsia="Arial" w:hAnsi="Arial"/>
                <w:sz w:val="27"/>
                <w:szCs w:val="27"/>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880" w:type="dxa"/>
            <w:vAlign w:val="bottom"/>
          </w:tcPr>
          <w:p>
            <w:pPr>
              <w:ind w:left="200"/>
              <w:spacing w:after="0" w:line="228" w:lineRule="exact"/>
              <w:rPr>
                <w:sz w:val="20"/>
                <w:szCs w:val="20"/>
                <w:color w:val="auto"/>
              </w:rPr>
            </w:pPr>
            <w:r>
              <w:rPr>
                <w:rFonts w:ascii="Arial" w:cs="Arial" w:eastAsia="Arial" w:hAnsi="Arial"/>
                <w:sz w:val="16"/>
                <w:szCs w:val="16"/>
                <w:color w:val="auto"/>
              </w:rPr>
              <w:t>Change in Control</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80" w:type="dxa"/>
            <w:vAlign w:val="bottom"/>
          </w:tcPr>
          <w:p>
            <w:pPr>
              <w:ind w:left="160"/>
              <w:spacing w:after="0"/>
              <w:rPr>
                <w:sz w:val="20"/>
                <w:szCs w:val="20"/>
                <w:color w:val="auto"/>
              </w:rPr>
            </w:pPr>
            <w:r>
              <w:rPr>
                <w:rFonts w:ascii="Arial" w:cs="Arial" w:eastAsia="Arial" w:hAnsi="Arial"/>
                <w:sz w:val="16"/>
                <w:szCs w:val="16"/>
                <w:b w:val="1"/>
                <w:bCs w:val="1"/>
                <w:color w:val="auto"/>
              </w:rPr>
              <w:t>Stephen B. Burke</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6"/>
        </w:trPr>
        <w:tc>
          <w:tcPr>
            <w:tcW w:w="2880" w:type="dxa"/>
            <w:vAlign w:val="bottom"/>
          </w:tcPr>
          <w:p>
            <w:pPr>
              <w:ind w:left="200"/>
              <w:spacing w:after="0" w:line="286" w:lineRule="exact"/>
              <w:rPr>
                <w:sz w:val="20"/>
                <w:szCs w:val="20"/>
                <w:color w:val="auto"/>
              </w:rPr>
            </w:pPr>
            <w:r>
              <w:rPr>
                <w:rFonts w:ascii="Arial" w:cs="Arial" w:eastAsia="Arial" w:hAnsi="Arial"/>
                <w:sz w:val="16"/>
                <w:szCs w:val="16"/>
                <w:color w:val="auto"/>
                <w:w w:val="99"/>
              </w:rPr>
              <w:t>Without Cause/With Good Reason</w:t>
            </w:r>
            <w:r>
              <w:rPr>
                <w:rFonts w:ascii="Arial" w:cs="Arial" w:eastAsia="Arial" w:hAnsi="Arial"/>
                <w:sz w:val="27"/>
                <w:szCs w:val="27"/>
                <w:color w:val="auto"/>
                <w:w w:val="99"/>
                <w:vertAlign w:val="superscript"/>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6,148,936</w:t>
            </w:r>
          </w:p>
        </w:tc>
        <w:tc>
          <w:tcPr>
            <w:tcW w:w="1040" w:type="dxa"/>
            <w:vAlign w:val="bottom"/>
          </w:tcPr>
          <w:p>
            <w:pPr>
              <w:jc w:val="right"/>
              <w:spacing w:after="0"/>
              <w:rPr>
                <w:sz w:val="20"/>
                <w:szCs w:val="20"/>
                <w:color w:val="auto"/>
              </w:rPr>
            </w:pPr>
            <w:r>
              <w:rPr>
                <w:rFonts w:ascii="Arial" w:cs="Arial" w:eastAsia="Arial" w:hAnsi="Arial"/>
                <w:sz w:val="16"/>
                <w:szCs w:val="16"/>
                <w:color w:val="auto"/>
              </w:rPr>
              <w:t>9,223,404</w:t>
            </w:r>
          </w:p>
        </w:tc>
        <w:tc>
          <w:tcPr>
            <w:tcW w:w="1200" w:type="dxa"/>
            <w:vAlign w:val="bottom"/>
          </w:tcPr>
          <w:p>
            <w:pPr>
              <w:jc w:val="right"/>
              <w:spacing w:after="0"/>
              <w:rPr>
                <w:sz w:val="20"/>
                <w:szCs w:val="20"/>
                <w:color w:val="auto"/>
              </w:rPr>
            </w:pPr>
            <w:r>
              <w:rPr>
                <w:rFonts w:ascii="Arial" w:cs="Arial" w:eastAsia="Arial" w:hAnsi="Arial"/>
                <w:sz w:val="16"/>
                <w:szCs w:val="16"/>
                <w:color w:val="auto"/>
              </w:rPr>
              <w:t>9,167,610</w:t>
            </w:r>
          </w:p>
        </w:tc>
        <w:tc>
          <w:tcPr>
            <w:tcW w:w="1340" w:type="dxa"/>
            <w:vAlign w:val="bottom"/>
          </w:tcPr>
          <w:p>
            <w:pPr>
              <w:jc w:val="right"/>
              <w:spacing w:after="0"/>
              <w:rPr>
                <w:sz w:val="20"/>
                <w:szCs w:val="20"/>
                <w:color w:val="auto"/>
              </w:rPr>
            </w:pPr>
            <w:r>
              <w:rPr>
                <w:rFonts w:ascii="Arial" w:cs="Arial" w:eastAsia="Arial" w:hAnsi="Arial"/>
                <w:sz w:val="16"/>
                <w:szCs w:val="16"/>
                <w:color w:val="auto"/>
              </w:rPr>
              <w:t>15,677,350</w:t>
            </w:r>
          </w:p>
        </w:tc>
        <w:tc>
          <w:tcPr>
            <w:tcW w:w="1360" w:type="dxa"/>
            <w:vAlign w:val="bottom"/>
          </w:tcPr>
          <w:p>
            <w:pPr>
              <w:jc w:val="right"/>
              <w:spacing w:after="0"/>
              <w:rPr>
                <w:sz w:val="20"/>
                <w:szCs w:val="20"/>
                <w:color w:val="auto"/>
              </w:rPr>
            </w:pPr>
            <w:r>
              <w:rPr>
                <w:rFonts w:ascii="Arial" w:cs="Arial" w:eastAsia="Arial" w:hAnsi="Arial"/>
                <w:sz w:val="16"/>
                <w:szCs w:val="16"/>
                <w:color w:val="auto"/>
              </w:rPr>
              <w:t>8,135,703</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26,760</w:t>
            </w:r>
          </w:p>
        </w:tc>
        <w:tc>
          <w:tcPr>
            <w:tcW w:w="1080" w:type="dxa"/>
            <w:vAlign w:val="bottom"/>
          </w:tcPr>
          <w:p>
            <w:pPr>
              <w:jc w:val="right"/>
              <w:spacing w:after="0"/>
              <w:rPr>
                <w:sz w:val="20"/>
                <w:szCs w:val="20"/>
                <w:color w:val="auto"/>
              </w:rPr>
            </w:pPr>
            <w:r>
              <w:rPr>
                <w:rFonts w:ascii="Arial" w:cs="Arial" w:eastAsia="Arial" w:hAnsi="Arial"/>
                <w:sz w:val="16"/>
                <w:szCs w:val="16"/>
                <w:color w:val="auto"/>
              </w:rPr>
              <w:t>48,379,763</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Death/Disability</w:t>
            </w:r>
            <w:r>
              <w:rPr>
                <w:rFonts w:ascii="Arial" w:cs="Arial" w:eastAsia="Arial" w:hAnsi="Arial"/>
                <w:sz w:val="27"/>
                <w:szCs w:val="27"/>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768,617</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9,167,610</w:t>
            </w:r>
          </w:p>
        </w:tc>
        <w:tc>
          <w:tcPr>
            <w:tcW w:w="1340" w:type="dxa"/>
            <w:vAlign w:val="bottom"/>
          </w:tcPr>
          <w:p>
            <w:pPr>
              <w:jc w:val="right"/>
              <w:spacing w:after="0"/>
              <w:rPr>
                <w:sz w:val="20"/>
                <w:szCs w:val="20"/>
                <w:color w:val="auto"/>
              </w:rPr>
            </w:pPr>
            <w:r>
              <w:rPr>
                <w:rFonts w:ascii="Arial" w:cs="Arial" w:eastAsia="Arial" w:hAnsi="Arial"/>
                <w:sz w:val="16"/>
                <w:szCs w:val="16"/>
                <w:color w:val="auto"/>
              </w:rPr>
              <w:t>71,850,139</w:t>
            </w:r>
          </w:p>
        </w:tc>
        <w:tc>
          <w:tcPr>
            <w:tcW w:w="1360" w:type="dxa"/>
            <w:vAlign w:val="bottom"/>
          </w:tcPr>
          <w:p>
            <w:pPr>
              <w:jc w:val="right"/>
              <w:spacing w:after="0"/>
              <w:rPr>
                <w:sz w:val="20"/>
                <w:szCs w:val="20"/>
                <w:color w:val="auto"/>
              </w:rPr>
            </w:pPr>
            <w:r>
              <w:rPr>
                <w:rFonts w:ascii="Arial" w:cs="Arial" w:eastAsia="Arial" w:hAnsi="Arial"/>
                <w:sz w:val="16"/>
                <w:szCs w:val="16"/>
                <w:color w:val="auto"/>
              </w:rPr>
              <w:t>25,542,645</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107,329,011</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Retirement</w:t>
            </w:r>
            <w:r>
              <w:rPr>
                <w:rFonts w:ascii="Arial" w:cs="Arial" w:eastAsia="Arial" w:hAnsi="Arial"/>
                <w:sz w:val="27"/>
                <w:szCs w:val="27"/>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880" w:type="dxa"/>
            <w:vAlign w:val="bottom"/>
          </w:tcPr>
          <w:p>
            <w:pPr>
              <w:ind w:left="200"/>
              <w:spacing w:after="0" w:line="228" w:lineRule="exact"/>
              <w:rPr>
                <w:sz w:val="20"/>
                <w:szCs w:val="20"/>
                <w:color w:val="auto"/>
              </w:rPr>
            </w:pPr>
            <w:r>
              <w:rPr>
                <w:rFonts w:ascii="Arial" w:cs="Arial" w:eastAsia="Arial" w:hAnsi="Arial"/>
                <w:sz w:val="16"/>
                <w:szCs w:val="16"/>
                <w:color w:val="auto"/>
              </w:rPr>
              <w:t>Change in Control</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80" w:type="dxa"/>
            <w:vAlign w:val="bottom"/>
          </w:tcPr>
          <w:p>
            <w:pPr>
              <w:ind w:left="160"/>
              <w:spacing w:after="0"/>
              <w:rPr>
                <w:sz w:val="20"/>
                <w:szCs w:val="20"/>
                <w:color w:val="auto"/>
              </w:rPr>
            </w:pPr>
            <w:r>
              <w:rPr>
                <w:rFonts w:ascii="Arial" w:cs="Arial" w:eastAsia="Arial" w:hAnsi="Arial"/>
                <w:sz w:val="16"/>
                <w:szCs w:val="16"/>
                <w:b w:val="1"/>
                <w:bCs w:val="1"/>
                <w:color w:val="auto"/>
              </w:rPr>
              <w:t>David L. Cohen</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6"/>
        </w:trPr>
        <w:tc>
          <w:tcPr>
            <w:tcW w:w="2880" w:type="dxa"/>
            <w:vAlign w:val="bottom"/>
          </w:tcPr>
          <w:p>
            <w:pPr>
              <w:ind w:left="200"/>
              <w:spacing w:after="0" w:line="286" w:lineRule="exact"/>
              <w:rPr>
                <w:sz w:val="20"/>
                <w:szCs w:val="20"/>
                <w:color w:val="auto"/>
              </w:rPr>
            </w:pPr>
            <w:r>
              <w:rPr>
                <w:rFonts w:ascii="Arial" w:cs="Arial" w:eastAsia="Arial" w:hAnsi="Arial"/>
                <w:sz w:val="16"/>
                <w:szCs w:val="16"/>
                <w:color w:val="auto"/>
                <w:w w:val="99"/>
              </w:rPr>
              <w:t>Without Cause/With Good Reason</w:t>
            </w:r>
            <w:r>
              <w:rPr>
                <w:rFonts w:ascii="Arial" w:cs="Arial" w:eastAsia="Arial" w:hAnsi="Arial"/>
                <w:sz w:val="27"/>
                <w:szCs w:val="27"/>
                <w:color w:val="auto"/>
                <w:w w:val="99"/>
                <w:vertAlign w:val="superscript"/>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3,243,430</w:t>
            </w:r>
          </w:p>
        </w:tc>
        <w:tc>
          <w:tcPr>
            <w:tcW w:w="1040" w:type="dxa"/>
            <w:vAlign w:val="bottom"/>
          </w:tcPr>
          <w:p>
            <w:pPr>
              <w:jc w:val="right"/>
              <w:spacing w:after="0"/>
              <w:rPr>
                <w:sz w:val="20"/>
                <w:szCs w:val="20"/>
                <w:color w:val="auto"/>
              </w:rPr>
            </w:pPr>
            <w:r>
              <w:rPr>
                <w:rFonts w:ascii="Arial" w:cs="Arial" w:eastAsia="Arial" w:hAnsi="Arial"/>
                <w:sz w:val="16"/>
                <w:szCs w:val="16"/>
                <w:color w:val="auto"/>
              </w:rPr>
              <w:t>4,054,288</w:t>
            </w:r>
          </w:p>
        </w:tc>
        <w:tc>
          <w:tcPr>
            <w:tcW w:w="1200" w:type="dxa"/>
            <w:vAlign w:val="bottom"/>
          </w:tcPr>
          <w:p>
            <w:pPr>
              <w:jc w:val="right"/>
              <w:spacing w:after="0"/>
              <w:rPr>
                <w:sz w:val="20"/>
                <w:szCs w:val="20"/>
                <w:color w:val="auto"/>
              </w:rPr>
            </w:pPr>
            <w:r>
              <w:rPr>
                <w:rFonts w:ascii="Arial" w:cs="Arial" w:eastAsia="Arial" w:hAnsi="Arial"/>
                <w:sz w:val="16"/>
                <w:szCs w:val="16"/>
                <w:color w:val="auto"/>
              </w:rPr>
              <w:t>4,029,763</w:t>
            </w:r>
          </w:p>
        </w:tc>
        <w:tc>
          <w:tcPr>
            <w:tcW w:w="1340" w:type="dxa"/>
            <w:vAlign w:val="bottom"/>
          </w:tcPr>
          <w:p>
            <w:pPr>
              <w:jc w:val="right"/>
              <w:spacing w:after="0"/>
              <w:rPr>
                <w:sz w:val="20"/>
                <w:szCs w:val="20"/>
                <w:color w:val="auto"/>
              </w:rPr>
            </w:pPr>
            <w:r>
              <w:rPr>
                <w:rFonts w:ascii="Arial" w:cs="Arial" w:eastAsia="Arial" w:hAnsi="Arial"/>
                <w:sz w:val="16"/>
                <w:szCs w:val="16"/>
                <w:color w:val="auto"/>
              </w:rPr>
              <w:t>8,626,400</w:t>
            </w:r>
          </w:p>
        </w:tc>
        <w:tc>
          <w:tcPr>
            <w:tcW w:w="1360" w:type="dxa"/>
            <w:vAlign w:val="bottom"/>
          </w:tcPr>
          <w:p>
            <w:pPr>
              <w:jc w:val="right"/>
              <w:spacing w:after="0"/>
              <w:rPr>
                <w:sz w:val="20"/>
                <w:szCs w:val="20"/>
                <w:color w:val="auto"/>
              </w:rPr>
            </w:pPr>
            <w:r>
              <w:rPr>
                <w:rFonts w:ascii="Arial" w:cs="Arial" w:eastAsia="Arial" w:hAnsi="Arial"/>
                <w:sz w:val="16"/>
                <w:szCs w:val="16"/>
                <w:color w:val="auto"/>
              </w:rPr>
              <w:t>6,406,651</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20,806</w:t>
            </w:r>
          </w:p>
        </w:tc>
        <w:tc>
          <w:tcPr>
            <w:tcW w:w="1080" w:type="dxa"/>
            <w:vAlign w:val="bottom"/>
          </w:tcPr>
          <w:p>
            <w:pPr>
              <w:jc w:val="right"/>
              <w:spacing w:after="0"/>
              <w:rPr>
                <w:sz w:val="20"/>
                <w:szCs w:val="20"/>
                <w:color w:val="auto"/>
              </w:rPr>
            </w:pPr>
            <w:r>
              <w:rPr>
                <w:rFonts w:ascii="Arial" w:cs="Arial" w:eastAsia="Arial" w:hAnsi="Arial"/>
                <w:sz w:val="16"/>
                <w:szCs w:val="16"/>
                <w:color w:val="auto"/>
              </w:rPr>
              <w:t>26,381,338</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Death/Disability</w:t>
            </w:r>
            <w:r>
              <w:rPr>
                <w:rFonts w:ascii="Arial" w:cs="Arial" w:eastAsia="Arial" w:hAnsi="Arial"/>
                <w:sz w:val="27"/>
                <w:szCs w:val="27"/>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405,429</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4,029,763</w:t>
            </w:r>
          </w:p>
        </w:tc>
        <w:tc>
          <w:tcPr>
            <w:tcW w:w="1340" w:type="dxa"/>
            <w:vAlign w:val="bottom"/>
          </w:tcPr>
          <w:p>
            <w:pPr>
              <w:jc w:val="right"/>
              <w:spacing w:after="0"/>
              <w:rPr>
                <w:sz w:val="20"/>
                <w:szCs w:val="20"/>
                <w:color w:val="auto"/>
              </w:rPr>
            </w:pPr>
            <w:r>
              <w:rPr>
                <w:rFonts w:ascii="Arial" w:cs="Arial" w:eastAsia="Arial" w:hAnsi="Arial"/>
                <w:sz w:val="16"/>
                <w:szCs w:val="16"/>
                <w:color w:val="auto"/>
              </w:rPr>
              <w:t>25,510,200</w:t>
            </w:r>
          </w:p>
        </w:tc>
        <w:tc>
          <w:tcPr>
            <w:tcW w:w="1360" w:type="dxa"/>
            <w:vAlign w:val="bottom"/>
          </w:tcPr>
          <w:p>
            <w:pPr>
              <w:jc w:val="right"/>
              <w:spacing w:after="0"/>
              <w:rPr>
                <w:sz w:val="20"/>
                <w:szCs w:val="20"/>
                <w:color w:val="auto"/>
              </w:rPr>
            </w:pPr>
            <w:r>
              <w:rPr>
                <w:rFonts w:ascii="Arial" w:cs="Arial" w:eastAsia="Arial" w:hAnsi="Arial"/>
                <w:sz w:val="16"/>
                <w:szCs w:val="16"/>
                <w:color w:val="auto"/>
              </w:rPr>
              <w:t>18,610,070</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48,555,462</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Retirement</w:t>
            </w:r>
            <w:r>
              <w:rPr>
                <w:rFonts w:ascii="Arial" w:cs="Arial" w:eastAsia="Arial" w:hAnsi="Arial"/>
                <w:sz w:val="27"/>
                <w:szCs w:val="27"/>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8,626,400</w:t>
            </w:r>
          </w:p>
        </w:tc>
        <w:tc>
          <w:tcPr>
            <w:tcW w:w="1360" w:type="dxa"/>
            <w:vAlign w:val="bottom"/>
          </w:tcPr>
          <w:p>
            <w:pPr>
              <w:jc w:val="right"/>
              <w:spacing w:after="0"/>
              <w:rPr>
                <w:sz w:val="20"/>
                <w:szCs w:val="20"/>
                <w:color w:val="auto"/>
              </w:rPr>
            </w:pPr>
            <w:r>
              <w:rPr>
                <w:rFonts w:ascii="Arial" w:cs="Arial" w:eastAsia="Arial" w:hAnsi="Arial"/>
                <w:sz w:val="16"/>
                <w:szCs w:val="16"/>
                <w:color w:val="auto"/>
              </w:rPr>
              <w:t>6,406,651</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15,033,051</w:t>
            </w:r>
          </w:p>
        </w:tc>
      </w:tr>
      <w:tr>
        <w:trPr>
          <w:trHeight w:val="228"/>
        </w:trPr>
        <w:tc>
          <w:tcPr>
            <w:tcW w:w="2880" w:type="dxa"/>
            <w:vAlign w:val="bottom"/>
          </w:tcPr>
          <w:p>
            <w:pPr>
              <w:ind w:left="200"/>
              <w:spacing w:after="0" w:line="228" w:lineRule="exact"/>
              <w:rPr>
                <w:sz w:val="20"/>
                <w:szCs w:val="20"/>
                <w:color w:val="auto"/>
              </w:rPr>
            </w:pPr>
            <w:r>
              <w:rPr>
                <w:rFonts w:ascii="Arial" w:cs="Arial" w:eastAsia="Arial" w:hAnsi="Arial"/>
                <w:sz w:val="16"/>
                <w:szCs w:val="16"/>
                <w:color w:val="auto"/>
              </w:rPr>
              <w:t>Change in Control</w:t>
            </w:r>
            <w:r>
              <w:rPr>
                <w:rFonts w:ascii="Arial" w:cs="Arial" w:eastAsia="Arial" w:hAnsi="Arial"/>
                <w:sz w:val="26"/>
                <w:szCs w:val="26"/>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80" w:type="dxa"/>
            <w:vAlign w:val="bottom"/>
          </w:tcPr>
          <w:p>
            <w:pPr>
              <w:ind w:left="160"/>
              <w:spacing w:after="0"/>
              <w:rPr>
                <w:sz w:val="20"/>
                <w:szCs w:val="20"/>
                <w:color w:val="auto"/>
              </w:rPr>
            </w:pPr>
            <w:r>
              <w:rPr>
                <w:rFonts w:ascii="Arial" w:cs="Arial" w:eastAsia="Arial" w:hAnsi="Arial"/>
                <w:sz w:val="16"/>
                <w:szCs w:val="16"/>
                <w:b w:val="1"/>
                <w:bCs w:val="1"/>
                <w:color w:val="auto"/>
              </w:rPr>
              <w:t>David N. Watson</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6"/>
        </w:trPr>
        <w:tc>
          <w:tcPr>
            <w:tcW w:w="2880" w:type="dxa"/>
            <w:vAlign w:val="bottom"/>
          </w:tcPr>
          <w:p>
            <w:pPr>
              <w:ind w:left="200"/>
              <w:spacing w:after="0" w:line="286" w:lineRule="exact"/>
              <w:rPr>
                <w:sz w:val="20"/>
                <w:szCs w:val="20"/>
                <w:color w:val="auto"/>
              </w:rPr>
            </w:pPr>
            <w:r>
              <w:rPr>
                <w:rFonts w:ascii="Arial" w:cs="Arial" w:eastAsia="Arial" w:hAnsi="Arial"/>
                <w:sz w:val="16"/>
                <w:szCs w:val="16"/>
                <w:color w:val="auto"/>
                <w:w w:val="99"/>
              </w:rPr>
              <w:t>Without Cause/With Good Reason</w:t>
            </w:r>
            <w:r>
              <w:rPr>
                <w:rFonts w:ascii="Arial" w:cs="Arial" w:eastAsia="Arial" w:hAnsi="Arial"/>
                <w:sz w:val="27"/>
                <w:szCs w:val="27"/>
                <w:color w:val="auto"/>
                <w:w w:val="99"/>
                <w:vertAlign w:val="superscript"/>
              </w:rPr>
              <w:t>(7)</w:t>
            </w:r>
          </w:p>
        </w:tc>
        <w:tc>
          <w:tcPr>
            <w:tcW w:w="1040" w:type="dxa"/>
            <w:vAlign w:val="bottom"/>
          </w:tcPr>
          <w:p>
            <w:pPr>
              <w:jc w:val="right"/>
              <w:spacing w:after="0"/>
              <w:rPr>
                <w:sz w:val="20"/>
                <w:szCs w:val="20"/>
                <w:color w:val="auto"/>
              </w:rPr>
            </w:pPr>
            <w:r>
              <w:rPr>
                <w:rFonts w:ascii="Arial" w:cs="Arial" w:eastAsia="Arial" w:hAnsi="Arial"/>
                <w:sz w:val="16"/>
                <w:szCs w:val="16"/>
                <w:color w:val="auto"/>
              </w:rPr>
              <w:t>3,648,962</w:t>
            </w:r>
          </w:p>
        </w:tc>
        <w:tc>
          <w:tcPr>
            <w:tcW w:w="1040" w:type="dxa"/>
            <w:vAlign w:val="bottom"/>
          </w:tcPr>
          <w:p>
            <w:pPr>
              <w:jc w:val="right"/>
              <w:spacing w:after="0"/>
              <w:rPr>
                <w:sz w:val="20"/>
                <w:szCs w:val="20"/>
                <w:color w:val="auto"/>
              </w:rPr>
            </w:pPr>
            <w:r>
              <w:rPr>
                <w:rFonts w:ascii="Arial" w:cs="Arial" w:eastAsia="Arial" w:hAnsi="Arial"/>
                <w:sz w:val="16"/>
                <w:szCs w:val="16"/>
                <w:color w:val="auto"/>
              </w:rPr>
              <w:t>4,561,203</w:t>
            </w:r>
          </w:p>
        </w:tc>
        <w:tc>
          <w:tcPr>
            <w:tcW w:w="1200" w:type="dxa"/>
            <w:vAlign w:val="bottom"/>
          </w:tcPr>
          <w:p>
            <w:pPr>
              <w:jc w:val="right"/>
              <w:spacing w:after="0"/>
              <w:rPr>
                <w:sz w:val="20"/>
                <w:szCs w:val="20"/>
                <w:color w:val="auto"/>
              </w:rPr>
            </w:pPr>
            <w:r>
              <w:rPr>
                <w:rFonts w:ascii="Arial" w:cs="Arial" w:eastAsia="Arial" w:hAnsi="Arial"/>
                <w:sz w:val="16"/>
                <w:szCs w:val="16"/>
                <w:color w:val="auto"/>
              </w:rPr>
              <w:t>4,534,760</w:t>
            </w:r>
          </w:p>
        </w:tc>
        <w:tc>
          <w:tcPr>
            <w:tcW w:w="1340" w:type="dxa"/>
            <w:vAlign w:val="bottom"/>
          </w:tcPr>
          <w:p>
            <w:pPr>
              <w:jc w:val="right"/>
              <w:spacing w:after="0"/>
              <w:rPr>
                <w:sz w:val="20"/>
                <w:szCs w:val="20"/>
                <w:color w:val="auto"/>
              </w:rPr>
            </w:pPr>
            <w:r>
              <w:rPr>
                <w:rFonts w:ascii="Arial" w:cs="Arial" w:eastAsia="Arial" w:hAnsi="Arial"/>
                <w:sz w:val="16"/>
                <w:szCs w:val="16"/>
                <w:color w:val="auto"/>
              </w:rPr>
              <w:t>4,344,192</w:t>
            </w:r>
          </w:p>
        </w:tc>
        <w:tc>
          <w:tcPr>
            <w:tcW w:w="1360" w:type="dxa"/>
            <w:vAlign w:val="bottom"/>
          </w:tcPr>
          <w:p>
            <w:pPr>
              <w:jc w:val="right"/>
              <w:spacing w:after="0"/>
              <w:rPr>
                <w:sz w:val="20"/>
                <w:szCs w:val="20"/>
                <w:color w:val="auto"/>
              </w:rPr>
            </w:pPr>
            <w:r>
              <w:rPr>
                <w:rFonts w:ascii="Arial" w:cs="Arial" w:eastAsia="Arial" w:hAnsi="Arial"/>
                <w:sz w:val="16"/>
                <w:szCs w:val="16"/>
                <w:color w:val="auto"/>
              </w:rPr>
              <w:t>2,819,574</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26,760</w:t>
            </w:r>
          </w:p>
        </w:tc>
        <w:tc>
          <w:tcPr>
            <w:tcW w:w="1080" w:type="dxa"/>
            <w:vAlign w:val="bottom"/>
          </w:tcPr>
          <w:p>
            <w:pPr>
              <w:jc w:val="right"/>
              <w:spacing w:after="0"/>
              <w:rPr>
                <w:sz w:val="20"/>
                <w:szCs w:val="20"/>
                <w:color w:val="auto"/>
              </w:rPr>
            </w:pPr>
            <w:r>
              <w:rPr>
                <w:rFonts w:ascii="Arial" w:cs="Arial" w:eastAsia="Arial" w:hAnsi="Arial"/>
                <w:sz w:val="16"/>
                <w:szCs w:val="16"/>
                <w:color w:val="auto"/>
              </w:rPr>
              <w:t>19,935,451</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Death/Disability</w:t>
            </w:r>
            <w:r>
              <w:rPr>
                <w:rFonts w:ascii="Arial" w:cs="Arial" w:eastAsia="Arial" w:hAnsi="Arial"/>
                <w:sz w:val="27"/>
                <w:szCs w:val="27"/>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456,120</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4,534,760</w:t>
            </w:r>
          </w:p>
        </w:tc>
        <w:tc>
          <w:tcPr>
            <w:tcW w:w="1340" w:type="dxa"/>
            <w:vAlign w:val="bottom"/>
          </w:tcPr>
          <w:p>
            <w:pPr>
              <w:jc w:val="right"/>
              <w:spacing w:after="0"/>
              <w:rPr>
                <w:sz w:val="20"/>
                <w:szCs w:val="20"/>
                <w:color w:val="auto"/>
              </w:rPr>
            </w:pPr>
            <w:r>
              <w:rPr>
                <w:rFonts w:ascii="Arial" w:cs="Arial" w:eastAsia="Arial" w:hAnsi="Arial"/>
                <w:sz w:val="16"/>
                <w:szCs w:val="16"/>
                <w:color w:val="auto"/>
              </w:rPr>
              <w:t>14,392,956</w:t>
            </w:r>
          </w:p>
        </w:tc>
        <w:tc>
          <w:tcPr>
            <w:tcW w:w="1360" w:type="dxa"/>
            <w:vAlign w:val="bottom"/>
          </w:tcPr>
          <w:p>
            <w:pPr>
              <w:jc w:val="right"/>
              <w:spacing w:after="0"/>
              <w:rPr>
                <w:sz w:val="20"/>
                <w:szCs w:val="20"/>
                <w:color w:val="auto"/>
              </w:rPr>
            </w:pPr>
            <w:r>
              <w:rPr>
                <w:rFonts w:ascii="Arial" w:cs="Arial" w:eastAsia="Arial" w:hAnsi="Arial"/>
                <w:sz w:val="16"/>
                <w:szCs w:val="16"/>
                <w:color w:val="auto"/>
              </w:rPr>
              <w:t>11,750,256</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31,134,092</w:t>
            </w:r>
          </w:p>
        </w:tc>
      </w:tr>
      <w:tr>
        <w:trPr>
          <w:trHeight w:val="243"/>
        </w:trPr>
        <w:tc>
          <w:tcPr>
            <w:tcW w:w="2880" w:type="dxa"/>
            <w:vAlign w:val="bottom"/>
          </w:tcPr>
          <w:p>
            <w:pPr>
              <w:ind w:left="200"/>
              <w:spacing w:after="0" w:line="242" w:lineRule="exact"/>
              <w:rPr>
                <w:sz w:val="20"/>
                <w:szCs w:val="20"/>
                <w:color w:val="auto"/>
              </w:rPr>
            </w:pPr>
            <w:r>
              <w:rPr>
                <w:rFonts w:ascii="Arial" w:cs="Arial" w:eastAsia="Arial" w:hAnsi="Arial"/>
                <w:sz w:val="16"/>
                <w:szCs w:val="16"/>
                <w:color w:val="auto"/>
              </w:rPr>
              <w:t>Retirement</w:t>
            </w:r>
            <w:r>
              <w:rPr>
                <w:rFonts w:ascii="Arial" w:cs="Arial" w:eastAsia="Arial" w:hAnsi="Arial"/>
                <w:sz w:val="27"/>
                <w:szCs w:val="27"/>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5"/>
        </w:trPr>
        <w:tc>
          <w:tcPr>
            <w:tcW w:w="2880" w:type="dxa"/>
            <w:vAlign w:val="bottom"/>
          </w:tcPr>
          <w:p>
            <w:pPr>
              <w:ind w:left="200"/>
              <w:spacing w:after="0" w:line="245" w:lineRule="exact"/>
              <w:rPr>
                <w:sz w:val="20"/>
                <w:szCs w:val="20"/>
                <w:color w:val="auto"/>
              </w:rPr>
            </w:pPr>
            <w:r>
              <w:rPr>
                <w:rFonts w:ascii="Arial" w:cs="Arial" w:eastAsia="Arial" w:hAnsi="Arial"/>
                <w:sz w:val="16"/>
                <w:szCs w:val="16"/>
                <w:color w:val="auto"/>
              </w:rPr>
              <w:t>Change in Control</w:t>
            </w:r>
            <w:r>
              <w:rPr>
                <w:rFonts w:ascii="Arial" w:cs="Arial" w:eastAsia="Arial" w:hAnsi="Arial"/>
                <w:sz w:val="27"/>
                <w:szCs w:val="27"/>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bl>
    <w:p>
      <w:pPr>
        <w:jc w:val="both"/>
        <w:ind w:left="980" w:right="20" w:hanging="432"/>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value associated with the acceleration or continued vesting of equity compensation is based on the closing market price of a share of our Class A common stock as of December 31, 2019 ($44.97), minus, in the case of stock options, the exercise price and, in the case of PSUs granted in 2019, is based on the target vesting of 100% of PSUs as of December 31, 2019.</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432"/>
        <w:spacing w:after="0" w:line="248"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we terminate Mr. Roberts’ employment without cause or he terminates his employment with good reason, he is entitled to payment of his base salary (based on the highest base salary he received during the term) on a monthly basis for three years after the termination date. He also is entitled to the payment of his annual cash bonus (appropriately prorated for partial calendar years), assuming full achievement of performance goals, on an annual basis for three years. In addition, his unvested stock options and stock units will continue to vest in accordance with their terms and his stock options will remain exercisable for the remainder of their terms, in each case, as if his employment had continued. Mr. Roberts’ receipt of the payments and benefits described above are subject to his execution of our standard agreement containing certain mutual releases.</w:t>
      </w:r>
    </w:p>
    <w:p>
      <w:pPr>
        <w:spacing w:after="0" w:line="3" w:lineRule="exact"/>
        <w:rPr>
          <w:rFonts w:ascii="Arial" w:cs="Arial" w:eastAsia="Arial" w:hAnsi="Arial"/>
          <w:sz w:val="17"/>
          <w:szCs w:val="17"/>
          <w:color w:val="auto"/>
        </w:rPr>
      </w:pPr>
    </w:p>
    <w:p>
      <w:pPr>
        <w:ind w:left="980"/>
        <w:spacing w:after="0" w:line="236" w:lineRule="auto"/>
        <w:rPr>
          <w:rFonts w:ascii="Arial" w:cs="Arial" w:eastAsia="Arial" w:hAnsi="Arial"/>
          <w:sz w:val="17"/>
          <w:szCs w:val="17"/>
          <w:color w:val="auto"/>
        </w:rPr>
      </w:pPr>
      <w:r>
        <w:rPr>
          <w:rFonts w:ascii="Arial" w:cs="Arial" w:eastAsia="Arial" w:hAnsi="Arial"/>
          <w:sz w:val="18"/>
          <w:szCs w:val="18"/>
          <w:color w:val="auto"/>
        </w:rPr>
        <w:t>Mr. Roberts is also entitled to receive a prorated annual cash bonus for the year of his termination, assuming full achievement of the performance goals. In addition, Mr. Roberts is entitled to continued health and welfare benefits for three years after the termination date. Under Mr. Roberts’ employment agreement, “cause” generally means willful engagement in misconduct that is materially injurious to our company, monetarily or otherwise (including fraud, misappropriation, embezzlement, self-dealing, dishonesty, misrepresentation and conviction of a crime or a felony), willful material violation of any material Company policy or our code of conduct, or willful material breach of any provision of his agreement, and “good reason” generally means (i) the failure of Mr. Roberts to be elected Chairman of the Board or retained as Chief Executive Officer and President, (ii) assignment of any duties inconsistent in any material respect with his positions, education, skills and experience, or any other action that results in a change in his positions and titles or a substantial diminution in his duties or (iii) a material breach of any provision of his agreement by us.</w:t>
      </w:r>
    </w:p>
    <w:p>
      <w:pPr>
        <w:spacing w:after="0" w:line="111" w:lineRule="exact"/>
        <w:rPr>
          <w:rFonts w:ascii="Arial" w:cs="Arial" w:eastAsia="Arial" w:hAnsi="Arial"/>
          <w:sz w:val="17"/>
          <w:szCs w:val="17"/>
          <w:color w:val="auto"/>
        </w:rPr>
      </w:pPr>
    </w:p>
    <w:p>
      <w:pPr>
        <w:ind w:left="980" w:right="120" w:hanging="432"/>
        <w:spacing w:after="0" w:line="238"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stock units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the performance goals), and his spouse is entitled to continued health and welfare benefits during her lifetime.</w:t>
      </w:r>
    </w:p>
    <w:p>
      <w:pPr>
        <w:spacing w:after="0" w:line="107" w:lineRule="exact"/>
        <w:rPr>
          <w:rFonts w:ascii="Arial" w:cs="Arial" w:eastAsia="Arial" w:hAnsi="Arial"/>
          <w:sz w:val="18"/>
          <w:szCs w:val="18"/>
          <w:color w:val="auto"/>
        </w:rPr>
      </w:pPr>
    </w:p>
    <w:p>
      <w:pPr>
        <w:ind w:left="980" w:right="20" w:hanging="432"/>
        <w:spacing w:after="0" w:line="238"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the event of Mr. Roberts’ death prior to the end of such three-year period following the date of his termination by reason of his disability, the remaining payments will not be made.</w:t>
      </w:r>
    </w:p>
    <w:p>
      <w:pPr>
        <w:spacing w:after="0" w:line="107" w:lineRule="exact"/>
        <w:rPr>
          <w:rFonts w:ascii="Arial" w:cs="Arial" w:eastAsia="Arial" w:hAnsi="Arial"/>
          <w:sz w:val="18"/>
          <w:szCs w:val="18"/>
          <w:color w:val="auto"/>
        </w:rPr>
      </w:pPr>
    </w:p>
    <w:p>
      <w:pPr>
        <w:ind w:left="980" w:hanging="432"/>
        <w:spacing w:after="0" w:line="236"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 of our NEOs other than Mr. Cohen would have been entitled to any retirement-related compensation had they retired on December 31, 2019; Mr. Cohen is over the age of 62 and, as of the date of this proxy statement, has completed 17 years of service.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date of grant; (ii) the continued vesting and exercisability of options granted before August 2010 for 36 and 39 months, respectively, following the termination of employment if he or she has completed 10 years of service; and (iii) the continued vesting of stock units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108" w:lineRule="exact"/>
        <w:rPr>
          <w:rFonts w:ascii="Arial" w:cs="Arial" w:eastAsia="Arial" w:hAnsi="Arial"/>
          <w:sz w:val="18"/>
          <w:szCs w:val="18"/>
          <w:color w:val="auto"/>
        </w:rPr>
      </w:pPr>
    </w:p>
    <w:p>
      <w:pPr>
        <w:ind w:left="980" w:right="40" w:hanging="432"/>
        <w:spacing w:after="0" w:line="238"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640"/>
        <w:spacing w:after="0" w:line="246" w:lineRule="auto"/>
        <w:rPr>
          <w:sz w:val="20"/>
          <w:szCs w:val="20"/>
          <w:color w:val="auto"/>
        </w:rPr>
      </w:pPr>
      <w:r>
        <w:rPr>
          <w:rFonts w:ascii="Arial" w:cs="Arial" w:eastAsia="Arial" w:hAnsi="Arial"/>
          <w:sz w:val="18"/>
          <w:szCs w:val="18"/>
          <w:color w:val="auto"/>
        </w:rPr>
        <w:t>a change in control transaction, it would be treated as a termination without cause and he would be entitled to the same amounts set forth in the “Without Cause/With Good Reason” category, as described in footnote (2) to this table.</w:t>
      </w:r>
    </w:p>
    <w:p>
      <w:pPr>
        <w:spacing w:after="0" w:line="89" w:lineRule="exact"/>
        <w:rPr>
          <w:sz w:val="20"/>
          <w:szCs w:val="20"/>
          <w:color w:val="auto"/>
        </w:rPr>
      </w:pPr>
    </w:p>
    <w:p>
      <w:pPr>
        <w:ind w:left="1000" w:right="40"/>
        <w:spacing w:after="0" w:line="235" w:lineRule="auto"/>
        <w:rPr>
          <w:sz w:val="20"/>
          <w:szCs w:val="20"/>
          <w:color w:val="auto"/>
        </w:rPr>
      </w:pPr>
      <w:r>
        <w:rPr>
          <w:rFonts w:ascii="Arial" w:cs="Arial" w:eastAsia="Arial" w:hAnsi="Arial"/>
          <w:sz w:val="18"/>
          <w:szCs w:val="18"/>
          <w:color w:val="auto"/>
        </w:rPr>
        <w:t>Under our restricted stock plan and stock option plan, a “change in control” means the occurrence of any one or more of the following events (i) 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105" w:lineRule="exact"/>
        <w:rPr>
          <w:sz w:val="20"/>
          <w:szCs w:val="20"/>
          <w:color w:val="auto"/>
        </w:rPr>
      </w:pPr>
    </w:p>
    <w:p>
      <w:pPr>
        <w:ind w:left="1000" w:right="220"/>
        <w:spacing w:after="0" w:line="237" w:lineRule="auto"/>
        <w:rPr>
          <w:sz w:val="20"/>
          <w:szCs w:val="20"/>
          <w:color w:val="auto"/>
        </w:rPr>
      </w:pPr>
      <w:r>
        <w:rPr>
          <w:rFonts w:ascii="Arial" w:cs="Arial" w:eastAsia="Arial" w:hAnsi="Arial"/>
          <w:sz w:val="18"/>
          <w:szCs w:val="18"/>
          <w:color w:val="auto"/>
        </w:rPr>
        <w:t>Under our restricted stock plan and stock option plan, in the event of a change in control, the Compensation Committee may, among other things, provide that any outstanding awards will vest and become exercisable, as applicable, in full or in part. If the Compensation Committee had decided to accelerate the vesting of such options or stock units as of December 31, 2019, our NEOs would have been entitled to the applicable amounts set forth in the “Acceleration/Continued Vesting and Exercisability of Unvested Stock Options” and “Acceleration/Continued Vesting of Unvested Stock Units” columns as if their employment had been terminated due to their death or disability.</w:t>
      </w:r>
    </w:p>
    <w:p>
      <w:pPr>
        <w:spacing w:after="0" w:line="110" w:lineRule="exact"/>
        <w:rPr>
          <w:sz w:val="20"/>
          <w:szCs w:val="20"/>
          <w:color w:val="auto"/>
        </w:rPr>
      </w:pPr>
    </w:p>
    <w:p>
      <w:pPr>
        <w:ind w:left="980" w:right="80" w:hanging="432"/>
        <w:spacing w:after="0" w:line="23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such executive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94" w:lineRule="exact"/>
        <w:rPr>
          <w:rFonts w:ascii="Arial" w:cs="Arial" w:eastAsia="Arial" w:hAnsi="Arial"/>
          <w:sz w:val="18"/>
          <w:szCs w:val="18"/>
          <w:color w:val="auto"/>
        </w:rPr>
      </w:pPr>
    </w:p>
    <w:p>
      <w:pPr>
        <w:ind w:left="1000"/>
        <w:spacing w:after="0" w:line="237"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full (non-prorated) amount of the current year’s annual cash bonus (assuming full achievement of performance goals) and the following year’s target annual cash bonus (prorated to reflect the number of full months he was employed during the year of termination and assuming full achievement of performance goals). In addition, each of Messrs. Cavanagh, Burke and Watson is entitled to continued vesting of his stock options and stock units in accordance with their respective terms for 12 months following termination, and his vested stock options will remain exercisable for a period equal to the lesser of 15 months or the end of the stock option’s term; Mr. Cohen, who is over the age of 62, is entitled to receive retirement-related compensation as set forth in footnote (5) to this table.</w:t>
      </w:r>
    </w:p>
    <w:p>
      <w:pPr>
        <w:spacing w:after="0" w:line="94" w:lineRule="exact"/>
        <w:rPr>
          <w:rFonts w:ascii="Arial" w:cs="Arial" w:eastAsia="Arial" w:hAnsi="Arial"/>
          <w:sz w:val="18"/>
          <w:szCs w:val="18"/>
          <w:color w:val="auto"/>
        </w:rPr>
      </w:pPr>
    </w:p>
    <w:p>
      <w:pPr>
        <w:ind w:left="1000" w:right="440"/>
        <w:spacing w:after="0" w:line="246" w:lineRule="auto"/>
        <w:rPr>
          <w:rFonts w:ascii="Arial" w:cs="Arial" w:eastAsia="Arial" w:hAnsi="Arial"/>
          <w:sz w:val="18"/>
          <w:szCs w:val="18"/>
          <w:color w:val="auto"/>
        </w:rPr>
      </w:pPr>
      <w:r>
        <w:rPr>
          <w:rFonts w:ascii="Arial" w:cs="Arial" w:eastAsia="Arial" w:hAnsi="Arial"/>
          <w:sz w:val="18"/>
          <w:szCs w:val="18"/>
          <w:color w:val="auto"/>
        </w:rPr>
        <w:t>The executives’ receipt of the payments and benefits described above are subject to execution of our standard agreement containing certain mutual releases.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200"/>
        <w:spacing w:after="0" w:line="236" w:lineRule="auto"/>
        <w:rPr>
          <w:sz w:val="20"/>
          <w:szCs w:val="20"/>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company policy or a material breach of his agreement, and “good reason” generally means a substantial demotion in his position or a material breach by the company of his agreement. In addition, for Mr. Cavanagh “cause” also includes the commission of any act or involvement in any situation, or occurrence, whether before or during the term of the agreement, which brings him into widespread public disrepute, contempt, scandal or ridicule, or which justifiably shocks, insults or offends a significant portion of the community, or his being subject to publicity for any such conduct or involvement in such conduct.</w:t>
      </w:r>
    </w:p>
    <w:p>
      <w:pPr>
        <w:spacing w:after="0" w:line="112" w:lineRule="exact"/>
        <w:rPr>
          <w:sz w:val="20"/>
          <w:szCs w:val="20"/>
          <w:color w:val="auto"/>
        </w:rPr>
      </w:pPr>
    </w:p>
    <w:p>
      <w:pPr>
        <w:ind w:left="980" w:right="200" w:hanging="432"/>
        <w:spacing w:after="0" w:line="238"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performance goals). In addition, full vesting of such executive’s stock options and stock units will occur and his stock options will remain exercisable for the remainder of their terms.</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0A33A5"/>
        </w:rPr>
        <w:t>OTHER COMPENSATION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EQUITY COMPENSATION PLAN INFORMATION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equity plan information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46595" cy="1714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46595" cy="1714500"/>
                    </a:xfrm>
                    <a:prstGeom prst="rect">
                      <a:avLst/>
                    </a:prstGeom>
                    <a:noFill/>
                  </pic:spPr>
                </pic:pic>
              </a:graphicData>
            </a:graphic>
          </wp:anchor>
        </w:drawing>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860" w:type="dxa"/>
            <w:vAlign w:val="bottom"/>
            <w:tcBorders>
              <w:top w:val="single" w:sz="8" w:color="auto"/>
            </w:tcBorders>
            <w:shd w:val="clear" w:color="auto" w:fill="DDF2F9"/>
          </w:tcPr>
          <w:p>
            <w:pPr>
              <w:spacing w:after="0"/>
              <w:rPr>
                <w:sz w:val="16"/>
                <w:szCs w:val="16"/>
                <w:color w:val="auto"/>
              </w:rPr>
            </w:pPr>
          </w:p>
        </w:tc>
        <w:tc>
          <w:tcPr>
            <w:tcW w:w="2080" w:type="dxa"/>
            <w:vAlign w:val="bottom"/>
            <w:tcBorders>
              <w:top w:val="single" w:sz="8" w:color="auto"/>
            </w:tcBorders>
            <w:shd w:val="clear" w:color="auto" w:fill="DDF2F9"/>
          </w:tcPr>
          <w:p>
            <w:pPr>
              <w:spacing w:after="0"/>
              <w:rPr>
                <w:sz w:val="16"/>
                <w:szCs w:val="16"/>
                <w:color w:val="auto"/>
              </w:rPr>
            </w:pPr>
          </w:p>
        </w:tc>
        <w:tc>
          <w:tcPr>
            <w:tcW w:w="1800" w:type="dxa"/>
            <w:vAlign w:val="bottom"/>
            <w:tcBorders>
              <w:top w:val="single" w:sz="8" w:color="auto"/>
            </w:tcBorders>
            <w:shd w:val="clear" w:color="auto" w:fill="DDF2F9"/>
          </w:tcPr>
          <w:p>
            <w:pPr>
              <w:spacing w:after="0"/>
              <w:rPr>
                <w:sz w:val="16"/>
                <w:szCs w:val="16"/>
                <w:color w:val="auto"/>
              </w:rPr>
            </w:pPr>
          </w:p>
        </w:tc>
        <w:tc>
          <w:tcPr>
            <w:tcW w:w="2360" w:type="dxa"/>
            <w:vAlign w:val="bottom"/>
            <w:tcBorders>
              <w:top w:val="single" w:sz="8" w:color="auto"/>
            </w:tcBorders>
            <w:shd w:val="clear" w:color="auto" w:fill="DDF2F9"/>
          </w:tcPr>
          <w:p>
            <w:pPr>
              <w:jc w:val="center"/>
              <w:spacing w:after="0" w:line="193" w:lineRule="exact"/>
              <w:rPr>
                <w:sz w:val="20"/>
                <w:szCs w:val="20"/>
                <w:color w:val="auto"/>
              </w:rPr>
            </w:pPr>
            <w:r>
              <w:rPr>
                <w:rFonts w:ascii="Arial" w:cs="Arial" w:eastAsia="Arial" w:hAnsi="Arial"/>
                <w:sz w:val="18"/>
                <w:szCs w:val="18"/>
                <w:b w:val="1"/>
                <w:bCs w:val="1"/>
                <w:color w:val="0A33A5"/>
              </w:rPr>
              <w:t>Number of Securities</w:t>
            </w:r>
          </w:p>
        </w:tc>
      </w:tr>
      <w:tr>
        <w:trPr>
          <w:trHeight w:val="203"/>
        </w:trPr>
        <w:tc>
          <w:tcPr>
            <w:tcW w:w="4860" w:type="dxa"/>
            <w:vAlign w:val="bottom"/>
            <w:shd w:val="clear" w:color="auto" w:fill="DDF2F9"/>
          </w:tcPr>
          <w:p>
            <w:pPr>
              <w:spacing w:after="0"/>
              <w:rPr>
                <w:sz w:val="17"/>
                <w:szCs w:val="17"/>
                <w:color w:val="auto"/>
              </w:rPr>
            </w:pPr>
          </w:p>
        </w:tc>
        <w:tc>
          <w:tcPr>
            <w:tcW w:w="208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Number of Securities</w:t>
            </w:r>
          </w:p>
        </w:tc>
        <w:tc>
          <w:tcPr>
            <w:tcW w:w="18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Weighted-Average</w:t>
            </w:r>
          </w:p>
        </w:tc>
        <w:tc>
          <w:tcPr>
            <w:tcW w:w="236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Remaining Available for</w:t>
            </w:r>
          </w:p>
        </w:tc>
      </w:tr>
      <w:tr>
        <w:trPr>
          <w:trHeight w:val="203"/>
        </w:trPr>
        <w:tc>
          <w:tcPr>
            <w:tcW w:w="4860" w:type="dxa"/>
            <w:vAlign w:val="bottom"/>
            <w:shd w:val="clear" w:color="auto" w:fill="DDF2F9"/>
          </w:tcPr>
          <w:p>
            <w:pPr>
              <w:spacing w:after="0"/>
              <w:rPr>
                <w:sz w:val="17"/>
                <w:szCs w:val="17"/>
                <w:color w:val="auto"/>
              </w:rPr>
            </w:pPr>
          </w:p>
        </w:tc>
        <w:tc>
          <w:tcPr>
            <w:tcW w:w="208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to Be Issued upon</w:t>
            </w:r>
          </w:p>
        </w:tc>
        <w:tc>
          <w:tcPr>
            <w:tcW w:w="18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Exercise Price of</w:t>
            </w:r>
          </w:p>
        </w:tc>
        <w:tc>
          <w:tcPr>
            <w:tcW w:w="236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Future Issuance under</w:t>
            </w:r>
          </w:p>
        </w:tc>
      </w:tr>
      <w:tr>
        <w:trPr>
          <w:trHeight w:val="203"/>
        </w:trPr>
        <w:tc>
          <w:tcPr>
            <w:tcW w:w="4860" w:type="dxa"/>
            <w:vAlign w:val="bottom"/>
            <w:shd w:val="clear" w:color="auto" w:fill="DDF2F9"/>
          </w:tcPr>
          <w:p>
            <w:pPr>
              <w:spacing w:after="0"/>
              <w:rPr>
                <w:sz w:val="17"/>
                <w:szCs w:val="17"/>
                <w:color w:val="auto"/>
              </w:rPr>
            </w:pPr>
          </w:p>
        </w:tc>
        <w:tc>
          <w:tcPr>
            <w:tcW w:w="208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Exercise of Outstanding</w:t>
            </w:r>
          </w:p>
        </w:tc>
        <w:tc>
          <w:tcPr>
            <w:tcW w:w="18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Outstanding</w:t>
            </w:r>
          </w:p>
        </w:tc>
        <w:tc>
          <w:tcPr>
            <w:tcW w:w="236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Equity Compensation</w:t>
            </w:r>
          </w:p>
        </w:tc>
      </w:tr>
      <w:tr>
        <w:trPr>
          <w:trHeight w:val="203"/>
        </w:trPr>
        <w:tc>
          <w:tcPr>
            <w:tcW w:w="4860" w:type="dxa"/>
            <w:vAlign w:val="bottom"/>
            <w:shd w:val="clear" w:color="auto" w:fill="DDF2F9"/>
          </w:tcPr>
          <w:p>
            <w:pPr>
              <w:spacing w:after="0"/>
              <w:rPr>
                <w:sz w:val="17"/>
                <w:szCs w:val="17"/>
                <w:color w:val="auto"/>
              </w:rPr>
            </w:pPr>
          </w:p>
        </w:tc>
        <w:tc>
          <w:tcPr>
            <w:tcW w:w="208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Options, Warrants and</w:t>
            </w:r>
          </w:p>
        </w:tc>
        <w:tc>
          <w:tcPr>
            <w:tcW w:w="18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8"/>
              </w:rPr>
              <w:t>Options, Warrants</w:t>
            </w:r>
          </w:p>
        </w:tc>
        <w:tc>
          <w:tcPr>
            <w:tcW w:w="236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Plans Excluding Securities</w:t>
            </w:r>
          </w:p>
        </w:tc>
      </w:tr>
      <w:tr>
        <w:trPr>
          <w:trHeight w:val="203"/>
        </w:trPr>
        <w:tc>
          <w:tcPr>
            <w:tcW w:w="4860" w:type="dxa"/>
            <w:vAlign w:val="bottom"/>
            <w:shd w:val="clear" w:color="auto" w:fill="DDF2F9"/>
          </w:tcPr>
          <w:p>
            <w:pPr>
              <w:spacing w:after="0"/>
              <w:rPr>
                <w:sz w:val="17"/>
                <w:szCs w:val="17"/>
                <w:color w:val="auto"/>
              </w:rPr>
            </w:pPr>
          </w:p>
        </w:tc>
        <w:tc>
          <w:tcPr>
            <w:tcW w:w="208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w w:val="99"/>
              </w:rPr>
              <w:t>Rights</w:t>
            </w:r>
            <w:r>
              <w:rPr>
                <w:rFonts w:ascii="Arial" w:cs="Arial" w:eastAsia="Arial" w:hAnsi="Arial"/>
                <w:sz w:val="15"/>
                <w:szCs w:val="15"/>
                <w:b w:val="1"/>
                <w:bCs w:val="1"/>
                <w:color w:val="0A33A5"/>
                <w:w w:val="99"/>
              </w:rPr>
              <w:t>(1)</w:t>
            </w:r>
          </w:p>
        </w:tc>
        <w:tc>
          <w:tcPr>
            <w:tcW w:w="180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and Rights</w:t>
            </w:r>
            <w:r>
              <w:rPr>
                <w:rFonts w:ascii="Arial" w:cs="Arial" w:eastAsia="Arial" w:hAnsi="Arial"/>
                <w:sz w:val="15"/>
                <w:szCs w:val="15"/>
                <w:b w:val="1"/>
                <w:bCs w:val="1"/>
                <w:color w:val="0A33A5"/>
              </w:rPr>
              <w:t>(2)</w:t>
            </w:r>
          </w:p>
        </w:tc>
        <w:tc>
          <w:tcPr>
            <w:tcW w:w="2360" w:type="dxa"/>
            <w:vAlign w:val="bottom"/>
            <w:shd w:val="clear" w:color="auto" w:fill="DDF2F9"/>
          </w:tcPr>
          <w:p>
            <w:pPr>
              <w:jc w:val="center"/>
              <w:spacing w:after="0" w:line="202" w:lineRule="exact"/>
              <w:rPr>
                <w:sz w:val="20"/>
                <w:szCs w:val="20"/>
                <w:color w:val="auto"/>
              </w:rPr>
            </w:pPr>
            <w:r>
              <w:rPr>
                <w:rFonts w:ascii="Arial" w:cs="Arial" w:eastAsia="Arial" w:hAnsi="Arial"/>
                <w:sz w:val="18"/>
                <w:szCs w:val="18"/>
                <w:b w:val="1"/>
                <w:bCs w:val="1"/>
                <w:color w:val="0A33A5"/>
              </w:rPr>
              <w:t>Reflected in Column (a)</w:t>
            </w:r>
            <w:r>
              <w:rPr>
                <w:rFonts w:ascii="Arial" w:cs="Arial" w:eastAsia="Arial" w:hAnsi="Arial"/>
                <w:sz w:val="15"/>
                <w:szCs w:val="15"/>
                <w:b w:val="1"/>
                <w:bCs w:val="1"/>
                <w:color w:val="0A33A5"/>
              </w:rPr>
              <w:t>(3)</w:t>
            </w:r>
          </w:p>
        </w:tc>
      </w:tr>
      <w:tr>
        <w:trPr>
          <w:trHeight w:val="284"/>
        </w:trPr>
        <w:tc>
          <w:tcPr>
            <w:tcW w:w="4860" w:type="dxa"/>
            <w:vAlign w:val="bottom"/>
            <w:tcBorders>
              <w:bottom w:val="single" w:sz="8" w:color="DDF2F9"/>
            </w:tcBorders>
            <w:shd w:val="clear" w:color="auto" w:fill="DDF2F9"/>
          </w:tcPr>
          <w:p>
            <w:pPr>
              <w:ind w:left="240"/>
              <w:spacing w:after="0"/>
              <w:rPr>
                <w:sz w:val="20"/>
                <w:szCs w:val="20"/>
                <w:color w:val="auto"/>
              </w:rPr>
            </w:pPr>
            <w:r>
              <w:rPr>
                <w:rFonts w:ascii="Arial" w:cs="Arial" w:eastAsia="Arial" w:hAnsi="Arial"/>
                <w:sz w:val="18"/>
                <w:szCs w:val="18"/>
                <w:b w:val="1"/>
                <w:bCs w:val="1"/>
                <w:color w:val="0A33A5"/>
              </w:rPr>
              <w:t>Plan Category</w:t>
            </w:r>
          </w:p>
        </w:tc>
        <w:tc>
          <w:tcPr>
            <w:tcW w:w="2080" w:type="dxa"/>
            <w:vAlign w:val="bottom"/>
            <w:tcBorders>
              <w:bottom w:val="single" w:sz="8" w:color="DDF2F9"/>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9"/>
              </w:rPr>
              <w:t>(a)</w:t>
            </w:r>
          </w:p>
        </w:tc>
        <w:tc>
          <w:tcPr>
            <w:tcW w:w="1800" w:type="dxa"/>
            <w:vAlign w:val="bottom"/>
            <w:tcBorders>
              <w:bottom w:val="single" w:sz="8" w:color="DDF2F9"/>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5"/>
              </w:rPr>
              <w:t>(b)</w:t>
            </w:r>
          </w:p>
        </w:tc>
        <w:tc>
          <w:tcPr>
            <w:tcW w:w="2360" w:type="dxa"/>
            <w:vAlign w:val="bottom"/>
            <w:tcBorders>
              <w:bottom w:val="single" w:sz="8" w:color="DDF2F9"/>
            </w:tcBorders>
            <w:shd w:val="clear" w:color="auto" w:fill="DDF2F9"/>
          </w:tcPr>
          <w:p>
            <w:pPr>
              <w:jc w:val="center"/>
              <w:spacing w:after="0"/>
              <w:rPr>
                <w:sz w:val="20"/>
                <w:szCs w:val="20"/>
                <w:color w:val="auto"/>
              </w:rPr>
            </w:pPr>
            <w:r>
              <w:rPr>
                <w:rFonts w:ascii="Arial" w:cs="Arial" w:eastAsia="Arial" w:hAnsi="Arial"/>
                <w:sz w:val="18"/>
                <w:szCs w:val="18"/>
                <w:b w:val="1"/>
                <w:bCs w:val="1"/>
                <w:color w:val="0A33A5"/>
                <w:w w:val="99"/>
              </w:rPr>
              <w:t>(c)</w:t>
            </w:r>
          </w:p>
        </w:tc>
      </w:tr>
      <w:tr>
        <w:trPr>
          <w:trHeight w:val="237"/>
        </w:trPr>
        <w:tc>
          <w:tcPr>
            <w:tcW w:w="48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Equity compensation plans approved by security holders</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247,509,422</w:t>
            </w: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$31.84</w:t>
            </w: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229,663,716</w:t>
            </w:r>
          </w:p>
        </w:tc>
      </w:tr>
      <w:tr>
        <w:trPr>
          <w:trHeight w:val="283"/>
        </w:trPr>
        <w:tc>
          <w:tcPr>
            <w:tcW w:w="4860" w:type="dxa"/>
            <w:vAlign w:val="bottom"/>
          </w:tcPr>
          <w:p>
            <w:pPr>
              <w:ind w:left="240"/>
              <w:spacing w:after="0"/>
              <w:rPr>
                <w:sz w:val="20"/>
                <w:szCs w:val="20"/>
                <w:color w:val="auto"/>
              </w:rPr>
            </w:pPr>
            <w:r>
              <w:rPr>
                <w:rFonts w:ascii="Arial" w:cs="Arial" w:eastAsia="Arial" w:hAnsi="Arial"/>
                <w:sz w:val="18"/>
                <w:szCs w:val="18"/>
                <w:color w:val="auto"/>
              </w:rPr>
              <w:t>Equity compensation plans not approved by security</w:t>
            </w:r>
          </w:p>
        </w:tc>
        <w:tc>
          <w:tcPr>
            <w:tcW w:w="2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holders</w:t>
            </w:r>
          </w:p>
        </w:tc>
        <w:tc>
          <w:tcPr>
            <w:tcW w:w="20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c>
          <w:tcPr>
            <w:tcW w:w="236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54"/>
        </w:trPr>
        <w:tc>
          <w:tcPr>
            <w:tcW w:w="486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64"/>
        </w:trPr>
        <w:tc>
          <w:tcPr>
            <w:tcW w:w="4860" w:type="dxa"/>
            <w:vAlign w:val="bottom"/>
          </w:tcPr>
          <w:p>
            <w:pPr>
              <w:ind w:left="240"/>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ind w:right="350"/>
              <w:spacing w:after="0"/>
              <w:rPr>
                <w:sz w:val="20"/>
                <w:szCs w:val="20"/>
                <w:color w:val="auto"/>
              </w:rPr>
            </w:pPr>
            <w:r>
              <w:rPr>
                <w:rFonts w:ascii="Arial" w:cs="Arial" w:eastAsia="Arial" w:hAnsi="Arial"/>
                <w:sz w:val="18"/>
                <w:szCs w:val="18"/>
                <w:color w:val="auto"/>
              </w:rPr>
              <w:t>247,509,422</w:t>
            </w:r>
          </w:p>
        </w:tc>
        <w:tc>
          <w:tcPr>
            <w:tcW w:w="1800" w:type="dxa"/>
            <w:vAlign w:val="bottom"/>
          </w:tcPr>
          <w:p>
            <w:pPr>
              <w:spacing w:after="0"/>
              <w:rPr>
                <w:sz w:val="22"/>
                <w:szCs w:val="22"/>
                <w:color w:val="auto"/>
              </w:rPr>
            </w:pPr>
          </w:p>
        </w:tc>
        <w:tc>
          <w:tcPr>
            <w:tcW w:w="2360" w:type="dxa"/>
            <w:vAlign w:val="bottom"/>
          </w:tcPr>
          <w:p>
            <w:pPr>
              <w:jc w:val="right"/>
              <w:ind w:right="490"/>
              <w:spacing w:after="0"/>
              <w:rPr>
                <w:sz w:val="20"/>
                <w:szCs w:val="20"/>
                <w:color w:val="auto"/>
              </w:rPr>
            </w:pPr>
            <w:r>
              <w:rPr>
                <w:rFonts w:ascii="Arial" w:cs="Arial" w:eastAsia="Arial" w:hAnsi="Arial"/>
                <w:sz w:val="18"/>
                <w:szCs w:val="18"/>
                <w:color w:val="auto"/>
              </w:rPr>
              <w:t>229,663,716</w:t>
            </w:r>
          </w:p>
        </w:tc>
      </w:tr>
    </w:tbl>
    <w:p>
      <w:pPr>
        <w:spacing w:after="0" w:line="107" w:lineRule="exact"/>
        <w:rPr>
          <w:sz w:val="20"/>
          <w:szCs w:val="20"/>
          <w:color w:val="auto"/>
        </w:rPr>
      </w:pPr>
    </w:p>
    <w:p>
      <w:pPr>
        <w:ind w:left="540" w:right="120" w:hanging="424"/>
        <w:spacing w:after="0" w:line="238"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shares of Class A common stock under the following plans: 2003 Stock Option Plan, 2002 Restricted Stock Plan (under which RSUs and PSUs have been granted), Comcast Corporation 2002 Employee Stock Purchase Plan, Comcast-NBCUniversal 2011 Employee Stock Purchase Plan and 2019 Omnibus Sharesave Plan. Also includes our 2002 and 2005 Deferred Compensation Plans (under which shares of Class A common stock have been credited to participants’ accounts).</w:t>
      </w:r>
    </w:p>
    <w:p>
      <w:pPr>
        <w:spacing w:after="0" w:line="110" w:lineRule="exact"/>
        <w:rPr>
          <w:rFonts w:ascii="Arial" w:cs="Arial" w:eastAsia="Arial" w:hAnsi="Arial"/>
          <w:sz w:val="18"/>
          <w:szCs w:val="18"/>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w:t>
      </w:r>
    </w:p>
    <w:p>
      <w:pPr>
        <w:spacing w:after="0" w:line="117" w:lineRule="exact"/>
        <w:rPr>
          <w:rFonts w:ascii="Arial" w:cs="Arial" w:eastAsia="Arial" w:hAnsi="Arial"/>
          <w:sz w:val="18"/>
          <w:szCs w:val="18"/>
          <w:color w:val="auto"/>
        </w:rPr>
      </w:pPr>
    </w:p>
    <w:p>
      <w:pPr>
        <w:ind w:left="540" w:right="160" w:hanging="424"/>
        <w:spacing w:after="0" w:line="236"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shares available for issuance includes the following number of shares of Class A common stock: 120,016,568 shares available for issuance under the 2003 Stock Option Plan; 66,712,011 shares available for issuance under the 2002 Restricted Stock Plan; 6,819,445 shares available for issuance under the 2019 Omnibus Sharesave Plan; 860,799 shares that were issued in connection with the fourth quarter 2019 purchase period under the Comcast Corporation 2002 Employee Stock Purchase Plan, 22,401,282 shares available for issuance under the Comcast Corporation 2002 Employee Stock Purchase Plan following the fourth quarter purchase; and 251,459 shares that were issued in connection with the fourth quarter 2019 purchase period under the Comcast-NBCUniversal 2011 Employee Stock Purchase Plan and 12,602,152 shares available for issuance under the Comcast-NBCUniversal 2011 Employee Stock Purchase Plan following the fourth quarter purchase.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PAY RATIO</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We are required under SEC rules to provide a pay ratio comparing Mr. Roberts’ 2019 compensation to that of our median employee’s 2019 compensation (excluding Mr. Roberts). As permitted under SEC rules, we had excluded approximately 33,000 employees of Sky, which we acquired in 2018, from last year’s pay ratio. As a result of including these employees for purposes of the 2019 pay ratio, we reasonably believed there would be a significant change in the pay ratio and have identified a new median employee. To identify the median employee, we engaged an unaffiliated third-party advisory services firm to conduct a statistical sampling of approximately 201,000 full-time, part-time, seasonal and temporary employees as of December 31, 2019 (which included approximately 50,000 non-U.S. employees) based on comparisons of base wages.</w:t>
      </w:r>
    </w:p>
    <w:p>
      <w:pPr>
        <w:spacing w:after="0" w:line="9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All of our part-time, seasonal and temporary employees as of December 31, 2019,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With approximately 25% of our employee population being international, the identification of our median employee also is affected by currency exchange rates relative to the U.S. dollar.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9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estimated that our pay ratio for 2019 is 461 to 1, calculated by dividing Mr. Roberts’ 2019 total compensation set forth in the Summary Compensation Table, adjusted as described below ($36,384,957), by $78,869,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the Company of specified employee benefits provided on a non-discriminatory basis, including group health and welfare benefits and the value of courtesy cable services.</w:t>
      </w:r>
    </w:p>
    <w:p>
      <w:pPr>
        <w:spacing w:after="0" w:line="97"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As permitted under SEC rules, we adjusted our total employee population for purposes of identifying our median employee by excluding approximately 1.2% of our employee population as follows (all amounts are approximate): 200 in Brazil; 370 in Canada; 760 in India; 820 in Ireland; 170 in Mexico; 80 in Peru; 50 in Russia; and fewer than 10 employees in total in the remainder of the world.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A33A5"/>
        </w:rPr>
        <w:t>DIRECTOR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DIRECTOR COMPENSATION PROGRAM</w:t>
      </w:r>
    </w:p>
    <w:p>
      <w:pPr>
        <w:spacing w:after="0" w:line="126"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Korn Ferry last provided this analysis in 2019. For 2019, our nonemployee directors received annual compensation as follows:</w:t>
      </w:r>
    </w:p>
    <w:p>
      <w:pPr>
        <w:spacing w:after="0" w:line="89" w:lineRule="exact"/>
        <w:rPr>
          <w:sz w:val="20"/>
          <w:szCs w:val="20"/>
          <w:color w:val="auto"/>
        </w:rPr>
      </w:pPr>
    </w:p>
    <w:tbl>
      <w:tblPr>
        <w:tblLayout w:type="fixed"/>
        <w:tblInd w:w="620" w:type="dxa"/>
        <w:tblCellMar>
          <w:top w:w="0" w:type="dxa"/>
          <w:left w:w="0" w:type="dxa"/>
          <w:bottom w:w="0" w:type="dxa"/>
          <w:right w:w="0" w:type="dxa"/>
        </w:tblCellMar>
      </w:tblPr>
      <w:tr>
        <w:trPr>
          <w:trHeight w:val="274"/>
        </w:trPr>
        <w:tc>
          <w:tcPr>
            <w:tcW w:w="3620" w:type="dxa"/>
            <w:vAlign w:val="bottom"/>
            <w:tcBorders>
              <w:top w:val="single" w:sz="8" w:color="auto"/>
            </w:tcBorders>
            <w:shd w:val="clear" w:color="auto" w:fill="DDF2F9"/>
          </w:tcPr>
          <w:p>
            <w:pPr>
              <w:spacing w:after="0"/>
              <w:rPr>
                <w:sz w:val="23"/>
                <w:szCs w:val="23"/>
                <w:color w:val="auto"/>
              </w:rPr>
            </w:pPr>
          </w:p>
        </w:tc>
        <w:tc>
          <w:tcPr>
            <w:tcW w:w="1520" w:type="dxa"/>
            <w:vAlign w:val="bottom"/>
            <w:tcBorders>
              <w:top w:val="single" w:sz="8" w:color="auto"/>
            </w:tcBorders>
            <w:shd w:val="clear" w:color="auto" w:fill="DDF2F9"/>
          </w:tcPr>
          <w:p>
            <w:pPr>
              <w:spacing w:after="0"/>
              <w:rPr>
                <w:sz w:val="23"/>
                <w:szCs w:val="23"/>
                <w:color w:val="auto"/>
              </w:rPr>
            </w:pPr>
          </w:p>
        </w:tc>
        <w:tc>
          <w:tcPr>
            <w:tcW w:w="1620" w:type="dxa"/>
            <w:vAlign w:val="bottom"/>
            <w:tcBorders>
              <w:top w:val="single" w:sz="8" w:color="auto"/>
            </w:tcBorders>
            <w:shd w:val="clear" w:color="auto" w:fill="DDF2F9"/>
          </w:tcPr>
          <w:p>
            <w:pPr>
              <w:spacing w:after="0"/>
              <w:rPr>
                <w:sz w:val="23"/>
                <w:szCs w:val="23"/>
                <w:color w:val="auto"/>
              </w:rPr>
            </w:pPr>
          </w:p>
        </w:tc>
        <w:tc>
          <w:tcPr>
            <w:tcW w:w="3260" w:type="dxa"/>
            <w:vAlign w:val="bottom"/>
            <w:tcBorders>
              <w:top w:val="single" w:sz="8" w:color="auto"/>
            </w:tcBorders>
            <w:shd w:val="clear" w:color="auto" w:fill="DDF2F9"/>
          </w:tcPr>
          <w:p>
            <w:pPr>
              <w:jc w:val="center"/>
              <w:ind w:left="150"/>
              <w:spacing w:after="0"/>
              <w:rPr>
                <w:sz w:val="20"/>
                <w:szCs w:val="20"/>
                <w:color w:val="auto"/>
              </w:rPr>
            </w:pPr>
            <w:r>
              <w:rPr>
                <w:rFonts w:ascii="Arial" w:cs="Arial" w:eastAsia="Arial" w:hAnsi="Arial"/>
                <w:sz w:val="18"/>
                <w:szCs w:val="18"/>
                <w:b w:val="1"/>
                <w:bCs w:val="1"/>
                <w:color w:val="0A33A5"/>
              </w:rPr>
              <w:t>FMV of Annual Grant of</w:t>
            </w:r>
          </w:p>
        </w:tc>
      </w:tr>
      <w:tr>
        <w:trPr>
          <w:trHeight w:val="284"/>
        </w:trPr>
        <w:tc>
          <w:tcPr>
            <w:tcW w:w="3620" w:type="dxa"/>
            <w:vAlign w:val="bottom"/>
            <w:tcBorders>
              <w:bottom w:val="single" w:sz="8" w:color="DDF2F9"/>
            </w:tcBorders>
            <w:shd w:val="clear" w:color="auto" w:fill="DDF2F9"/>
          </w:tcPr>
          <w:p>
            <w:pPr>
              <w:spacing w:after="0"/>
              <w:rPr>
                <w:sz w:val="24"/>
                <w:szCs w:val="24"/>
                <w:color w:val="auto"/>
              </w:rPr>
            </w:pPr>
          </w:p>
        </w:tc>
        <w:tc>
          <w:tcPr>
            <w:tcW w:w="3140" w:type="dxa"/>
            <w:vAlign w:val="bottom"/>
            <w:tcBorders>
              <w:bottom w:val="single" w:sz="8" w:color="DDF2F9"/>
            </w:tcBorders>
            <w:gridSpan w:val="2"/>
            <w:shd w:val="clear" w:color="auto" w:fill="DDF2F9"/>
          </w:tcPr>
          <w:p>
            <w:pPr>
              <w:ind w:left="920"/>
              <w:spacing w:after="0"/>
              <w:rPr>
                <w:sz w:val="20"/>
                <w:szCs w:val="20"/>
                <w:color w:val="auto"/>
              </w:rPr>
            </w:pPr>
            <w:r>
              <w:rPr>
                <w:rFonts w:ascii="Arial" w:cs="Arial" w:eastAsia="Arial" w:hAnsi="Arial"/>
                <w:sz w:val="18"/>
                <w:szCs w:val="18"/>
                <w:b w:val="1"/>
                <w:bCs w:val="1"/>
                <w:color w:val="0A33A5"/>
              </w:rPr>
              <w:t>Annual Retainer*</w:t>
            </w:r>
          </w:p>
        </w:tc>
        <w:tc>
          <w:tcPr>
            <w:tcW w:w="3260" w:type="dxa"/>
            <w:vAlign w:val="bottom"/>
            <w:tcBorders>
              <w:bottom w:val="single" w:sz="8" w:color="DDF2F9"/>
            </w:tcBorders>
            <w:shd w:val="clear" w:color="auto" w:fill="DDF2F9"/>
          </w:tcPr>
          <w:p>
            <w:pPr>
              <w:jc w:val="center"/>
              <w:ind w:left="150"/>
              <w:spacing w:after="0"/>
              <w:rPr>
                <w:sz w:val="20"/>
                <w:szCs w:val="20"/>
                <w:color w:val="auto"/>
              </w:rPr>
            </w:pPr>
            <w:r>
              <w:rPr>
                <w:rFonts w:ascii="Arial" w:cs="Arial" w:eastAsia="Arial" w:hAnsi="Arial"/>
                <w:sz w:val="18"/>
                <w:szCs w:val="18"/>
                <w:b w:val="1"/>
                <w:bCs w:val="1"/>
                <w:color w:val="0A33A5"/>
              </w:rPr>
              <w:t>Shares of CMCSA</w:t>
            </w:r>
          </w:p>
        </w:tc>
      </w:tr>
      <w:tr>
        <w:trPr>
          <w:trHeight w:val="277"/>
        </w:trPr>
        <w:tc>
          <w:tcPr>
            <w:tcW w:w="36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Director Fees</w:t>
            </w:r>
          </w:p>
        </w:tc>
        <w:tc>
          <w:tcPr>
            <w:tcW w:w="3140" w:type="dxa"/>
            <w:vAlign w:val="bottom"/>
            <w:tcBorders>
              <w:top w:val="single" w:sz="8" w:color="auto"/>
            </w:tcBorders>
            <w:gridSpan w:val="2"/>
          </w:tcPr>
          <w:p>
            <w:pPr>
              <w:ind w:left="1280"/>
              <w:spacing w:after="0"/>
              <w:rPr>
                <w:sz w:val="20"/>
                <w:szCs w:val="20"/>
                <w:color w:val="auto"/>
              </w:rPr>
            </w:pPr>
            <w:r>
              <w:rPr>
                <w:rFonts w:ascii="Arial" w:cs="Arial" w:eastAsia="Arial" w:hAnsi="Arial"/>
                <w:sz w:val="18"/>
                <w:szCs w:val="18"/>
                <w:color w:val="auto"/>
              </w:rPr>
              <w:t>$110,000</w:t>
            </w:r>
          </w:p>
        </w:tc>
        <w:tc>
          <w:tcPr>
            <w:tcW w:w="326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98"/>
              </w:rPr>
              <w:t>$185,000</w:t>
            </w:r>
          </w:p>
        </w:tc>
      </w:tr>
      <w:tr>
        <w:trPr>
          <w:trHeight w:val="68"/>
        </w:trPr>
        <w:tc>
          <w:tcPr>
            <w:tcW w:w="36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gridSpan w:val="2"/>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r>
        <w:trPr>
          <w:trHeight w:val="276"/>
        </w:trPr>
        <w:tc>
          <w:tcPr>
            <w:tcW w:w="3620" w:type="dxa"/>
            <w:vAlign w:val="bottom"/>
          </w:tcPr>
          <w:p>
            <w:pPr>
              <w:ind w:left="80"/>
              <w:spacing w:after="0"/>
              <w:rPr>
                <w:sz w:val="20"/>
                <w:szCs w:val="20"/>
                <w:color w:val="auto"/>
              </w:rPr>
            </w:pPr>
            <w:r>
              <w:rPr>
                <w:rFonts w:ascii="Arial" w:cs="Arial" w:eastAsia="Arial" w:hAnsi="Arial"/>
                <w:sz w:val="18"/>
                <w:szCs w:val="18"/>
                <w:b w:val="1"/>
                <w:bCs w:val="1"/>
                <w:color w:val="auto"/>
              </w:rPr>
              <w:t>Audit Committee Fees</w:t>
            </w:r>
          </w:p>
        </w:tc>
        <w:tc>
          <w:tcPr>
            <w:tcW w:w="3140" w:type="dxa"/>
            <w:vAlign w:val="bottom"/>
            <w:gridSpan w:val="2"/>
          </w:tcPr>
          <w:p>
            <w:pPr>
              <w:ind w:left="840"/>
              <w:spacing w:after="0"/>
              <w:rPr>
                <w:sz w:val="20"/>
                <w:szCs w:val="20"/>
                <w:color w:val="auto"/>
              </w:rPr>
            </w:pPr>
            <w:r>
              <w:rPr>
                <w:rFonts w:ascii="Arial" w:cs="Arial" w:eastAsia="Arial" w:hAnsi="Arial"/>
                <w:sz w:val="18"/>
                <w:szCs w:val="18"/>
                <w:color w:val="auto"/>
              </w:rPr>
              <w:t>$40,000 – Chair</w:t>
            </w:r>
          </w:p>
        </w:tc>
        <w:tc>
          <w:tcPr>
            <w:tcW w:w="326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7"/>
        </w:trPr>
        <w:tc>
          <w:tcPr>
            <w:tcW w:w="3620" w:type="dxa"/>
            <w:vAlign w:val="bottom"/>
          </w:tcPr>
          <w:p>
            <w:pPr>
              <w:spacing w:after="0"/>
              <w:rPr>
                <w:sz w:val="18"/>
                <w:szCs w:val="18"/>
                <w:color w:val="auto"/>
              </w:rPr>
            </w:pPr>
          </w:p>
        </w:tc>
        <w:tc>
          <w:tcPr>
            <w:tcW w:w="3140" w:type="dxa"/>
            <w:vAlign w:val="bottom"/>
            <w:gridSpan w:val="2"/>
          </w:tcPr>
          <w:p>
            <w:pPr>
              <w:ind w:left="840"/>
              <w:spacing w:after="0"/>
              <w:rPr>
                <w:sz w:val="20"/>
                <w:szCs w:val="20"/>
                <w:color w:val="auto"/>
              </w:rPr>
            </w:pPr>
            <w:r>
              <w:rPr>
                <w:rFonts w:ascii="Arial" w:cs="Arial" w:eastAsia="Arial" w:hAnsi="Arial"/>
                <w:sz w:val="18"/>
                <w:szCs w:val="18"/>
                <w:color w:val="auto"/>
              </w:rPr>
              <w:t>$15,000 – Member</w:t>
            </w:r>
          </w:p>
        </w:tc>
        <w:tc>
          <w:tcPr>
            <w:tcW w:w="3260" w:type="dxa"/>
            <w:vAlign w:val="bottom"/>
          </w:tcPr>
          <w:p>
            <w:pPr>
              <w:spacing w:after="0"/>
              <w:rPr>
                <w:sz w:val="18"/>
                <w:szCs w:val="18"/>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gridSpan w:val="2"/>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r>
        <w:trPr>
          <w:trHeight w:val="276"/>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Compensation Committee Fees</w:t>
            </w:r>
          </w:p>
        </w:tc>
        <w:tc>
          <w:tcPr>
            <w:tcW w:w="3140" w:type="dxa"/>
            <w:vAlign w:val="bottom"/>
            <w:gridSpan w:val="2"/>
          </w:tcPr>
          <w:p>
            <w:pPr>
              <w:ind w:left="840"/>
              <w:spacing w:after="0"/>
              <w:rPr>
                <w:sz w:val="20"/>
                <w:szCs w:val="20"/>
                <w:color w:val="auto"/>
              </w:rPr>
            </w:pPr>
            <w:r>
              <w:rPr>
                <w:rFonts w:ascii="Arial" w:cs="Arial" w:eastAsia="Arial" w:hAnsi="Arial"/>
                <w:sz w:val="18"/>
                <w:szCs w:val="18"/>
                <w:color w:val="auto"/>
              </w:rPr>
              <w:t>$40,000 – Chair</w:t>
            </w:r>
          </w:p>
        </w:tc>
        <w:tc>
          <w:tcPr>
            <w:tcW w:w="326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7"/>
        </w:trPr>
        <w:tc>
          <w:tcPr>
            <w:tcW w:w="3620" w:type="dxa"/>
            <w:vAlign w:val="bottom"/>
          </w:tcPr>
          <w:p>
            <w:pPr>
              <w:spacing w:after="0"/>
              <w:rPr>
                <w:sz w:val="18"/>
                <w:szCs w:val="18"/>
                <w:color w:val="auto"/>
              </w:rPr>
            </w:pPr>
          </w:p>
        </w:tc>
        <w:tc>
          <w:tcPr>
            <w:tcW w:w="1520" w:type="dxa"/>
            <w:vAlign w:val="bottom"/>
          </w:tcPr>
          <w:p>
            <w:pPr>
              <w:ind w:left="840"/>
              <w:spacing w:after="0"/>
              <w:rPr>
                <w:sz w:val="20"/>
                <w:szCs w:val="20"/>
                <w:color w:val="auto"/>
              </w:rPr>
            </w:pPr>
            <w:r>
              <w:rPr>
                <w:rFonts w:ascii="Arial" w:cs="Arial" w:eastAsia="Arial" w:hAnsi="Arial"/>
                <w:sz w:val="18"/>
                <w:szCs w:val="18"/>
                <w:color w:val="auto"/>
              </w:rPr>
              <w:t>$15,000</w:t>
            </w:r>
          </w:p>
        </w:tc>
        <w:tc>
          <w:tcPr>
            <w:tcW w:w="1620" w:type="dxa"/>
            <w:vAlign w:val="bottom"/>
          </w:tcPr>
          <w:p>
            <w:pPr>
              <w:ind w:left="20"/>
              <w:spacing w:after="0"/>
              <w:rPr>
                <w:sz w:val="20"/>
                <w:szCs w:val="20"/>
                <w:color w:val="auto"/>
              </w:rPr>
            </w:pPr>
            <w:r>
              <w:rPr>
                <w:rFonts w:ascii="Arial" w:cs="Arial" w:eastAsia="Arial" w:hAnsi="Arial"/>
                <w:sz w:val="18"/>
                <w:szCs w:val="18"/>
                <w:color w:val="auto"/>
              </w:rPr>
              <w:t>– Member</w:t>
            </w:r>
          </w:p>
        </w:tc>
        <w:tc>
          <w:tcPr>
            <w:tcW w:w="3260" w:type="dxa"/>
            <w:vAlign w:val="bottom"/>
          </w:tcPr>
          <w:p>
            <w:pPr>
              <w:spacing w:after="0"/>
              <w:rPr>
                <w:sz w:val="18"/>
                <w:szCs w:val="18"/>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r>
        <w:trPr>
          <w:trHeight w:val="254"/>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Governance and Directors</w:t>
            </w:r>
          </w:p>
        </w:tc>
        <w:tc>
          <w:tcPr>
            <w:tcW w:w="1520" w:type="dxa"/>
            <w:vAlign w:val="bottom"/>
          </w:tcPr>
          <w:p>
            <w:pPr>
              <w:ind w:left="840"/>
              <w:spacing w:after="0"/>
              <w:rPr>
                <w:sz w:val="20"/>
                <w:szCs w:val="20"/>
                <w:color w:val="auto"/>
              </w:rPr>
            </w:pPr>
            <w:r>
              <w:rPr>
                <w:rFonts w:ascii="Arial" w:cs="Arial" w:eastAsia="Arial" w:hAnsi="Arial"/>
                <w:sz w:val="18"/>
                <w:szCs w:val="18"/>
                <w:color w:val="auto"/>
              </w:rPr>
              <w:t>$20,000</w:t>
            </w:r>
          </w:p>
        </w:tc>
        <w:tc>
          <w:tcPr>
            <w:tcW w:w="1620" w:type="dxa"/>
            <w:vAlign w:val="bottom"/>
          </w:tcPr>
          <w:p>
            <w:pPr>
              <w:ind w:left="20"/>
              <w:spacing w:after="0"/>
              <w:rPr>
                <w:sz w:val="20"/>
                <w:szCs w:val="20"/>
                <w:color w:val="auto"/>
              </w:rPr>
            </w:pPr>
            <w:r>
              <w:rPr>
                <w:rFonts w:ascii="Arial" w:cs="Arial" w:eastAsia="Arial" w:hAnsi="Arial"/>
                <w:sz w:val="18"/>
                <w:szCs w:val="18"/>
                <w:color w:val="auto"/>
              </w:rPr>
              <w:t>– Chair</w:t>
            </w:r>
          </w:p>
        </w:tc>
        <w:tc>
          <w:tcPr>
            <w:tcW w:w="326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39"/>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Nominating Committee Fees</w:t>
            </w:r>
          </w:p>
        </w:tc>
        <w:tc>
          <w:tcPr>
            <w:tcW w:w="1520" w:type="dxa"/>
            <w:vAlign w:val="bottom"/>
          </w:tcPr>
          <w:p>
            <w:pPr>
              <w:ind w:left="840"/>
              <w:spacing w:after="0"/>
              <w:rPr>
                <w:sz w:val="20"/>
                <w:szCs w:val="20"/>
                <w:color w:val="auto"/>
              </w:rPr>
            </w:pPr>
            <w:r>
              <w:rPr>
                <w:rFonts w:ascii="Arial" w:cs="Arial" w:eastAsia="Arial" w:hAnsi="Arial"/>
                <w:sz w:val="18"/>
                <w:szCs w:val="18"/>
                <w:color w:val="auto"/>
              </w:rPr>
              <w:t>$12,500</w:t>
            </w:r>
          </w:p>
        </w:tc>
        <w:tc>
          <w:tcPr>
            <w:tcW w:w="1620" w:type="dxa"/>
            <w:vAlign w:val="bottom"/>
          </w:tcPr>
          <w:p>
            <w:pPr>
              <w:ind w:left="20"/>
              <w:spacing w:after="0"/>
              <w:rPr>
                <w:sz w:val="20"/>
                <w:szCs w:val="20"/>
                <w:color w:val="auto"/>
              </w:rPr>
            </w:pPr>
            <w:r>
              <w:rPr>
                <w:rFonts w:ascii="Arial" w:cs="Arial" w:eastAsia="Arial" w:hAnsi="Arial"/>
                <w:sz w:val="18"/>
                <w:szCs w:val="18"/>
                <w:color w:val="auto"/>
              </w:rPr>
              <w:t>– Member</w:t>
            </w:r>
          </w:p>
        </w:tc>
        <w:tc>
          <w:tcPr>
            <w:tcW w:w="3260" w:type="dxa"/>
            <w:vAlign w:val="bottom"/>
          </w:tcPr>
          <w:p>
            <w:pPr>
              <w:spacing w:after="0"/>
              <w:rPr>
                <w:sz w:val="20"/>
                <w:szCs w:val="20"/>
                <w:color w:val="auto"/>
              </w:rPr>
            </w:pPr>
          </w:p>
        </w:tc>
      </w:tr>
      <w:tr>
        <w:trPr>
          <w:trHeight w:val="67"/>
        </w:trPr>
        <w:tc>
          <w:tcPr>
            <w:tcW w:w="36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r>
        <w:trPr>
          <w:trHeight w:val="276"/>
        </w:trPr>
        <w:tc>
          <w:tcPr>
            <w:tcW w:w="3620" w:type="dxa"/>
            <w:vAlign w:val="bottom"/>
          </w:tcPr>
          <w:p>
            <w:pPr>
              <w:ind w:left="100"/>
              <w:spacing w:after="0"/>
              <w:rPr>
                <w:sz w:val="20"/>
                <w:szCs w:val="20"/>
                <w:color w:val="auto"/>
              </w:rPr>
            </w:pPr>
            <w:r>
              <w:rPr>
                <w:rFonts w:ascii="Arial" w:cs="Arial" w:eastAsia="Arial" w:hAnsi="Arial"/>
                <w:sz w:val="18"/>
                <w:szCs w:val="18"/>
                <w:b w:val="1"/>
                <w:bCs w:val="1"/>
                <w:color w:val="auto"/>
              </w:rPr>
              <w:t>Finance Committee Fees</w:t>
            </w:r>
          </w:p>
        </w:tc>
        <w:tc>
          <w:tcPr>
            <w:tcW w:w="1520" w:type="dxa"/>
            <w:vAlign w:val="bottom"/>
          </w:tcPr>
          <w:p>
            <w:pPr>
              <w:ind w:left="840"/>
              <w:spacing w:after="0"/>
              <w:rPr>
                <w:sz w:val="20"/>
                <w:szCs w:val="20"/>
                <w:color w:val="auto"/>
              </w:rPr>
            </w:pPr>
            <w:r>
              <w:rPr>
                <w:rFonts w:ascii="Arial" w:cs="Arial" w:eastAsia="Arial" w:hAnsi="Arial"/>
                <w:sz w:val="18"/>
                <w:szCs w:val="18"/>
                <w:color w:val="auto"/>
              </w:rPr>
              <w:t>$10,000</w:t>
            </w:r>
          </w:p>
        </w:tc>
        <w:tc>
          <w:tcPr>
            <w:tcW w:w="1620" w:type="dxa"/>
            <w:vAlign w:val="bottom"/>
          </w:tcPr>
          <w:p>
            <w:pPr>
              <w:ind w:left="20"/>
              <w:spacing w:after="0"/>
              <w:rPr>
                <w:sz w:val="20"/>
                <w:szCs w:val="20"/>
                <w:color w:val="auto"/>
              </w:rPr>
            </w:pPr>
            <w:r>
              <w:rPr>
                <w:rFonts w:ascii="Arial" w:cs="Arial" w:eastAsia="Arial" w:hAnsi="Arial"/>
                <w:sz w:val="18"/>
                <w:szCs w:val="18"/>
                <w:color w:val="auto"/>
              </w:rPr>
              <w:t>– Chair</w:t>
            </w:r>
          </w:p>
        </w:tc>
        <w:tc>
          <w:tcPr>
            <w:tcW w:w="326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r>
      <w:tr>
        <w:trPr>
          <w:trHeight w:val="217"/>
        </w:trPr>
        <w:tc>
          <w:tcPr>
            <w:tcW w:w="3620" w:type="dxa"/>
            <w:vAlign w:val="bottom"/>
          </w:tcPr>
          <w:p>
            <w:pPr>
              <w:spacing w:after="0"/>
              <w:rPr>
                <w:sz w:val="18"/>
                <w:szCs w:val="18"/>
                <w:color w:val="auto"/>
              </w:rPr>
            </w:pPr>
          </w:p>
        </w:tc>
        <w:tc>
          <w:tcPr>
            <w:tcW w:w="3140" w:type="dxa"/>
            <w:vAlign w:val="bottom"/>
            <w:gridSpan w:val="2"/>
          </w:tcPr>
          <w:p>
            <w:pPr>
              <w:ind w:left="840"/>
              <w:spacing w:after="0"/>
              <w:rPr>
                <w:sz w:val="20"/>
                <w:szCs w:val="20"/>
                <w:color w:val="auto"/>
              </w:rPr>
            </w:pPr>
            <w:r>
              <w:rPr>
                <w:rFonts w:ascii="Arial" w:cs="Arial" w:eastAsia="Arial" w:hAnsi="Arial"/>
                <w:sz w:val="18"/>
                <w:szCs w:val="18"/>
                <w:color w:val="auto"/>
              </w:rPr>
              <w:t>$7,500 – Member</w:t>
            </w:r>
          </w:p>
        </w:tc>
        <w:tc>
          <w:tcPr>
            <w:tcW w:w="3260" w:type="dxa"/>
            <w:vAlign w:val="bottom"/>
          </w:tcPr>
          <w:p>
            <w:pPr>
              <w:spacing w:after="0"/>
              <w:rPr>
                <w:sz w:val="18"/>
                <w:szCs w:val="18"/>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3260" w:type="dxa"/>
            <w:vAlign w:val="bottom"/>
            <w:tcBorders>
              <w:bottom w:val="single" w:sz="8" w:color="auto"/>
            </w:tcBorders>
          </w:tcPr>
          <w:p>
            <w:pPr>
              <w:spacing w:after="0"/>
              <w:rPr>
                <w:sz w:val="5"/>
                <w:szCs w:val="5"/>
                <w:color w:val="auto"/>
              </w:rPr>
            </w:pPr>
          </w:p>
        </w:tc>
      </w:tr>
    </w:tbl>
    <w:p>
      <w:pPr>
        <w:spacing w:after="0" w:line="121" w:lineRule="exact"/>
        <w:rPr>
          <w:sz w:val="20"/>
          <w:szCs w:val="20"/>
          <w:color w:val="auto"/>
        </w:rPr>
      </w:pPr>
    </w:p>
    <w:p>
      <w:pPr>
        <w:ind w:left="760" w:right="560" w:hanging="104"/>
        <w:spacing w:after="0" w:line="246" w:lineRule="auto"/>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fee of $2,500 may also be paid when a director attends a meeting (other than a Board or committee meeting) or conducts business on our behalf in his or her capacity as a director.</w:t>
      </w:r>
    </w:p>
    <w:p>
      <w:pPr>
        <w:spacing w:after="0" w:line="89"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97"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Our directors emeritus are entitled to receive an annual cash payment equal to the fair market value of our annual stock grant, as well as the same annual Board retainer and fees for meetings, if any, attended as provided above for nonemployee directors. Fees received may be deferred in whole or in part under our deferred compensation plans at the same crediting rate as nonemployee directors during and for one year following service as a director emeritus.</w:t>
      </w:r>
    </w:p>
    <w:p>
      <w:pPr>
        <w:spacing w:after="0" w:line="9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Nonemployee directors and directors emeritus are reimbursed for travel expenses for meetings attended and also are provided with our high-speed internet, video, voice and home security and automation services at up to two of their residences, if in our service areas, at no cost during the time they serve, and for five years thereafter.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DIRECTOR COMPENSATION</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specified information regarding the 2019 compensation of our nonemployee directors in 2019. No information is provided for Mr. Roberts, who is an employee director and does not receive compensation for his services as a director.</w:t>
      </w:r>
    </w:p>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520" w:type="dxa"/>
            <w:vAlign w:val="bottom"/>
            <w:tcBorders>
              <w:top w:val="single" w:sz="8" w:color="auto"/>
            </w:tcBorders>
            <w:shd w:val="clear" w:color="auto" w:fill="DDF2F9"/>
          </w:tcPr>
          <w:p>
            <w:pPr>
              <w:spacing w:after="0"/>
              <w:rPr>
                <w:sz w:val="17"/>
                <w:szCs w:val="17"/>
                <w:color w:val="auto"/>
              </w:rPr>
            </w:pPr>
          </w:p>
        </w:tc>
        <w:tc>
          <w:tcPr>
            <w:tcW w:w="2400" w:type="dxa"/>
            <w:vAlign w:val="bottom"/>
            <w:tcBorders>
              <w:top w:val="single" w:sz="8" w:color="auto"/>
            </w:tcBorders>
            <w:shd w:val="clear" w:color="auto" w:fill="DDF2F9"/>
          </w:tcPr>
          <w:p>
            <w:pPr>
              <w:spacing w:after="0"/>
              <w:rPr>
                <w:sz w:val="17"/>
                <w:szCs w:val="17"/>
                <w:color w:val="auto"/>
              </w:rPr>
            </w:pPr>
          </w:p>
        </w:tc>
        <w:tc>
          <w:tcPr>
            <w:tcW w:w="1880" w:type="dxa"/>
            <w:vAlign w:val="bottom"/>
            <w:tcBorders>
              <w:top w:val="single" w:sz="8" w:color="auto"/>
            </w:tcBorders>
            <w:shd w:val="clear" w:color="auto" w:fill="DDF2F9"/>
          </w:tcPr>
          <w:p>
            <w:pPr>
              <w:spacing w:after="0"/>
              <w:rPr>
                <w:sz w:val="17"/>
                <w:szCs w:val="17"/>
                <w:color w:val="auto"/>
              </w:rPr>
            </w:pPr>
          </w:p>
        </w:tc>
        <w:tc>
          <w:tcPr>
            <w:tcW w:w="284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6"/>
                <w:szCs w:val="16"/>
                <w:b w:val="1"/>
                <w:bCs w:val="1"/>
                <w:color w:val="0A33A5"/>
              </w:rPr>
              <w:t>Change in Pension Value and</w:t>
            </w:r>
          </w:p>
        </w:tc>
        <w:tc>
          <w:tcPr>
            <w:tcW w:w="1380" w:type="dxa"/>
            <w:vAlign w:val="bottom"/>
            <w:tcBorders>
              <w:top w:val="single" w:sz="8" w:color="auto"/>
            </w:tcBorders>
            <w:shd w:val="clear" w:color="auto" w:fill="DDF2F9"/>
          </w:tcPr>
          <w:p>
            <w:pPr>
              <w:spacing w:after="0"/>
              <w:rPr>
                <w:sz w:val="17"/>
                <w:szCs w:val="17"/>
                <w:color w:val="auto"/>
              </w:rPr>
            </w:pPr>
          </w:p>
        </w:tc>
      </w:tr>
      <w:tr>
        <w:trPr>
          <w:trHeight w:val="188"/>
        </w:trPr>
        <w:tc>
          <w:tcPr>
            <w:tcW w:w="2520" w:type="dxa"/>
            <w:vAlign w:val="bottom"/>
            <w:shd w:val="clear" w:color="auto" w:fill="DDF2F9"/>
          </w:tcPr>
          <w:p>
            <w:pPr>
              <w:spacing w:after="0"/>
              <w:rPr>
                <w:sz w:val="16"/>
                <w:szCs w:val="16"/>
                <w:color w:val="auto"/>
              </w:rPr>
            </w:pPr>
          </w:p>
        </w:tc>
        <w:tc>
          <w:tcPr>
            <w:tcW w:w="2400" w:type="dxa"/>
            <w:vAlign w:val="bottom"/>
            <w:shd w:val="clear" w:color="auto" w:fill="DDF2F9"/>
          </w:tcPr>
          <w:p>
            <w:pPr>
              <w:jc w:val="right"/>
              <w:ind w:right="239"/>
              <w:spacing w:after="0"/>
              <w:rPr>
                <w:sz w:val="20"/>
                <w:szCs w:val="20"/>
                <w:color w:val="auto"/>
              </w:rPr>
            </w:pPr>
            <w:r>
              <w:rPr>
                <w:rFonts w:ascii="Arial" w:cs="Arial" w:eastAsia="Arial" w:hAnsi="Arial"/>
                <w:sz w:val="16"/>
                <w:szCs w:val="16"/>
                <w:b w:val="1"/>
                <w:bCs w:val="1"/>
                <w:color w:val="0A33A5"/>
              </w:rPr>
              <w:t>Fees Earned or</w:t>
            </w:r>
          </w:p>
        </w:tc>
        <w:tc>
          <w:tcPr>
            <w:tcW w:w="1880" w:type="dxa"/>
            <w:vAlign w:val="bottom"/>
            <w:shd w:val="clear" w:color="auto" w:fill="DDF2F9"/>
          </w:tcPr>
          <w:p>
            <w:pPr>
              <w:spacing w:after="0"/>
              <w:rPr>
                <w:sz w:val="16"/>
                <w:szCs w:val="16"/>
                <w:color w:val="auto"/>
              </w:rPr>
            </w:pPr>
          </w:p>
        </w:tc>
        <w:tc>
          <w:tcPr>
            <w:tcW w:w="284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0A33A5"/>
              </w:rPr>
              <w:t>Nonqualified Deferred</w:t>
            </w:r>
          </w:p>
        </w:tc>
        <w:tc>
          <w:tcPr>
            <w:tcW w:w="1380" w:type="dxa"/>
            <w:vAlign w:val="bottom"/>
            <w:shd w:val="clear" w:color="auto" w:fill="DDF2F9"/>
          </w:tcPr>
          <w:p>
            <w:pPr>
              <w:spacing w:after="0"/>
              <w:rPr>
                <w:sz w:val="16"/>
                <w:szCs w:val="16"/>
                <w:color w:val="auto"/>
              </w:rPr>
            </w:pPr>
          </w:p>
        </w:tc>
      </w:tr>
      <w:tr>
        <w:trPr>
          <w:trHeight w:val="262"/>
        </w:trPr>
        <w:tc>
          <w:tcPr>
            <w:tcW w:w="252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6"/>
                <w:szCs w:val="16"/>
                <w:b w:val="1"/>
                <w:bCs w:val="1"/>
                <w:color w:val="0A33A5"/>
              </w:rPr>
              <w:t>Name</w:t>
            </w:r>
          </w:p>
        </w:tc>
        <w:tc>
          <w:tcPr>
            <w:tcW w:w="2400" w:type="dxa"/>
            <w:vAlign w:val="bottom"/>
            <w:tcBorders>
              <w:bottom w:val="single" w:sz="8" w:color="auto"/>
            </w:tcBorders>
            <w:shd w:val="clear" w:color="auto" w:fill="DDF2F9"/>
          </w:tcPr>
          <w:p>
            <w:pPr>
              <w:jc w:val="right"/>
              <w:ind w:right="259"/>
              <w:spacing w:after="0" w:line="262" w:lineRule="exact"/>
              <w:rPr>
                <w:sz w:val="20"/>
                <w:szCs w:val="20"/>
                <w:color w:val="auto"/>
              </w:rPr>
            </w:pPr>
            <w:r>
              <w:rPr>
                <w:rFonts w:ascii="Arial" w:cs="Arial" w:eastAsia="Arial" w:hAnsi="Arial"/>
                <w:sz w:val="16"/>
                <w:szCs w:val="16"/>
                <w:b w:val="1"/>
                <w:bCs w:val="1"/>
                <w:color w:val="0A33A5"/>
              </w:rPr>
              <w:t>Paid in Cash</w:t>
            </w:r>
            <w:r>
              <w:rPr>
                <w:rFonts w:ascii="Arial" w:cs="Arial" w:eastAsia="Arial" w:hAnsi="Arial"/>
                <w:sz w:val="27"/>
                <w:szCs w:val="27"/>
                <w:b w:val="1"/>
                <w:bCs w:val="1"/>
                <w:color w:val="0A33A5"/>
                <w:vertAlign w:val="superscript"/>
              </w:rPr>
              <w:t>(1)</w:t>
            </w:r>
          </w:p>
        </w:tc>
        <w:tc>
          <w:tcPr>
            <w:tcW w:w="1880" w:type="dxa"/>
            <w:vAlign w:val="bottom"/>
            <w:tcBorders>
              <w:bottom w:val="single" w:sz="8" w:color="auto"/>
            </w:tcBorders>
            <w:shd w:val="clear" w:color="auto" w:fill="DDF2F9"/>
          </w:tcPr>
          <w:p>
            <w:pPr>
              <w:jc w:val="right"/>
              <w:ind w:right="239"/>
              <w:spacing w:after="0" w:line="262" w:lineRule="exact"/>
              <w:rPr>
                <w:sz w:val="20"/>
                <w:szCs w:val="20"/>
                <w:color w:val="auto"/>
              </w:rPr>
            </w:pPr>
            <w:r>
              <w:rPr>
                <w:rFonts w:ascii="Arial" w:cs="Arial" w:eastAsia="Arial" w:hAnsi="Arial"/>
                <w:sz w:val="16"/>
                <w:szCs w:val="16"/>
                <w:b w:val="1"/>
                <w:bCs w:val="1"/>
                <w:color w:val="0A33A5"/>
              </w:rPr>
              <w:t>Stock Awards</w:t>
            </w:r>
            <w:r>
              <w:rPr>
                <w:rFonts w:ascii="Arial" w:cs="Arial" w:eastAsia="Arial" w:hAnsi="Arial"/>
                <w:sz w:val="27"/>
                <w:szCs w:val="27"/>
                <w:b w:val="1"/>
                <w:bCs w:val="1"/>
                <w:color w:val="0A33A5"/>
                <w:vertAlign w:val="superscript"/>
              </w:rPr>
              <w:t>(2)</w:t>
            </w:r>
          </w:p>
        </w:tc>
        <w:tc>
          <w:tcPr>
            <w:tcW w:w="2840" w:type="dxa"/>
            <w:vAlign w:val="bottom"/>
            <w:tcBorders>
              <w:bottom w:val="single" w:sz="8" w:color="auto"/>
            </w:tcBorders>
            <w:shd w:val="clear" w:color="auto" w:fill="DDF2F9"/>
          </w:tcPr>
          <w:p>
            <w:pPr>
              <w:jc w:val="center"/>
              <w:spacing w:after="0" w:line="262" w:lineRule="exact"/>
              <w:rPr>
                <w:sz w:val="20"/>
                <w:szCs w:val="20"/>
                <w:color w:val="auto"/>
              </w:rPr>
            </w:pPr>
            <w:r>
              <w:rPr>
                <w:rFonts w:ascii="Arial" w:cs="Arial" w:eastAsia="Arial" w:hAnsi="Arial"/>
                <w:sz w:val="16"/>
                <w:szCs w:val="16"/>
                <w:b w:val="1"/>
                <w:bCs w:val="1"/>
                <w:color w:val="0A33A5"/>
                <w:w w:val="98"/>
              </w:rPr>
              <w:t>Compensation Earnings</w:t>
            </w:r>
            <w:r>
              <w:rPr>
                <w:rFonts w:ascii="Arial" w:cs="Arial" w:eastAsia="Arial" w:hAnsi="Arial"/>
                <w:sz w:val="27"/>
                <w:szCs w:val="27"/>
                <w:b w:val="1"/>
                <w:bCs w:val="1"/>
                <w:color w:val="0A33A5"/>
                <w:w w:val="98"/>
                <w:vertAlign w:val="superscript"/>
              </w:rPr>
              <w:t>(3)</w:t>
            </w:r>
          </w:p>
        </w:tc>
        <w:tc>
          <w:tcPr>
            <w:tcW w:w="1380" w:type="dxa"/>
            <w:vAlign w:val="bottom"/>
            <w:tcBorders>
              <w:bottom w:val="single" w:sz="8" w:color="auto"/>
            </w:tcBorders>
            <w:shd w:val="clear" w:color="auto" w:fill="DDF2F9"/>
          </w:tcPr>
          <w:p>
            <w:pPr>
              <w:jc w:val="right"/>
              <w:ind w:right="539"/>
              <w:spacing w:after="0"/>
              <w:rPr>
                <w:sz w:val="20"/>
                <w:szCs w:val="20"/>
                <w:color w:val="auto"/>
              </w:rPr>
            </w:pPr>
            <w:r>
              <w:rPr>
                <w:rFonts w:ascii="Arial" w:cs="Arial" w:eastAsia="Arial" w:hAnsi="Arial"/>
                <w:sz w:val="16"/>
                <w:szCs w:val="16"/>
                <w:b w:val="1"/>
                <w:bCs w:val="1"/>
                <w:color w:val="0A33A5"/>
              </w:rPr>
              <w:t>Total</w:t>
            </w:r>
          </w:p>
        </w:tc>
      </w:tr>
      <w:tr>
        <w:trPr>
          <w:trHeight w:val="184"/>
        </w:trPr>
        <w:tc>
          <w:tcPr>
            <w:tcW w:w="2520" w:type="dxa"/>
            <w:vAlign w:val="bottom"/>
          </w:tcPr>
          <w:p>
            <w:pPr>
              <w:ind w:left="80"/>
              <w:spacing w:after="0"/>
              <w:rPr>
                <w:sz w:val="20"/>
                <w:szCs w:val="20"/>
                <w:color w:val="auto"/>
              </w:rPr>
            </w:pPr>
            <w:r>
              <w:rPr>
                <w:rFonts w:ascii="Arial" w:cs="Arial" w:eastAsia="Arial" w:hAnsi="Arial"/>
                <w:sz w:val="16"/>
                <w:szCs w:val="16"/>
                <w:color w:val="auto"/>
              </w:rPr>
              <w:t>Kenneth J. Bacon</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$130,000</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$150,154</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$465,194</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Madeline S. Bell</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137,592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14,736</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337,368</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Sheldon M. Bonovitz</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117,500</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1,254,329</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1,556,869</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Edward D. Breen</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150,092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45,211</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380,343</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Gerald L. Hassell</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135,092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197,562</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517,694</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Jeffrey A. Honickman</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162,592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324,891</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672,523</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Maritza G. Montiel</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125,092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8,241</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318,373</w:t>
            </w:r>
          </w:p>
        </w:tc>
      </w:tr>
      <w:tr>
        <w:trPr>
          <w:trHeight w:val="189"/>
        </w:trPr>
        <w:tc>
          <w:tcPr>
            <w:tcW w:w="2520" w:type="dxa"/>
            <w:vAlign w:val="bottom"/>
          </w:tcPr>
          <w:p>
            <w:pPr>
              <w:ind w:left="80"/>
              <w:spacing w:after="0"/>
              <w:rPr>
                <w:sz w:val="20"/>
                <w:szCs w:val="20"/>
                <w:color w:val="auto"/>
              </w:rPr>
            </w:pPr>
            <w:r>
              <w:rPr>
                <w:rFonts w:ascii="Arial" w:cs="Arial" w:eastAsia="Arial" w:hAnsi="Arial"/>
                <w:sz w:val="16"/>
                <w:szCs w:val="16"/>
                <w:color w:val="auto"/>
              </w:rPr>
              <w:t>Asuka Nakahara</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125,092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11,240</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321,372</w:t>
            </w:r>
          </w:p>
        </w:tc>
      </w:tr>
      <w:tr>
        <w:trPr>
          <w:trHeight w:val="195"/>
        </w:trPr>
        <w:tc>
          <w:tcPr>
            <w:tcW w:w="2520" w:type="dxa"/>
            <w:vAlign w:val="bottom"/>
          </w:tcPr>
          <w:p>
            <w:pPr>
              <w:ind w:left="80"/>
              <w:spacing w:after="0"/>
              <w:rPr>
                <w:sz w:val="20"/>
                <w:szCs w:val="20"/>
                <w:color w:val="auto"/>
              </w:rPr>
            </w:pPr>
            <w:r>
              <w:rPr>
                <w:rFonts w:ascii="Arial" w:cs="Arial" w:eastAsia="Arial" w:hAnsi="Arial"/>
                <w:sz w:val="16"/>
                <w:szCs w:val="16"/>
                <w:color w:val="auto"/>
              </w:rPr>
              <w:t>David C. Novak</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125,092</w:t>
            </w:r>
          </w:p>
        </w:tc>
        <w:tc>
          <w:tcPr>
            <w:tcW w:w="1880" w:type="dxa"/>
            <w:vAlign w:val="bottom"/>
          </w:tcPr>
          <w:p>
            <w:pPr>
              <w:jc w:val="right"/>
              <w:ind w:right="479"/>
              <w:spacing w:after="0"/>
              <w:rPr>
                <w:sz w:val="20"/>
                <w:szCs w:val="20"/>
                <w:color w:val="auto"/>
              </w:rPr>
            </w:pPr>
            <w:r>
              <w:rPr>
                <w:rFonts w:ascii="Arial" w:cs="Arial" w:eastAsia="Arial" w:hAnsi="Arial"/>
                <w:sz w:val="16"/>
                <w:szCs w:val="16"/>
                <w:color w:val="auto"/>
              </w:rPr>
              <w:t>185,040</w:t>
            </w:r>
          </w:p>
        </w:tc>
        <w:tc>
          <w:tcPr>
            <w:tcW w:w="2840" w:type="dxa"/>
            <w:vAlign w:val="bottom"/>
          </w:tcPr>
          <w:p>
            <w:pPr>
              <w:jc w:val="right"/>
              <w:ind w:right="659"/>
              <w:spacing w:after="0"/>
              <w:rPr>
                <w:sz w:val="20"/>
                <w:szCs w:val="20"/>
                <w:color w:val="auto"/>
              </w:rPr>
            </w:pPr>
            <w:r>
              <w:rPr>
                <w:rFonts w:ascii="Arial" w:cs="Arial" w:eastAsia="Arial" w:hAnsi="Arial"/>
                <w:sz w:val="16"/>
                <w:szCs w:val="16"/>
                <w:color w:val="auto"/>
              </w:rPr>
              <w:t>11,214</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321,346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6" w:lineRule="exact"/>
        <w:rPr>
          <w:sz w:val="20"/>
          <w:szCs w:val="20"/>
          <w:color w:val="auto"/>
        </w:rPr>
      </w:pPr>
    </w:p>
    <w:p>
      <w:pPr>
        <w:ind w:left="540" w:right="380" w:hanging="424"/>
        <w:spacing w:after="0" w:line="246"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in 2019, regardless of whether deferred as described below. Messrs. Breen, Hassell, Honickman, Nakahara and Novak and Msses. Bell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20"/>
        <w:spacing w:after="0" w:line="246" w:lineRule="auto"/>
        <w:rPr>
          <w:sz w:val="20"/>
          <w:szCs w:val="20"/>
          <w:color w:val="auto"/>
        </w:rPr>
      </w:pPr>
      <w:r>
        <w:rPr>
          <w:rFonts w:ascii="Arial" w:cs="Arial" w:eastAsia="Arial" w:hAnsi="Arial"/>
          <w:sz w:val="18"/>
          <w:szCs w:val="18"/>
          <w:color w:val="auto"/>
        </w:rPr>
        <w:t>Montiel elected to receive 50% of their annual retainer in the form of equity. Each such director earned 1,282 share units with respect to Class A common stock, which all (other than Mr. Breen) deferred.</w:t>
      </w:r>
    </w:p>
    <w:p>
      <w:pPr>
        <w:spacing w:after="0" w:line="48" w:lineRule="exact"/>
        <w:rPr>
          <w:sz w:val="20"/>
          <w:szCs w:val="20"/>
          <w:color w:val="auto"/>
        </w:rPr>
      </w:pPr>
    </w:p>
    <w:p>
      <w:pPr>
        <w:ind w:left="540" w:hanging="424"/>
        <w:spacing w:after="0" w:line="238"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for each award of shares of Class A common stock granted in 2019, in accordance with FASB ASC Topic 718. The amounts in this column were calculated using the valuation assumptions discussed in the “Share-Based Compensation” footnote to the financial statements in our Annual Report on Form 10-K for the year ended December 31, 2019. The amounts were determined by multiplying the Class A common stock closing price on the date of grant, November 20, 2019, by the number of shares subject to the grant.</w:t>
      </w:r>
    </w:p>
    <w:p>
      <w:pPr>
        <w:spacing w:after="0" w:line="94" w:lineRule="exact"/>
        <w:rPr>
          <w:sz w:val="20"/>
          <w:szCs w:val="20"/>
          <w:color w:val="auto"/>
        </w:rPr>
      </w:pPr>
    </w:p>
    <w:p>
      <w:pPr>
        <w:ind w:left="560" w:right="60"/>
        <w:spacing w:after="0" w:line="246" w:lineRule="auto"/>
        <w:rPr>
          <w:sz w:val="20"/>
          <w:szCs w:val="20"/>
          <w:color w:val="auto"/>
        </w:rPr>
      </w:pPr>
      <w:r>
        <w:rPr>
          <w:rFonts w:ascii="Arial" w:cs="Arial" w:eastAsia="Arial" w:hAnsi="Arial"/>
          <w:sz w:val="18"/>
          <w:szCs w:val="18"/>
          <w:color w:val="auto"/>
        </w:rPr>
        <w:t>As of December 31, 2019, the following share units were outstanding with respect to shares of Class A common stock resulting from annual equity awards and annual retainer fees, all of which were deferred:</w:t>
      </w:r>
    </w:p>
    <w:p>
      <w:pPr>
        <w:spacing w:after="0" w:line="29" w:lineRule="exact"/>
        <w:rPr>
          <w:sz w:val="20"/>
          <w:szCs w:val="20"/>
          <w:color w:val="auto"/>
        </w:rPr>
      </w:pPr>
    </w:p>
    <w:tbl>
      <w:tblPr>
        <w:tblLayout w:type="fixed"/>
        <w:tblInd w:w="2100" w:type="dxa"/>
        <w:tblCellMar>
          <w:top w:w="0" w:type="dxa"/>
          <w:left w:w="0" w:type="dxa"/>
          <w:bottom w:w="0" w:type="dxa"/>
          <w:right w:w="0" w:type="dxa"/>
        </w:tblCellMar>
      </w:tblPr>
      <w:tr>
        <w:trPr>
          <w:trHeight w:val="275"/>
        </w:trPr>
        <w:tc>
          <w:tcPr>
            <w:tcW w:w="2400" w:type="dxa"/>
            <w:vAlign w:val="bottom"/>
            <w:tcBorders>
              <w:top w:val="single" w:sz="8" w:color="auto"/>
              <w:bottom w:val="single" w:sz="8" w:color="DDF2F9"/>
            </w:tcBorders>
            <w:shd w:val="clear" w:color="auto" w:fill="DDF2F9"/>
          </w:tcPr>
          <w:p>
            <w:pPr>
              <w:spacing w:after="0"/>
              <w:rPr>
                <w:sz w:val="23"/>
                <w:szCs w:val="23"/>
                <w:color w:val="auto"/>
              </w:rPr>
            </w:pPr>
          </w:p>
        </w:tc>
        <w:tc>
          <w:tcPr>
            <w:tcW w:w="2860" w:type="dxa"/>
            <w:vAlign w:val="bottom"/>
            <w:tcBorders>
              <w:top w:val="single" w:sz="8" w:color="auto"/>
              <w:bottom w:val="single" w:sz="8" w:color="DDF2F9"/>
            </w:tcBorders>
            <w:shd w:val="clear" w:color="auto" w:fill="DDF2F9"/>
          </w:tcPr>
          <w:p>
            <w:pPr>
              <w:jc w:val="right"/>
              <w:ind w:right="279"/>
              <w:spacing w:after="0"/>
              <w:rPr>
                <w:sz w:val="20"/>
                <w:szCs w:val="20"/>
                <w:color w:val="auto"/>
              </w:rPr>
            </w:pPr>
            <w:r>
              <w:rPr>
                <w:rFonts w:ascii="Arial" w:cs="Arial" w:eastAsia="Arial" w:hAnsi="Arial"/>
                <w:sz w:val="16"/>
                <w:szCs w:val="16"/>
                <w:b w:val="1"/>
                <w:bCs w:val="1"/>
                <w:color w:val="0A33A5"/>
              </w:rPr>
              <w:t>Annual Equity Awards</w:t>
            </w:r>
          </w:p>
        </w:tc>
        <w:tc>
          <w:tcPr>
            <w:tcW w:w="1780" w:type="dxa"/>
            <w:vAlign w:val="bottom"/>
            <w:tcBorders>
              <w:top w:val="single" w:sz="8" w:color="auto"/>
              <w:bottom w:val="single" w:sz="8" w:color="DDF2F9"/>
            </w:tcBorders>
            <w:shd w:val="clear" w:color="auto" w:fill="DDF2F9"/>
          </w:tcPr>
          <w:p>
            <w:pPr>
              <w:jc w:val="right"/>
              <w:spacing w:after="0"/>
              <w:rPr>
                <w:sz w:val="20"/>
                <w:szCs w:val="20"/>
                <w:color w:val="auto"/>
              </w:rPr>
            </w:pPr>
            <w:r>
              <w:rPr>
                <w:rFonts w:ascii="Arial" w:cs="Arial" w:eastAsia="Arial" w:hAnsi="Arial"/>
                <w:sz w:val="16"/>
                <w:szCs w:val="16"/>
                <w:b w:val="1"/>
                <w:bCs w:val="1"/>
                <w:color w:val="0A33A5"/>
              </w:rPr>
              <w:t>Annual Retainers</w:t>
            </w:r>
          </w:p>
        </w:tc>
      </w:tr>
      <w:tr>
        <w:trPr>
          <w:trHeight w:val="204"/>
        </w:trPr>
        <w:tc>
          <w:tcPr>
            <w:tcW w:w="24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Madeline S. Bell</w:t>
            </w:r>
          </w:p>
        </w:tc>
        <w:tc>
          <w:tcPr>
            <w:tcW w:w="286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rPr>
              <w:t>22,741</w:t>
            </w:r>
          </w:p>
        </w:tc>
        <w:tc>
          <w:tcPr>
            <w:tcW w:w="17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3,738</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Sheldon M. Bonovitz</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11,638</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Edward D. Breen</w:t>
            </w:r>
          </w:p>
        </w:tc>
        <w:tc>
          <w:tcPr>
            <w:tcW w:w="28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4,818</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Gerald L. Hassell</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109,694</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26,290</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Jeffrey A. Honickman</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136,495</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32,581</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Maritza G. Montiel</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10,008</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2,167</w:t>
            </w:r>
          </w:p>
        </w:tc>
      </w:tr>
      <w:tr>
        <w:trPr>
          <w:trHeight w:val="243"/>
        </w:trPr>
        <w:tc>
          <w:tcPr>
            <w:tcW w:w="2400" w:type="dxa"/>
            <w:vAlign w:val="bottom"/>
          </w:tcPr>
          <w:p>
            <w:pPr>
              <w:ind w:left="80"/>
              <w:spacing w:after="0"/>
              <w:rPr>
                <w:sz w:val="20"/>
                <w:szCs w:val="20"/>
                <w:color w:val="auto"/>
              </w:rPr>
            </w:pPr>
            <w:r>
              <w:rPr>
                <w:rFonts w:ascii="Arial" w:cs="Arial" w:eastAsia="Arial" w:hAnsi="Arial"/>
                <w:sz w:val="16"/>
                <w:szCs w:val="16"/>
                <w:color w:val="auto"/>
              </w:rPr>
              <w:t>Asuka Nakahara</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17,206</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3,847</w:t>
            </w:r>
          </w:p>
        </w:tc>
      </w:tr>
      <w:tr>
        <w:trPr>
          <w:trHeight w:val="243"/>
        </w:trPr>
        <w:tc>
          <w:tcPr>
            <w:tcW w:w="2400" w:type="dxa"/>
            <w:vAlign w:val="bottom"/>
          </w:tcPr>
          <w:p>
            <w:pPr>
              <w:ind w:left="100"/>
              <w:spacing w:after="0"/>
              <w:rPr>
                <w:sz w:val="20"/>
                <w:szCs w:val="20"/>
                <w:color w:val="auto"/>
              </w:rPr>
            </w:pPr>
            <w:r>
              <w:rPr>
                <w:rFonts w:ascii="Arial" w:cs="Arial" w:eastAsia="Arial" w:hAnsi="Arial"/>
                <w:sz w:val="16"/>
                <w:szCs w:val="16"/>
                <w:color w:val="auto"/>
              </w:rPr>
              <w:t>David C. Novak</w:t>
            </w:r>
          </w:p>
        </w:tc>
        <w:tc>
          <w:tcPr>
            <w:tcW w:w="2860" w:type="dxa"/>
            <w:vAlign w:val="bottom"/>
          </w:tcPr>
          <w:p>
            <w:pPr>
              <w:jc w:val="right"/>
              <w:ind w:right="839"/>
              <w:spacing w:after="0"/>
              <w:rPr>
                <w:sz w:val="20"/>
                <w:szCs w:val="20"/>
                <w:color w:val="auto"/>
              </w:rPr>
            </w:pPr>
            <w:r>
              <w:rPr>
                <w:rFonts w:ascii="Arial" w:cs="Arial" w:eastAsia="Arial" w:hAnsi="Arial"/>
                <w:sz w:val="16"/>
                <w:szCs w:val="16"/>
                <w:color w:val="auto"/>
              </w:rPr>
              <w:t>13,842</w:t>
            </w:r>
          </w:p>
        </w:tc>
        <w:tc>
          <w:tcPr>
            <w:tcW w:w="1780" w:type="dxa"/>
            <w:vAlign w:val="bottom"/>
          </w:tcPr>
          <w:p>
            <w:pPr>
              <w:jc w:val="right"/>
              <w:ind w:right="379"/>
              <w:spacing w:after="0"/>
              <w:rPr>
                <w:sz w:val="20"/>
                <w:szCs w:val="20"/>
                <w:color w:val="auto"/>
              </w:rPr>
            </w:pPr>
            <w:r>
              <w:rPr>
                <w:rFonts w:ascii="Arial" w:cs="Arial" w:eastAsia="Arial" w:hAnsi="Arial"/>
                <w:sz w:val="16"/>
                <w:szCs w:val="16"/>
                <w:color w:val="auto"/>
              </w:rPr>
              <w:t>3,842</w:t>
            </w:r>
          </w:p>
        </w:tc>
      </w:tr>
    </w:tbl>
    <w:p>
      <w:pPr>
        <w:spacing w:after="0" w:line="86" w:lineRule="exact"/>
        <w:rPr>
          <w:sz w:val="20"/>
          <w:szCs w:val="20"/>
          <w:color w:val="auto"/>
        </w:rPr>
      </w:pPr>
    </w:p>
    <w:p>
      <w:pPr>
        <w:ind w:left="540" w:right="40" w:hanging="424"/>
        <w:spacing w:after="0" w:line="236"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on previously earned compensation (and previously reported in the “Fees Earned or Paid in Cash” or “Stock Awards” columns) that has been deferred in excess of 120% of the long-term applicable federal rate (the interest crediting rate on deferred compensation earned in 2019 was 9%). Mr. Bonovitz, a nonindependent director who is not a nominee for election at the 2020 annual meeting, has deferred a significant amount of previously earned compensation over his 40 year tenure. Once deferred, under our deferred compensation plans and as a result of applicable tax law, we cannot require that a director’s deferred compensation balance be paid to the director. Moreover, under our deferred compensation plans and as a result of applicable tax law, absent certain hardship exceptions, a director cannot require that we distribute amounts deferred other than in accordance with distribution schedules established by the director.</w:t>
      </w:r>
    </w:p>
    <w:p>
      <w:pPr>
        <w:spacing w:after="0" w:line="185" w:lineRule="exact"/>
        <w:rPr>
          <w:sz w:val="20"/>
          <w:szCs w:val="20"/>
          <w:color w:val="auto"/>
        </w:rPr>
      </w:pPr>
    </w:p>
    <w:p>
      <w:pPr>
        <w:ind w:left="120" w:right="2280" w:firstLine="2289"/>
        <w:spacing w:after="0" w:line="362" w:lineRule="auto"/>
        <w:rPr>
          <w:sz w:val="20"/>
          <w:szCs w:val="20"/>
          <w:color w:val="auto"/>
        </w:rPr>
      </w:pPr>
      <w:r>
        <w:rPr>
          <w:rFonts w:ascii="Arial" w:cs="Arial" w:eastAsia="Arial" w:hAnsi="Arial"/>
          <w:sz w:val="18"/>
          <w:szCs w:val="18"/>
          <w:b w:val="1"/>
          <w:bCs w:val="1"/>
          <w:color w:val="0A33A5"/>
        </w:rPr>
        <w:t>RELATED PARTY TRANSACTIONS POLICY AND CERTAIN TRANSACTIONS RELATED PARTY TRANSACTIONS POLICY</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We review all transactions, except for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corporate administrative matters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112" w:lineRule="exact"/>
        <w:rPr>
          <w:sz w:val="20"/>
          <w:szCs w:val="20"/>
          <w:color w:val="auto"/>
        </w:rPr>
      </w:pPr>
    </w:p>
    <w:p>
      <w:pPr>
        <w:ind w:left="980" w:hanging="432"/>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A33A5"/>
        </w:rPr>
        <w:t>2019 RELATED PARTY TRANSACTIONS</w:t>
      </w:r>
    </w:p>
    <w:p>
      <w:pPr>
        <w:spacing w:after="0" w:line="12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2019, Mr. Roberts paid us an aggregate of approximately $354,000 related to this agreement.</w:t>
      </w:r>
    </w:p>
    <w:p>
      <w:pPr>
        <w:spacing w:after="0" w:line="9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As a result of the death of our founder Ralph J. Roberts in June 2015, trusts he established for the benefit of certain of his designated beneficiaries (other than Mr. Brian L. Roberts) are entitled to receive compensation he had deferred under our deferred compensation plans and, as such, collectively earned approximately $159,000 in 2019 in interest and dividend equivalents on such deferred compensation. Suzanne Roberts, the late mother of Brian L. Roberts and widow of Ralph J. Roberts, received health and welfare benefits pursuant to contractual arrangements entered into with Ralph J. Roberts approximately 20 years ago.</w:t>
      </w:r>
    </w:p>
    <w:p>
      <w:pPr>
        <w:spacing w:after="0" w:line="94" w:lineRule="exact"/>
        <w:rPr>
          <w:sz w:val="20"/>
          <w:szCs w:val="20"/>
          <w:color w:val="auto"/>
        </w:rPr>
      </w:pPr>
    </w:p>
    <w:p>
      <w:pPr>
        <w:ind w:left="120" w:right="140"/>
        <w:spacing w:after="0" w:line="274" w:lineRule="auto"/>
        <w:rPr>
          <w:sz w:val="20"/>
          <w:szCs w:val="20"/>
          <w:color w:val="auto"/>
        </w:rPr>
      </w:pPr>
      <w:r>
        <w:rPr>
          <w:rFonts w:ascii="Arial" w:cs="Arial" w:eastAsia="Arial" w:hAnsi="Arial"/>
          <w:sz w:val="17"/>
          <w:szCs w:val="17"/>
          <w:color w:val="auto"/>
        </w:rPr>
        <w:t>Mr. Roberts’ son is an employee of Comcast Spectacor, one of our business units. He received approximately $360,000 in compensation from us and also participated in our employee benefit plans on the same basis as other similarly-situated employees in 2019.</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SHAREHOLDER PROPOSALS FOR NEXT YEAR</w:t>
      </w:r>
    </w:p>
    <w:p>
      <w:pPr>
        <w:spacing w:after="0" w:line="126"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Any shareholder proposals intended to be presented at our 2021 annual meeting of shareholders and considered for inclusion in our proxy materials must be received by December 25, 2020 and must comply with the procedures of Rule 14a-8 under the Exchange Act. Shareholder proposals failing to comply with the procedures of Rule 14a-8 under the Exchange Act will be excluded. If the date of our</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2021 annual meeting is more than 30 days from June 3, 2021, we will publicly announce a different submission deadline from that set forth above, in compliance with SEC rules.</w:t>
      </w:r>
    </w:p>
    <w:p>
      <w:pPr>
        <w:spacing w:after="0" w:line="8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2021 but are not included in our proxy materials must comply with the advance notice provision in Section 2.09 of our by-laws. If we call the 2021 annual meeting of shareholders for a date between May 4, 2021 and July 3, 2021, we must receive notice of the proposal on or after February 3, 2021 and on or before March 5, 2021. If we call the 2021 annual meeting of shareholders for any other date, we must receive notice of the proposal by the close of business on the tenth day following the day we mailed notice of, or announced publicly, the date of the meeting, whichever occurs first. If notice is not received by March 5, 2021 (or the tenth day following the day we mail notice of, or announce publicly, the date of our 2021 annual meeting of shareholders, if such meeting is not called for a date between May 4, 2021 and July 3, 2021), the shareholder proposals will be deemed “untimely.”</w:t>
      </w:r>
    </w:p>
    <w:p>
      <w:pPr>
        <w:spacing w:after="0" w:line="100"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“Corporate Governance — Director Nominations.”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shareholder proposals should be directed to Thomas J. Reid, Secretary, Comcast Corporation, at our address listed on page 3.</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SOLICITATION OF PROXIES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$32,500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ELECTRONIC ACCESS TO PROXY MATERIALS AND ANNUAL REPORT ON FORM 10-K</w:t>
      </w:r>
    </w:p>
    <w:p>
      <w:pPr>
        <w:spacing w:after="0" w:line="108" w:lineRule="exact"/>
        <w:rPr>
          <w:sz w:val="20"/>
          <w:szCs w:val="20"/>
          <w:color w:val="auto"/>
        </w:rPr>
      </w:pPr>
    </w:p>
    <w:p>
      <w:pPr>
        <w:ind w:left="120"/>
        <w:spacing w:after="0" w:line="260" w:lineRule="auto"/>
        <w:rPr>
          <w:sz w:val="20"/>
          <w:szCs w:val="20"/>
          <w:color w:val="auto"/>
        </w:rPr>
      </w:pPr>
      <w:r>
        <w:rPr>
          <w:rFonts w:ascii="Arial" w:cs="Arial" w:eastAsia="Arial" w:hAnsi="Arial"/>
          <w:sz w:val="17"/>
          <w:szCs w:val="17"/>
          <w:color w:val="auto"/>
        </w:rPr>
        <w:t xml:space="preserve">Shareholders can access this proxy statement and our Annual Report on Form 10-K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8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You may update your electronic address by contacting EQ Shareowner Services.</w:t>
      </w:r>
    </w:p>
    <w:p>
      <w:pPr>
        <w:spacing w:after="0" w:line="97"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A33A5"/>
        </w:rPr>
        <w:t>IMPORTANT NOTICE REGARDING DELIVERY OF SHAREHOLDER DOCUMENTS</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08" w:lineRule="exact"/>
        <w:rPr>
          <w:sz w:val="20"/>
          <w:szCs w:val="20"/>
          <w:color w:val="auto"/>
        </w:rPr>
      </w:pPr>
    </w:p>
    <w:p>
      <w:pPr>
        <w:ind w:left="980" w:hanging="432"/>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117" w:lineRule="exact"/>
        <w:rPr>
          <w:rFonts w:ascii="Arial" w:cs="Arial" w:eastAsia="Arial" w:hAnsi="Arial"/>
          <w:sz w:val="18"/>
          <w:szCs w:val="18"/>
          <w:color w:val="auto"/>
        </w:rPr>
      </w:pPr>
    </w:p>
    <w:p>
      <w:pPr>
        <w:ind w:left="980" w:hanging="432"/>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04" w:lineRule="exact"/>
        <w:rPr>
          <w:sz w:val="20"/>
          <w:szCs w:val="20"/>
          <w:color w:val="auto"/>
        </w:rPr>
      </w:pPr>
    </w:p>
    <w:p>
      <w:pPr>
        <w:ind w:left="120" w:right="40"/>
        <w:spacing w:after="0" w:line="360"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How do I consent to, or discontinue, the householding process of receiving just one set of annual disclosure materials?</w:t>
      </w:r>
    </w:p>
    <w:p>
      <w:pPr>
        <w:ind w:left="120" w:right="80"/>
        <w:spacing w:after="0" w:line="234" w:lineRule="auto"/>
        <w:rPr>
          <w:sz w:val="20"/>
          <w:szCs w:val="20"/>
          <w:color w:val="auto"/>
        </w:rPr>
      </w:pPr>
      <w:r>
        <w:rPr>
          <w:rFonts w:ascii="Arial" w:cs="Arial" w:eastAsia="Arial" w:hAnsi="Arial"/>
          <w:sz w:val="18"/>
          <w:szCs w:val="18"/>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540-7095 or by mail at Broadridge, Householding Department, 51 Mercedes Way, Edgewood, NY 11717.</w:t>
      </w:r>
    </w:p>
    <w:p>
      <w:pPr>
        <w:spacing w:after="0" w:line="104"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2003 STOCK OPTION PLAN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Amended and Restated Effective April 10, 2020)</w:t>
      </w:r>
    </w:p>
    <w:p>
      <w:pPr>
        <w:spacing w:after="0" w:line="239"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233" w:lineRule="exact"/>
        <w:rPr>
          <w:rFonts w:ascii="Arial" w:cs="Arial" w:eastAsia="Arial" w:hAnsi="Arial"/>
          <w:sz w:val="18"/>
          <w:szCs w:val="18"/>
          <w:b w:val="1"/>
          <w:bCs w:val="1"/>
          <w:color w:val="auto"/>
        </w:rPr>
      </w:pPr>
    </w:p>
    <w:p>
      <w:pPr>
        <w:ind w:left="120" w:right="180" w:firstLine="436"/>
        <w:spacing w:after="0" w:line="246"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April 10, 2020.</w:t>
      </w:r>
    </w:p>
    <w:p>
      <w:pPr>
        <w:spacing w:after="0" w:line="196" w:lineRule="exact"/>
        <w:rPr>
          <w:rFonts w:ascii="Arial" w:cs="Arial" w:eastAsia="Arial" w:hAnsi="Arial"/>
          <w:sz w:val="18"/>
          <w:szCs w:val="18"/>
          <w:color w:val="auto"/>
        </w:rPr>
      </w:pPr>
    </w:p>
    <w:p>
      <w:pPr>
        <w:ind w:left="120" w:right="60" w:firstLine="436"/>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02" w:lineRule="exact"/>
        <w:rPr>
          <w:rFonts w:ascii="Arial" w:cs="Arial" w:eastAsia="Arial" w:hAnsi="Arial"/>
          <w:sz w:val="18"/>
          <w:szCs w:val="18"/>
          <w:color w:val="auto"/>
        </w:rPr>
      </w:pPr>
    </w:p>
    <w:p>
      <w:pPr>
        <w:ind w:left="120" w:right="200" w:firstLine="436"/>
        <w:spacing w:after="0" w:line="246" w:lineRule="auto"/>
        <w:tabs>
          <w:tab w:leader="none" w:pos="97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pacing w:after="0" w:line="201"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3" w:lineRule="exact"/>
        <w:rPr>
          <w:rFonts w:ascii="Arial" w:cs="Arial" w:eastAsia="Arial" w:hAnsi="Arial"/>
          <w:sz w:val="18"/>
          <w:szCs w:val="18"/>
          <w:b w:val="1"/>
          <w:bCs w:val="1"/>
          <w:color w:val="auto"/>
        </w:rPr>
      </w:pPr>
    </w:p>
    <w:p>
      <w:pPr>
        <w:ind w:left="120" w:right="20" w:firstLine="436"/>
        <w:spacing w:after="0" w:line="257" w:lineRule="auto"/>
        <w:tabs>
          <w:tab w:leader="none" w:pos="9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8" w:lineRule="exact"/>
        <w:rPr>
          <w:rFonts w:ascii="Arial" w:cs="Arial" w:eastAsia="Arial" w:hAnsi="Arial"/>
          <w:sz w:val="17"/>
          <w:szCs w:val="17"/>
          <w:color w:val="auto"/>
        </w:rPr>
      </w:pPr>
    </w:p>
    <w:p>
      <w:pPr>
        <w:ind w:left="120" w:right="1240" w:firstLine="436"/>
        <w:spacing w:after="0" w:line="246"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96" w:lineRule="exact"/>
        <w:rPr>
          <w:rFonts w:ascii="Arial" w:cs="Arial" w:eastAsia="Arial" w:hAnsi="Arial"/>
          <w:sz w:val="18"/>
          <w:szCs w:val="18"/>
          <w:color w:val="auto"/>
        </w:rPr>
      </w:pPr>
    </w:p>
    <w:p>
      <w:pPr>
        <w:ind w:left="960" w:hanging="404"/>
        <w:spacing w:after="0"/>
        <w:tabs>
          <w:tab w:leader="none" w:pos="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211" w:lineRule="exact"/>
        <w:rPr>
          <w:rFonts w:ascii="Arial" w:cs="Arial" w:eastAsia="Arial" w:hAnsi="Arial"/>
          <w:sz w:val="18"/>
          <w:szCs w:val="18"/>
          <w:color w:val="auto"/>
        </w:rPr>
      </w:pPr>
    </w:p>
    <w:p>
      <w:pPr>
        <w:ind w:left="120" w:right="280" w:firstLine="436"/>
        <w:spacing w:after="0" w:line="23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 (vi) dishonesty; (vii) misrepresentation; (viii) conviction of a crime of a felony; (ix) material violation of any Company policy;</w:t>
      </w:r>
    </w:p>
    <w:p>
      <w:pPr>
        <w:spacing w:after="0" w:line="1" w:lineRule="exact"/>
        <w:rPr>
          <w:rFonts w:ascii="Arial" w:cs="Arial" w:eastAsia="Arial" w:hAnsi="Arial"/>
          <w:sz w:val="18"/>
          <w:szCs w:val="18"/>
          <w:color w:val="auto"/>
        </w:rPr>
      </w:pPr>
    </w:p>
    <w:p>
      <w:pPr>
        <w:jc w:val="both"/>
        <w:ind w:left="120" w:right="100"/>
        <w:spacing w:after="0"/>
        <w:rPr>
          <w:rFonts w:ascii="Arial" w:cs="Arial" w:eastAsia="Arial" w:hAnsi="Arial"/>
          <w:sz w:val="18"/>
          <w:szCs w:val="18"/>
          <w:color w:val="auto"/>
        </w:rPr>
      </w:pPr>
      <w:r>
        <w:rPr>
          <w:rFonts w:ascii="Arial" w:cs="Arial" w:eastAsia="Arial" w:hAnsi="Arial"/>
          <w:sz w:val="18"/>
          <w:szCs w:val="18"/>
          <w:color w:val="auto"/>
        </w:rPr>
        <w:t>(x)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202" w:lineRule="exact"/>
        <w:rPr>
          <w:rFonts w:ascii="Arial" w:cs="Arial" w:eastAsia="Arial" w:hAnsi="Arial"/>
          <w:sz w:val="18"/>
          <w:szCs w:val="18"/>
          <w:color w:val="auto"/>
        </w:rPr>
      </w:pPr>
    </w:p>
    <w:p>
      <w:pPr>
        <w:ind w:left="920" w:hanging="364"/>
        <w:spacing w:after="0"/>
        <w:tabs>
          <w:tab w:leader="none" w:pos="9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one or more of the following events:</w:t>
      </w:r>
    </w:p>
    <w:p>
      <w:pPr>
        <w:spacing w:after="0" w:line="239" w:lineRule="exact"/>
        <w:rPr>
          <w:sz w:val="20"/>
          <w:szCs w:val="20"/>
          <w:color w:val="auto"/>
        </w:rPr>
      </w:pPr>
    </w:p>
    <w:p>
      <w:pPr>
        <w:ind w:left="1080" w:right="20" w:hanging="532"/>
        <w:spacing w:after="0" w:line="23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(each, a “Person”), other than an employee benefit plan or trust maintained by the Sponsor, becomes the “beneficial owner” (as defined in Rule 13d-3 under the Exchange Act), directly or indirectly, of securities of the Sponsor representing 30% or more of the combined voting power of the Sponsor’s outstanding securities entitled to vote generally in the election of directors, unless a majority of the directors of the Sponsor in office immediately preceding the date on which such Person acquires such beneficial ownership, by resolution negates the effectiveness of this provision in a particular circumstance);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160" w:hanging="532"/>
        <w:spacing w:after="0" w:line="23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231"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consummation of (x) a merger, consolidation, reorganization or similar corporate transaction involving the Sponsor or any of its subsidiaries with any other corporation or entity, which would result in combined voting power of the Sponsor’s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Sponsor or such surviving entity or parent outstanding immediately after such merger, consolidation, reorganization or other similar transaction, or (y) any sale, lease, exchange or other transfer to any Person of all or substantially all of the assets of the Sponsor, in one transaction or a series of related transactions; or</w:t>
      </w:r>
    </w:p>
    <w:p>
      <w:pPr>
        <w:spacing w:after="0" w:line="234"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approval by the shareholders of the Sponsor of a liquidation or dissolution of the Sponsor.</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color w:val="auto"/>
        </w:rPr>
      </w:pPr>
    </w:p>
    <w:p>
      <w:pPr>
        <w:jc w:val="both"/>
        <w:ind w:left="120" w:right="100" w:firstLine="436"/>
        <w:spacing w:after="0" w:line="238" w:lineRule="auto"/>
        <w:tabs>
          <w:tab w:leader="none" w:pos="9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204" w:lineRule="exact"/>
        <w:rPr>
          <w:rFonts w:ascii="Arial" w:cs="Arial" w:eastAsia="Arial" w:hAnsi="Arial"/>
          <w:sz w:val="18"/>
          <w:szCs w:val="18"/>
          <w:color w:val="auto"/>
        </w:rPr>
      </w:pPr>
    </w:p>
    <w:p>
      <w:pPr>
        <w:ind w:left="920" w:hanging="364"/>
        <w:spacing w:after="0"/>
        <w:tabs>
          <w:tab w:leader="none" w:pos="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239" w:lineRule="exact"/>
        <w:rPr>
          <w:sz w:val="20"/>
          <w:szCs w:val="20"/>
          <w:color w:val="auto"/>
        </w:rPr>
      </w:pPr>
    </w:p>
    <w:p>
      <w:pPr>
        <w:ind w:left="1080" w:right="100" w:hanging="532"/>
        <w:spacing w:after="0" w:line="246"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223" w:lineRule="exact"/>
        <w:rPr>
          <w:rFonts w:ascii="Arial" w:cs="Arial" w:eastAsia="Arial" w:hAnsi="Arial"/>
          <w:sz w:val="18"/>
          <w:szCs w:val="18"/>
          <w:color w:val="auto"/>
        </w:rPr>
      </w:pPr>
    </w:p>
    <w:p>
      <w:pPr>
        <w:ind w:left="1080" w:right="40" w:hanging="532"/>
        <w:spacing w:after="0" w:line="246"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96" w:lineRule="exact"/>
        <w:rPr>
          <w:rFonts w:ascii="Arial" w:cs="Arial" w:eastAsia="Arial" w:hAnsi="Arial"/>
          <w:sz w:val="18"/>
          <w:szCs w:val="18"/>
          <w:color w:val="auto"/>
        </w:rPr>
      </w:pPr>
    </w:p>
    <w:p>
      <w:pPr>
        <w:ind w:left="920" w:hanging="364"/>
        <w:spacing w:after="0"/>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$0.01.</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211" w:lineRule="exact"/>
        <w:rPr>
          <w:rFonts w:ascii="Arial" w:cs="Arial" w:eastAsia="Arial" w:hAnsi="Arial"/>
          <w:sz w:val="18"/>
          <w:szCs w:val="18"/>
          <w:color w:val="auto"/>
        </w:rPr>
      </w:pPr>
    </w:p>
    <w:p>
      <w:pPr>
        <w:ind w:left="120" w:right="240" w:firstLine="436"/>
        <w:spacing w:after="0" w:line="246" w:lineRule="auto"/>
        <w:tabs>
          <w:tab w:leader="none" w:pos="103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239" w:lineRule="exact"/>
        <w:rPr>
          <w:sz w:val="20"/>
          <w:szCs w:val="20"/>
          <w:color w:val="auto"/>
        </w:rPr>
      </w:pPr>
    </w:p>
    <w:p>
      <w:pPr>
        <w:ind w:left="1540" w:right="500" w:hanging="439"/>
        <w:spacing w:after="0"/>
        <w:tabs>
          <w:tab w:leader="none" w:pos="1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540" w:right="760" w:hanging="439"/>
        <w:spacing w:after="0" w:line="246" w:lineRule="auto"/>
        <w:tabs>
          <w:tab w:leader="none" w:pos="1540" w:val="left"/>
        </w:tabs>
        <w:numPr>
          <w:ilvl w:val="2"/>
          <w:numId w:val="96"/>
        </w:numPr>
        <w:rPr>
          <w:rFonts w:ascii="Arial" w:cs="Arial" w:eastAsia="Arial" w:hAnsi="Arial"/>
          <w:sz w:val="18"/>
          <w:szCs w:val="18"/>
          <w:color w:val="auto"/>
        </w:rPr>
      </w:pPr>
      <w:r>
        <w:rPr>
          <w:rFonts w:ascii="Arial" w:cs="Arial" w:eastAsia="Arial" w:hAnsi="Arial"/>
          <w:sz w:val="18"/>
          <w:szCs w:val="18"/>
          <w:color w:val="auto"/>
        </w:rPr>
        <w:t>If different from the definition in Paragraph 2(n)(ii)(A) above, “Disability” as it may be defined in such Optionee’s employment agreement between the Optionee and the Sponsor or an Affiliate, if any.</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60" w:hanging="532"/>
        <w:spacing w:after="0" w:line="237" w:lineRule="auto"/>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231" w:lineRule="exact"/>
        <w:rPr>
          <w:rFonts w:ascii="Arial" w:cs="Arial" w:eastAsia="Arial" w:hAnsi="Arial"/>
          <w:sz w:val="18"/>
          <w:szCs w:val="18"/>
          <w:color w:val="auto"/>
        </w:rPr>
      </w:pPr>
    </w:p>
    <w:p>
      <w:pPr>
        <w:ind w:left="1080" w:right="20" w:hanging="532"/>
        <w:spacing w:after="0" w:line="238" w:lineRule="auto"/>
        <w:tabs>
          <w:tab w:leader="none" w:pos="108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Option Exercise and Tax Withholding</w:t>
      </w:r>
      <w:r>
        <w:rPr>
          <w:rFonts w:ascii="Arial" w:cs="Arial" w:eastAsia="Arial" w:hAnsi="Arial"/>
          <w:sz w:val="18"/>
          <w:szCs w:val="18"/>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202" w:lineRule="exact"/>
        <w:rPr>
          <w:rFonts w:ascii="Arial" w:cs="Arial" w:eastAsia="Arial" w:hAnsi="Arial"/>
          <w:sz w:val="18"/>
          <w:szCs w:val="18"/>
          <w:color w:val="auto"/>
        </w:rPr>
      </w:pPr>
    </w:p>
    <w:p>
      <w:pPr>
        <w:ind w:left="120" w:right="120" w:firstLine="436"/>
        <w:spacing w:after="0" w:line="246"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96" w:lineRule="exact"/>
        <w:rPr>
          <w:rFonts w:ascii="Arial" w:cs="Arial" w:eastAsia="Arial" w:hAnsi="Arial"/>
          <w:sz w:val="18"/>
          <w:szCs w:val="18"/>
          <w:color w:val="auto"/>
        </w:rPr>
      </w:pPr>
    </w:p>
    <w:p>
      <w:pPr>
        <w:ind w:left="120" w:firstLine="436"/>
        <w:spacing w:after="0" w:line="238"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202" w:lineRule="exact"/>
        <w:rPr>
          <w:rFonts w:ascii="Arial" w:cs="Arial" w:eastAsia="Arial" w:hAnsi="Arial"/>
          <w:sz w:val="18"/>
          <w:szCs w:val="18"/>
          <w:color w:val="auto"/>
        </w:rPr>
      </w:pPr>
    </w:p>
    <w:p>
      <w:pPr>
        <w:jc w:val="both"/>
        <w:ind w:left="120" w:right="560" w:firstLine="436"/>
        <w:spacing w:after="0"/>
        <w:tabs>
          <w:tab w:leader="none" w:pos="9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202" w:lineRule="exact"/>
        <w:rPr>
          <w:rFonts w:ascii="Arial" w:cs="Arial" w:eastAsia="Arial" w:hAnsi="Arial"/>
          <w:sz w:val="18"/>
          <w:szCs w:val="18"/>
          <w:color w:val="auto"/>
        </w:rPr>
      </w:pPr>
    </w:p>
    <w:p>
      <w:pPr>
        <w:ind w:left="960" w:hanging="404"/>
        <w:spacing w:after="0"/>
        <w:tabs>
          <w:tab w:leader="none" w:pos="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239" w:lineRule="exact"/>
        <w:rPr>
          <w:sz w:val="20"/>
          <w:szCs w:val="20"/>
          <w:color w:val="auto"/>
        </w:rPr>
      </w:pPr>
    </w:p>
    <w:p>
      <w:pPr>
        <w:ind w:left="1080" w:right="480" w:hanging="532"/>
        <w:spacing w:after="0" w:line="24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223" w:lineRule="exact"/>
        <w:rPr>
          <w:rFonts w:ascii="Arial" w:cs="Arial" w:eastAsia="Arial" w:hAnsi="Arial"/>
          <w:sz w:val="18"/>
          <w:szCs w:val="18"/>
          <w:color w:val="auto"/>
        </w:rPr>
      </w:pPr>
    </w:p>
    <w:p>
      <w:pPr>
        <w:ind w:left="1080" w:right="20" w:hanging="532"/>
        <w:spacing w:after="0" w:line="274"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74" w:lineRule="exact"/>
        <w:rPr>
          <w:rFonts w:ascii="Arial" w:cs="Arial" w:eastAsia="Arial" w:hAnsi="Arial"/>
          <w:sz w:val="17"/>
          <w:szCs w:val="17"/>
          <w:color w:val="auto"/>
        </w:rPr>
      </w:pPr>
    </w:p>
    <w:p>
      <w:pPr>
        <w:ind w:left="920" w:hanging="364"/>
        <w:spacing w:after="0"/>
        <w:tabs>
          <w:tab w:leader="none" w:pos="9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211" w:lineRule="exact"/>
        <w:rPr>
          <w:rFonts w:ascii="Arial" w:cs="Arial" w:eastAsia="Arial" w:hAnsi="Arial"/>
          <w:sz w:val="18"/>
          <w:szCs w:val="18"/>
          <w:color w:val="auto"/>
        </w:rPr>
      </w:pPr>
    </w:p>
    <w:p>
      <w:pPr>
        <w:ind w:left="120" w:right="220" w:firstLine="436"/>
        <w:spacing w:after="0" w:line="246" w:lineRule="auto"/>
        <w:tabs>
          <w:tab w:leader="none" w:pos="97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96" w:lineRule="exact"/>
        <w:rPr>
          <w:rFonts w:ascii="Arial" w:cs="Arial" w:eastAsia="Arial" w:hAnsi="Arial"/>
          <w:sz w:val="18"/>
          <w:szCs w:val="18"/>
          <w:color w:val="auto"/>
        </w:rPr>
      </w:pPr>
    </w:p>
    <w:p>
      <w:pPr>
        <w:ind w:left="1000" w:hanging="444"/>
        <w:spacing w:after="0"/>
        <w:tabs>
          <w:tab w:leader="none" w:pos="10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39" w:lineRule="exact"/>
        <w:rPr>
          <w:sz w:val="20"/>
          <w:szCs w:val="20"/>
          <w:color w:val="auto"/>
        </w:rPr>
      </w:pPr>
    </w:p>
    <w:p>
      <w:pPr>
        <w:ind w:left="1080" w:right="12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38" w:lineRule="exact"/>
        <w:rPr>
          <w:rFonts w:ascii="Arial" w:cs="Arial" w:eastAsia="Arial" w:hAnsi="Arial"/>
          <w:sz w:val="18"/>
          <w:szCs w:val="18"/>
          <w:color w:val="auto"/>
        </w:rPr>
      </w:pPr>
    </w:p>
    <w:p>
      <w:pPr>
        <w:ind w:left="1540" w:right="160" w:hanging="439"/>
        <w:spacing w:after="0" w:line="246"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2(w)(i); over</w:t>
      </w:r>
    </w:p>
    <w:p>
      <w:pPr>
        <w:spacing w:after="0" w:line="223" w:lineRule="exact"/>
        <w:rPr>
          <w:rFonts w:ascii="Arial" w:cs="Arial" w:eastAsia="Arial" w:hAnsi="Arial"/>
          <w:sz w:val="18"/>
          <w:szCs w:val="18"/>
          <w:color w:val="auto"/>
        </w:rPr>
      </w:pPr>
    </w:p>
    <w:p>
      <w:pPr>
        <w:ind w:left="1540" w:hanging="439"/>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7" w:lineRule="exact"/>
        <w:rPr>
          <w:rFonts w:ascii="Arial" w:cs="Arial" w:eastAsia="Arial" w:hAnsi="Arial"/>
          <w:sz w:val="18"/>
          <w:szCs w:val="18"/>
          <w:color w:val="auto"/>
        </w:rPr>
      </w:pPr>
    </w:p>
    <w:p>
      <w:pPr>
        <w:ind w:left="1920" w:hanging="412"/>
        <w:spacing w:after="0"/>
        <w:tabs>
          <w:tab w:leader="none" w:pos="19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for less than six months;</w:t>
      </w:r>
    </w:p>
    <w:p>
      <w:pPr>
        <w:ind w:left="1100"/>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211" w:lineRule="exact"/>
        <w:rPr>
          <w:rFonts w:ascii="Arial" w:cs="Arial" w:eastAsia="Arial" w:hAnsi="Arial"/>
          <w:sz w:val="18"/>
          <w:szCs w:val="18"/>
          <w:color w:val="auto"/>
        </w:rPr>
      </w:pPr>
    </w:p>
    <w:p>
      <w:pPr>
        <w:ind w:left="1100" w:right="260" w:firstLine="408"/>
        <w:spacing w:after="0"/>
        <w:tabs>
          <w:tab w:leader="none" w:pos="192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202" w:lineRule="exact"/>
        <w:rPr>
          <w:rFonts w:ascii="Arial" w:cs="Arial" w:eastAsia="Arial" w:hAnsi="Arial"/>
          <w:sz w:val="18"/>
          <w:szCs w:val="18"/>
          <w:color w:val="auto"/>
        </w:rPr>
      </w:pPr>
    </w:p>
    <w:p>
      <w:pPr>
        <w:ind w:left="1100" w:right="200" w:firstLine="408"/>
        <w:spacing w:after="0" w:line="238" w:lineRule="auto"/>
        <w:tabs>
          <w:tab w:leader="none" w:pos="192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02" w:lineRule="exact"/>
        <w:rPr>
          <w:rFonts w:ascii="Arial" w:cs="Arial" w:eastAsia="Arial" w:hAnsi="Arial"/>
          <w:sz w:val="18"/>
          <w:szCs w:val="18"/>
          <w:color w:val="auto"/>
        </w:rPr>
      </w:pPr>
    </w:p>
    <w:p>
      <w:pPr>
        <w:jc w:val="both"/>
        <w:ind w:left="1100" w:right="160" w:firstLine="408"/>
        <w:spacing w:after="0" w:line="238" w:lineRule="auto"/>
        <w:tabs>
          <w:tab w:leader="none" w:pos="1921"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205"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For purposes of this Paragraph 2(w),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an Optionee or such Optionee’s Family Member immediately before the consummation of the AT&amp;T Broadband Transaction that have converted into Common Stock.</w:t>
      </w:r>
    </w:p>
    <w:p>
      <w:pPr>
        <w:spacing w:after="0" w:line="205" w:lineRule="exact"/>
        <w:rPr>
          <w:sz w:val="20"/>
          <w:szCs w:val="20"/>
          <w:color w:val="auto"/>
        </w:rPr>
      </w:pPr>
    </w:p>
    <w:p>
      <w:pPr>
        <w:ind w:left="960" w:hanging="40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w:t>
      </w:r>
    </w:p>
    <w:p>
      <w:pPr>
        <w:spacing w:after="0" w:line="212" w:lineRule="exact"/>
        <w:rPr>
          <w:sz w:val="20"/>
          <w:szCs w:val="20"/>
          <w:color w:val="auto"/>
        </w:rPr>
      </w:pPr>
    </w:p>
    <w:p>
      <w:pPr>
        <w:ind w:left="1080" w:hanging="524"/>
        <w:spacing w:after="0"/>
        <w:tabs>
          <w:tab w:leader="none" w:pos="10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 as provided in this Paragraph 2(aa), a share or shares of Common Stock.</w:t>
      </w:r>
    </w:p>
    <w:p>
      <w:pPr>
        <w:spacing w:after="0" w:line="238" w:lineRule="exact"/>
        <w:rPr>
          <w:rFonts w:ascii="Arial" w:cs="Arial" w:eastAsia="Arial" w:hAnsi="Arial"/>
          <w:sz w:val="18"/>
          <w:szCs w:val="18"/>
          <w:color w:val="auto"/>
        </w:rPr>
      </w:pPr>
    </w:p>
    <w:p>
      <w:pPr>
        <w:ind w:left="1080" w:right="40" w:hanging="532"/>
        <w:spacing w:after="0" w:line="238" w:lineRule="auto"/>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204" w:lineRule="exact"/>
        <w:rPr>
          <w:rFonts w:ascii="Arial" w:cs="Arial" w:eastAsia="Arial" w:hAnsi="Arial"/>
          <w:sz w:val="18"/>
          <w:szCs w:val="18"/>
          <w:color w:val="auto"/>
        </w:rPr>
      </w:pPr>
    </w:p>
    <w:p>
      <w:pPr>
        <w:ind w:left="1080" w:hanging="524"/>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120" w:firstLine="436"/>
        <w:spacing w:after="0" w:line="246" w:lineRule="auto"/>
        <w:tabs>
          <w:tab w:leader="none" w:pos="10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36"/>
        <w:spacing w:after="0" w:line="246" w:lineRule="auto"/>
        <w:tabs>
          <w:tab w:leader="none" w:pos="10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96" w:lineRule="exact"/>
        <w:rPr>
          <w:rFonts w:ascii="Arial" w:cs="Arial" w:eastAsia="Arial" w:hAnsi="Arial"/>
          <w:sz w:val="18"/>
          <w:szCs w:val="18"/>
          <w:color w:val="auto"/>
        </w:rPr>
      </w:pPr>
    </w:p>
    <w:p>
      <w:pPr>
        <w:jc w:val="both"/>
        <w:ind w:left="120" w:right="20" w:firstLine="436"/>
        <w:spacing w:after="0" w:line="238" w:lineRule="auto"/>
        <w:tabs>
          <w:tab w:leader="none" w:pos="10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204" w:lineRule="exact"/>
        <w:rPr>
          <w:rFonts w:ascii="Arial" w:cs="Arial" w:eastAsia="Arial" w:hAnsi="Arial"/>
          <w:sz w:val="18"/>
          <w:szCs w:val="18"/>
          <w:color w:val="auto"/>
        </w:rPr>
      </w:pPr>
    </w:p>
    <w:p>
      <w:pPr>
        <w:ind w:left="980" w:hanging="424"/>
        <w:spacing w:after="0"/>
        <w:tabs>
          <w:tab w:leader="none" w:pos="9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211" w:lineRule="exact"/>
        <w:rPr>
          <w:rFonts w:ascii="Arial" w:cs="Arial" w:eastAsia="Arial" w:hAnsi="Arial"/>
          <w:sz w:val="18"/>
          <w:szCs w:val="18"/>
          <w:color w:val="auto"/>
        </w:rPr>
      </w:pPr>
    </w:p>
    <w:p>
      <w:pPr>
        <w:ind w:left="120" w:right="260" w:firstLine="436"/>
        <w:spacing w:after="0" w:line="246" w:lineRule="auto"/>
        <w:tabs>
          <w:tab w:leader="none" w:pos="10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96" w:lineRule="exact"/>
        <w:rPr>
          <w:rFonts w:ascii="Arial" w:cs="Arial" w:eastAsia="Arial" w:hAnsi="Arial"/>
          <w:sz w:val="18"/>
          <w:szCs w:val="18"/>
          <w:color w:val="auto"/>
        </w:rPr>
      </w:pPr>
    </w:p>
    <w:p>
      <w:pPr>
        <w:ind w:left="1080" w:hanging="524"/>
        <w:spacing w:after="0"/>
        <w:tabs>
          <w:tab w:leader="none" w:pos="10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16" w:lineRule="exact"/>
        <w:rPr>
          <w:rFonts w:ascii="Arial" w:cs="Arial" w:eastAsia="Arial" w:hAnsi="Arial"/>
          <w:sz w:val="18"/>
          <w:szCs w:val="18"/>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233" w:lineRule="exact"/>
        <w:rPr>
          <w:rFonts w:ascii="Arial" w:cs="Arial" w:eastAsia="Arial" w:hAnsi="Arial"/>
          <w:sz w:val="18"/>
          <w:szCs w:val="18"/>
          <w:b w:val="1"/>
          <w:bCs w:val="1"/>
          <w:color w:val="auto"/>
        </w:rPr>
      </w:pPr>
    </w:p>
    <w:p>
      <w:pPr>
        <w:ind w:left="980" w:hanging="424"/>
        <w:spacing w:after="0"/>
        <w:tabs>
          <w:tab w:leader="none" w:pos="980"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238" w:lineRule="exact"/>
        <w:rPr>
          <w:rFonts w:ascii="Arial" w:cs="Arial" w:eastAsia="Arial" w:hAnsi="Arial"/>
          <w:sz w:val="18"/>
          <w:szCs w:val="18"/>
          <w:color w:val="auto"/>
        </w:rPr>
      </w:pPr>
    </w:p>
    <w:p>
      <w:pPr>
        <w:ind w:left="1080" w:right="340" w:hanging="532"/>
        <w:spacing w:after="0" w:line="246" w:lineRule="auto"/>
        <w:tabs>
          <w:tab w:leader="none" w:pos="108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23" w:lineRule="exact"/>
        <w:rPr>
          <w:rFonts w:ascii="Arial" w:cs="Arial" w:eastAsia="Arial" w:hAnsi="Arial"/>
          <w:sz w:val="18"/>
          <w:szCs w:val="18"/>
          <w:color w:val="auto"/>
        </w:rPr>
      </w:pPr>
    </w:p>
    <w:p>
      <w:pPr>
        <w:ind w:left="1080" w:right="40" w:hanging="532"/>
        <w:spacing w:after="0" w:line="246" w:lineRule="auto"/>
        <w:tabs>
          <w:tab w:leader="none" w:pos="108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223" w:lineRule="exact"/>
        <w:rPr>
          <w:rFonts w:ascii="Arial" w:cs="Arial" w:eastAsia="Arial" w:hAnsi="Arial"/>
          <w:sz w:val="18"/>
          <w:szCs w:val="18"/>
          <w:color w:val="auto"/>
        </w:rPr>
      </w:pPr>
    </w:p>
    <w:p>
      <w:pPr>
        <w:ind w:left="1080" w:right="100" w:hanging="532"/>
        <w:spacing w:after="0" w:line="238" w:lineRule="auto"/>
        <w:tabs>
          <w:tab w:leader="none" w:pos="108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202" w:lineRule="exact"/>
        <w:rPr>
          <w:rFonts w:ascii="Arial" w:cs="Arial" w:eastAsia="Arial" w:hAnsi="Arial"/>
          <w:sz w:val="18"/>
          <w:szCs w:val="18"/>
          <w:color w:val="auto"/>
        </w:rPr>
      </w:pPr>
    </w:p>
    <w:p>
      <w:pPr>
        <w:ind w:left="120" w:right="280" w:firstLine="436"/>
        <w:spacing w:after="0" w:line="246" w:lineRule="auto"/>
        <w:tabs>
          <w:tab w:leader="none" w:pos="980"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30,000,000 Shares.</w:t>
      </w:r>
    </w:p>
    <w:p>
      <w:pPr>
        <w:spacing w:after="0" w:line="196" w:lineRule="exact"/>
        <w:rPr>
          <w:rFonts w:ascii="Arial" w:cs="Arial" w:eastAsia="Arial" w:hAnsi="Arial"/>
          <w:sz w:val="18"/>
          <w:szCs w:val="18"/>
          <w:color w:val="auto"/>
        </w:rPr>
      </w:pPr>
    </w:p>
    <w:p>
      <w:pPr>
        <w:ind w:left="120" w:firstLine="436"/>
        <w:spacing w:after="0" w:line="246" w:lineRule="auto"/>
        <w:tabs>
          <w:tab w:leader="none" w:pos="970"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Limit on Term of Options</w:t>
      </w:r>
      <w:r>
        <w:rPr>
          <w:rFonts w:ascii="Arial" w:cs="Arial" w:eastAsia="Arial" w:hAnsi="Arial"/>
          <w:sz w:val="18"/>
          <w:szCs w:val="18"/>
          <w:color w:val="auto"/>
        </w:rPr>
        <w:t>. In no event shall (i) an Incentive Stock Option be exercisable after five years from the Date of Grant in the case of a grant to a Ten Percent Shareholder and (ii) any other Option be exercisable after ten years from the Date of Grant.</w:t>
      </w:r>
    </w:p>
    <w:p>
      <w:pPr>
        <w:spacing w:after="0" w:line="201" w:lineRule="exact"/>
        <w:rPr>
          <w:rFonts w:ascii="Arial" w:cs="Arial" w:eastAsia="Arial" w:hAnsi="Arial"/>
          <w:sz w:val="18"/>
          <w:szCs w:val="18"/>
          <w:color w:val="auto"/>
        </w:rPr>
      </w:pPr>
    </w:p>
    <w:p>
      <w:pPr>
        <w:ind w:left="460" w:hanging="344"/>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SHARESSUBJECT TO PLAN</w:t>
      </w:r>
    </w:p>
    <w:p>
      <w:pPr>
        <w:spacing w:after="0" w:line="233" w:lineRule="exact"/>
        <w:rPr>
          <w:rFonts w:ascii="Arial" w:cs="Arial" w:eastAsia="Arial" w:hAnsi="Arial"/>
          <w:sz w:val="18"/>
          <w:szCs w:val="18"/>
          <w:b w:val="1"/>
          <w:bCs w:val="1"/>
          <w:color w:val="auto"/>
        </w:rPr>
      </w:pPr>
    </w:p>
    <w:p>
      <w:pPr>
        <w:ind w:left="120" w:right="40" w:firstLine="436"/>
        <w:spacing w:after="0" w:line="237" w:lineRule="auto"/>
        <w:tabs>
          <w:tab w:leader="none" w:pos="980" w:val="left"/>
        </w:tabs>
        <w:numPr>
          <w:ilvl w:val="2"/>
          <w:numId w:val="115"/>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w:t>
      </w:r>
      <w:r>
        <w:rPr>
          <w:rFonts w:ascii="Arial" w:cs="Arial" w:eastAsia="Arial" w:hAnsi="Arial"/>
          <w:sz w:val="18"/>
          <w:szCs w:val="18"/>
          <w:color w:val="auto"/>
        </w:rPr>
        <w:t>. Subject to adjustment as provided in Paragraph 10, not more than 688 million Shares in the aggregate may be issued pursuant to the Plan upon exercise of Options, provided that subject to the approval of the Sponsor’s shareholders at the Sponsor’s Annual Meeting of Shareholders to be held in 2020, the number of Shares in the aggregate that may be issued under the Plan pursuant to the exercise of Options, subject to adjustment in accordance with Paragraph 10, shall be increased from 688 million to 1,039,000,000. Shares delivered pursuant to the exercise of an Option may, at the Sponsor’s option, be either treasury Shares or Shares originally issued for such purpose.</w:t>
      </w:r>
    </w:p>
    <w:p>
      <w:pPr>
        <w:spacing w:after="0" w:line="204" w:lineRule="exact"/>
        <w:rPr>
          <w:rFonts w:ascii="Arial" w:cs="Arial" w:eastAsia="Arial" w:hAnsi="Arial"/>
          <w:sz w:val="18"/>
          <w:szCs w:val="18"/>
          <w:color w:val="auto"/>
        </w:rPr>
      </w:pPr>
    </w:p>
    <w:p>
      <w:pPr>
        <w:ind w:left="120" w:right="80" w:firstLine="436"/>
        <w:spacing w:after="0"/>
        <w:tabs>
          <w:tab w:leader="none" w:pos="980" w:val="left"/>
        </w:tabs>
        <w:numPr>
          <w:ilvl w:val="2"/>
          <w:numId w:val="115"/>
        </w:numPr>
        <w:rPr>
          <w:rFonts w:ascii="Arial" w:cs="Arial" w:eastAsia="Arial" w:hAnsi="Arial"/>
          <w:sz w:val="18"/>
          <w:szCs w:val="18"/>
          <w:color w:val="auto"/>
        </w:rPr>
      </w:pPr>
      <w:r>
        <w:rPr>
          <w:rFonts w:ascii="Arial" w:cs="Arial" w:eastAsia="Arial" w:hAnsi="Arial"/>
          <w:sz w:val="18"/>
          <w:szCs w:val="18"/>
          <w:u w:val="single" w:color="auto"/>
          <w:color w:val="auto"/>
        </w:rPr>
        <w:t>Shares Returned to the Reserve</w:t>
      </w:r>
      <w:r>
        <w:rPr>
          <w:rFonts w:ascii="Arial" w:cs="Arial" w:eastAsia="Arial" w:hAnsi="Arial"/>
          <w:sz w:val="18"/>
          <w:szCs w:val="18"/>
          <w:color w:val="auto"/>
        </w:rPr>
        <w:t>. For avoidance of doubt, if an Option covering Shares is forfeited, terminates or expires without having been exercised in full, the Shares underlying such forfeited, terminated or expired Option shall return to the pool of Shares available for issuance under the Plan.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36"/>
        <w:spacing w:after="0" w:line="237" w:lineRule="auto"/>
        <w:tabs>
          <w:tab w:leader="none" w:pos="970" w:val="left"/>
        </w:tabs>
        <w:numPr>
          <w:ilvl w:val="2"/>
          <w:numId w:val="116"/>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(i) the Sponsor withholds Shares to satisfy an Optionee’s tax liabilities as provided in Paragraph 15(b) and Paragraph 15(c) or (ii) an Option covering Shares is exercised pursuant to the cashless exercise provisions of Paragraph 7(d) (iv), other Options may not be granted covering the Shares so withheld to satisfy the Optionee’s tax liabilities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20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233" w:lineRule="exact"/>
        <w:rPr>
          <w:rFonts w:ascii="Arial" w:cs="Arial" w:eastAsia="Arial" w:hAnsi="Arial"/>
          <w:sz w:val="18"/>
          <w:szCs w:val="18"/>
          <w:b w:val="1"/>
          <w:bCs w:val="1"/>
          <w:color w:val="auto"/>
        </w:rPr>
      </w:pPr>
    </w:p>
    <w:p>
      <w:pPr>
        <w:ind w:left="120" w:right="280" w:firstLine="436"/>
        <w:spacing w:after="0"/>
        <w:tabs>
          <w:tab w:leader="none" w:pos="98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w:t>
      </w:r>
    </w:p>
    <w:p>
      <w:pPr>
        <w:spacing w:after="0" w:line="202" w:lineRule="exact"/>
        <w:rPr>
          <w:rFonts w:ascii="Arial" w:cs="Arial" w:eastAsia="Arial" w:hAnsi="Arial"/>
          <w:sz w:val="18"/>
          <w:szCs w:val="18"/>
          <w:color w:val="auto"/>
        </w:rPr>
      </w:pPr>
    </w:p>
    <w:p>
      <w:pPr>
        <w:jc w:val="both"/>
        <w:ind w:left="120" w:right="160" w:firstLine="436"/>
        <w:spacing w:after="0" w:line="238" w:lineRule="auto"/>
        <w:tabs>
          <w:tab w:leader="none" w:pos="1030"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231" w:lineRule="exact"/>
        <w:rPr>
          <w:rFonts w:ascii="Arial" w:cs="Arial" w:eastAsia="Arial" w:hAnsi="Arial"/>
          <w:sz w:val="18"/>
          <w:szCs w:val="18"/>
          <w:color w:val="auto"/>
        </w:rPr>
      </w:pPr>
    </w:p>
    <w:p>
      <w:pPr>
        <w:ind w:left="1080" w:hanging="532"/>
        <w:spacing w:after="0"/>
        <w:tabs>
          <w:tab w:leader="none" w:pos="108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38" w:lineRule="exact"/>
        <w:rPr>
          <w:rFonts w:ascii="Arial" w:cs="Arial" w:eastAsia="Arial" w:hAnsi="Arial"/>
          <w:sz w:val="18"/>
          <w:szCs w:val="18"/>
          <w:color w:val="auto"/>
        </w:rPr>
      </w:pPr>
    </w:p>
    <w:p>
      <w:pPr>
        <w:ind w:left="1080" w:right="140" w:hanging="532"/>
        <w:spacing w:after="0" w:line="246" w:lineRule="auto"/>
        <w:tabs>
          <w:tab w:leader="none" w:pos="108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11" w:lineRule="exact"/>
        <w:rPr>
          <w:rFonts w:ascii="Arial" w:cs="Arial" w:eastAsia="Arial" w:hAnsi="Arial"/>
          <w:sz w:val="18"/>
          <w:szCs w:val="18"/>
          <w:color w:val="auto"/>
        </w:rPr>
      </w:pPr>
    </w:p>
    <w:p>
      <w:pPr>
        <w:ind w:left="120" w:firstLine="436"/>
        <w:spacing w:after="0"/>
        <w:tabs>
          <w:tab w:leader="none" w:pos="970" w:val="left"/>
        </w:tabs>
        <w:numPr>
          <w:ilvl w:val="2"/>
          <w:numId w:val="121"/>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202" w:lineRule="exact"/>
        <w:rPr>
          <w:rFonts w:ascii="Arial" w:cs="Arial" w:eastAsia="Arial" w:hAnsi="Arial"/>
          <w:sz w:val="18"/>
          <w:szCs w:val="18"/>
          <w:color w:val="auto"/>
        </w:rPr>
      </w:pPr>
    </w:p>
    <w:p>
      <w:pPr>
        <w:ind w:left="120" w:right="60" w:firstLine="436"/>
        <w:spacing w:after="0" w:line="238" w:lineRule="auto"/>
        <w:tabs>
          <w:tab w:leader="none" w:pos="980" w:val="left"/>
        </w:tabs>
        <w:numPr>
          <w:ilvl w:val="2"/>
          <w:numId w:val="121"/>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provisions of this Paragraph 5(d) shall not apply to the responsibility or liability of a member of the Committee pursuant to any criminal statute.</w:t>
      </w:r>
    </w:p>
    <w:p>
      <w:pPr>
        <w:spacing w:after="0" w:line="202" w:lineRule="exact"/>
        <w:rPr>
          <w:rFonts w:ascii="Arial" w:cs="Arial" w:eastAsia="Arial" w:hAnsi="Arial"/>
          <w:sz w:val="18"/>
          <w:szCs w:val="18"/>
          <w:color w:val="auto"/>
        </w:rPr>
      </w:pPr>
    </w:p>
    <w:p>
      <w:pPr>
        <w:ind w:left="120" w:right="100" w:firstLine="436"/>
        <w:spacing w:after="0" w:line="238" w:lineRule="auto"/>
        <w:tabs>
          <w:tab w:leader="none" w:pos="980" w:val="left"/>
        </w:tabs>
        <w:numPr>
          <w:ilvl w:val="2"/>
          <w:numId w:val="1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07"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33" w:lineRule="exact"/>
        <w:rPr>
          <w:rFonts w:ascii="Arial" w:cs="Arial" w:eastAsia="Arial" w:hAnsi="Arial"/>
          <w:sz w:val="18"/>
          <w:szCs w:val="18"/>
          <w:b w:val="1"/>
          <w:bCs w:val="1"/>
          <w:color w:val="auto"/>
        </w:rPr>
      </w:pPr>
    </w:p>
    <w:p>
      <w:pPr>
        <w:ind w:left="120" w:right="40" w:firstLine="436"/>
        <w:spacing w:after="0" w:line="237" w:lineRule="auto"/>
        <w:tabs>
          <w:tab w:leader="none" w:pos="9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36"/>
        <w:spacing w:after="0" w:line="238" w:lineRule="auto"/>
        <w:tabs>
          <w:tab w:leader="none" w:pos="97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07" w:lineRule="exact"/>
        <w:rPr>
          <w:rFonts w:ascii="Arial" w:cs="Arial" w:eastAsia="Arial" w:hAnsi="Arial"/>
          <w:sz w:val="18"/>
          <w:szCs w:val="18"/>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2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All Options granted to Optionees shall be evidenced by option documents. The terms of each such option document for any</w:t>
      </w:r>
    </w:p>
    <w:p>
      <w:pPr>
        <w:ind w:left="120" w:right="40"/>
        <w:spacing w:after="0"/>
        <w:rPr>
          <w:sz w:val="20"/>
          <w:szCs w:val="20"/>
          <w:color w:val="auto"/>
        </w:rPr>
      </w:pPr>
      <w:r>
        <w:rPr>
          <w:rFonts w:ascii="Arial" w:cs="Arial" w:eastAsia="Arial" w:hAnsi="Arial"/>
          <w:sz w:val="18"/>
          <w:szCs w:val="18"/>
          <w:color w:val="auto"/>
        </w:rPr>
        <w:t>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203" w:lineRule="exact"/>
        <w:rPr>
          <w:sz w:val="20"/>
          <w:szCs w:val="20"/>
          <w:color w:val="auto"/>
        </w:rPr>
      </w:pPr>
    </w:p>
    <w:p>
      <w:pPr>
        <w:ind w:left="980" w:hanging="424"/>
        <w:spacing w:after="0"/>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19, 2026.</w:t>
      </w:r>
    </w:p>
    <w:p>
      <w:pPr>
        <w:spacing w:after="0" w:line="211" w:lineRule="exact"/>
        <w:rPr>
          <w:rFonts w:ascii="Arial" w:cs="Arial" w:eastAsia="Arial" w:hAnsi="Arial"/>
          <w:sz w:val="18"/>
          <w:szCs w:val="18"/>
          <w:color w:val="auto"/>
        </w:rPr>
      </w:pPr>
    </w:p>
    <w:p>
      <w:pPr>
        <w:ind w:left="120" w:right="60" w:firstLine="436"/>
        <w:spacing w:after="0" w:line="238"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Options, the option price per share shall not be less than 100% of the Fair Market Value of such Share on the Date of Grant,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202" w:lineRule="exact"/>
        <w:rPr>
          <w:rFonts w:ascii="Arial" w:cs="Arial" w:eastAsia="Arial" w:hAnsi="Arial"/>
          <w:sz w:val="18"/>
          <w:szCs w:val="18"/>
          <w:color w:val="auto"/>
        </w:rPr>
      </w:pPr>
    </w:p>
    <w:p>
      <w:pPr>
        <w:ind w:left="120" w:firstLine="436"/>
        <w:spacing w:after="0" w:line="236" w:lineRule="auto"/>
        <w:tabs>
          <w:tab w:leader="none" w:pos="97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(i) any such transfer is without consideration and (ii) each transferee is a Family Member with respect to the Optionee;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204" w:lineRule="exact"/>
        <w:rPr>
          <w:rFonts w:ascii="Arial" w:cs="Arial" w:eastAsia="Arial" w:hAnsi="Arial"/>
          <w:sz w:val="18"/>
          <w:szCs w:val="18"/>
          <w:color w:val="auto"/>
        </w:rPr>
      </w:pPr>
    </w:p>
    <w:p>
      <w:pPr>
        <w:ind w:left="120" w:right="40" w:firstLine="436"/>
        <w:spacing w:after="0" w:line="246" w:lineRule="auto"/>
        <w:tabs>
          <w:tab w:leader="none" w:pos="98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 Full payment for Shares purchased upon the exercise of an Option shall be made pursuant to one or more of the following methods as determined by the Committee and set forth in the Option document:</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cash;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238" w:lineRule="exact"/>
        <w:rPr>
          <w:rFonts w:ascii="Arial" w:cs="Arial" w:eastAsia="Arial" w:hAnsi="Arial"/>
          <w:sz w:val="18"/>
          <w:szCs w:val="18"/>
          <w:color w:val="auto"/>
        </w:rPr>
      </w:pPr>
    </w:p>
    <w:p>
      <w:pPr>
        <w:ind w:left="1080" w:right="20" w:hanging="532"/>
        <w:spacing w:after="0" w:line="236" w:lineRule="auto"/>
        <w:tabs>
          <w:tab w:leader="none" w:pos="1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By surrendering or attesting to ownership of Shares with an aggregate Fair Market Value equal to the aggregate option price, provided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(or record the equivalent thereof on a book entry recordkeeping system maintained by the Sponsor)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any necessary stock powers duly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20"/>
        <w:spacing w:after="0" w:line="237" w:lineRule="auto"/>
        <w:rPr>
          <w:sz w:val="20"/>
          <w:szCs w:val="20"/>
          <w:color w:val="auto"/>
        </w:rPr>
      </w:pPr>
      <w:r>
        <w:rPr>
          <w:rFonts w:ascii="Arial" w:cs="Arial" w:eastAsia="Arial" w:hAnsi="Arial"/>
          <w:sz w:val="18"/>
          <w:szCs w:val="18"/>
          <w:color w:val="auto"/>
        </w:rPr>
        <w:t>endorsed in blank by the record holder of such Shares;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232" w:lineRule="exact"/>
        <w:rPr>
          <w:sz w:val="20"/>
          <w:szCs w:val="20"/>
          <w:color w:val="auto"/>
        </w:rPr>
      </w:pPr>
    </w:p>
    <w:p>
      <w:pPr>
        <w:ind w:left="1080" w:right="140" w:hanging="532"/>
        <w:spacing w:after="0" w:line="236"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207" w:lineRule="exact"/>
        <w:rPr>
          <w:sz w:val="20"/>
          <w:szCs w:val="20"/>
          <w:color w:val="auto"/>
        </w:rPr>
      </w:pPr>
    </w:p>
    <w:p>
      <w:pPr>
        <w:ind w:left="120" w:right="20" w:firstLine="436"/>
        <w:spacing w:after="0" w:line="23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Recording of Shares Upon Exercise of Options; Payment of Cash</w:t>
      </w:r>
      <w:r>
        <w:rPr>
          <w:rFonts w:ascii="Arial" w:cs="Arial" w:eastAsia="Arial" w:hAnsi="Arial"/>
          <w:sz w:val="18"/>
          <w:szCs w:val="18"/>
          <w:color w:val="auto"/>
        </w:rPr>
        <w:t>. For purposes of the Plan, the Sponsor may satisfy its obligation to deliver Shares following the exercise of Options by arranging for the recording of Optionee’s ownership of Shares issuable on the exercise of Options on a book entry recordkeeping system maintained by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202" w:lineRule="exact"/>
        <w:rPr>
          <w:rFonts w:ascii="Arial" w:cs="Arial" w:eastAsia="Arial" w:hAnsi="Arial"/>
          <w:sz w:val="18"/>
          <w:szCs w:val="18"/>
          <w:color w:val="auto"/>
        </w:rPr>
      </w:pPr>
    </w:p>
    <w:p>
      <w:pPr>
        <w:ind w:left="120" w:firstLine="436"/>
        <w:spacing w:after="0" w:line="236" w:lineRule="auto"/>
        <w:tabs>
          <w:tab w:leader="none" w:pos="93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203" w:lineRule="exact"/>
        <w:rPr>
          <w:rFonts w:ascii="Arial" w:cs="Arial" w:eastAsia="Arial" w:hAnsi="Arial"/>
          <w:sz w:val="18"/>
          <w:szCs w:val="18"/>
          <w:color w:val="auto"/>
        </w:rPr>
      </w:pPr>
    </w:p>
    <w:p>
      <w:pPr>
        <w:ind w:left="120" w:right="20" w:firstLine="436"/>
        <w:spacing w:after="0" w:line="237" w:lineRule="auto"/>
        <w:tabs>
          <w:tab w:leader="none" w:pos="9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232" w:lineRule="exact"/>
        <w:rPr>
          <w:sz w:val="20"/>
          <w:szCs w:val="20"/>
          <w:color w:val="auto"/>
        </w:rPr>
      </w:pPr>
    </w:p>
    <w:p>
      <w:pPr>
        <w:ind w:left="1080" w:right="40" w:hanging="532"/>
        <w:spacing w:after="0" w:line="238"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that an Optionee’s employment with the Company terminates for any reason other than death or Cause, any Option held by such Optionee and which is then exercisable shall be exercisable for a period of 90 days following the date the Optionee’s employment with the Company terminates (unless a longer period is established by the Committee); provided, however, that if such termination of employment with the Company is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60"/>
        <w:spacing w:after="0" w:line="238" w:lineRule="auto"/>
        <w:rPr>
          <w:sz w:val="20"/>
          <w:szCs w:val="20"/>
          <w:color w:val="auto"/>
        </w:rPr>
      </w:pPr>
      <w:r>
        <w:rPr>
          <w:rFonts w:ascii="Arial" w:cs="Arial" w:eastAsia="Arial" w:hAnsi="Arial"/>
          <w:sz w:val="18"/>
          <w:szCs w:val="18"/>
          <w:color w:val="auto"/>
        </w:rPr>
        <w:t>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29" w:lineRule="exact"/>
        <w:rPr>
          <w:sz w:val="20"/>
          <w:szCs w:val="20"/>
          <w:color w:val="auto"/>
        </w:rPr>
      </w:pPr>
    </w:p>
    <w:p>
      <w:pPr>
        <w:ind w:left="1080" w:right="60" w:hanging="532"/>
        <w:spacing w:after="0" w:line="23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terminates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23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such Shares, upon refund by the Sponsor of the option price.</w:t>
      </w:r>
    </w:p>
    <w:p>
      <w:pPr>
        <w:spacing w:after="0" w:line="202" w:lineRule="exact"/>
        <w:rPr>
          <w:rFonts w:ascii="Arial" w:cs="Arial" w:eastAsia="Arial" w:hAnsi="Arial"/>
          <w:sz w:val="18"/>
          <w:szCs w:val="18"/>
          <w:color w:val="auto"/>
        </w:rPr>
      </w:pPr>
    </w:p>
    <w:p>
      <w:pPr>
        <w:ind w:left="980" w:hanging="424"/>
        <w:spacing w:after="0"/>
        <w:tabs>
          <w:tab w:leader="none" w:pos="98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right="100" w:hanging="532"/>
        <w:spacing w:after="0" w:line="236" w:lineRule="auto"/>
        <w:tabs>
          <w:tab w:leader="none" w:pos="108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Sponsor shall not be obligated to deliver any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be binding on and irrevocable by the Optionee but shall not be binding on the Committee) as to the manner in which payment to the Sponsor shall be made. Each notice of exercise shall also comply with the requirements of Paragraph 15.</w:t>
      </w:r>
    </w:p>
    <w:p>
      <w:pPr>
        <w:spacing w:after="0" w:line="235" w:lineRule="exact"/>
        <w:rPr>
          <w:sz w:val="20"/>
          <w:szCs w:val="20"/>
          <w:color w:val="auto"/>
        </w:rPr>
      </w:pPr>
    </w:p>
    <w:p>
      <w:pPr>
        <w:ind w:left="1080" w:right="60" w:hanging="532"/>
        <w:spacing w:after="0" w:line="238"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Automatic Exercise</w:t>
      </w:r>
      <w:r>
        <w:rPr>
          <w:rFonts w:ascii="Arial" w:cs="Arial" w:eastAsia="Arial" w:hAnsi="Arial"/>
          <w:sz w:val="18"/>
          <w:szCs w:val="18"/>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231" w:lineRule="exact"/>
        <w:rPr>
          <w:rFonts w:ascii="Arial" w:cs="Arial" w:eastAsia="Arial" w:hAnsi="Arial"/>
          <w:sz w:val="18"/>
          <w:szCs w:val="18"/>
          <w:color w:val="auto"/>
        </w:rPr>
      </w:pPr>
    </w:p>
    <w:p>
      <w:pPr>
        <w:ind w:left="1540" w:hanging="439"/>
        <w:spacing w:after="0"/>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Such Option is covered by a then current registration statement or a Notification under Regulation A under the 1933 Act.</w:t>
      </w:r>
    </w:p>
    <w:p>
      <w:pPr>
        <w:spacing w:after="0" w:line="238" w:lineRule="exact"/>
        <w:rPr>
          <w:rFonts w:ascii="Arial" w:cs="Arial" w:eastAsia="Arial" w:hAnsi="Arial"/>
          <w:sz w:val="18"/>
          <w:szCs w:val="18"/>
          <w:color w:val="auto"/>
        </w:rPr>
      </w:pPr>
    </w:p>
    <w:p>
      <w:pPr>
        <w:ind w:left="1540" w:hanging="439"/>
        <w:spacing w:after="0" w:line="238" w:lineRule="auto"/>
        <w:tabs>
          <w:tab w:leader="none" w:pos="15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205" w:lineRule="exact"/>
        <w:rPr>
          <w:sz w:val="20"/>
          <w:szCs w:val="20"/>
          <w:color w:val="auto"/>
        </w:rPr>
      </w:pPr>
    </w:p>
    <w:p>
      <w:pPr>
        <w:ind w:left="1100" w:right="40"/>
        <w:spacing w:after="0" w:line="236" w:lineRule="auto"/>
        <w:rPr>
          <w:sz w:val="20"/>
          <w:szCs w:val="20"/>
          <w:color w:val="auto"/>
        </w:rPr>
      </w:pPr>
      <w:r>
        <w:rPr>
          <w:rFonts w:ascii="Arial" w:cs="Arial" w:eastAsia="Arial" w:hAnsi="Arial"/>
          <w:sz w:val="18"/>
          <w:szCs w:val="18"/>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36"/>
        <w:spacing w:after="0"/>
        <w:tabs>
          <w:tab w:leader="none" w:pos="920"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Cash Rights</w:t>
      </w:r>
      <w:r>
        <w:rPr>
          <w:rFonts w:ascii="Arial" w:cs="Arial" w:eastAsia="Arial" w:hAnsi="Arial"/>
          <w:sz w:val="18"/>
          <w:szCs w:val="18"/>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238" w:lineRule="exact"/>
        <w:rPr>
          <w:rFonts w:ascii="Arial" w:cs="Arial" w:eastAsia="Arial" w:hAnsi="Arial"/>
          <w:sz w:val="18"/>
          <w:szCs w:val="18"/>
          <w:color w:val="auto"/>
        </w:rPr>
      </w:pPr>
    </w:p>
    <w:p>
      <w:pPr>
        <w:ind w:left="1080" w:right="80" w:hanging="532"/>
        <w:spacing w:after="0" w:line="246"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Cash Right shall be subject to the same restrictions on transferability as the Non-Qualified Option to which it is attached.</w:t>
      </w:r>
    </w:p>
    <w:p>
      <w:pPr>
        <w:spacing w:after="0" w:line="238" w:lineRule="exact"/>
        <w:rPr>
          <w:rFonts w:ascii="Arial" w:cs="Arial" w:eastAsia="Arial" w:hAnsi="Arial"/>
          <w:sz w:val="18"/>
          <w:szCs w:val="18"/>
          <w:color w:val="auto"/>
        </w:rPr>
      </w:pPr>
    </w:p>
    <w:p>
      <w:pPr>
        <w:ind w:left="1080" w:right="300" w:hanging="532"/>
        <w:spacing w:after="0" w:line="246"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238" w:lineRule="exact"/>
        <w:rPr>
          <w:rFonts w:ascii="Arial" w:cs="Arial" w:eastAsia="Arial" w:hAnsi="Arial"/>
          <w:sz w:val="18"/>
          <w:szCs w:val="18"/>
          <w:color w:val="auto"/>
        </w:rPr>
      </w:pPr>
    </w:p>
    <w:p>
      <w:pPr>
        <w:ind w:left="1080" w:hanging="532"/>
        <w:spacing w:after="0" w:line="246"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Upon exercise of a Cash Right that is attached to a Non-Qualified Option, the Option to which the Cash Right is attached shall expire.</w:t>
      </w:r>
    </w:p>
    <w:p>
      <w:pPr>
        <w:spacing w:after="0" w:line="201" w:lineRule="exact"/>
        <w:rPr>
          <w:rFonts w:ascii="Arial" w:cs="Arial" w:eastAsia="Arial" w:hAnsi="Arial"/>
          <w:sz w:val="18"/>
          <w:szCs w:val="18"/>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2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aggregate Fair Market Value (determined as of the time Options are granted) of the Shares with respect to which Incentive</w:t>
      </w:r>
    </w:p>
    <w:p>
      <w:pPr>
        <w:ind w:left="120" w:right="100"/>
        <w:spacing w:after="0" w:line="236" w:lineRule="auto"/>
        <w:rPr>
          <w:sz w:val="20"/>
          <w:szCs w:val="20"/>
          <w:color w:val="auto"/>
        </w:rPr>
      </w:pPr>
      <w:r>
        <w:rPr>
          <w:rFonts w:ascii="Arial" w:cs="Arial" w:eastAsia="Arial" w:hAnsi="Arial"/>
          <w:sz w:val="18"/>
          <w:szCs w:val="18"/>
          <w:color w:val="auto"/>
        </w:rPr>
        <w:t>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213"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210"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Committee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Committee’s adjustment shall be effective and binding for all purposes of this Plan.</w:t>
      </w:r>
    </w:p>
    <w:p>
      <w:pPr>
        <w:spacing w:after="0" w:line="213"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233" w:lineRule="exact"/>
        <w:rPr>
          <w:rFonts w:ascii="Arial" w:cs="Arial" w:eastAsia="Arial" w:hAnsi="Arial"/>
          <w:sz w:val="18"/>
          <w:szCs w:val="18"/>
          <w:b w:val="1"/>
          <w:bCs w:val="1"/>
          <w:color w:val="auto"/>
        </w:rPr>
      </w:pPr>
    </w:p>
    <w:p>
      <w:pPr>
        <w:ind w:left="120" w:right="820" w:firstLine="436"/>
        <w:spacing w:after="0" w:line="246" w:lineRule="auto"/>
        <w:tabs>
          <w:tab w:leader="none" w:pos="9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Sponsor shall give Optionees at least thirty (30) days’ notice (or, if not practicable, such shorter notice as may be reasonably practicable) prior to the anticipated date of the consummation of a Terminating Event. Upon receipt of such</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 xml:space="preserve">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8"/>
          <w:szCs w:val="18"/>
          <w:u w:val="single" w:color="auto"/>
          <w:color w:val="auto"/>
        </w:rPr>
        <w:t>provided that</w:t>
      </w:r>
      <w:r>
        <w:rPr>
          <w:rFonts w:ascii="Arial" w:cs="Arial" w:eastAsia="Arial" w:hAnsi="Arial"/>
          <w:sz w:val="18"/>
          <w:szCs w:val="18"/>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202" w:lineRule="exact"/>
        <w:rPr>
          <w:sz w:val="20"/>
          <w:szCs w:val="20"/>
          <w:color w:val="auto"/>
        </w:rPr>
      </w:pPr>
    </w:p>
    <w:p>
      <w:pPr>
        <w:ind w:left="120" w:right="220" w:firstLine="436"/>
        <w:spacing w:after="0" w:line="274" w:lineRule="auto"/>
        <w:tabs>
          <w:tab w:leader="none" w:pos="98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79" w:lineRule="exact"/>
        <w:rPr>
          <w:rFonts w:ascii="Arial" w:cs="Arial" w:eastAsia="Arial" w:hAnsi="Arial"/>
          <w:sz w:val="17"/>
          <w:szCs w:val="17"/>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Committee shall have the power to interpret the Plan’s provisions, prescribe, amend and rescind rules and regulations for the</w:t>
      </w:r>
    </w:p>
    <w:p>
      <w:pPr>
        <w:ind w:left="120" w:right="320"/>
        <w:spacing w:after="0" w:line="237" w:lineRule="auto"/>
        <w:rPr>
          <w:sz w:val="20"/>
          <w:szCs w:val="20"/>
          <w:color w:val="auto"/>
        </w:rPr>
      </w:pPr>
      <w:r>
        <w:rPr>
          <w:rFonts w:ascii="Arial" w:cs="Arial" w:eastAsia="Arial" w:hAnsi="Arial"/>
          <w:sz w:val="18"/>
          <w:szCs w:val="18"/>
          <w:color w:val="auto"/>
        </w:rPr>
        <w:t>Plan, and make all other determinations necessary or advisable for the administration of the Plan. All determinations by the Committee shall be final, conclusive and binding on all Persons, including Optionees and their beneficiaries.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10"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33" w:lineRule="exact"/>
        <w:rPr>
          <w:rFonts w:ascii="Arial" w:cs="Arial" w:eastAsia="Arial" w:hAnsi="Arial"/>
          <w:sz w:val="18"/>
          <w:szCs w:val="18"/>
          <w:b w:val="1"/>
          <w:bCs w:val="1"/>
          <w:color w:val="auto"/>
        </w:rPr>
      </w:pPr>
    </w:p>
    <w:p>
      <w:pPr>
        <w:ind w:left="120" w:right="20" w:firstLine="436"/>
        <w:spacing w:after="0" w:line="236" w:lineRule="auto"/>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207" w:lineRule="exact"/>
        <w:rPr>
          <w:rFonts w:ascii="Arial" w:cs="Arial" w:eastAsia="Arial" w:hAnsi="Arial"/>
          <w:sz w:val="18"/>
          <w:szCs w:val="18"/>
          <w:color w:val="auto"/>
        </w:rPr>
      </w:pPr>
    </w:p>
    <w:p>
      <w:pPr>
        <w:ind w:left="120" w:right="20" w:firstLine="436"/>
        <w:spacing w:after="0" w:line="253" w:lineRule="auto"/>
        <w:tabs>
          <w:tab w:leader="none" w:pos="980"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Repricing of Options and Cash Rights</w:t>
      </w:r>
      <w:r>
        <w:rPr>
          <w:rFonts w:ascii="Arial" w:cs="Arial" w:eastAsia="Arial" w:hAnsi="Arial"/>
          <w:sz w:val="17"/>
          <w:szCs w:val="17"/>
          <w:color w:val="auto"/>
        </w:rPr>
        <w:t>. Notwithstanding any provision in the Plan to the contrary, neither the Board nor the Committee may, without obtaining prior approval by the Sponsor’s shareholders, reduce the option or exercise price of any issued and outstanding Option or Cash Right granted under the Plan, including through cancellation and regrant or any other method (including the repurchase of an Option or Cash Right that is “out of the money” in exchange for an Option, Cash Right, cash and/or other property), at any time during the term of such option or Cash Right (other than by adjustment pursuant to Paragraph 10 relating to Changes in Capitalization). This Paragraph 13(b) may not be repealed, modified or amended without the prior approval of the Sponsor’s shareholders.</w:t>
      </w:r>
    </w:p>
    <w:p>
      <w:pPr>
        <w:spacing w:after="0" w:line="199" w:lineRule="exact"/>
        <w:rPr>
          <w:rFonts w:ascii="Arial" w:cs="Arial" w:eastAsia="Arial" w:hAnsi="Arial"/>
          <w:sz w:val="17"/>
          <w:szCs w:val="17"/>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233" w:lineRule="exact"/>
        <w:rPr>
          <w:rFonts w:ascii="Arial" w:cs="Arial" w:eastAsia="Arial" w:hAnsi="Arial"/>
          <w:sz w:val="18"/>
          <w:szCs w:val="18"/>
          <w:b w:val="1"/>
          <w:bCs w:val="1"/>
          <w:color w:val="auto"/>
        </w:rPr>
      </w:pPr>
    </w:p>
    <w:p>
      <w:pPr>
        <w:ind w:left="120" w:right="380" w:firstLine="436"/>
        <w:spacing w:after="0"/>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202" w:lineRule="exact"/>
        <w:rPr>
          <w:rFonts w:ascii="Arial" w:cs="Arial" w:eastAsia="Arial" w:hAnsi="Arial"/>
          <w:sz w:val="18"/>
          <w:szCs w:val="18"/>
          <w:color w:val="auto"/>
        </w:rPr>
      </w:pPr>
    </w:p>
    <w:p>
      <w:pPr>
        <w:ind w:left="120" w:right="220" w:firstLine="436"/>
        <w:spacing w:after="0" w:line="261" w:lineRule="auto"/>
        <w:tabs>
          <w:tab w:leader="none" w:pos="980"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Acknowledgment of Securities Law Restrictions on Exercise</w:t>
      </w:r>
      <w:r>
        <w:rPr>
          <w:rFonts w:ascii="Arial" w:cs="Arial" w:eastAsia="Arial" w:hAnsi="Arial"/>
          <w:sz w:val="17"/>
          <w:szCs w:val="17"/>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13" w:lineRule="exact"/>
        <w:rPr>
          <w:sz w:val="20"/>
          <w:szCs w:val="20"/>
          <w:color w:val="auto"/>
        </w:rPr>
      </w:pPr>
    </w:p>
    <w:p>
      <w:pPr>
        <w:jc w:val="both"/>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40" w:hanging="532"/>
        <w:spacing w:after="0" w:line="238"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231" w:lineRule="exact"/>
        <w:rPr>
          <w:rFonts w:ascii="Arial" w:cs="Arial" w:eastAsia="Arial" w:hAnsi="Arial"/>
          <w:sz w:val="18"/>
          <w:szCs w:val="18"/>
          <w:color w:val="auto"/>
        </w:rPr>
      </w:pPr>
    </w:p>
    <w:p>
      <w:pPr>
        <w:ind w:left="1080" w:hanging="532"/>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book entry recordkeeping system maintained by the Sponsor evidencing the Shares may bear a restrictive legend; and</w:t>
      </w:r>
    </w:p>
    <w:p>
      <w:pPr>
        <w:spacing w:after="0" w:line="238" w:lineRule="exact"/>
        <w:rPr>
          <w:rFonts w:ascii="Arial" w:cs="Arial" w:eastAsia="Arial" w:hAnsi="Arial"/>
          <w:sz w:val="18"/>
          <w:szCs w:val="18"/>
          <w:color w:val="auto"/>
        </w:rPr>
      </w:pPr>
    </w:p>
    <w:p>
      <w:pPr>
        <w:ind w:left="1080" w:right="360" w:hanging="532"/>
        <w:spacing w:after="0" w:line="246"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Shares subject to the Option may not be transferred without compliance with all applicable federal and state securities laws.</w:t>
      </w:r>
    </w:p>
    <w:p>
      <w:pPr>
        <w:spacing w:after="0" w:line="196" w:lineRule="exact"/>
        <w:rPr>
          <w:rFonts w:ascii="Arial" w:cs="Arial" w:eastAsia="Arial" w:hAnsi="Arial"/>
          <w:sz w:val="18"/>
          <w:szCs w:val="18"/>
          <w:color w:val="auto"/>
        </w:rPr>
      </w:pPr>
    </w:p>
    <w:p>
      <w:pPr>
        <w:ind w:left="120" w:right="180" w:firstLine="436"/>
        <w:spacing w:after="0" w:line="238" w:lineRule="auto"/>
        <w:tabs>
          <w:tab w:leader="none" w:pos="97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07" w:lineRule="exact"/>
        <w:rPr>
          <w:rFonts w:ascii="Arial" w:cs="Arial" w:eastAsia="Arial" w:hAnsi="Arial"/>
          <w:sz w:val="18"/>
          <w:szCs w:val="18"/>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233" w:lineRule="exact"/>
        <w:rPr>
          <w:rFonts w:ascii="Arial" w:cs="Arial" w:eastAsia="Arial" w:hAnsi="Arial"/>
          <w:sz w:val="18"/>
          <w:szCs w:val="18"/>
          <w:b w:val="1"/>
          <w:bCs w:val="1"/>
          <w:color w:val="auto"/>
        </w:rPr>
      </w:pPr>
    </w:p>
    <w:p>
      <w:pPr>
        <w:ind w:left="120" w:firstLine="436"/>
        <w:spacing w:after="0" w:line="236" w:lineRule="auto"/>
        <w:tabs>
          <w:tab w:leader="none" w:pos="98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7" w:lineRule="exact"/>
        <w:rPr>
          <w:rFonts w:ascii="Arial" w:cs="Arial" w:eastAsia="Arial" w:hAnsi="Arial"/>
          <w:sz w:val="18"/>
          <w:szCs w:val="18"/>
          <w:color w:val="auto"/>
        </w:rPr>
      </w:pPr>
    </w:p>
    <w:p>
      <w:pPr>
        <w:ind w:left="120" w:right="60" w:firstLine="436"/>
        <w:spacing w:after="0" w:line="237" w:lineRule="auto"/>
        <w:tabs>
          <w:tab w:leader="none" w:pos="98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more of the following:</w:t>
      </w:r>
    </w:p>
    <w:p>
      <w:pPr>
        <w:spacing w:after="0" w:line="231" w:lineRule="exact"/>
        <w:rPr>
          <w:rFonts w:ascii="Arial" w:cs="Arial" w:eastAsia="Arial" w:hAnsi="Arial"/>
          <w:sz w:val="18"/>
          <w:szCs w:val="18"/>
          <w:color w:val="auto"/>
        </w:rPr>
      </w:pPr>
    </w:p>
    <w:p>
      <w:pPr>
        <w:ind w:left="1080" w:right="80" w:hanging="532"/>
        <w:spacing w:after="0" w:line="238" w:lineRule="auto"/>
        <w:tabs>
          <w:tab w:leader="none" w:pos="108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To the extent permitted by law,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Sponsor for the then-current exercise on account of withheld taxes in excess of such minimum amount;</w:t>
      </w:r>
    </w:p>
    <w:p>
      <w:pPr>
        <w:spacing w:after="0" w:line="231" w:lineRule="exact"/>
        <w:rPr>
          <w:rFonts w:ascii="Arial" w:cs="Arial" w:eastAsia="Arial" w:hAnsi="Arial"/>
          <w:sz w:val="18"/>
          <w:szCs w:val="18"/>
          <w:color w:val="auto"/>
        </w:rPr>
      </w:pPr>
    </w:p>
    <w:p>
      <w:pPr>
        <w:ind w:left="1080" w:right="100" w:hanging="532"/>
        <w:spacing w:after="0" w:line="253" w:lineRule="auto"/>
        <w:tabs>
          <w:tab w:leader="none" w:pos="108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With respect to Options (other than Incentive Stock Options) exercised on and after January 1, 2017, to have Shares otherwise deliverable to the Optionee after the application of this Paragraph 15(b) redeemed by the Sponsor for the Fair Market Value of such Shares on the date of the exercise of the applicable Option, and have the cash proceeds of such redemption remitted by the Sponsor to the Optionee to facilitate one or more estimated tax payments to the Internal Revenue Service or other taxing authority for the taxable year in which the Optionee exercises the Option, provided that the Optionee certifies in writing to the Sponsor at the time of such election that the Optionee owns Other Available Shares having a Fair Market Value that is at least equal to the Fair Market Value of such Shares to be redeemed by the Sponsor; and</w:t>
      </w:r>
    </w:p>
    <w:p>
      <w:pPr>
        <w:spacing w:after="0" w:line="218" w:lineRule="exact"/>
        <w:rPr>
          <w:rFonts w:ascii="Arial" w:cs="Arial" w:eastAsia="Arial" w:hAnsi="Arial"/>
          <w:sz w:val="17"/>
          <w:szCs w:val="17"/>
          <w:color w:val="auto"/>
        </w:rPr>
      </w:pPr>
    </w:p>
    <w:p>
      <w:pPr>
        <w:ind w:left="1080" w:hanging="532"/>
        <w:spacing w:after="0"/>
        <w:tabs>
          <w:tab w:leader="none" w:pos="10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To pay to the Sponsor in cash all or a portion of the taxes to be withheld upon the exercise of an Option.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20"/>
        <w:spacing w:after="0" w:line="236" w:lineRule="auto"/>
        <w:rPr>
          <w:sz w:val="20"/>
          <w:szCs w:val="20"/>
          <w:color w:val="auto"/>
        </w:rPr>
      </w:pPr>
      <w:r>
        <w:rPr>
          <w:rFonts w:ascii="Arial" w:cs="Arial" w:eastAsia="Arial" w:hAnsi="Arial"/>
          <w:sz w:val="18"/>
          <w:szCs w:val="18"/>
          <w:color w:val="auto"/>
        </w:rPr>
        <w:t>In all cases, the Shares so withheld or redeemed by the Sponsor, as applicable, shall have a Fair Market Value that does not exceed the amount of taxes to be withheld or remitted via estimated tax payments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or redeemed, as applicable, pursuant to this Paragraph 15(b) shall not continue to be available for subsequent grants under the Plan. The Committee may add such other requirements and limitations regarding elections pursuant to this Paragraph 15(b) as it deems appropriate.</w:t>
      </w:r>
    </w:p>
    <w:p>
      <w:pPr>
        <w:spacing w:after="0" w:line="208" w:lineRule="exact"/>
        <w:rPr>
          <w:sz w:val="20"/>
          <w:szCs w:val="20"/>
          <w:color w:val="auto"/>
        </w:rPr>
      </w:pPr>
    </w:p>
    <w:p>
      <w:pPr>
        <w:ind w:left="120" w:firstLine="436"/>
        <w:spacing w:after="0" w:line="235" w:lineRule="auto"/>
        <w:tabs>
          <w:tab w:leader="none" w:pos="97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shall not continue to be available for subsequent grants under the Plan. The Committee may add such other requirements and limitations regarding elections pursuant to this Paragraph 15(c) as it deems appropriate.</w:t>
      </w:r>
    </w:p>
    <w:p>
      <w:pPr>
        <w:spacing w:after="0" w:line="218" w:lineRule="exact"/>
        <w:rPr>
          <w:rFonts w:ascii="Arial" w:cs="Arial" w:eastAsia="Arial" w:hAnsi="Arial"/>
          <w:sz w:val="18"/>
          <w:szCs w:val="18"/>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2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This amendment and restatement of the Plan shall be effective April 10, 2020, except as otherwise specifically provided herein. The</w:t>
      </w:r>
    </w:p>
    <w:p>
      <w:pPr>
        <w:ind w:left="120"/>
        <w:spacing w:after="0"/>
        <w:rPr>
          <w:sz w:val="20"/>
          <w:szCs w:val="20"/>
          <w:color w:val="auto"/>
        </w:rPr>
      </w:pPr>
      <w:r>
        <w:rPr>
          <w:rFonts w:ascii="Arial" w:cs="Arial" w:eastAsia="Arial" w:hAnsi="Arial"/>
          <w:sz w:val="18"/>
          <w:szCs w:val="18"/>
          <w:color w:val="auto"/>
        </w:rPr>
        <w:t>Plan shall expire on May 19, 2026, unless sooner terminated by the Board.</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[THIS SPACE INTENTIONALLY LEFT BLANK]</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Executed on the 10</w:t>
      </w:r>
      <w:r>
        <w:rPr>
          <w:rFonts w:ascii="Arial" w:cs="Arial" w:eastAsia="Arial" w:hAnsi="Arial"/>
          <w:sz w:val="15"/>
          <w:szCs w:val="15"/>
          <w:color w:val="auto"/>
        </w:rPr>
        <w:t>th</w:t>
      </w:r>
      <w:r>
        <w:rPr>
          <w:rFonts w:ascii="Arial" w:cs="Arial" w:eastAsia="Arial" w:hAnsi="Arial"/>
          <w:sz w:val="18"/>
          <w:szCs w:val="18"/>
          <w:color w:val="auto"/>
        </w:rPr>
        <w:t xml:space="preserve"> day of April, 2020.</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11430</wp:posOffset>
            </wp:positionV>
            <wp:extent cx="25717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19" w:lineRule="exact"/>
        <w:rPr>
          <w:sz w:val="20"/>
          <w:szCs w:val="20"/>
          <w:color w:val="auto"/>
        </w:rPr>
      </w:pPr>
    </w:p>
    <w:p>
      <w:pPr>
        <w:ind w:left="6740"/>
        <w:spacing w:after="0"/>
        <w:tabs>
          <w:tab w:leader="none" w:pos="7900" w:val="left"/>
        </w:tabs>
        <w:rPr>
          <w:sz w:val="20"/>
          <w:szCs w:val="20"/>
          <w:color w:val="auto"/>
        </w:rPr>
      </w:pPr>
      <w:r>
        <w:rPr>
          <w:rFonts w:ascii="Arial" w:cs="Arial" w:eastAsia="Arial" w:hAnsi="Arial"/>
          <w:sz w:val="18"/>
          <w:szCs w:val="18"/>
          <w:b w:val="1"/>
          <w:bCs w:val="1"/>
          <w:color w:val="auto"/>
        </w:rPr>
        <w:t>ATTEST:</w:t>
      </w:r>
      <w:r>
        <w:rPr>
          <w:sz w:val="20"/>
          <w:szCs w:val="20"/>
          <w:color w:val="auto"/>
        </w:rPr>
        <w:tab/>
      </w:r>
      <w:r>
        <w:rPr>
          <w:rFonts w:ascii="Arial" w:cs="Arial" w:eastAsia="Arial" w:hAnsi="Arial"/>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11430</wp:posOffset>
            </wp:positionV>
            <wp:extent cx="2297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00"/>
          </w:cols>
          <w:pgMar w:left="320" w:top="459" w:right="6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2002 RESTRICTED STOCK PLAN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Amended and Restated, Effective April 10, 2020)</w:t>
      </w:r>
    </w:p>
    <w:p>
      <w:pPr>
        <w:spacing w:after="0" w:line="239"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233" w:lineRule="exact"/>
        <w:rPr>
          <w:rFonts w:ascii="Arial" w:cs="Arial" w:eastAsia="Arial" w:hAnsi="Arial"/>
          <w:sz w:val="18"/>
          <w:szCs w:val="18"/>
          <w:b w:val="1"/>
          <w:bCs w:val="1"/>
          <w:color w:val="auto"/>
        </w:rPr>
      </w:pPr>
    </w:p>
    <w:p>
      <w:pPr>
        <w:ind w:left="120" w:right="120" w:firstLine="436"/>
        <w:spacing w:after="0" w:line="246" w:lineRule="auto"/>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2002 Restricted Stock Plan (the “Plan”) effective April 10, 2020.</w:t>
      </w:r>
    </w:p>
    <w:p>
      <w:pPr>
        <w:spacing w:after="0" w:line="196" w:lineRule="exact"/>
        <w:rPr>
          <w:rFonts w:ascii="Arial" w:cs="Arial" w:eastAsia="Arial" w:hAnsi="Arial"/>
          <w:sz w:val="18"/>
          <w:szCs w:val="18"/>
          <w:color w:val="auto"/>
        </w:rPr>
      </w:pPr>
    </w:p>
    <w:p>
      <w:pPr>
        <w:ind w:left="120" w:right="20" w:firstLine="436"/>
        <w:spacing w:after="0"/>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202" w:lineRule="exact"/>
        <w:rPr>
          <w:rFonts w:ascii="Arial" w:cs="Arial" w:eastAsia="Arial" w:hAnsi="Arial"/>
          <w:sz w:val="18"/>
          <w:szCs w:val="18"/>
          <w:color w:val="auto"/>
        </w:rPr>
      </w:pPr>
    </w:p>
    <w:p>
      <w:pPr>
        <w:ind w:left="120" w:right="40" w:firstLine="436"/>
        <w:spacing w:after="0" w:line="252" w:lineRule="auto"/>
        <w:tabs>
          <w:tab w:leader="none" w:pos="970" w:val="left"/>
        </w:tabs>
        <w:numPr>
          <w:ilvl w:val="1"/>
          <w:numId w:val="152"/>
        </w:numPr>
        <w:rPr>
          <w:rFonts w:ascii="Arial" w:cs="Arial" w:eastAsia="Arial" w:hAnsi="Arial"/>
          <w:sz w:val="17"/>
          <w:szCs w:val="17"/>
          <w:color w:val="auto"/>
        </w:rPr>
      </w:pPr>
      <w:r>
        <w:rPr>
          <w:rFonts w:ascii="Arial" w:cs="Arial" w:eastAsia="Arial" w:hAnsi="Arial"/>
          <w:sz w:val="17"/>
          <w:szCs w:val="17"/>
          <w:u w:val="single" w:color="auto"/>
          <w:color w:val="auto"/>
        </w:rPr>
        <w:t>Purpose of the Amendment; Credits Affected</w:t>
      </w:r>
      <w:r>
        <w:rPr>
          <w:rFonts w:ascii="Arial" w:cs="Arial" w:eastAsia="Arial" w:hAnsi="Arial"/>
          <w:sz w:val="17"/>
          <w:szCs w:val="17"/>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94" w:lineRule="exact"/>
        <w:rPr>
          <w:rFonts w:ascii="Arial" w:cs="Arial" w:eastAsia="Arial" w:hAnsi="Arial"/>
          <w:sz w:val="17"/>
          <w:szCs w:val="17"/>
          <w:color w:val="auto"/>
        </w:rPr>
      </w:pPr>
    </w:p>
    <w:p>
      <w:pPr>
        <w:ind w:left="120" w:right="500" w:firstLine="436"/>
        <w:spacing w:after="0"/>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80" w:lineRule="exact"/>
        <w:rPr>
          <w:rFonts w:ascii="Arial" w:cs="Arial" w:eastAsia="Arial" w:hAnsi="Arial"/>
          <w:sz w:val="18"/>
          <w:szCs w:val="18"/>
          <w:color w:val="auto"/>
        </w:rPr>
      </w:pPr>
    </w:p>
    <w:p>
      <w:pPr>
        <w:ind w:left="120" w:right="20" w:firstLine="436"/>
        <w:spacing w:after="0" w:line="242" w:lineRule="auto"/>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Deferral Provisions of Plan Unfunded and Limited to Select Group of Management or Highly Compensated Employees</w:t>
      </w:r>
      <w:r>
        <w:rPr>
          <w:rFonts w:ascii="Arial" w:cs="Arial" w:eastAsia="Arial" w:hAnsi="Arial"/>
          <w:sz w:val="18"/>
          <w:szCs w:val="18"/>
          <w:b w:val="1"/>
          <w:bCs w:val="1"/>
          <w:color w:val="auto"/>
        </w:rPr>
        <w:t>.</w:t>
      </w:r>
      <w:r>
        <w:rPr>
          <w:rFonts w:ascii="Arial" w:cs="Arial" w:eastAsia="Arial" w:hAnsi="Arial"/>
          <w:sz w:val="18"/>
          <w:szCs w:val="18"/>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200" w:lineRule="exact"/>
        <w:rPr>
          <w:rFonts w:ascii="Arial" w:cs="Arial" w:eastAsia="Arial" w:hAnsi="Arial"/>
          <w:sz w:val="18"/>
          <w:szCs w:val="18"/>
          <w:color w:val="auto"/>
        </w:rPr>
      </w:pPr>
    </w:p>
    <w:p>
      <w:pPr>
        <w:ind w:left="120" w:right="180" w:firstLine="436"/>
        <w:spacing w:after="0" w:line="246" w:lineRule="auto"/>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Committee.</w:t>
      </w:r>
    </w:p>
    <w:p>
      <w:pPr>
        <w:spacing w:after="0" w:line="201" w:lineRule="exact"/>
        <w:rPr>
          <w:rFonts w:ascii="Arial" w:cs="Arial" w:eastAsia="Arial" w:hAnsi="Arial"/>
          <w:sz w:val="18"/>
          <w:szCs w:val="18"/>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3" w:lineRule="exact"/>
        <w:rPr>
          <w:rFonts w:ascii="Arial" w:cs="Arial" w:eastAsia="Arial" w:hAnsi="Arial"/>
          <w:sz w:val="18"/>
          <w:szCs w:val="18"/>
          <w:b w:val="1"/>
          <w:bCs w:val="1"/>
          <w:color w:val="auto"/>
        </w:rPr>
      </w:pPr>
    </w:p>
    <w:p>
      <w:pPr>
        <w:ind w:left="980" w:hanging="424"/>
        <w:spacing w:after="0"/>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120" w:right="60" w:firstLine="436"/>
        <w:spacing w:after="0" w:line="238" w:lineRule="auto"/>
        <w:tabs>
          <w:tab w:leader="none" w:pos="9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amounts credited to the Income Fund or an Other Investment Fund are credited with income, gains, and losses as provided in Article 8, reduced by distributions in accordance with the Plan.</w:t>
      </w:r>
    </w:p>
    <w:p>
      <w:pPr>
        <w:spacing w:after="0" w:line="202" w:lineRule="exact"/>
        <w:rPr>
          <w:rFonts w:ascii="Arial" w:cs="Arial" w:eastAsia="Arial" w:hAnsi="Arial"/>
          <w:sz w:val="18"/>
          <w:szCs w:val="18"/>
          <w:color w:val="auto"/>
        </w:rPr>
      </w:pPr>
    </w:p>
    <w:p>
      <w:pPr>
        <w:ind w:left="960" w:hanging="404"/>
        <w:spacing w:after="0"/>
        <w:tabs>
          <w:tab w:leader="none" w:pos="9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36"/>
        <w:spacing w:after="0" w:line="257" w:lineRule="auto"/>
        <w:tabs>
          <w:tab w:leader="none" w:pos="9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8" w:lineRule="exact"/>
        <w:rPr>
          <w:rFonts w:ascii="Arial" w:cs="Arial" w:eastAsia="Arial" w:hAnsi="Arial"/>
          <w:sz w:val="17"/>
          <w:szCs w:val="17"/>
          <w:color w:val="auto"/>
        </w:rPr>
      </w:pPr>
    </w:p>
    <w:p>
      <w:pPr>
        <w:ind w:left="120" w:right="40" w:firstLine="436"/>
        <w:spacing w:after="0" w:line="246" w:lineRule="auto"/>
        <w:tabs>
          <w:tab w:leader="none" w:pos="9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96" w:lineRule="exact"/>
        <w:rPr>
          <w:rFonts w:ascii="Arial" w:cs="Arial" w:eastAsia="Arial" w:hAnsi="Arial"/>
          <w:sz w:val="18"/>
          <w:szCs w:val="18"/>
          <w:color w:val="auto"/>
        </w:rPr>
      </w:pPr>
    </w:p>
    <w:p>
      <w:pPr>
        <w:ind w:left="920" w:hanging="364"/>
        <w:spacing w:after="0"/>
        <w:tabs>
          <w:tab w:leader="none" w:pos="9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238" w:lineRule="exact"/>
        <w:rPr>
          <w:rFonts w:ascii="Arial" w:cs="Arial" w:eastAsia="Arial" w:hAnsi="Arial"/>
          <w:sz w:val="18"/>
          <w:szCs w:val="18"/>
          <w:color w:val="auto"/>
        </w:rPr>
      </w:pPr>
    </w:p>
    <w:p>
      <w:pPr>
        <w:ind w:left="1540" w:right="180" w:hanging="439"/>
        <w:spacing w:after="0" w:line="237" w:lineRule="auto"/>
        <w:tabs>
          <w:tab w:leader="none" w:pos="154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 other interest rate established by the Committee from time to time.</w:t>
      </w:r>
    </w:p>
    <w:p>
      <w:pPr>
        <w:spacing w:after="0" w:line="231" w:lineRule="exact"/>
        <w:rPr>
          <w:rFonts w:ascii="Arial" w:cs="Arial" w:eastAsia="Arial" w:hAnsi="Arial"/>
          <w:sz w:val="18"/>
          <w:szCs w:val="18"/>
          <w:color w:val="auto"/>
        </w:rPr>
      </w:pPr>
    </w:p>
    <w:p>
      <w:pPr>
        <w:ind w:left="1540" w:right="200" w:hanging="439"/>
        <w:spacing w:after="0" w:line="253" w:lineRule="auto"/>
        <w:tabs>
          <w:tab w:leader="none" w:pos="15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The Applicable Interest Rate with respect to amounts credited to the Income Fund that are attributable to (1) dividends and other distributions credited with respect to Deferred Stock Units that are deferred pursuant to Initial Deferral Elections made on or after January 1, 2010 and before January 1, 2014 and (2) Diversification Elections and Special Diversification Elections made on or after January 1, 2010 and before January 1, 2014, 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221" w:lineRule="exact"/>
        <w:rPr>
          <w:rFonts w:ascii="Arial" w:cs="Arial" w:eastAsia="Arial" w:hAnsi="Arial"/>
          <w:sz w:val="17"/>
          <w:szCs w:val="17"/>
          <w:color w:val="auto"/>
        </w:rPr>
      </w:pPr>
    </w:p>
    <w:p>
      <w:pPr>
        <w:ind w:left="1540" w:hanging="439"/>
        <w:spacing w:after="0" w:line="235" w:lineRule="auto"/>
        <w:tabs>
          <w:tab w:leader="none" w:pos="154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Effective with respect to amounts credited to the Income Fund that are attributable to (1) dividends and other distributions credited with respect to Deferred Stock Units that are deferred pursuant to Initial Deferral Elections made on or after January 1, 2014, (2) dividends and other distributions credited with respect to Deferred Stock Units that are deferred pursuant to Regular Deferral Elections, and (3) Diversification Elections and Special Diversification Elections made on or after January 1, 2014, the “Applicable Interest Rate” shall be the Applicable Interest Rate that applies to “Protected Account Balances” under the Comcast Corporation 2005 Deferred Compensation Plan (the “2005 Deferred Compensation Plan”) if, as of the September 30</w:t>
      </w:r>
      <w:r>
        <w:rPr>
          <w:rFonts w:ascii="Arial" w:cs="Arial" w:eastAsia="Arial" w:hAnsi="Arial"/>
          <w:sz w:val="15"/>
          <w:szCs w:val="15"/>
          <w:color w:val="auto"/>
        </w:rPr>
        <w:t>th</w:t>
      </w:r>
      <w:r>
        <w:rPr>
          <w:rFonts w:ascii="Arial" w:cs="Arial" w:eastAsia="Arial" w:hAnsi="Arial"/>
          <w:sz w:val="18"/>
          <w:szCs w:val="18"/>
          <w:color w:val="auto"/>
        </w:rPr>
        <w:t xml:space="preserve"> immediately preceding the Plan Year to which the Initial Deferral Election, Regular Deferral Election or Diversification Election applies, the sum of (x) the Grantee’s Account under the 2005 Deferred Compensation Plan to the extent such Account is credited to the Income Fund, plus (y) the Grantee’s Account under the Comcast Corporation 2002 Deferred Compensation Plan (the “2002 Deferred Compensation Plan”) to the extent such Account is credited to the Income Fund, plus (z) the portion of the Grantee’s Account under this Plan credited to the Income Fund, is less than the High-Water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Account Balances.</w:t>
      </w:r>
    </w:p>
    <w:p>
      <w:pPr>
        <w:spacing w:after="0" w:line="240" w:lineRule="exact"/>
        <w:rPr>
          <w:rFonts w:ascii="Arial" w:cs="Arial" w:eastAsia="Arial" w:hAnsi="Arial"/>
          <w:sz w:val="18"/>
          <w:szCs w:val="18"/>
          <w:color w:val="auto"/>
        </w:rPr>
      </w:pPr>
    </w:p>
    <w:p>
      <w:pPr>
        <w:ind w:left="1080" w:right="180" w:hanging="532"/>
        <w:spacing w:after="0" w:line="238"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Effective for the period beginning as soon as administratively practicable following (A) a significant reduction in a Grantee’s compensation and services to the Company, as determined by the Committee in its sole discretion, and (B) a Grantee’s employment termination date, in each case, to the date the Grantee’s Account is distributed in full, the Committee, in its sole and absolute discretion, may designate the term “Applicable Interest Rate” for</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00" w:right="120"/>
        <w:spacing w:after="0" w:line="236" w:lineRule="auto"/>
        <w:rPr>
          <w:sz w:val="20"/>
          <w:szCs w:val="20"/>
          <w:color w:val="auto"/>
        </w:rPr>
      </w:pPr>
      <w:r>
        <w:rPr>
          <w:rFonts w:ascii="Arial" w:cs="Arial" w:eastAsia="Arial" w:hAnsi="Arial"/>
          <w:sz w:val="18"/>
          <w:szCs w:val="18"/>
          <w:color w:val="auto"/>
        </w:rPr>
        <w:t>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208" w:lineRule="exact"/>
        <w:rPr>
          <w:sz w:val="20"/>
          <w:szCs w:val="20"/>
          <w:color w:val="auto"/>
        </w:rPr>
      </w:pPr>
    </w:p>
    <w:p>
      <w:pPr>
        <w:ind w:left="120" w:right="1160" w:firstLine="436"/>
        <w:spacing w:after="0" w:line="246" w:lineRule="auto"/>
        <w:tabs>
          <w:tab w:leader="none" w:pos="103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38" w:lineRule="exact"/>
        <w:rPr>
          <w:rFonts w:ascii="Arial" w:cs="Arial" w:eastAsia="Arial" w:hAnsi="Arial"/>
          <w:sz w:val="18"/>
          <w:szCs w:val="18"/>
          <w:color w:val="auto"/>
        </w:rPr>
      </w:pPr>
    </w:p>
    <w:p>
      <w:pPr>
        <w:ind w:left="1080" w:right="580" w:hanging="532"/>
        <w:spacing w:after="0" w:line="246" w:lineRule="auto"/>
        <w:tabs>
          <w:tab w:leader="none" w:pos="10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Except as provided in Paragraph 2(j)(ii), “Change in Control” means the occurrence of any one or more of the following events:</w:t>
      </w:r>
    </w:p>
    <w:p>
      <w:pPr>
        <w:spacing w:after="0" w:line="223" w:lineRule="exact"/>
        <w:rPr>
          <w:rFonts w:ascii="Arial" w:cs="Arial" w:eastAsia="Arial" w:hAnsi="Arial"/>
          <w:sz w:val="18"/>
          <w:szCs w:val="18"/>
          <w:color w:val="auto"/>
        </w:rPr>
      </w:pPr>
    </w:p>
    <w:p>
      <w:pPr>
        <w:ind w:left="1540" w:hanging="439"/>
        <w:spacing w:after="0" w:line="237" w:lineRule="auto"/>
        <w:tabs>
          <w:tab w:leader="none" w:pos="15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(each, a “Person”),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229" w:lineRule="exact"/>
        <w:rPr>
          <w:rFonts w:ascii="Arial" w:cs="Arial" w:eastAsia="Arial" w:hAnsi="Arial"/>
          <w:sz w:val="18"/>
          <w:szCs w:val="18"/>
          <w:color w:val="auto"/>
        </w:rPr>
      </w:pPr>
    </w:p>
    <w:p>
      <w:pPr>
        <w:ind w:left="1540" w:right="40" w:hanging="439"/>
        <w:spacing w:after="0" w:line="238" w:lineRule="auto"/>
        <w:tabs>
          <w:tab w:leader="none" w:pos="15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231" w:lineRule="exact"/>
        <w:rPr>
          <w:rFonts w:ascii="Arial" w:cs="Arial" w:eastAsia="Arial" w:hAnsi="Arial"/>
          <w:sz w:val="18"/>
          <w:szCs w:val="18"/>
          <w:color w:val="auto"/>
        </w:rPr>
      </w:pPr>
    </w:p>
    <w:p>
      <w:pPr>
        <w:ind w:left="1540" w:right="40" w:hanging="439"/>
        <w:spacing w:after="0" w:line="236" w:lineRule="auto"/>
        <w:tabs>
          <w:tab w:leader="none" w:pos="15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233" w:lineRule="exact"/>
        <w:rPr>
          <w:rFonts w:ascii="Arial" w:cs="Arial" w:eastAsia="Arial" w:hAnsi="Arial"/>
          <w:sz w:val="18"/>
          <w:szCs w:val="18"/>
          <w:color w:val="auto"/>
        </w:rPr>
      </w:pPr>
    </w:p>
    <w:p>
      <w:pPr>
        <w:ind w:left="1540" w:hanging="439"/>
        <w:spacing w:after="0"/>
        <w:tabs>
          <w:tab w:leader="none" w:pos="154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approval by the shareholders of the Company of a liquidation or dissolution of the Company.</w:t>
      </w:r>
    </w:p>
    <w:p>
      <w:pPr>
        <w:spacing w:after="0" w:line="238" w:lineRule="exact"/>
        <w:rPr>
          <w:rFonts w:ascii="Arial" w:cs="Arial" w:eastAsia="Arial" w:hAnsi="Arial"/>
          <w:sz w:val="18"/>
          <w:szCs w:val="18"/>
          <w:color w:val="auto"/>
        </w:rPr>
      </w:pPr>
    </w:p>
    <w:p>
      <w:pPr>
        <w:ind w:left="1080" w:right="340" w:hanging="532"/>
        <w:spacing w:after="0" w:line="23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04"/>
        <w:spacing w:after="0"/>
        <w:tabs>
          <w:tab w:leader="none" w:pos="9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color w:val="auto"/>
        </w:rPr>
      </w:pPr>
    </w:p>
    <w:p>
      <w:pPr>
        <w:ind w:left="120" w:firstLine="436"/>
        <w:spacing w:after="0" w:line="238" w:lineRule="auto"/>
        <w:tabs>
          <w:tab w:leader="none" w:pos="9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204" w:lineRule="exact"/>
        <w:rPr>
          <w:rFonts w:ascii="Arial" w:cs="Arial" w:eastAsia="Arial" w:hAnsi="Arial"/>
          <w:sz w:val="18"/>
          <w:szCs w:val="18"/>
          <w:color w:val="auto"/>
        </w:rPr>
      </w:pPr>
    </w:p>
    <w:p>
      <w:pPr>
        <w:ind w:left="120" w:right="80" w:firstLine="436"/>
        <w:spacing w:after="0"/>
        <w:tabs>
          <w:tab w:leader="none" w:pos="103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202" w:lineRule="exact"/>
        <w:rPr>
          <w:rFonts w:ascii="Arial" w:cs="Arial" w:eastAsia="Arial" w:hAnsi="Arial"/>
          <w:sz w:val="18"/>
          <w:szCs w:val="18"/>
          <w:color w:val="auto"/>
        </w:rPr>
      </w:pPr>
    </w:p>
    <w:p>
      <w:pPr>
        <w:ind w:left="980" w:hanging="424"/>
        <w:spacing w:after="0"/>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211" w:lineRule="exact"/>
        <w:rPr>
          <w:rFonts w:ascii="Arial" w:cs="Arial" w:eastAsia="Arial" w:hAnsi="Arial"/>
          <w:sz w:val="18"/>
          <w:szCs w:val="18"/>
          <w:color w:val="auto"/>
        </w:rPr>
      </w:pPr>
    </w:p>
    <w:p>
      <w:pPr>
        <w:ind w:left="120" w:right="1120" w:firstLine="436"/>
        <w:spacing w:after="0" w:line="246"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96" w:lineRule="exact"/>
        <w:rPr>
          <w:rFonts w:ascii="Arial" w:cs="Arial" w:eastAsia="Arial" w:hAnsi="Arial"/>
          <w:sz w:val="18"/>
          <w:szCs w:val="18"/>
          <w:color w:val="auto"/>
        </w:rPr>
      </w:pPr>
    </w:p>
    <w:p>
      <w:pPr>
        <w:ind w:left="120" w:right="40" w:firstLine="436"/>
        <w:spacing w:after="0" w:line="236"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Fund</w:t>
      </w:r>
      <w:r>
        <w:rPr>
          <w:rFonts w:ascii="Arial" w:cs="Arial" w:eastAsia="Arial" w:hAnsi="Arial"/>
          <w:sz w:val="18"/>
          <w:szCs w:val="18"/>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 commencing as of the date on which dividends or other distributions are paid. To the extent a distribution of a Grantee’s Account is attributable to amounts credited to the Company Stock Fund (i) as Deferred Stock Units that have never been the subject of a completed Diversification Election or (ii) under circumstances described in Paragraph 8(j)(ii)(A), distributions shall be made in the form of Common Stock. All other distributions of Account balances shall be made in cash.</w:t>
      </w:r>
    </w:p>
    <w:p>
      <w:pPr>
        <w:spacing w:after="0" w:line="202" w:lineRule="exact"/>
        <w:rPr>
          <w:rFonts w:ascii="Arial" w:cs="Arial" w:eastAsia="Arial" w:hAnsi="Arial"/>
          <w:sz w:val="18"/>
          <w:szCs w:val="18"/>
          <w:color w:val="auto"/>
        </w:rPr>
      </w:pPr>
    </w:p>
    <w:p>
      <w:pPr>
        <w:ind w:left="980" w:hanging="424"/>
        <w:spacing w:after="0"/>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211" w:lineRule="exact"/>
        <w:rPr>
          <w:rFonts w:ascii="Arial" w:cs="Arial" w:eastAsia="Arial" w:hAnsi="Arial"/>
          <w:sz w:val="18"/>
          <w:szCs w:val="18"/>
          <w:color w:val="auto"/>
        </w:rPr>
      </w:pPr>
    </w:p>
    <w:p>
      <w:pPr>
        <w:ind w:left="940" w:hanging="384"/>
        <w:spacing w:after="0"/>
        <w:tabs>
          <w:tab w:leader="none" w:pos="9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239"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Effective for the period extending from January 1, 2014 through December 31, 2018:</w:t>
      </w:r>
    </w:p>
    <w:p>
      <w:pPr>
        <w:spacing w:after="0" w:line="238" w:lineRule="exact"/>
        <w:rPr>
          <w:rFonts w:ascii="Arial" w:cs="Arial" w:eastAsia="Arial" w:hAnsi="Arial"/>
          <w:sz w:val="18"/>
          <w:szCs w:val="18"/>
          <w:color w:val="auto"/>
        </w:rPr>
      </w:pPr>
    </w:p>
    <w:p>
      <w:pPr>
        <w:ind w:left="1540" w:right="40" w:hanging="439"/>
        <w:spacing w:after="0"/>
        <w:tabs>
          <w:tab w:leader="none" w:pos="1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229" w:lineRule="exact"/>
        <w:rPr>
          <w:rFonts w:ascii="Arial" w:cs="Arial" w:eastAsia="Arial" w:hAnsi="Arial"/>
          <w:sz w:val="18"/>
          <w:szCs w:val="18"/>
          <w:color w:val="auto"/>
        </w:rPr>
      </w:pPr>
    </w:p>
    <w:p>
      <w:pPr>
        <w:ind w:left="1540" w:hanging="439"/>
        <w:spacing w:after="0"/>
        <w:tabs>
          <w:tab w:leader="none" w:pos="1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38" w:lineRule="exact"/>
        <w:rPr>
          <w:rFonts w:ascii="Arial" w:cs="Arial" w:eastAsia="Arial" w:hAnsi="Arial"/>
          <w:sz w:val="18"/>
          <w:szCs w:val="18"/>
          <w:color w:val="auto"/>
        </w:rPr>
      </w:pPr>
    </w:p>
    <w:p>
      <w:pPr>
        <w:ind w:left="1540" w:right="800" w:hanging="439"/>
        <w:spacing w:after="0" w:line="246" w:lineRule="auto"/>
        <w:tabs>
          <w:tab w:leader="none" w:pos="15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Effective on and after January 1, 2019:</w:t>
      </w:r>
    </w:p>
    <w:p>
      <w:pPr>
        <w:spacing w:after="0" w:line="238" w:lineRule="exact"/>
        <w:rPr>
          <w:rFonts w:ascii="Arial" w:cs="Arial" w:eastAsia="Arial" w:hAnsi="Arial"/>
          <w:sz w:val="18"/>
          <w:szCs w:val="18"/>
          <w:color w:val="auto"/>
        </w:rPr>
      </w:pPr>
    </w:p>
    <w:p>
      <w:pPr>
        <w:ind w:left="1540" w:right="60" w:hanging="439"/>
        <w:spacing w:after="0"/>
        <w:tabs>
          <w:tab w:leader="none" w:pos="15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229" w:lineRule="exact"/>
        <w:rPr>
          <w:rFonts w:ascii="Arial" w:cs="Arial" w:eastAsia="Arial" w:hAnsi="Arial"/>
          <w:sz w:val="18"/>
          <w:szCs w:val="18"/>
          <w:color w:val="auto"/>
        </w:rPr>
      </w:pPr>
    </w:p>
    <w:p>
      <w:pPr>
        <w:ind w:left="1540" w:hanging="439"/>
        <w:spacing w:after="0"/>
        <w:tabs>
          <w:tab w:leader="none" w:pos="15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38" w:lineRule="exact"/>
        <w:rPr>
          <w:rFonts w:ascii="Arial" w:cs="Arial" w:eastAsia="Arial" w:hAnsi="Arial"/>
          <w:sz w:val="18"/>
          <w:szCs w:val="18"/>
          <w:color w:val="auto"/>
        </w:rPr>
      </w:pPr>
    </w:p>
    <w:p>
      <w:pPr>
        <w:ind w:left="1540" w:right="820" w:hanging="439"/>
        <w:spacing w:after="0" w:line="246" w:lineRule="auto"/>
        <w:tabs>
          <w:tab w:leader="none" w:pos="15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97" w:lineRule="exact"/>
        <w:rPr>
          <w:sz w:val="20"/>
          <w:szCs w:val="20"/>
          <w:color w:val="auto"/>
        </w:rPr>
      </w:pPr>
    </w:p>
    <w:p>
      <w:pPr>
        <w:ind w:left="120" w:right="260"/>
        <w:spacing w:after="0" w:line="261" w:lineRule="auto"/>
        <w:rPr>
          <w:sz w:val="20"/>
          <w:szCs w:val="20"/>
          <w:color w:val="auto"/>
        </w:rPr>
      </w:pPr>
      <w:r>
        <w:rPr>
          <w:rFonts w:ascii="Arial" w:cs="Arial" w:eastAsia="Arial" w:hAnsi="Arial"/>
          <w:sz w:val="17"/>
          <w:szCs w:val="17"/>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86" w:lineRule="exact"/>
        <w:rPr>
          <w:sz w:val="20"/>
          <w:szCs w:val="20"/>
          <w:color w:val="auto"/>
        </w:rPr>
      </w:pPr>
    </w:p>
    <w:p>
      <w:pPr>
        <w:ind w:left="920" w:hanging="364"/>
        <w:spacing w:after="0"/>
        <w:tabs>
          <w:tab w:leader="none" w:pos="9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38" w:lineRule="exact"/>
        <w:rPr>
          <w:rFonts w:ascii="Arial" w:cs="Arial" w:eastAsia="Arial" w:hAnsi="Arial"/>
          <w:sz w:val="18"/>
          <w:szCs w:val="18"/>
          <w:color w:val="auto"/>
        </w:rPr>
      </w:pPr>
    </w:p>
    <w:p>
      <w:pPr>
        <w:jc w:val="both"/>
        <w:ind w:left="1080" w:right="40" w:hanging="532"/>
        <w:spacing w:after="0"/>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229" w:lineRule="exact"/>
        <w:rPr>
          <w:rFonts w:ascii="Arial" w:cs="Arial" w:eastAsia="Arial" w:hAnsi="Arial"/>
          <w:sz w:val="18"/>
          <w:szCs w:val="18"/>
          <w:color w:val="auto"/>
        </w:rPr>
      </w:pPr>
    </w:p>
    <w:p>
      <w:pPr>
        <w:ind w:left="1080" w:right="540" w:hanging="532"/>
        <w:spacing w:after="0" w:line="246"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96" w:lineRule="exact"/>
        <w:rPr>
          <w:rFonts w:ascii="Arial" w:cs="Arial" w:eastAsia="Arial" w:hAnsi="Arial"/>
          <w:sz w:val="18"/>
          <w:szCs w:val="18"/>
          <w:color w:val="auto"/>
        </w:rPr>
      </w:pPr>
    </w:p>
    <w:p>
      <w:pPr>
        <w:ind w:left="960" w:hanging="404"/>
        <w:spacing w:after="0"/>
        <w:tabs>
          <w:tab w:leader="none" w:pos="9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39" w:lineRule="exact"/>
        <w:rPr>
          <w:sz w:val="20"/>
          <w:szCs w:val="20"/>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211" w:lineRule="exact"/>
        <w:rPr>
          <w:rFonts w:ascii="Arial" w:cs="Arial" w:eastAsia="Arial" w:hAnsi="Arial"/>
          <w:sz w:val="18"/>
          <w:szCs w:val="18"/>
          <w:color w:val="auto"/>
        </w:rPr>
      </w:pPr>
    </w:p>
    <w:p>
      <w:pPr>
        <w:jc w:val="both"/>
        <w:ind w:left="120" w:firstLine="436"/>
        <w:spacing w:after="0"/>
        <w:tabs>
          <w:tab w:leader="none" w:pos="10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or an Other Investment Fund, as provided in Paragraph 8(k).</w:t>
      </w:r>
    </w:p>
    <w:p>
      <w:pPr>
        <w:spacing w:after="0" w:line="202" w:lineRule="exact"/>
        <w:rPr>
          <w:rFonts w:ascii="Arial" w:cs="Arial" w:eastAsia="Arial" w:hAnsi="Arial"/>
          <w:sz w:val="18"/>
          <w:szCs w:val="18"/>
          <w:color w:val="auto"/>
        </w:rPr>
      </w:pPr>
    </w:p>
    <w:p>
      <w:pPr>
        <w:ind w:left="960" w:hanging="404"/>
        <w:spacing w:after="0"/>
        <w:tabs>
          <w:tab w:leader="none" w:pos="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Deferral Election, Regular Deferral Election, or a Subsequent Deferral Election.</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239" w:lineRule="exact"/>
        <w:rPr>
          <w:sz w:val="20"/>
          <w:szCs w:val="20"/>
          <w:color w:val="auto"/>
        </w:rPr>
      </w:pPr>
    </w:p>
    <w:p>
      <w:pPr>
        <w:ind w:left="1080" w:right="50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229" w:lineRule="exact"/>
        <w:rPr>
          <w:rFonts w:ascii="Arial" w:cs="Arial" w:eastAsia="Arial" w:hAnsi="Arial"/>
          <w:sz w:val="18"/>
          <w:szCs w:val="18"/>
          <w:color w:val="auto"/>
        </w:rPr>
      </w:pPr>
    </w:p>
    <w:p>
      <w:pPr>
        <w:jc w:val="both"/>
        <w:ind w:left="1080" w:right="140" w:hanging="532"/>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200" w:hanging="532"/>
        <w:spacing w:after="0" w:line="246"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Shares or shares of any Other Investment Fund are not so listed nor trades of shares so reported, Fair Market Value shall be determined by the Committee in good faith.</w:t>
      </w:r>
    </w:p>
    <w:p>
      <w:pPr>
        <w:spacing w:after="0" w:line="196" w:lineRule="exact"/>
        <w:rPr>
          <w:rFonts w:ascii="Arial" w:cs="Arial" w:eastAsia="Arial" w:hAnsi="Arial"/>
          <w:sz w:val="18"/>
          <w:szCs w:val="18"/>
          <w:color w:val="auto"/>
        </w:rPr>
      </w:pPr>
    </w:p>
    <w:p>
      <w:pPr>
        <w:ind w:left="120" w:firstLine="436"/>
        <w:spacing w:after="0" w:line="246"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96" w:lineRule="exact"/>
        <w:rPr>
          <w:rFonts w:ascii="Arial" w:cs="Arial" w:eastAsia="Arial" w:hAnsi="Arial"/>
          <w:sz w:val="18"/>
          <w:szCs w:val="18"/>
          <w:color w:val="auto"/>
        </w:rPr>
      </w:pPr>
    </w:p>
    <w:p>
      <w:pPr>
        <w:ind w:left="120" w:firstLine="436"/>
        <w:spacing w:after="0" w:line="246"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1(c) that were deferred under the Plan and that were earned and vested before January 1, 2005.</w:t>
      </w:r>
    </w:p>
    <w:p>
      <w:pPr>
        <w:spacing w:after="0" w:line="196" w:lineRule="exact"/>
        <w:rPr>
          <w:rFonts w:ascii="Arial" w:cs="Arial" w:eastAsia="Arial" w:hAnsi="Arial"/>
          <w:sz w:val="18"/>
          <w:szCs w:val="18"/>
          <w:color w:val="auto"/>
        </w:rPr>
      </w:pPr>
    </w:p>
    <w:p>
      <w:pPr>
        <w:ind w:left="1060" w:hanging="504"/>
        <w:spacing w:after="0"/>
        <w:tabs>
          <w:tab w:leader="none" w:pos="10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211" w:lineRule="exact"/>
        <w:rPr>
          <w:rFonts w:ascii="Arial" w:cs="Arial" w:eastAsia="Arial" w:hAnsi="Arial"/>
          <w:sz w:val="18"/>
          <w:szCs w:val="18"/>
          <w:color w:val="auto"/>
        </w:rPr>
      </w:pPr>
    </w:p>
    <w:p>
      <w:pPr>
        <w:jc w:val="both"/>
        <w:ind w:left="120" w:right="200" w:firstLine="436"/>
        <w:spacing w:after="0" w:line="248" w:lineRule="auto"/>
        <w:tabs>
          <w:tab w:leader="none" w:pos="10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Hardship</w:t>
      </w:r>
      <w:r>
        <w:rPr>
          <w:rFonts w:ascii="Arial" w:cs="Arial" w:eastAsia="Arial" w:hAnsi="Arial"/>
          <w:sz w:val="17"/>
          <w:szCs w:val="17"/>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w:t>
      </w:r>
    </w:p>
    <w:p>
      <w:pPr>
        <w:spacing w:after="0" w:line="2" w:lineRule="exact"/>
        <w:rPr>
          <w:rFonts w:ascii="Arial" w:cs="Arial" w:eastAsia="Arial" w:hAnsi="Arial"/>
          <w:sz w:val="17"/>
          <w:szCs w:val="17"/>
          <w:color w:val="auto"/>
        </w:rPr>
      </w:pPr>
    </w:p>
    <w:p>
      <w:pPr>
        <w:ind w:left="120" w:right="160"/>
        <w:spacing w:after="0"/>
        <w:rPr>
          <w:rFonts w:ascii="Arial" w:cs="Arial" w:eastAsia="Arial" w:hAnsi="Arial"/>
          <w:sz w:val="17"/>
          <w:szCs w:val="17"/>
          <w:color w:val="auto"/>
        </w:rPr>
      </w:pPr>
      <w:r>
        <w:rPr>
          <w:rFonts w:ascii="Arial" w:cs="Arial" w:eastAsia="Arial" w:hAnsi="Arial"/>
          <w:sz w:val="18"/>
          <w:szCs w:val="18"/>
          <w:color w:val="auto"/>
        </w:rPr>
        <w:t>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202" w:lineRule="exact"/>
        <w:rPr>
          <w:rFonts w:ascii="Arial" w:cs="Arial" w:eastAsia="Arial" w:hAnsi="Arial"/>
          <w:sz w:val="17"/>
          <w:szCs w:val="17"/>
          <w:color w:val="auto"/>
        </w:rPr>
      </w:pPr>
    </w:p>
    <w:p>
      <w:pPr>
        <w:ind w:left="120" w:right="520" w:firstLine="436"/>
        <w:spacing w:after="0" w:line="246"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Balance Participant</w:t>
      </w:r>
      <w:r>
        <w:rPr>
          <w:rFonts w:ascii="Arial" w:cs="Arial" w:eastAsia="Arial" w:hAnsi="Arial"/>
          <w:sz w:val="18"/>
          <w:szCs w:val="18"/>
          <w:color w:val="auto"/>
        </w:rPr>
        <w:t>” means a Grantee the value of whose Account that is deemed invested in the Income Fund is greater than or equal to the Income Fund Limit, as determined by the Committee.</w:t>
      </w:r>
    </w:p>
    <w:p>
      <w:pPr>
        <w:spacing w:after="0" w:line="196" w:lineRule="exact"/>
        <w:rPr>
          <w:rFonts w:ascii="Arial" w:cs="Arial" w:eastAsia="Arial" w:hAnsi="Arial"/>
          <w:sz w:val="18"/>
          <w:szCs w:val="18"/>
          <w:color w:val="auto"/>
        </w:rPr>
      </w:pPr>
    </w:p>
    <w:p>
      <w:pPr>
        <w:ind w:left="980" w:hanging="424"/>
        <w:spacing w:after="0"/>
        <w:tabs>
          <w:tab w:leader="none" w:pos="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High-Water Mark</w:t>
      </w:r>
      <w:r>
        <w:rPr>
          <w:rFonts w:ascii="Arial" w:cs="Arial" w:eastAsia="Arial" w:hAnsi="Arial"/>
          <w:sz w:val="18"/>
          <w:szCs w:val="18"/>
          <w:color w:val="auto"/>
        </w:rPr>
        <w:t>” means:</w:t>
      </w:r>
    </w:p>
    <w:p>
      <w:pPr>
        <w:spacing w:after="0" w:line="239" w:lineRule="exact"/>
        <w:rPr>
          <w:sz w:val="20"/>
          <w:szCs w:val="20"/>
          <w:color w:val="auto"/>
        </w:rPr>
      </w:pPr>
    </w:p>
    <w:p>
      <w:pPr>
        <w:ind w:left="1080" w:right="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229" w:lineRule="exact"/>
        <w:rPr>
          <w:rFonts w:ascii="Arial" w:cs="Arial" w:eastAsia="Arial" w:hAnsi="Arial"/>
          <w:sz w:val="18"/>
          <w:szCs w:val="18"/>
          <w:color w:val="auto"/>
        </w:rPr>
      </w:pPr>
    </w:p>
    <w:p>
      <w:pPr>
        <w:ind w:left="154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Grantee’s Account under the 2005 Deferred Compensation Plan, to the extent credited to the Income Fund; plus</w:t>
      </w:r>
    </w:p>
    <w:p>
      <w:pPr>
        <w:spacing w:after="0" w:line="238" w:lineRule="exact"/>
        <w:rPr>
          <w:rFonts w:ascii="Arial" w:cs="Arial" w:eastAsia="Arial" w:hAnsi="Arial"/>
          <w:sz w:val="18"/>
          <w:szCs w:val="18"/>
          <w:color w:val="auto"/>
        </w:rPr>
      </w:pPr>
    </w:p>
    <w:p>
      <w:pPr>
        <w:ind w:left="154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Grantee’s Account under the 2002 Deferred Compensation Plan, to the extent credited to the Income Fund; plus</w:t>
      </w:r>
    </w:p>
    <w:p>
      <w:pPr>
        <w:spacing w:after="0" w:line="238" w:lineRule="exact"/>
        <w:rPr>
          <w:rFonts w:ascii="Arial" w:cs="Arial" w:eastAsia="Arial" w:hAnsi="Arial"/>
          <w:sz w:val="18"/>
          <w:szCs w:val="18"/>
          <w:color w:val="auto"/>
        </w:rPr>
      </w:pPr>
    </w:p>
    <w:p>
      <w:pPr>
        <w:ind w:left="154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portion of the Grantee’s Account under this Plan credited to the Income Fund.</w:t>
      </w:r>
    </w:p>
    <w:p>
      <w:pPr>
        <w:spacing w:after="0" w:line="238"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 respect to amounts credited to the Income Fund on account of Diversification Elections and Special Diversification Elections made after 2014, the sum of (x) plus (y) where (x) equals the highest of the sum of the amounts described in Paragraphs 2(ee)(i)(A), (B) and (C) as of the last day of any calendar quarter beginning after December 31, 2008 and before January 1, 2014, and (y) equals the sum of:</w:t>
      </w:r>
    </w:p>
    <w:p>
      <w:pPr>
        <w:spacing w:after="0" w:line="231" w:lineRule="exact"/>
        <w:rPr>
          <w:rFonts w:ascii="Arial" w:cs="Arial" w:eastAsia="Arial" w:hAnsi="Arial"/>
          <w:sz w:val="18"/>
          <w:szCs w:val="18"/>
          <w:color w:val="auto"/>
        </w:rPr>
      </w:pPr>
    </w:p>
    <w:p>
      <w:pPr>
        <w:ind w:left="1540" w:right="26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amount credited to the Income Fund with respect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229" w:lineRule="exact"/>
        <w:rPr>
          <w:rFonts w:ascii="Arial" w:cs="Arial" w:eastAsia="Arial" w:hAnsi="Arial"/>
          <w:sz w:val="18"/>
          <w:szCs w:val="18"/>
          <w:color w:val="auto"/>
        </w:rPr>
      </w:pPr>
    </w:p>
    <w:p>
      <w:pPr>
        <w:jc w:val="both"/>
        <w:ind w:left="1540" w:right="20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deferred portion of a Grantee’s cash bonus award earned for 2013 to the extent credited to the Income Fund and payable, but for the Grantee’s deferral election under the 2005 Deferred Compensation Plan after December 31, 2013 and on or before September 30, 2014; plus</w:t>
      </w:r>
    </w:p>
    <w:p>
      <w:pPr>
        <w:spacing w:after="0" w:line="229" w:lineRule="exact"/>
        <w:rPr>
          <w:rFonts w:ascii="Arial" w:cs="Arial" w:eastAsia="Arial" w:hAnsi="Arial"/>
          <w:sz w:val="18"/>
          <w:szCs w:val="18"/>
          <w:color w:val="auto"/>
        </w:rPr>
      </w:pPr>
    </w:p>
    <w:p>
      <w:pPr>
        <w:ind w:left="1540" w:right="20" w:hanging="439"/>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36"/>
        <w:spacing w:after="0" w:line="236"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Grantee’s account under such 2005 Deferred Compensation Plan. The “</w:t>
      </w:r>
      <w:r>
        <w:rPr>
          <w:rFonts w:ascii="Arial" w:cs="Arial" w:eastAsia="Arial" w:hAnsi="Arial"/>
          <w:sz w:val="18"/>
          <w:szCs w:val="18"/>
          <w:u w:val="single" w:color="auto"/>
          <w:color w:val="auto"/>
        </w:rPr>
        <w:t>9% Fund</w:t>
      </w:r>
      <w:r>
        <w:rPr>
          <w:rFonts w:ascii="Arial" w:cs="Arial" w:eastAsia="Arial" w:hAnsi="Arial"/>
          <w:sz w:val="18"/>
          <w:szCs w:val="18"/>
          <w:color w:val="auto"/>
        </w:rPr>
        <w:t>” means that portion of the Income Fund with respect to which the Applicable Interest Rate is 9%. The “</w:t>
      </w:r>
      <w:r>
        <w:rPr>
          <w:rFonts w:ascii="Arial" w:cs="Arial" w:eastAsia="Arial" w:hAnsi="Arial"/>
          <w:sz w:val="18"/>
          <w:szCs w:val="18"/>
          <w:u w:val="single" w:color="auto"/>
          <w:color w:val="auto"/>
        </w:rPr>
        <w:t>12% Fund</w:t>
      </w:r>
      <w:r>
        <w:rPr>
          <w:rFonts w:ascii="Arial" w:cs="Arial" w:eastAsia="Arial" w:hAnsi="Arial"/>
          <w:sz w:val="18"/>
          <w:szCs w:val="18"/>
          <w:color w:val="auto"/>
        </w:rPr>
        <w:t>” means that portion of the Income Fund with respect to which the Applicable Interest Rate is 12%. The “</w:t>
      </w:r>
      <w:r>
        <w:rPr>
          <w:rFonts w:ascii="Arial" w:cs="Arial" w:eastAsia="Arial" w:hAnsi="Arial"/>
          <w:sz w:val="18"/>
          <w:szCs w:val="18"/>
          <w:u w:val="single" w:color="auto"/>
          <w:color w:val="auto"/>
        </w:rPr>
        <w:t>Prime Plus</w:t>
      </w:r>
      <w:r>
        <w:rPr>
          <w:rFonts w:ascii="Arial" w:cs="Arial" w:eastAsia="Arial" w:hAnsi="Arial"/>
          <w:sz w:val="18"/>
          <w:szCs w:val="18"/>
          <w:color w:val="auto"/>
        </w:rPr>
        <w:t xml:space="preserve"> </w:t>
      </w:r>
      <w:r>
        <w:rPr>
          <w:rFonts w:ascii="Arial" w:cs="Arial" w:eastAsia="Arial" w:hAnsi="Arial"/>
          <w:sz w:val="18"/>
          <w:szCs w:val="18"/>
          <w:u w:val="single" w:color="auto"/>
          <w:color w:val="auto"/>
        </w:rPr>
        <w:t>One Fund</w:t>
      </w:r>
      <w:r>
        <w:rPr>
          <w:rFonts w:ascii="Arial" w:cs="Arial" w:eastAsia="Arial" w:hAnsi="Arial"/>
          <w:sz w:val="18"/>
          <w:szCs w:val="18"/>
          <w:color w:val="auto"/>
        </w:rPr>
        <w:t>” means that portion of the Income Fund with respect to which the Applicable Interest Rate is described in Paragraph 2(f)(ii). For purposes of this Paragraph 2(gg), the Income Fund shall include amounts credited to the Income Fund under the 2002 Deferred Compensation Plan and the 2005 Deferred Compensation Plan.</w:t>
      </w:r>
    </w:p>
    <w:p>
      <w:pPr>
        <w:spacing w:after="0" w:line="199" w:lineRule="exact"/>
        <w:rPr>
          <w:rFonts w:ascii="Arial" w:cs="Arial" w:eastAsia="Arial" w:hAnsi="Arial"/>
          <w:sz w:val="18"/>
          <w:szCs w:val="18"/>
          <w:color w:val="auto"/>
        </w:rPr>
      </w:pPr>
    </w:p>
    <w:p>
      <w:pPr>
        <w:ind w:left="1080" w:hanging="5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Fund Limit</w:t>
      </w:r>
      <w:r>
        <w:rPr>
          <w:rFonts w:ascii="Arial" w:cs="Arial" w:eastAsia="Arial" w:hAnsi="Arial"/>
          <w:sz w:val="18"/>
          <w:szCs w:val="18"/>
          <w:color w:val="auto"/>
        </w:rPr>
        <w:t>” means $100 million, provided that if the amount credited to a Grantee’s Income Fund is greater than</w:t>
      </w:r>
    </w:p>
    <w:p>
      <w:pPr>
        <w:ind w:left="120" w:right="160"/>
        <w:spacing w:after="0" w:line="238" w:lineRule="auto"/>
        <w:rPr>
          <w:sz w:val="20"/>
          <w:szCs w:val="20"/>
          <w:color w:val="auto"/>
        </w:rPr>
      </w:pPr>
      <w:r>
        <w:rPr>
          <w:rFonts w:ascii="Arial" w:cs="Arial" w:eastAsia="Arial" w:hAnsi="Arial"/>
          <w:sz w:val="18"/>
          <w:szCs w:val="18"/>
          <w:color w:val="auto"/>
        </w:rPr>
        <w:t>$100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 The Committee may waive or modify the Income Fund Limit applicable to one or more High Balance Participants in its discretion. For purposes of this Paragraph 2(hh), the Income Fund shall include amounts credited to Income Fund under the 2002 Deferred Compensation Plan and 2005 Deferred Compensation Plan.</w:t>
      </w:r>
    </w:p>
    <w:p>
      <w:pPr>
        <w:spacing w:after="0" w:line="202" w:lineRule="exact"/>
        <w:rPr>
          <w:sz w:val="20"/>
          <w:szCs w:val="20"/>
          <w:color w:val="auto"/>
        </w:rPr>
      </w:pPr>
    </w:p>
    <w:p>
      <w:pPr>
        <w:ind w:left="120" w:right="60" w:firstLine="436"/>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202" w:lineRule="exact"/>
        <w:rPr>
          <w:rFonts w:ascii="Arial" w:cs="Arial" w:eastAsia="Arial" w:hAnsi="Arial"/>
          <w:sz w:val="18"/>
          <w:szCs w:val="18"/>
          <w:color w:val="auto"/>
        </w:rPr>
      </w:pPr>
    </w:p>
    <w:p>
      <w:pPr>
        <w:ind w:left="960" w:hanging="404"/>
        <w:spacing w:after="0"/>
        <w:tabs>
          <w:tab w:leader="none" w:pos="9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238" w:lineRule="exact"/>
        <w:rPr>
          <w:rFonts w:ascii="Arial" w:cs="Arial" w:eastAsia="Arial" w:hAnsi="Arial"/>
          <w:sz w:val="18"/>
          <w:szCs w:val="18"/>
          <w:color w:val="auto"/>
        </w:rPr>
      </w:pPr>
    </w:p>
    <w:p>
      <w:pPr>
        <w:ind w:left="1080" w:right="660" w:hanging="532"/>
        <w:spacing w:after="0" w:line="246" w:lineRule="auto"/>
        <w:tabs>
          <w:tab w:leader="none" w:pos="10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Effective for the period extending from January 1, 2014 through December 31, 2018, each employee of a Participating Company who:</w:t>
      </w:r>
    </w:p>
    <w:p>
      <w:pPr>
        <w:spacing w:after="0" w:line="223" w:lineRule="exact"/>
        <w:rPr>
          <w:rFonts w:ascii="Arial" w:cs="Arial" w:eastAsia="Arial" w:hAnsi="Arial"/>
          <w:sz w:val="18"/>
          <w:szCs w:val="18"/>
          <w:color w:val="auto"/>
        </w:rPr>
      </w:pPr>
    </w:p>
    <w:p>
      <w:pPr>
        <w:ind w:left="1540" w:right="640" w:hanging="439"/>
        <w:spacing w:after="0" w:line="246" w:lineRule="auto"/>
        <w:tabs>
          <w:tab w:leader="none" w:pos="154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$250,000 or more as of his employment commencement date; or</w:t>
      </w:r>
    </w:p>
    <w:p>
      <w:pPr>
        <w:spacing w:after="0" w:line="223" w:lineRule="exact"/>
        <w:rPr>
          <w:rFonts w:ascii="Arial" w:cs="Arial" w:eastAsia="Arial" w:hAnsi="Arial"/>
          <w:sz w:val="18"/>
          <w:szCs w:val="18"/>
          <w:color w:val="auto"/>
        </w:rPr>
      </w:pPr>
    </w:p>
    <w:p>
      <w:pPr>
        <w:ind w:left="1540" w:right="200" w:hanging="439"/>
        <w:spacing w:after="0" w:line="246" w:lineRule="auto"/>
        <w:tabs>
          <w:tab w:leader="none" w:pos="154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has an Annual Rate of Pay that is increased to $250,000 or more and who, immediately preceding such increase, was not a Deferral Eligible Employee.</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Effective on and after January 1, 2019, each employee of a Participating Company who:</w:t>
      </w:r>
    </w:p>
    <w:p>
      <w:pPr>
        <w:spacing w:after="0" w:line="238" w:lineRule="exact"/>
        <w:rPr>
          <w:rFonts w:ascii="Arial" w:cs="Arial" w:eastAsia="Arial" w:hAnsi="Arial"/>
          <w:sz w:val="18"/>
          <w:szCs w:val="18"/>
          <w:color w:val="auto"/>
        </w:rPr>
      </w:pPr>
    </w:p>
    <w:p>
      <w:pPr>
        <w:ind w:left="1540" w:right="640" w:hanging="439"/>
        <w:spacing w:after="0" w:line="246" w:lineRule="auto"/>
        <w:tabs>
          <w:tab w:leader="none" w:pos="154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becomes an employee of a Participating Company and has an Annual Rate of Pay of $350,000 or more as of his employment commencement date; or</w:t>
      </w:r>
    </w:p>
    <w:p>
      <w:pPr>
        <w:spacing w:after="0" w:line="223" w:lineRule="exact"/>
        <w:rPr>
          <w:rFonts w:ascii="Arial" w:cs="Arial" w:eastAsia="Arial" w:hAnsi="Arial"/>
          <w:sz w:val="18"/>
          <w:szCs w:val="18"/>
          <w:color w:val="auto"/>
        </w:rPr>
      </w:pPr>
    </w:p>
    <w:p>
      <w:pPr>
        <w:ind w:left="1540" w:right="200" w:hanging="439"/>
        <w:spacing w:after="0" w:line="246" w:lineRule="auto"/>
        <w:tabs>
          <w:tab w:leader="none" w:pos="1540" w:val="left"/>
        </w:tabs>
        <w:numPr>
          <w:ilvl w:val="2"/>
          <w:numId w:val="177"/>
        </w:numPr>
        <w:rPr>
          <w:rFonts w:ascii="Arial" w:cs="Arial" w:eastAsia="Arial" w:hAnsi="Arial"/>
          <w:sz w:val="18"/>
          <w:szCs w:val="18"/>
          <w:color w:val="auto"/>
        </w:rPr>
      </w:pPr>
      <w:r>
        <w:rPr>
          <w:rFonts w:ascii="Arial" w:cs="Arial" w:eastAsia="Arial" w:hAnsi="Arial"/>
          <w:sz w:val="18"/>
          <w:szCs w:val="18"/>
          <w:color w:val="auto"/>
        </w:rPr>
        <w:t>has an Annual Rate of Pay that is increased to $350,000 or more and who, immediately preceding such increase, was not a Deferral Eligible Employee.</w:t>
      </w:r>
    </w:p>
    <w:p>
      <w:pPr>
        <w:spacing w:after="0" w:line="196" w:lineRule="exact"/>
        <w:rPr>
          <w:rFonts w:ascii="Arial" w:cs="Arial" w:eastAsia="Arial" w:hAnsi="Arial"/>
          <w:sz w:val="18"/>
          <w:szCs w:val="18"/>
          <w:color w:val="auto"/>
        </w:rPr>
      </w:pPr>
    </w:p>
    <w:p>
      <w:pPr>
        <w:ind w:left="120" w:right="40" w:firstLine="436"/>
        <w:spacing w:after="0" w:line="246" w:lineRule="auto"/>
        <w:tabs>
          <w:tab w:leader="none" w:pos="9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Eligible Employee, including an individual who is a member of the Board and who previously was an employee of the Company.</w:t>
      </w:r>
    </w:p>
    <w:p>
      <w:pPr>
        <w:spacing w:after="0" w:line="196" w:lineRule="exact"/>
        <w:rPr>
          <w:rFonts w:ascii="Arial" w:cs="Arial" w:eastAsia="Arial" w:hAnsi="Arial"/>
          <w:sz w:val="18"/>
          <w:szCs w:val="18"/>
          <w:color w:val="auto"/>
        </w:rPr>
      </w:pPr>
    </w:p>
    <w:p>
      <w:pPr>
        <w:ind w:left="120" w:right="640" w:firstLine="436"/>
        <w:spacing w:after="0" w:line="246" w:lineRule="auto"/>
        <w:tabs>
          <w:tab w:leader="none" w:pos="11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524"/>
        <w:spacing w:after="0"/>
        <w:tabs>
          <w:tab w:leader="none" w:pos="10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38" w:lineRule="exact"/>
        <w:rPr>
          <w:rFonts w:ascii="Arial" w:cs="Arial" w:eastAsia="Arial" w:hAnsi="Arial"/>
          <w:sz w:val="18"/>
          <w:szCs w:val="18"/>
          <w:color w:val="auto"/>
        </w:rPr>
      </w:pPr>
    </w:p>
    <w:p>
      <w:pPr>
        <w:ind w:left="1080" w:right="20" w:hanging="532"/>
        <w:spacing w:after="0"/>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38" w:lineRule="exact"/>
        <w:rPr>
          <w:rFonts w:ascii="Arial" w:cs="Arial" w:eastAsia="Arial" w:hAnsi="Arial"/>
          <w:sz w:val="18"/>
          <w:szCs w:val="18"/>
          <w:color w:val="auto"/>
        </w:rPr>
      </w:pPr>
    </w:p>
    <w:p>
      <w:pPr>
        <w:ind w:left="1540" w:right="180" w:hanging="439"/>
        <w:spacing w:after="0" w:line="246" w:lineRule="auto"/>
        <w:tabs>
          <w:tab w:leader="none" w:pos="154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2(nn)(i); over</w:t>
      </w:r>
    </w:p>
    <w:p>
      <w:pPr>
        <w:spacing w:after="0" w:line="223" w:lineRule="exact"/>
        <w:rPr>
          <w:rFonts w:ascii="Arial" w:cs="Arial" w:eastAsia="Arial" w:hAnsi="Arial"/>
          <w:sz w:val="18"/>
          <w:szCs w:val="18"/>
          <w:color w:val="auto"/>
        </w:rPr>
      </w:pPr>
    </w:p>
    <w:p>
      <w:pPr>
        <w:ind w:left="1540" w:hanging="439"/>
        <w:spacing w:after="0"/>
        <w:tabs>
          <w:tab w:leader="none" w:pos="154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7" w:lineRule="exact"/>
        <w:rPr>
          <w:rFonts w:ascii="Arial" w:cs="Arial" w:eastAsia="Arial" w:hAnsi="Arial"/>
          <w:sz w:val="18"/>
          <w:szCs w:val="18"/>
          <w:color w:val="auto"/>
        </w:rPr>
      </w:pPr>
    </w:p>
    <w:p>
      <w:pPr>
        <w:ind w:left="1920" w:hanging="412"/>
        <w:spacing w:after="0"/>
        <w:tabs>
          <w:tab w:leader="none" w:pos="1920" w:val="left"/>
        </w:tabs>
        <w:numPr>
          <w:ilvl w:val="3"/>
          <w:numId w:val="181"/>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for less than six months;</w:t>
      </w:r>
    </w:p>
    <w:p>
      <w:pPr>
        <w:ind w:left="1100"/>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211" w:lineRule="exact"/>
        <w:rPr>
          <w:rFonts w:ascii="Arial" w:cs="Arial" w:eastAsia="Arial" w:hAnsi="Arial"/>
          <w:sz w:val="18"/>
          <w:szCs w:val="18"/>
          <w:color w:val="auto"/>
        </w:rPr>
      </w:pPr>
    </w:p>
    <w:p>
      <w:pPr>
        <w:ind w:left="1100" w:right="260" w:firstLine="408"/>
        <w:spacing w:after="0"/>
        <w:tabs>
          <w:tab w:leader="none" w:pos="1917" w:val="left"/>
        </w:tabs>
        <w:numPr>
          <w:ilvl w:val="3"/>
          <w:numId w:val="181"/>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202" w:lineRule="exact"/>
        <w:rPr>
          <w:rFonts w:ascii="Arial" w:cs="Arial" w:eastAsia="Arial" w:hAnsi="Arial"/>
          <w:sz w:val="18"/>
          <w:szCs w:val="18"/>
          <w:color w:val="auto"/>
        </w:rPr>
      </w:pPr>
    </w:p>
    <w:p>
      <w:pPr>
        <w:ind w:left="1100" w:firstLine="408"/>
        <w:spacing w:after="0" w:line="238" w:lineRule="auto"/>
        <w:tabs>
          <w:tab w:leader="none" w:pos="1917" w:val="left"/>
        </w:tabs>
        <w:numPr>
          <w:ilvl w:val="3"/>
          <w:numId w:val="181"/>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202" w:lineRule="exact"/>
        <w:rPr>
          <w:rFonts w:ascii="Arial" w:cs="Arial" w:eastAsia="Arial" w:hAnsi="Arial"/>
          <w:sz w:val="18"/>
          <w:szCs w:val="18"/>
          <w:color w:val="auto"/>
        </w:rPr>
      </w:pPr>
    </w:p>
    <w:p>
      <w:pPr>
        <w:ind w:left="1100" w:right="160" w:firstLine="408"/>
        <w:spacing w:after="0" w:line="238" w:lineRule="auto"/>
        <w:tabs>
          <w:tab w:leader="none" w:pos="1917" w:val="left"/>
        </w:tabs>
        <w:numPr>
          <w:ilvl w:val="3"/>
          <w:numId w:val="181"/>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205"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202" w:lineRule="exact"/>
        <w:rPr>
          <w:sz w:val="20"/>
          <w:szCs w:val="20"/>
          <w:color w:val="auto"/>
        </w:rPr>
      </w:pPr>
    </w:p>
    <w:p>
      <w:pPr>
        <w:ind w:left="120" w:right="60" w:firstLine="436"/>
        <w:spacing w:after="0" w:line="238"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Investment Fund</w:t>
      </w:r>
      <w:r>
        <w:rPr>
          <w:rFonts w:ascii="Arial" w:cs="Arial" w:eastAsia="Arial" w:hAnsi="Arial"/>
          <w:sz w:val="18"/>
          <w:szCs w:val="18"/>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202" w:lineRule="exact"/>
        <w:rPr>
          <w:rFonts w:ascii="Arial" w:cs="Arial" w:eastAsia="Arial" w:hAnsi="Arial"/>
          <w:sz w:val="18"/>
          <w:szCs w:val="18"/>
          <w:color w:val="auto"/>
        </w:rPr>
      </w:pPr>
    </w:p>
    <w:p>
      <w:pPr>
        <w:ind w:left="1080" w:hanging="5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211" w:lineRule="exact"/>
        <w:rPr>
          <w:rFonts w:ascii="Arial" w:cs="Arial" w:eastAsia="Arial" w:hAnsi="Arial"/>
          <w:sz w:val="18"/>
          <w:szCs w:val="18"/>
          <w:color w:val="auto"/>
        </w:rPr>
      </w:pPr>
    </w:p>
    <w:p>
      <w:pPr>
        <w:ind w:left="120" w:right="1040" w:firstLine="436"/>
        <w:spacing w:after="0" w:line="246" w:lineRule="auto"/>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96" w:lineRule="exact"/>
        <w:rPr>
          <w:rFonts w:ascii="Arial" w:cs="Arial" w:eastAsia="Arial" w:hAnsi="Arial"/>
          <w:sz w:val="18"/>
          <w:szCs w:val="18"/>
          <w:color w:val="auto"/>
        </w:rPr>
      </w:pPr>
    </w:p>
    <w:p>
      <w:pPr>
        <w:ind w:left="1060" w:hanging="504"/>
        <w:spacing w:after="0"/>
        <w:tabs>
          <w:tab w:leader="none" w:pos="10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24"/>
        <w:spacing w:after="0"/>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211" w:lineRule="exact"/>
        <w:rPr>
          <w:rFonts w:ascii="Arial" w:cs="Arial" w:eastAsia="Arial" w:hAnsi="Arial"/>
          <w:sz w:val="18"/>
          <w:szCs w:val="18"/>
          <w:color w:val="auto"/>
        </w:rPr>
      </w:pPr>
    </w:p>
    <w:p>
      <w:pPr>
        <w:jc w:val="both"/>
        <w:ind w:left="120" w:right="40" w:firstLine="436"/>
        <w:spacing w:after="0" w:line="238" w:lineRule="auto"/>
        <w:tabs>
          <w:tab w:leader="none" w:pos="106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200" w:lineRule="exact"/>
        <w:rPr>
          <w:rFonts w:ascii="Arial" w:cs="Arial" w:eastAsia="Arial" w:hAnsi="Arial"/>
          <w:sz w:val="18"/>
          <w:szCs w:val="18"/>
          <w:color w:val="auto"/>
        </w:rPr>
      </w:pPr>
    </w:p>
    <w:p>
      <w:pPr>
        <w:ind w:left="1140" w:hanging="584"/>
        <w:spacing w:after="0"/>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Deferral Election</w:t>
      </w:r>
      <w:r>
        <w:rPr>
          <w:rFonts w:ascii="Arial" w:cs="Arial" w:eastAsia="Arial" w:hAnsi="Arial"/>
          <w:sz w:val="18"/>
          <w:szCs w:val="18"/>
          <w:color w:val="auto"/>
        </w:rPr>
        <w:t>” means a written election on a form provided by the Committee, pursuant to which a Grantee:</w:t>
      </w:r>
    </w:p>
    <w:p>
      <w:pPr>
        <w:ind w:left="120" w:right="40" w:hanging="4"/>
        <w:spacing w:after="0" w:line="246" w:lineRule="auto"/>
        <w:tabs>
          <w:tab w:leader="none" w:pos="33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elects, within the time or times specified in Paragraph 8(a)(ii), to defer the distribution date of Shares issuable with respect to Restricted Stock Units; and (ii) designates the distribution date of such Shares.</w:t>
      </w:r>
    </w:p>
    <w:p>
      <w:pPr>
        <w:spacing w:after="0" w:line="196" w:lineRule="exact"/>
        <w:rPr>
          <w:rFonts w:ascii="Arial" w:cs="Arial" w:eastAsia="Arial" w:hAnsi="Arial"/>
          <w:sz w:val="18"/>
          <w:szCs w:val="18"/>
          <w:color w:val="auto"/>
        </w:rPr>
      </w:pPr>
    </w:p>
    <w:p>
      <w:pPr>
        <w:ind w:left="1060" w:hanging="504"/>
        <w:spacing w:after="0"/>
        <w:tabs>
          <w:tab w:leader="none" w:pos="10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207" w:lineRule="exact"/>
        <w:rPr>
          <w:rFonts w:ascii="Arial" w:cs="Arial" w:eastAsia="Arial" w:hAnsi="Arial"/>
          <w:sz w:val="18"/>
          <w:szCs w:val="18"/>
          <w:color w:val="auto"/>
        </w:rPr>
      </w:pPr>
    </w:p>
    <w:p>
      <w:pPr>
        <w:ind w:left="1060" w:hanging="504"/>
        <w:spacing w:after="0"/>
        <w:tabs>
          <w:tab w:leader="none" w:pos="10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w:t>
      </w:r>
    </w:p>
    <w:p>
      <w:pPr>
        <w:ind w:left="120"/>
        <w:spacing w:after="0"/>
        <w:rPr>
          <w:rFonts w:ascii="Arial" w:cs="Arial" w:eastAsia="Arial" w:hAnsi="Arial"/>
          <w:sz w:val="18"/>
          <w:szCs w:val="18"/>
          <w:color w:val="auto"/>
        </w:rPr>
      </w:pPr>
      <w:r>
        <w:rPr>
          <w:rFonts w:ascii="Arial" w:cs="Arial" w:eastAsia="Arial" w:hAnsi="Arial"/>
          <w:sz w:val="18"/>
          <w:szCs w:val="18"/>
          <w:color w:val="auto"/>
        </w:rPr>
        <w:t>Share.</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a Grantee who has terminated employment pursuant to a Normal Retirement.</w:t>
      </w:r>
    </w:p>
    <w:p>
      <w:pPr>
        <w:spacing w:after="0" w:line="212" w:lineRule="exact"/>
        <w:rPr>
          <w:sz w:val="20"/>
          <w:szCs w:val="20"/>
          <w:color w:val="auto"/>
        </w:rPr>
      </w:pPr>
    </w:p>
    <w:p>
      <w:pPr>
        <w:ind w:left="1180" w:hanging="624"/>
        <w:spacing w:after="0"/>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11" w:lineRule="exact"/>
        <w:rPr>
          <w:rFonts w:ascii="Arial" w:cs="Arial" w:eastAsia="Arial" w:hAnsi="Arial"/>
          <w:sz w:val="18"/>
          <w:szCs w:val="18"/>
          <w:color w:val="auto"/>
        </w:rPr>
      </w:pPr>
    </w:p>
    <w:p>
      <w:pPr>
        <w:ind w:left="1180" w:hanging="624"/>
        <w:spacing w:after="0"/>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 Officer</w:t>
      </w:r>
      <w:r>
        <w:rPr>
          <w:rFonts w:ascii="Arial" w:cs="Arial" w:eastAsia="Arial" w:hAnsi="Arial"/>
          <w:sz w:val="18"/>
          <w:szCs w:val="18"/>
          <w:color w:val="auto"/>
        </w:rPr>
        <w:t>” means an “officer” of the Company, as defined pursuant to Rule 16a-1(f) under the 1934 Act.</w:t>
      </w:r>
    </w:p>
    <w:p>
      <w:pPr>
        <w:spacing w:after="0" w:line="211" w:lineRule="exact"/>
        <w:rPr>
          <w:rFonts w:ascii="Arial" w:cs="Arial" w:eastAsia="Arial" w:hAnsi="Arial"/>
          <w:sz w:val="18"/>
          <w:szCs w:val="18"/>
          <w:color w:val="auto"/>
        </w:rPr>
      </w:pPr>
    </w:p>
    <w:p>
      <w:pPr>
        <w:ind w:left="1140" w:hanging="584"/>
        <w:spacing w:after="0"/>
        <w:tabs>
          <w:tab w:leader="none" w:pos="11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 a share or shares of Common Stock.</w:t>
      </w:r>
    </w:p>
    <w:p>
      <w:pPr>
        <w:spacing w:after="0" w:line="211" w:lineRule="exact"/>
        <w:rPr>
          <w:rFonts w:ascii="Arial" w:cs="Arial" w:eastAsia="Arial" w:hAnsi="Arial"/>
          <w:sz w:val="18"/>
          <w:szCs w:val="18"/>
          <w:color w:val="auto"/>
        </w:rPr>
      </w:pPr>
    </w:p>
    <w:p>
      <w:pPr>
        <w:ind w:left="120" w:right="160" w:firstLine="436"/>
        <w:spacing w:after="0" w:line="238" w:lineRule="auto"/>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204" w:lineRule="exact"/>
        <w:rPr>
          <w:rFonts w:ascii="Arial" w:cs="Arial" w:eastAsia="Arial" w:hAnsi="Arial"/>
          <w:sz w:val="18"/>
          <w:szCs w:val="18"/>
          <w:color w:val="auto"/>
        </w:rPr>
      </w:pPr>
    </w:p>
    <w:p>
      <w:pPr>
        <w:jc w:val="both"/>
        <w:ind w:left="120" w:right="60" w:firstLine="436"/>
        <w:spacing w:after="0" w:line="238" w:lineRule="auto"/>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Deferral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204" w:lineRule="exact"/>
        <w:rPr>
          <w:rFonts w:ascii="Arial" w:cs="Arial" w:eastAsia="Arial" w:hAnsi="Arial"/>
          <w:sz w:val="18"/>
          <w:szCs w:val="18"/>
          <w:color w:val="auto"/>
        </w:rPr>
      </w:pPr>
    </w:p>
    <w:p>
      <w:pPr>
        <w:ind w:left="120" w:right="240" w:firstLine="436"/>
        <w:spacing w:after="0" w:line="246" w:lineRule="auto"/>
        <w:tabs>
          <w:tab w:leader="none" w:pos="102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96" w:lineRule="exact"/>
        <w:rPr>
          <w:rFonts w:ascii="Arial" w:cs="Arial" w:eastAsia="Arial" w:hAnsi="Arial"/>
          <w:sz w:val="18"/>
          <w:szCs w:val="18"/>
          <w:color w:val="auto"/>
        </w:rPr>
      </w:pPr>
    </w:p>
    <w:p>
      <w:pPr>
        <w:ind w:left="120" w:right="240" w:firstLine="436"/>
        <w:spacing w:after="0" w:line="246" w:lineRule="auto"/>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96" w:lineRule="exact"/>
        <w:rPr>
          <w:rFonts w:ascii="Arial" w:cs="Arial" w:eastAsia="Arial" w:hAnsi="Arial"/>
          <w:sz w:val="18"/>
          <w:szCs w:val="18"/>
          <w:color w:val="auto"/>
        </w:rPr>
      </w:pPr>
    </w:p>
    <w:p>
      <w:pPr>
        <w:ind w:left="1180" w:hanging="624"/>
        <w:spacing w:after="0"/>
        <w:tabs>
          <w:tab w:leader="none" w:pos="11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 Change in Control.</w:t>
      </w:r>
    </w:p>
    <w:p>
      <w:pPr>
        <w:spacing w:after="0" w:line="211" w:lineRule="exact"/>
        <w:rPr>
          <w:rFonts w:ascii="Arial" w:cs="Arial" w:eastAsia="Arial" w:hAnsi="Arial"/>
          <w:sz w:val="18"/>
          <w:szCs w:val="18"/>
          <w:color w:val="auto"/>
        </w:rPr>
      </w:pPr>
    </w:p>
    <w:p>
      <w:pPr>
        <w:ind w:left="120" w:firstLine="436"/>
        <w:spacing w:after="0" w:line="246" w:lineRule="auto"/>
        <w:tabs>
          <w:tab w:leader="none" w:pos="1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92" w:lineRule="exact"/>
        <w:rPr>
          <w:rFonts w:ascii="Arial" w:cs="Arial" w:eastAsia="Arial" w:hAnsi="Arial"/>
          <w:sz w:val="18"/>
          <w:szCs w:val="18"/>
          <w:color w:val="auto"/>
        </w:rPr>
      </w:pPr>
    </w:p>
    <w:p>
      <w:pPr>
        <w:ind w:left="1000" w:hanging="444"/>
        <w:spacing w:after="0"/>
        <w:tabs>
          <w:tab w:leader="none" w:pos="1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as applicable: (i) the date on which the restrictions imposed on a Share of Restricted Stock lapse or</w:t>
      </w:r>
    </w:p>
    <w:p>
      <w:pPr>
        <w:ind w:left="360" w:hanging="244"/>
        <w:spacing w:after="0"/>
        <w:tabs>
          <w:tab w:leader="none" w:pos="3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date on which the Grantee vests in a Restricted Stock Unit.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140" w:hanging="584"/>
        <w:spacing w:after="0"/>
        <w:tabs>
          <w:tab w:leader="none" w:pos="11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11" w:lineRule="exact"/>
        <w:rPr>
          <w:rFonts w:ascii="Arial" w:cs="Arial" w:eastAsia="Arial" w:hAnsi="Arial"/>
          <w:sz w:val="18"/>
          <w:szCs w:val="18"/>
          <w:color w:val="auto"/>
        </w:rPr>
      </w:pPr>
    </w:p>
    <w:p>
      <w:pPr>
        <w:ind w:left="1000" w:hanging="444"/>
        <w:spacing w:after="0"/>
        <w:tabs>
          <w:tab w:leader="none" w:pos="10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16" w:lineRule="exact"/>
        <w:rPr>
          <w:rFonts w:ascii="Arial" w:cs="Arial" w:eastAsia="Arial" w:hAnsi="Arial"/>
          <w:sz w:val="18"/>
          <w:szCs w:val="18"/>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23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211" w:lineRule="exact"/>
        <w:rPr>
          <w:rFonts w:ascii="Arial" w:cs="Arial" w:eastAsia="Arial" w:hAnsi="Arial"/>
          <w:sz w:val="18"/>
          <w:szCs w:val="18"/>
          <w:b w:val="1"/>
          <w:bCs w:val="1"/>
          <w:color w:val="auto"/>
        </w:rPr>
      </w:pPr>
    </w:p>
    <w:p>
      <w:pPr>
        <w:ind w:left="120" w:firstLine="436"/>
        <w:spacing w:after="0" w:line="246" w:lineRule="auto"/>
        <w:tabs>
          <w:tab w:leader="none" w:pos="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96" w:lineRule="exact"/>
        <w:rPr>
          <w:rFonts w:ascii="Arial" w:cs="Arial" w:eastAsia="Arial" w:hAnsi="Arial"/>
          <w:sz w:val="18"/>
          <w:szCs w:val="18"/>
          <w:color w:val="auto"/>
        </w:rPr>
      </w:pPr>
    </w:p>
    <w:p>
      <w:pPr>
        <w:ind w:left="120" w:right="540" w:firstLine="436"/>
        <w:spacing w:after="0"/>
        <w:tabs>
          <w:tab w:leader="none" w:pos="9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207" w:lineRule="exact"/>
        <w:rPr>
          <w:rFonts w:ascii="Arial" w:cs="Arial" w:eastAsia="Arial" w:hAnsi="Arial"/>
          <w:sz w:val="18"/>
          <w:szCs w:val="18"/>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33" w:lineRule="exact"/>
        <w:rPr>
          <w:rFonts w:ascii="Arial" w:cs="Arial" w:eastAsia="Arial" w:hAnsi="Arial"/>
          <w:sz w:val="18"/>
          <w:szCs w:val="18"/>
          <w:b w:val="1"/>
          <w:bCs w:val="1"/>
          <w:color w:val="auto"/>
        </w:rPr>
      </w:pPr>
    </w:p>
    <w:p>
      <w:pPr>
        <w:ind w:left="120" w:right="200" w:firstLine="436"/>
        <w:spacing w:after="0" w:line="248" w:lineRule="auto"/>
        <w:tabs>
          <w:tab w:leader="none" w:pos="980"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Shares Available for Grant</w:t>
      </w:r>
      <w:r>
        <w:rPr>
          <w:rFonts w:ascii="Arial" w:cs="Arial" w:eastAsia="Arial" w:hAnsi="Arial"/>
          <w:sz w:val="17"/>
          <w:szCs w:val="17"/>
          <w:color w:val="auto"/>
        </w:rPr>
        <w:t>. Subject to adjustment as provided in Paragraph 10, not more than 268 million Shares in the aggregate may be issued under the Plan pursuant to the grant of Awards, provided that subject to the approval of the Company’s shareholders at the Company’s Annual Meeting of Shareholders to be held in 2020, the number of Shares in the aggregate that may be issued under the Plan, pursuant to the grant of Awards, subject to adjustment in accordance with Paragraph 10, shall be increased from</w:t>
      </w:r>
    </w:p>
    <w:p>
      <w:pPr>
        <w:spacing w:after="0" w:line="2" w:lineRule="exact"/>
        <w:rPr>
          <w:rFonts w:ascii="Arial" w:cs="Arial" w:eastAsia="Arial" w:hAnsi="Arial"/>
          <w:sz w:val="17"/>
          <w:szCs w:val="17"/>
          <w:color w:val="auto"/>
        </w:rPr>
      </w:pPr>
    </w:p>
    <w:p>
      <w:pPr>
        <w:ind w:left="120" w:right="240" w:hanging="4"/>
        <w:spacing w:after="0" w:line="246" w:lineRule="auto"/>
        <w:tabs>
          <w:tab w:leader="none" w:pos="47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million to 304 million. The Shares issued under the Plan may, at the Company’s option, be either Shares held in treasury or Shares originally issued for such purpose.</w:t>
      </w:r>
    </w:p>
    <w:p>
      <w:pPr>
        <w:spacing w:after="0" w:line="196" w:lineRule="exact"/>
        <w:rPr>
          <w:rFonts w:ascii="Arial" w:cs="Arial" w:eastAsia="Arial" w:hAnsi="Arial"/>
          <w:sz w:val="18"/>
          <w:szCs w:val="18"/>
          <w:color w:val="auto"/>
        </w:rPr>
      </w:pPr>
    </w:p>
    <w:p>
      <w:pPr>
        <w:ind w:left="120" w:right="140" w:firstLine="436"/>
        <w:spacing w:after="0" w:line="246" w:lineRule="auto"/>
        <w:tabs>
          <w:tab w:leader="none" w:pos="98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Shares Returned to the Reserve</w:t>
      </w:r>
      <w:r>
        <w:rPr>
          <w:rFonts w:ascii="Arial" w:cs="Arial" w:eastAsia="Arial" w:hAnsi="Arial"/>
          <w:sz w:val="18"/>
          <w:szCs w:val="18"/>
          <w:color w:val="auto"/>
        </w:rPr>
        <w:t>. If Restricted Stock or Restricted Stock Units are forfeited pursuant to the terms of an Award, the Shares underlying such forfeited Award shall return to the pool of Shares available for issuance under the Plan.</w:t>
      </w:r>
    </w:p>
    <w:p>
      <w:pPr>
        <w:spacing w:after="0" w:line="196" w:lineRule="exact"/>
        <w:rPr>
          <w:rFonts w:ascii="Arial" w:cs="Arial" w:eastAsia="Arial" w:hAnsi="Arial"/>
          <w:sz w:val="18"/>
          <w:szCs w:val="18"/>
          <w:color w:val="auto"/>
        </w:rPr>
      </w:pPr>
    </w:p>
    <w:p>
      <w:pPr>
        <w:ind w:left="120" w:right="140" w:firstLine="436"/>
        <w:spacing w:after="0" w:line="246" w:lineRule="auto"/>
        <w:tabs>
          <w:tab w:leader="none" w:pos="970"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Share Recycling Prohibitions</w:t>
      </w:r>
      <w:r>
        <w:rPr>
          <w:rFonts w:ascii="Arial" w:cs="Arial" w:eastAsia="Arial" w:hAnsi="Arial"/>
          <w:sz w:val="18"/>
          <w:szCs w:val="18"/>
          <w:color w:val="auto"/>
        </w:rPr>
        <w:t>. If the Company withholds Shares to satisfy its tax withholding obligations, such withheld Shares shall not again become available for Awards or increase the number of Shares available for grant under Paragraph 4(a).</w:t>
      </w:r>
    </w:p>
    <w:p>
      <w:pPr>
        <w:spacing w:after="0" w:line="201" w:lineRule="exact"/>
        <w:rPr>
          <w:rFonts w:ascii="Arial" w:cs="Arial" w:eastAsia="Arial" w:hAnsi="Arial"/>
          <w:sz w:val="18"/>
          <w:szCs w:val="18"/>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33" w:lineRule="exact"/>
        <w:rPr>
          <w:rFonts w:ascii="Arial" w:cs="Arial" w:eastAsia="Arial" w:hAnsi="Arial"/>
          <w:sz w:val="18"/>
          <w:szCs w:val="18"/>
          <w:b w:val="1"/>
          <w:bCs w:val="1"/>
          <w:color w:val="auto"/>
        </w:rPr>
      </w:pPr>
    </w:p>
    <w:p>
      <w:pPr>
        <w:ind w:left="120" w:right="520" w:firstLine="436"/>
        <w:spacing w:after="0"/>
        <w:tabs>
          <w:tab w:leader="none" w:pos="98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202" w:lineRule="exact"/>
        <w:rPr>
          <w:rFonts w:ascii="Arial" w:cs="Arial" w:eastAsia="Arial" w:hAnsi="Arial"/>
          <w:sz w:val="18"/>
          <w:szCs w:val="18"/>
          <w:color w:val="auto"/>
        </w:rPr>
      </w:pPr>
    </w:p>
    <w:p>
      <w:pPr>
        <w:ind w:left="120" w:right="20" w:firstLine="436"/>
        <w:spacing w:after="0" w:line="238" w:lineRule="auto"/>
        <w:tabs>
          <w:tab w:leader="none" w:pos="98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202" w:lineRule="exact"/>
        <w:rPr>
          <w:rFonts w:ascii="Arial" w:cs="Arial" w:eastAsia="Arial" w:hAnsi="Arial"/>
          <w:sz w:val="18"/>
          <w:szCs w:val="18"/>
          <w:color w:val="auto"/>
        </w:rPr>
      </w:pPr>
    </w:p>
    <w:p>
      <w:pPr>
        <w:jc w:val="both"/>
        <w:ind w:left="120" w:right="160" w:firstLine="436"/>
        <w:spacing w:after="0"/>
        <w:tabs>
          <w:tab w:leader="none" w:pos="97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202" w:lineRule="exact"/>
        <w:rPr>
          <w:rFonts w:ascii="Arial" w:cs="Arial" w:eastAsia="Arial" w:hAnsi="Arial"/>
          <w:sz w:val="18"/>
          <w:szCs w:val="18"/>
          <w:color w:val="auto"/>
        </w:rPr>
      </w:pPr>
    </w:p>
    <w:p>
      <w:pPr>
        <w:ind w:left="120" w:right="160" w:firstLine="436"/>
        <w:spacing w:after="0" w:line="246" w:lineRule="auto"/>
        <w:tabs>
          <w:tab w:leader="none" w:pos="98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No member of the Committee shall be personally liable for monetary damages for any action taken or any failure to take any action in connection with the administration of the Plan or the granting of Awards thereunder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203" w:lineRule="exact"/>
        <w:rPr>
          <w:sz w:val="20"/>
          <w:szCs w:val="20"/>
          <w:color w:val="auto"/>
        </w:rPr>
      </w:pPr>
    </w:p>
    <w:p>
      <w:pPr>
        <w:ind w:left="120" w:right="100" w:firstLine="436"/>
        <w:spacing w:after="0" w:line="255" w:lineRule="auto"/>
        <w:tabs>
          <w:tab w:leader="none" w:pos="980" w:val="left"/>
        </w:tabs>
        <w:numPr>
          <w:ilvl w:val="2"/>
          <w:numId w:val="191"/>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90" w:lineRule="exact"/>
        <w:rPr>
          <w:rFonts w:ascii="Arial" w:cs="Arial" w:eastAsia="Arial" w:hAnsi="Arial"/>
          <w:sz w:val="17"/>
          <w:szCs w:val="17"/>
          <w:color w:val="auto"/>
        </w:rPr>
      </w:pPr>
    </w:p>
    <w:p>
      <w:pPr>
        <w:ind w:left="120" w:right="180" w:firstLine="436"/>
        <w:spacing w:after="0" w:line="238" w:lineRule="auto"/>
        <w:tabs>
          <w:tab w:leader="none" w:pos="980" w:val="left"/>
        </w:tabs>
        <w:numPr>
          <w:ilvl w:val="2"/>
          <w:numId w:val="19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231" w:lineRule="exact"/>
        <w:rPr>
          <w:rFonts w:ascii="Arial" w:cs="Arial" w:eastAsia="Arial" w:hAnsi="Arial"/>
          <w:sz w:val="18"/>
          <w:szCs w:val="18"/>
          <w:color w:val="auto"/>
        </w:rPr>
      </w:pPr>
    </w:p>
    <w:p>
      <w:pPr>
        <w:ind w:left="1080" w:hanging="532"/>
        <w:spacing w:after="0"/>
        <w:tabs>
          <w:tab w:leader="none" w:pos="108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38" w:lineRule="exact"/>
        <w:rPr>
          <w:rFonts w:ascii="Arial" w:cs="Arial" w:eastAsia="Arial" w:hAnsi="Arial"/>
          <w:sz w:val="18"/>
          <w:szCs w:val="18"/>
          <w:color w:val="auto"/>
        </w:rPr>
      </w:pPr>
    </w:p>
    <w:p>
      <w:pPr>
        <w:ind w:left="1080" w:right="140" w:hanging="532"/>
        <w:spacing w:after="0" w:line="246" w:lineRule="auto"/>
        <w:tabs>
          <w:tab w:leader="none" w:pos="108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16" w:lineRule="exact"/>
        <w:rPr>
          <w:rFonts w:ascii="Arial" w:cs="Arial" w:eastAsia="Arial" w:hAnsi="Arial"/>
          <w:sz w:val="18"/>
          <w:szCs w:val="18"/>
          <w:color w:val="auto"/>
        </w:rPr>
      </w:pPr>
    </w:p>
    <w:p>
      <w:pPr>
        <w:ind w:left="540" w:hanging="424"/>
        <w:spacing w:after="0"/>
        <w:tabs>
          <w:tab w:leader="none" w:pos="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3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16" w:lineRule="exact"/>
        <w:rPr>
          <w:rFonts w:ascii="Arial" w:cs="Arial" w:eastAsia="Arial" w:hAnsi="Arial"/>
          <w:sz w:val="18"/>
          <w:szCs w:val="18"/>
          <w:b w:val="1"/>
          <w:bCs w:val="1"/>
          <w:color w:val="auto"/>
        </w:rPr>
      </w:pPr>
    </w:p>
    <w:p>
      <w:pPr>
        <w:ind w:left="540" w:hanging="424"/>
        <w:spacing w:after="0"/>
        <w:tabs>
          <w:tab w:leader="none" w:pos="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234"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205"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97" w:lineRule="exact"/>
        <w:rPr>
          <w:sz w:val="20"/>
          <w:szCs w:val="20"/>
          <w:color w:val="auto"/>
        </w:rPr>
      </w:pPr>
    </w:p>
    <w:p>
      <w:pPr>
        <w:ind w:left="980" w:hanging="424"/>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19, 2026.</w:t>
      </w:r>
    </w:p>
    <w:p>
      <w:pPr>
        <w:spacing w:after="0" w:line="211" w:lineRule="exact"/>
        <w:rPr>
          <w:rFonts w:ascii="Arial" w:cs="Arial" w:eastAsia="Arial" w:hAnsi="Arial"/>
          <w:sz w:val="18"/>
          <w:szCs w:val="18"/>
          <w:color w:val="auto"/>
        </w:rPr>
      </w:pPr>
    </w:p>
    <w:p>
      <w:pPr>
        <w:ind w:left="120" w:firstLine="436"/>
        <w:spacing w:after="0" w:line="246" w:lineRule="auto"/>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96" w:lineRule="exact"/>
        <w:rPr>
          <w:rFonts w:ascii="Arial" w:cs="Arial" w:eastAsia="Arial" w:hAnsi="Arial"/>
          <w:sz w:val="18"/>
          <w:szCs w:val="18"/>
          <w:color w:val="auto"/>
        </w:rPr>
      </w:pPr>
    </w:p>
    <w:p>
      <w:pPr>
        <w:ind w:left="120" w:right="20" w:firstLine="436"/>
        <w:spacing w:after="0"/>
        <w:tabs>
          <w:tab w:leader="none" w:pos="97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Awards and Agreements</w:t>
      </w:r>
      <w:r>
        <w:rPr>
          <w:rFonts w:ascii="Arial" w:cs="Arial" w:eastAsia="Arial" w:hAnsi="Arial"/>
          <w:sz w:val="18"/>
          <w:szCs w:val="18"/>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202" w:lineRule="exact"/>
        <w:rPr>
          <w:rFonts w:ascii="Arial" w:cs="Arial" w:eastAsia="Arial" w:hAnsi="Arial"/>
          <w:sz w:val="18"/>
          <w:szCs w:val="18"/>
          <w:color w:val="auto"/>
        </w:rPr>
      </w:pPr>
    </w:p>
    <w:p>
      <w:pPr>
        <w:ind w:left="120" w:right="60" w:firstLine="436"/>
        <w:spacing w:after="0"/>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36"/>
        <w:spacing w:after="0" w:line="236" w:lineRule="auto"/>
        <w:tabs>
          <w:tab w:leader="none" w:pos="9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206" w:lineRule="exact"/>
        <w:rPr>
          <w:rFonts w:ascii="Arial" w:cs="Arial" w:eastAsia="Arial" w:hAnsi="Arial"/>
          <w:sz w:val="18"/>
          <w:szCs w:val="18"/>
          <w:color w:val="auto"/>
        </w:rPr>
      </w:pPr>
    </w:p>
    <w:p>
      <w:pPr>
        <w:ind w:left="120" w:right="40" w:firstLine="436"/>
        <w:spacing w:after="0" w:line="238" w:lineRule="auto"/>
        <w:tabs>
          <w:tab w:leader="none" w:pos="93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Rights of the Grantee</w:t>
      </w:r>
      <w:r>
        <w:rPr>
          <w:rFonts w:ascii="Arial" w:cs="Arial" w:eastAsia="Arial" w:hAnsi="Arial"/>
          <w:sz w:val="18"/>
          <w:szCs w:val="18"/>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202" w:lineRule="exact"/>
        <w:rPr>
          <w:rFonts w:ascii="Arial" w:cs="Arial" w:eastAsia="Arial" w:hAnsi="Arial"/>
          <w:sz w:val="18"/>
          <w:szCs w:val="18"/>
          <w:color w:val="auto"/>
        </w:rPr>
      </w:pPr>
    </w:p>
    <w:p>
      <w:pPr>
        <w:ind w:left="120" w:right="60" w:firstLine="436"/>
        <w:spacing w:after="0" w:line="238" w:lineRule="auto"/>
        <w:tabs>
          <w:tab w:leader="none" w:pos="9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202" w:lineRule="exact"/>
        <w:rPr>
          <w:rFonts w:ascii="Arial" w:cs="Arial" w:eastAsia="Arial" w:hAnsi="Arial"/>
          <w:sz w:val="18"/>
          <w:szCs w:val="18"/>
          <w:color w:val="auto"/>
        </w:rPr>
      </w:pPr>
    </w:p>
    <w:p>
      <w:pPr>
        <w:ind w:left="120" w:right="80" w:firstLine="436"/>
        <w:spacing w:after="0" w:line="237" w:lineRule="auto"/>
        <w:tabs>
          <w:tab w:leader="none" w:pos="9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202" w:lineRule="exact"/>
        <w:rPr>
          <w:rFonts w:ascii="Arial" w:cs="Arial" w:eastAsia="Arial" w:hAnsi="Arial"/>
          <w:sz w:val="18"/>
          <w:szCs w:val="18"/>
          <w:color w:val="auto"/>
        </w:rPr>
      </w:pPr>
    </w:p>
    <w:p>
      <w:pPr>
        <w:ind w:left="120" w:firstLine="436"/>
        <w:spacing w:after="0" w:line="236" w:lineRule="auto"/>
        <w:tabs>
          <w:tab w:leader="none" w:pos="9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234"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97" w:lineRule="exact"/>
        <w:rPr>
          <w:sz w:val="20"/>
          <w:szCs w:val="20"/>
          <w:color w:val="auto"/>
        </w:rPr>
      </w:pPr>
    </w:p>
    <w:p>
      <w:pPr>
        <w:ind w:left="980" w:hanging="424"/>
        <w:spacing w:after="0"/>
        <w:tabs>
          <w:tab w:leader="none" w:pos="98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Initial Deferral Election and Regular Deferral Election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right="80" w:hanging="439"/>
        <w:spacing w:after="0" w:line="238" w:lineRule="auto"/>
        <w:tabs>
          <w:tab w:leader="none" w:pos="154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pacing w:after="0" w:line="231" w:lineRule="exact"/>
        <w:rPr>
          <w:rFonts w:ascii="Arial" w:cs="Arial" w:eastAsia="Arial" w:hAnsi="Arial"/>
          <w:sz w:val="18"/>
          <w:szCs w:val="18"/>
          <w:color w:val="auto"/>
        </w:rPr>
      </w:pPr>
    </w:p>
    <w:p>
      <w:pPr>
        <w:ind w:left="1540" w:right="300" w:hanging="439"/>
        <w:spacing w:after="0" w:line="253" w:lineRule="auto"/>
        <w:tabs>
          <w:tab w:leader="none" w:pos="1540" w:val="left"/>
        </w:tabs>
        <w:numPr>
          <w:ilvl w:val="2"/>
          <w:numId w:val="200"/>
        </w:numPr>
        <w:rPr>
          <w:rFonts w:ascii="Arial" w:cs="Arial" w:eastAsia="Arial" w:hAnsi="Arial"/>
          <w:sz w:val="17"/>
          <w:szCs w:val="17"/>
          <w:color w:val="auto"/>
        </w:rPr>
      </w:pPr>
      <w:r>
        <w:rPr>
          <w:rFonts w:ascii="Arial" w:cs="Arial" w:eastAsia="Arial" w:hAnsi="Arial"/>
          <w:sz w:val="17"/>
          <w:szCs w:val="17"/>
          <w:u w:val="single" w:color="auto"/>
          <w:color w:val="auto"/>
        </w:rPr>
        <w:t>Deadline for Initial Deferral Election</w:t>
      </w:r>
      <w:r>
        <w:rPr>
          <w:rFonts w:ascii="Arial" w:cs="Arial" w:eastAsia="Arial" w:hAnsi="Arial"/>
          <w:sz w:val="17"/>
          <w:szCs w:val="17"/>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4"/>
          <w:szCs w:val="14"/>
          <w:color w:val="auto"/>
        </w:rPr>
        <w:t>th</w:t>
      </w:r>
      <w:r>
        <w:rPr>
          <w:rFonts w:ascii="Arial" w:cs="Arial" w:eastAsia="Arial" w:hAnsi="Arial"/>
          <w:sz w:val="17"/>
          <w:szCs w:val="17"/>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221" w:lineRule="exact"/>
        <w:rPr>
          <w:rFonts w:ascii="Arial" w:cs="Arial" w:eastAsia="Arial" w:hAnsi="Arial"/>
          <w:sz w:val="17"/>
          <w:szCs w:val="17"/>
          <w:color w:val="auto"/>
        </w:rPr>
      </w:pPr>
    </w:p>
    <w:p>
      <w:pPr>
        <w:ind w:left="1080" w:hanging="532"/>
        <w:spacing w:after="0"/>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Regular Deferral Election</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right="80" w:hanging="439"/>
        <w:spacing w:after="0" w:line="238" w:lineRule="auto"/>
        <w:tabs>
          <w:tab w:leader="none" w:pos="1540"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Each Grantee who is a Deferral Eligible Employee shall have the right to defer the receipt of some or all of the Shares issuable with respect to Restricted Stock Units as to which a Vesting Date has not yet occurred, and that are not subject to an Initial Deferral Election, by filing a Regular Deferral Election to defer the receipt of such Shares on a form provided by the Committee for this purpose.</w:t>
      </w:r>
    </w:p>
    <w:p>
      <w:pPr>
        <w:spacing w:after="0" w:line="231" w:lineRule="exact"/>
        <w:rPr>
          <w:rFonts w:ascii="Arial" w:cs="Arial" w:eastAsia="Arial" w:hAnsi="Arial"/>
          <w:sz w:val="18"/>
          <w:szCs w:val="18"/>
          <w:color w:val="auto"/>
        </w:rPr>
      </w:pPr>
    </w:p>
    <w:p>
      <w:pPr>
        <w:ind w:left="1540" w:hanging="439"/>
        <w:spacing w:after="0"/>
        <w:tabs>
          <w:tab w:leader="none" w:pos="1540"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Deadline for Regular Deferral Election</w:t>
      </w:r>
      <w:r>
        <w:rPr>
          <w:rFonts w:ascii="Arial" w:cs="Arial" w:eastAsia="Arial" w:hAnsi="Arial"/>
          <w:sz w:val="18"/>
          <w:szCs w:val="18"/>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202" w:lineRule="exact"/>
        <w:rPr>
          <w:rFonts w:ascii="Arial" w:cs="Arial" w:eastAsia="Arial" w:hAnsi="Arial"/>
          <w:sz w:val="18"/>
          <w:szCs w:val="18"/>
          <w:color w:val="auto"/>
        </w:rPr>
      </w:pPr>
    </w:p>
    <w:p>
      <w:pPr>
        <w:ind w:left="120" w:right="260" w:firstLine="436"/>
        <w:spacing w:after="0"/>
        <w:tabs>
          <w:tab w:leader="none" w:pos="98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202" w:lineRule="exact"/>
        <w:rPr>
          <w:rFonts w:ascii="Arial" w:cs="Arial" w:eastAsia="Arial" w:hAnsi="Arial"/>
          <w:sz w:val="18"/>
          <w:szCs w:val="18"/>
          <w:color w:val="auto"/>
        </w:rPr>
      </w:pPr>
    </w:p>
    <w:p>
      <w:pPr>
        <w:ind w:left="120" w:right="20" w:firstLine="436"/>
        <w:spacing w:after="0" w:line="238" w:lineRule="auto"/>
        <w:tabs>
          <w:tab w:leader="none" w:pos="970"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w:t>
      </w:r>
    </w:p>
    <w:p>
      <w:pPr>
        <w:spacing w:after="0" w:line="232" w:lineRule="exact"/>
        <w:rPr>
          <w:sz w:val="20"/>
          <w:szCs w:val="20"/>
          <w:color w:val="auto"/>
        </w:rPr>
      </w:pPr>
    </w:p>
    <w:p>
      <w:pPr>
        <w:ind w:left="1080" w:right="360" w:hanging="532"/>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 Except as otherwise specifically provided by the Plan, no distribution pursuant to an Initial Deferral Election may be made earlier than January 2nd of the third calendar year beginning after the Vesting Date, nor later than January 2nd of the eleventh calendar year beginning after the Vesting Date.</w:t>
      </w:r>
    </w:p>
    <w:p>
      <w:pPr>
        <w:spacing w:after="0" w:line="229" w:lineRule="exact"/>
        <w:rPr>
          <w:rFonts w:ascii="Arial" w:cs="Arial" w:eastAsia="Arial" w:hAnsi="Arial"/>
          <w:sz w:val="18"/>
          <w:szCs w:val="18"/>
          <w:color w:val="auto"/>
        </w:rPr>
      </w:pPr>
    </w:p>
    <w:p>
      <w:pPr>
        <w:ind w:left="1080" w:right="100" w:hanging="532"/>
        <w:spacing w:after="0"/>
        <w:tabs>
          <w:tab w:leader="none" w:pos="108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Regular Deferral Election</w:t>
      </w:r>
      <w:r>
        <w:rPr>
          <w:rFonts w:ascii="Arial" w:cs="Arial" w:eastAsia="Arial" w:hAnsi="Arial"/>
          <w:sz w:val="18"/>
          <w:szCs w:val="18"/>
          <w:color w:val="auto"/>
        </w:rPr>
        <w:t>. No distribution pursuant to a Regular Deferral Election may be made before the fifth anniversary or later than the tenth anniversary of the scheduled Vesting Date of the Restricted Stock Units to which the Regular Deferral Election applies.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436"/>
        <w:spacing w:after="0" w:line="246" w:lineRule="auto"/>
        <w:tabs>
          <w:tab w:leader="none" w:pos="103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Deferral Election shall be effective until 12 months after the date on which such Subsequent Deferral Election is made.</w:t>
      </w:r>
    </w:p>
    <w:p>
      <w:pPr>
        <w:spacing w:after="0" w:line="223" w:lineRule="exact"/>
        <w:rPr>
          <w:rFonts w:ascii="Arial" w:cs="Arial" w:eastAsia="Arial" w:hAnsi="Arial"/>
          <w:sz w:val="18"/>
          <w:szCs w:val="18"/>
          <w:color w:val="auto"/>
        </w:rPr>
      </w:pPr>
    </w:p>
    <w:p>
      <w:pPr>
        <w:ind w:left="1080" w:hanging="532"/>
        <w:spacing w:after="0" w:line="236" w:lineRule="auto"/>
        <w:tabs>
          <w:tab w:leader="none" w:pos="10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Active Grantee, and each Grantee designated by the Committee who has served as a Non-Employee Director or Section 16 Officer at any time on or after January 1, 2019 (whether or not such individual is an Active Grantee) (A) who has previously 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230" w:lineRule="exact"/>
        <w:rPr>
          <w:rFonts w:ascii="Arial" w:cs="Arial" w:eastAsia="Arial" w:hAnsi="Arial"/>
          <w:sz w:val="18"/>
          <w:szCs w:val="18"/>
          <w:color w:val="auto"/>
        </w:rPr>
      </w:pPr>
    </w:p>
    <w:p>
      <w:pPr>
        <w:ind w:left="1080" w:hanging="532"/>
        <w:spacing w:after="0" w:line="238" w:lineRule="auto"/>
        <w:tabs>
          <w:tab w:leader="none" w:pos="10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231" w:lineRule="exact"/>
        <w:rPr>
          <w:rFonts w:ascii="Arial" w:cs="Arial" w:eastAsia="Arial" w:hAnsi="Arial"/>
          <w:sz w:val="18"/>
          <w:szCs w:val="18"/>
          <w:color w:val="auto"/>
        </w:rPr>
      </w:pPr>
    </w:p>
    <w:p>
      <w:pPr>
        <w:ind w:left="1080" w:right="80" w:hanging="532"/>
        <w:spacing w:after="0" w:line="238" w:lineRule="auto"/>
        <w:tabs>
          <w:tab w:leader="none" w:pos="10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204" w:lineRule="exact"/>
        <w:rPr>
          <w:rFonts w:ascii="Arial" w:cs="Arial" w:eastAsia="Arial" w:hAnsi="Arial"/>
          <w:sz w:val="18"/>
          <w:szCs w:val="18"/>
          <w:color w:val="auto"/>
        </w:rPr>
      </w:pPr>
    </w:p>
    <w:p>
      <w:pPr>
        <w:ind w:left="120" w:right="20" w:firstLine="436"/>
        <w:spacing w:after="0" w:line="238"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in Control</w:t>
      </w:r>
      <w:r>
        <w:rPr>
          <w:rFonts w:ascii="Arial" w:cs="Arial" w:eastAsia="Arial" w:hAnsi="Arial"/>
          <w:sz w:val="18"/>
          <w:szCs w:val="18"/>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pacing w:after="0" w:line="202" w:lineRule="exact"/>
        <w:rPr>
          <w:rFonts w:ascii="Arial" w:cs="Arial" w:eastAsia="Arial" w:hAnsi="Arial"/>
          <w:sz w:val="18"/>
          <w:szCs w:val="18"/>
          <w:color w:val="auto"/>
        </w:rPr>
      </w:pPr>
    </w:p>
    <w:p>
      <w:pPr>
        <w:ind w:left="120" w:firstLine="436"/>
        <w:spacing w:after="0"/>
        <w:tabs>
          <w:tab w:leader="none" w:pos="93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202" w:lineRule="exact"/>
        <w:rPr>
          <w:rFonts w:ascii="Arial" w:cs="Arial" w:eastAsia="Arial" w:hAnsi="Arial"/>
          <w:sz w:val="18"/>
          <w:szCs w:val="18"/>
          <w:color w:val="auto"/>
        </w:rPr>
      </w:pPr>
    </w:p>
    <w:p>
      <w:pPr>
        <w:ind w:left="120" w:right="220" w:firstLine="436"/>
        <w:spacing w:after="0" w:line="246"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224" w:lineRule="exact"/>
        <w:rPr>
          <w:sz w:val="20"/>
          <w:szCs w:val="20"/>
          <w:color w:val="auto"/>
        </w:rPr>
      </w:pPr>
    </w:p>
    <w:p>
      <w:pPr>
        <w:ind w:left="1080" w:right="62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223" w:lineRule="exact"/>
        <w:rPr>
          <w:rFonts w:ascii="Arial" w:cs="Arial" w:eastAsia="Arial" w:hAnsi="Arial"/>
          <w:sz w:val="18"/>
          <w:szCs w:val="18"/>
          <w:color w:val="auto"/>
        </w:rPr>
      </w:pPr>
    </w:p>
    <w:p>
      <w:pPr>
        <w:ind w:left="1080" w:right="16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223" w:lineRule="exact"/>
        <w:rPr>
          <w:rFonts w:ascii="Arial" w:cs="Arial" w:eastAsia="Arial" w:hAnsi="Arial"/>
          <w:sz w:val="18"/>
          <w:szCs w:val="18"/>
          <w:color w:val="auto"/>
        </w:rPr>
      </w:pPr>
    </w:p>
    <w:p>
      <w:pPr>
        <w:ind w:left="1080" w:right="70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pay employment taxes to the extent permitted by Treasury Regulation section 1.409A-3(j)(4)(vi) (or any successor provision of law).</w:t>
      </w:r>
    </w:p>
    <w:p>
      <w:pPr>
        <w:spacing w:after="0" w:line="223" w:lineRule="exact"/>
        <w:rPr>
          <w:rFonts w:ascii="Arial" w:cs="Arial" w:eastAsia="Arial" w:hAnsi="Arial"/>
          <w:sz w:val="18"/>
          <w:szCs w:val="18"/>
          <w:color w:val="auto"/>
        </w:rPr>
      </w:pPr>
    </w:p>
    <w:p>
      <w:pPr>
        <w:ind w:left="1080" w:right="140" w:hanging="532"/>
        <w:spacing w:after="0" w:line="246"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40" w:hanging="532"/>
        <w:spacing w:after="0" w:line="246"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223" w:lineRule="exact"/>
        <w:rPr>
          <w:rFonts w:ascii="Arial" w:cs="Arial" w:eastAsia="Arial" w:hAnsi="Arial"/>
          <w:sz w:val="18"/>
          <w:szCs w:val="18"/>
          <w:color w:val="auto"/>
        </w:rPr>
      </w:pPr>
    </w:p>
    <w:p>
      <w:pPr>
        <w:ind w:left="1080" w:right="380" w:hanging="532"/>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229" w:lineRule="exact"/>
        <w:rPr>
          <w:rFonts w:ascii="Arial" w:cs="Arial" w:eastAsia="Arial" w:hAnsi="Arial"/>
          <w:sz w:val="18"/>
          <w:szCs w:val="18"/>
          <w:color w:val="auto"/>
        </w:rPr>
      </w:pPr>
    </w:p>
    <w:p>
      <w:pPr>
        <w:ind w:left="1080" w:right="460" w:hanging="532"/>
        <w:spacing w:after="0" w:line="246"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connection with a bona fide dispute as to a Grantee’s right to payment, to the extent permitted by Treasury Regulation section 1.409A-3(j)(4)(xiv) (or any successor provision of law).</w:t>
      </w:r>
    </w:p>
    <w:p>
      <w:pPr>
        <w:spacing w:after="0" w:line="196" w:lineRule="exact"/>
        <w:rPr>
          <w:rFonts w:ascii="Arial" w:cs="Arial" w:eastAsia="Arial" w:hAnsi="Arial"/>
          <w:sz w:val="18"/>
          <w:szCs w:val="18"/>
          <w:color w:val="auto"/>
        </w:rPr>
      </w:pPr>
    </w:p>
    <w:p>
      <w:pPr>
        <w:ind w:left="120" w:right="80" w:firstLine="436"/>
        <w:spacing w:after="0" w:line="237" w:lineRule="auto"/>
        <w:tabs>
          <w:tab w:leader="none" w:pos="98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204" w:lineRule="exact"/>
        <w:rPr>
          <w:rFonts w:ascii="Arial" w:cs="Arial" w:eastAsia="Arial" w:hAnsi="Arial"/>
          <w:sz w:val="18"/>
          <w:szCs w:val="18"/>
          <w:color w:val="auto"/>
        </w:rPr>
      </w:pPr>
    </w:p>
    <w:p>
      <w:pPr>
        <w:ind w:left="120" w:right="500" w:firstLine="436"/>
        <w:spacing w:after="0" w:line="246" w:lineRule="auto"/>
        <w:tabs>
          <w:tab w:leader="none" w:pos="92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Committee may delegate its authority to arrange for plan-to-plan transfers as described in this Paragraph 8(i) to an officer of the Company or committee of two or more officers of the Company.</w:t>
      </w:r>
    </w:p>
    <w:p>
      <w:pPr>
        <w:spacing w:after="0" w:line="224" w:lineRule="exact"/>
        <w:rPr>
          <w:sz w:val="20"/>
          <w:szCs w:val="20"/>
          <w:color w:val="auto"/>
        </w:rPr>
      </w:pPr>
    </w:p>
    <w:p>
      <w:pPr>
        <w:ind w:left="1080" w:right="80" w:hanging="532"/>
        <w:spacing w:after="0" w:line="23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231"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pacing w:after="0" w:line="194" w:lineRule="exact"/>
        <w:rPr>
          <w:rFonts w:ascii="Arial" w:cs="Arial" w:eastAsia="Arial" w:hAnsi="Arial"/>
          <w:sz w:val="17"/>
          <w:szCs w:val="17"/>
          <w:color w:val="auto"/>
        </w:rPr>
      </w:pPr>
    </w:p>
    <w:p>
      <w:pPr>
        <w:ind w:left="920" w:hanging="364"/>
        <w:spacing w:after="0"/>
        <w:tabs>
          <w:tab w:leader="none" w:pos="920"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239" w:lineRule="exact"/>
        <w:rPr>
          <w:sz w:val="20"/>
          <w:szCs w:val="20"/>
          <w:color w:val="auto"/>
        </w:rPr>
      </w:pPr>
    </w:p>
    <w:p>
      <w:pPr>
        <w:ind w:left="1080" w:right="60" w:hanging="532"/>
        <w:spacing w:after="0" w:line="246"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Paragraph 8(j) or Paragraph 8(k), the value of a Grantee’s Account as of any date shall be determined as if it were invested in the Company Stock Fund.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Credits to Other Investment Funds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right="60" w:hanging="439"/>
        <w:spacing w:after="0" w:line="238" w:lineRule="auto"/>
        <w:tabs>
          <w:tab w:leader="none" w:pos="154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Post-Termination Elections</w:t>
      </w:r>
      <w:r>
        <w:rPr>
          <w:rFonts w:ascii="Arial" w:cs="Arial" w:eastAsia="Arial" w:hAnsi="Arial"/>
          <w:sz w:val="18"/>
          <w:szCs w:val="18"/>
          <w:color w:val="auto"/>
        </w:rPr>
        <w:t>. To the extent credited to the Income Fund, the Accounts of Non-Employee Directors 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231" w:lineRule="exact"/>
        <w:rPr>
          <w:rFonts w:ascii="Arial" w:cs="Arial" w:eastAsia="Arial" w:hAnsi="Arial"/>
          <w:sz w:val="18"/>
          <w:szCs w:val="18"/>
          <w:color w:val="auto"/>
        </w:rPr>
      </w:pPr>
    </w:p>
    <w:p>
      <w:pPr>
        <w:ind w:left="1540" w:right="60" w:hanging="439"/>
        <w:spacing w:after="0"/>
        <w:tabs>
          <w:tab w:leader="none" w:pos="154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High Balance Participants</w:t>
      </w:r>
      <w:r>
        <w:rPr>
          <w:rFonts w:ascii="Arial" w:cs="Arial" w:eastAsia="Arial" w:hAnsi="Arial"/>
          <w:sz w:val="18"/>
          <w:szCs w:val="18"/>
          <w:color w:val="auto"/>
        </w:rPr>
        <w:t>. If a Grantee’s Income Fund exceeds the Income Fund Limit as of the last day of a Plan Year, the excess of (x) the amount credited to the Grantee’s Income Fund over (y) the Income Fund Limit shall be deemed transferred to an Other Investment Fund as of such last day of such Plan Year.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540" w:hanging="439"/>
        <w:spacing w:after="0"/>
        <w:tabs>
          <w:tab w:leader="none" w:pos="154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Section 16 Officers</w:t>
      </w:r>
      <w:r>
        <w:rPr>
          <w:rFonts w:ascii="Arial" w:cs="Arial" w:eastAsia="Arial" w:hAnsi="Arial"/>
          <w:sz w:val="18"/>
          <w:szCs w:val="18"/>
          <w:color w:val="auto"/>
        </w:rPr>
        <w:t>. Pursuant to rules established by the Committee or its delegate, a Section 16 Officer may elect to</w:t>
      </w:r>
    </w:p>
    <w:p>
      <w:pPr>
        <w:ind w:left="1540" w:right="400"/>
        <w:spacing w:after="0" w:line="238" w:lineRule="auto"/>
        <w:rPr>
          <w:rFonts w:ascii="Arial" w:cs="Arial" w:eastAsia="Arial" w:hAnsi="Arial"/>
          <w:sz w:val="18"/>
          <w:szCs w:val="18"/>
          <w:color w:val="auto"/>
        </w:rPr>
      </w:pPr>
      <w:r>
        <w:rPr>
          <w:rFonts w:ascii="Arial" w:cs="Arial" w:eastAsia="Arial" w:hAnsi="Arial"/>
          <w:sz w:val="18"/>
          <w:szCs w:val="18"/>
          <w:color w:val="auto"/>
        </w:rPr>
        <w:t>(x) transfer amounts credited to their Accounts that were 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229" w:lineRule="exact"/>
        <w:rPr>
          <w:rFonts w:ascii="Arial" w:cs="Arial" w:eastAsia="Arial" w:hAnsi="Arial"/>
          <w:sz w:val="18"/>
          <w:szCs w:val="18"/>
          <w:color w:val="auto"/>
        </w:rPr>
      </w:pPr>
    </w:p>
    <w:p>
      <w:pPr>
        <w:ind w:left="1540" w:right="240" w:hanging="439"/>
        <w:spacing w:after="0" w:line="246" w:lineRule="auto"/>
        <w:tabs>
          <w:tab w:leader="none" w:pos="154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Subsequent Deferral Elections</w:t>
      </w:r>
      <w:r>
        <w:rPr>
          <w:rFonts w:ascii="Arial" w:cs="Arial" w:eastAsia="Arial" w:hAnsi="Arial"/>
          <w:sz w:val="18"/>
          <w:szCs w:val="18"/>
          <w:color w:val="auto"/>
        </w:rPr>
        <w:t>. Amounts subject to a Subsequent Deferral Election that takes effect while a Grantee’s Income Fund exceeds the Income Fund Limit shall be deemed invested in an Other Investment Fund.</w:t>
      </w:r>
    </w:p>
    <w:p>
      <w:pPr>
        <w:spacing w:after="0" w:line="223"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Protocol for Deemed Transfers between Income Fund and an Other Investment Fund</w:t>
      </w:r>
      <w:r>
        <w:rPr>
          <w:rFonts w:ascii="Arial" w:cs="Arial" w:eastAsia="Arial" w:hAnsi="Arial"/>
          <w:sz w:val="18"/>
          <w:szCs w:val="18"/>
          <w:color w:val="auto"/>
        </w:rPr>
        <w:t>. As provided in Article 8, the timing of 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8(j)(ii)(C) shall be sourced and 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and provided further than no amounts shall be deemed transferred to or from the Income Fund under the 2002 Deferred Compensation Plan.</w:t>
      </w:r>
    </w:p>
    <w:p>
      <w:pPr>
        <w:spacing w:after="0" w:line="205" w:lineRule="exact"/>
        <w:rPr>
          <w:sz w:val="20"/>
          <w:szCs w:val="20"/>
          <w:color w:val="auto"/>
        </w:rPr>
      </w:pPr>
    </w:p>
    <w:p>
      <w:pPr>
        <w:ind w:left="120" w:right="140" w:firstLine="436"/>
        <w:spacing w:after="0" w:line="246" w:lineRule="auto"/>
        <w:tabs>
          <w:tab w:leader="none" w:pos="970"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 This Paragraph 8(k) shall not apply to elective transfers described in Paragraph 8(j)(ii)(C) of amounts that were previously subject to a Diversification Election.</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Paragraph 8(k)(v):</w:t>
      </w:r>
    </w:p>
    <w:p>
      <w:pPr>
        <w:spacing w:after="0" w:line="238" w:lineRule="exact"/>
        <w:rPr>
          <w:rFonts w:ascii="Arial" w:cs="Arial" w:eastAsia="Arial" w:hAnsi="Arial"/>
          <w:sz w:val="18"/>
          <w:szCs w:val="18"/>
          <w:color w:val="auto"/>
        </w:rPr>
      </w:pPr>
    </w:p>
    <w:p>
      <w:pPr>
        <w:ind w:left="1540" w:right="40" w:hanging="439"/>
        <w:spacing w:after="0" w:line="238" w:lineRule="auto"/>
        <w:tabs>
          <w:tab w:leader="none" w:pos="15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A Diversification Election shall be available: (x) at any time that a Registration Statement filed under the 1933 Act (a “Registration Statement”) is effective with respect to the Plan; and (y) with respect to a Special Diversification Election, if and to the extent that the opportunity to make such a Special Diversification Election has been approved by the Committee or its delegate.</w:t>
      </w:r>
    </w:p>
    <w:p>
      <w:pPr>
        <w:spacing w:after="0" w:line="231" w:lineRule="exact"/>
        <w:rPr>
          <w:rFonts w:ascii="Arial" w:cs="Arial" w:eastAsia="Arial" w:hAnsi="Arial"/>
          <w:sz w:val="18"/>
          <w:szCs w:val="18"/>
          <w:color w:val="auto"/>
        </w:rPr>
      </w:pPr>
    </w:p>
    <w:p>
      <w:pPr>
        <w:ind w:left="1540" w:hanging="439"/>
        <w:spacing w:after="0"/>
        <w:tabs>
          <w:tab w:leader="none" w:pos="15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No approval is required for a Diversification Election other than a Special Diversification Election.</w:t>
      </w:r>
    </w:p>
    <w:p>
      <w:pPr>
        <w:spacing w:after="0" w:line="238" w:lineRule="exact"/>
        <w:rPr>
          <w:rFonts w:ascii="Arial" w:cs="Arial" w:eastAsia="Arial" w:hAnsi="Arial"/>
          <w:sz w:val="18"/>
          <w:szCs w:val="18"/>
          <w:color w:val="auto"/>
        </w:rPr>
      </w:pPr>
    </w:p>
    <w:p>
      <w:pPr>
        <w:ind w:left="1080" w:right="40" w:hanging="532"/>
        <w:spacing w:after="0" w:line="238" w:lineRule="auto"/>
        <w:tabs>
          <w:tab w:leader="none" w:pos="1080"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231" w:lineRule="exact"/>
        <w:rPr>
          <w:rFonts w:ascii="Arial" w:cs="Arial" w:eastAsia="Arial" w:hAnsi="Arial"/>
          <w:sz w:val="18"/>
          <w:szCs w:val="18"/>
          <w:color w:val="auto"/>
        </w:rPr>
      </w:pPr>
    </w:p>
    <w:p>
      <w:pPr>
        <w:ind w:left="1080" w:right="200" w:hanging="532"/>
        <w:spacing w:after="0" w:line="236" w:lineRule="auto"/>
        <w:tabs>
          <w:tab w:leader="none" w:pos="1080"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t>Timing and Manner of Making Diversification Elections</w:t>
      </w:r>
      <w:r>
        <w:rPr>
          <w:rFonts w:ascii="Arial" w:cs="Arial" w:eastAsia="Arial" w:hAnsi="Arial"/>
          <w:sz w:val="18"/>
          <w:szCs w:val="18"/>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 In no event may a Diversification Election be effective earlier than the business day next following the lapse of six</w:t>
      </w:r>
    </w:p>
    <w:p>
      <w:pPr>
        <w:ind w:left="1100" w:right="20" w:firstLine="1"/>
        <w:spacing w:after="0" w:line="246" w:lineRule="auto"/>
        <w:tabs>
          <w:tab w:leader="none" w:pos="1370" w:val="left"/>
        </w:tabs>
        <w:numPr>
          <w:ilvl w:val="3"/>
          <w:numId w:val="219"/>
        </w:numPr>
        <w:rPr>
          <w:rFonts w:ascii="Arial" w:cs="Arial" w:eastAsia="Arial" w:hAnsi="Arial"/>
          <w:sz w:val="18"/>
          <w:szCs w:val="18"/>
          <w:color w:val="auto"/>
        </w:rPr>
      </w:pPr>
      <w:r>
        <w:rPr>
          <w:rFonts w:ascii="Arial" w:cs="Arial" w:eastAsia="Arial" w:hAnsi="Arial"/>
          <w:sz w:val="18"/>
          <w:szCs w:val="18"/>
          <w:color w:val="auto"/>
        </w:rPr>
        <w:t>months from the date Deferred Stock Units are credited to the Account following the lapse of restrictions with respect to an Award.</w:t>
      </w:r>
    </w:p>
    <w:p>
      <w:pPr>
        <w:spacing w:after="0" w:line="223" w:lineRule="exact"/>
        <w:rPr>
          <w:rFonts w:ascii="Arial" w:cs="Arial" w:eastAsia="Arial" w:hAnsi="Arial"/>
          <w:sz w:val="18"/>
          <w:szCs w:val="18"/>
          <w:color w:val="auto"/>
        </w:rPr>
      </w:pPr>
    </w:p>
    <w:p>
      <w:pPr>
        <w:ind w:left="1080" w:right="20" w:hanging="532"/>
        <w:spacing w:after="0" w:line="237" w:lineRule="auto"/>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Interfund Transfers and Timing of Credits</w:t>
      </w:r>
      <w:r>
        <w:rPr>
          <w:rFonts w:ascii="Arial" w:cs="Arial" w:eastAsia="Arial" w:hAnsi="Arial"/>
          <w:sz w:val="18"/>
          <w:szCs w:val="18"/>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spacing w:after="0" w:line="231" w:lineRule="exact"/>
        <w:rPr>
          <w:rFonts w:ascii="Arial" w:cs="Arial" w:eastAsia="Arial" w:hAnsi="Arial"/>
          <w:sz w:val="18"/>
          <w:szCs w:val="18"/>
          <w:color w:val="auto"/>
        </w:rPr>
      </w:pPr>
    </w:p>
    <w:p>
      <w:pPr>
        <w:ind w:left="1080" w:hanging="532"/>
        <w:spacing w:after="0" w:line="237" w:lineRule="auto"/>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Diversification Limit</w:t>
      </w:r>
      <w:r>
        <w:rPr>
          <w:rFonts w:ascii="Arial" w:cs="Arial" w:eastAsia="Arial" w:hAnsi="Arial"/>
          <w:sz w:val="18"/>
          <w:szCs w:val="18"/>
          <w:color w:val="auto"/>
        </w:rPr>
        <w:t>. No Diversification Election or Special Diversification Election during a calendar year by an Eligible Employee shall be effective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204" w:lineRule="exact"/>
        <w:rPr>
          <w:rFonts w:ascii="Arial" w:cs="Arial" w:eastAsia="Arial" w:hAnsi="Arial"/>
          <w:sz w:val="18"/>
          <w:szCs w:val="18"/>
          <w:color w:val="auto"/>
        </w:rPr>
      </w:pPr>
    </w:p>
    <w:p>
      <w:pPr>
        <w:ind w:left="120" w:right="60" w:firstLine="436"/>
        <w:spacing w:after="0" w:line="237" w:lineRule="auto"/>
        <w:tabs>
          <w:tab w:leader="none" w:pos="970" w:val="left"/>
        </w:tabs>
        <w:numPr>
          <w:ilvl w:val="2"/>
          <w:numId w:val="220"/>
        </w:numPr>
        <w:rPr>
          <w:rFonts w:ascii="Arial" w:cs="Arial" w:eastAsia="Arial" w:hAnsi="Arial"/>
          <w:sz w:val="18"/>
          <w:szCs w:val="18"/>
          <w:color w:val="auto"/>
        </w:rPr>
      </w:pPr>
      <w:r>
        <w:rPr>
          <w:rFonts w:ascii="Arial" w:cs="Arial" w:eastAsia="Arial" w:hAnsi="Arial"/>
          <w:sz w:val="18"/>
          <w:szCs w:val="18"/>
          <w:u w:val="single" w:color="auto"/>
          <w:color w:val="auto"/>
        </w:rPr>
        <w:t>Grantees’ Status as General Creditors</w:t>
      </w:r>
      <w:r>
        <w:rPr>
          <w:rFonts w:ascii="Arial" w:cs="Arial" w:eastAsia="Arial" w:hAnsi="Arial"/>
          <w:sz w:val="18"/>
          <w:szCs w:val="18"/>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204" w:lineRule="exact"/>
        <w:rPr>
          <w:rFonts w:ascii="Arial" w:cs="Arial" w:eastAsia="Arial" w:hAnsi="Arial"/>
          <w:sz w:val="18"/>
          <w:szCs w:val="18"/>
          <w:color w:val="auto"/>
        </w:rPr>
      </w:pPr>
    </w:p>
    <w:p>
      <w:pPr>
        <w:ind w:left="120" w:right="20" w:firstLine="436"/>
        <w:spacing w:after="0" w:line="238" w:lineRule="auto"/>
        <w:tabs>
          <w:tab w:leader="none" w:pos="1030" w:val="left"/>
        </w:tabs>
        <w:numPr>
          <w:ilvl w:val="2"/>
          <w:numId w:val="220"/>
        </w:numPr>
        <w:rPr>
          <w:rFonts w:ascii="Arial" w:cs="Arial" w:eastAsia="Arial" w:hAnsi="Arial"/>
          <w:sz w:val="18"/>
          <w:szCs w:val="18"/>
          <w:color w:val="auto"/>
        </w:rPr>
      </w:pPr>
      <w:r>
        <w:rPr>
          <w:rFonts w:ascii="Arial" w:cs="Arial" w:eastAsia="Arial" w:hAnsi="Arial"/>
          <w:sz w:val="18"/>
          <w:szCs w:val="18"/>
          <w:u w:val="single" w:color="auto"/>
          <w:color w:val="auto"/>
        </w:rPr>
        <w:t>Non-Assignability, Etc</w:t>
      </w:r>
      <w:r>
        <w:rPr>
          <w:rFonts w:ascii="Arial" w:cs="Arial" w:eastAsia="Arial" w:hAnsi="Arial"/>
          <w:sz w:val="18"/>
          <w:szCs w:val="18"/>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204" w:lineRule="exact"/>
        <w:rPr>
          <w:rFonts w:ascii="Arial" w:cs="Arial" w:eastAsia="Arial" w:hAnsi="Arial"/>
          <w:sz w:val="18"/>
          <w:szCs w:val="18"/>
          <w:color w:val="auto"/>
        </w:rPr>
      </w:pPr>
    </w:p>
    <w:p>
      <w:pPr>
        <w:ind w:left="120" w:right="380" w:firstLine="436"/>
        <w:spacing w:after="0" w:line="234" w:lineRule="auto"/>
        <w:tabs>
          <w:tab w:leader="none" w:pos="980" w:val="left"/>
        </w:tabs>
        <w:numPr>
          <w:ilvl w:val="2"/>
          <w:numId w:val="220"/>
        </w:numPr>
        <w:rPr>
          <w:rFonts w:ascii="Arial" w:cs="Arial" w:eastAsia="Arial" w:hAnsi="Arial"/>
          <w:sz w:val="18"/>
          <w:szCs w:val="18"/>
          <w:color w:val="auto"/>
        </w:rPr>
      </w:pPr>
      <w:r>
        <w:rPr>
          <w:rFonts w:ascii="Arial" w:cs="Arial" w:eastAsia="Arial" w:hAnsi="Arial"/>
          <w:sz w:val="18"/>
          <w:szCs w:val="18"/>
          <w:u w:val="single" w:color="auto"/>
          <w:color w:val="auto"/>
        </w:rPr>
        <w:t>Required Suspension of Payment of Benefits</w:t>
      </w:r>
      <w:r>
        <w:rPr>
          <w:rFonts w:ascii="Arial" w:cs="Arial" w:eastAsia="Arial" w:hAnsi="Arial"/>
          <w:sz w:val="18"/>
          <w:szCs w:val="18"/>
          <w:color w:val="auto"/>
        </w:rPr>
        <w:t>. Notwithstanding any provision of the Plan or any Grantee’s election as to the date or time of payment of any benefit payable under the Plan, To the extent compliance with the requirements of Treas. Reg. §</w:t>
      </w:r>
    </w:p>
    <w:p>
      <w:pPr>
        <w:spacing w:after="0" w:line="1" w:lineRule="exact"/>
        <w:rPr>
          <w:rFonts w:ascii="Arial" w:cs="Arial" w:eastAsia="Arial" w:hAnsi="Arial"/>
          <w:sz w:val="18"/>
          <w:szCs w:val="18"/>
          <w:color w:val="auto"/>
        </w:rPr>
      </w:pPr>
    </w:p>
    <w:p>
      <w:pPr>
        <w:ind w:left="120" w:right="20"/>
        <w:spacing w:after="0" w:line="238" w:lineRule="auto"/>
        <w:rPr>
          <w:rFonts w:ascii="Arial" w:cs="Arial" w:eastAsia="Arial" w:hAnsi="Arial"/>
          <w:sz w:val="18"/>
          <w:szCs w:val="18"/>
          <w:color w:val="auto"/>
        </w:rPr>
      </w:pPr>
      <w:r>
        <w:rPr>
          <w:rFonts w:ascii="Arial" w:cs="Arial" w:eastAsia="Arial" w:hAnsi="Arial"/>
          <w:sz w:val="18"/>
          <w:szCs w:val="18"/>
          <w:color w:val="auto"/>
        </w:rPr>
        <w:t>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209" w:lineRule="exact"/>
        <w:rPr>
          <w:rFonts w:ascii="Arial" w:cs="Arial" w:eastAsia="Arial" w:hAnsi="Arial"/>
          <w:sz w:val="18"/>
          <w:szCs w:val="18"/>
          <w:color w:val="auto"/>
        </w:rPr>
      </w:pPr>
    </w:p>
    <w:p>
      <w:pPr>
        <w:ind w:left="540" w:hanging="424"/>
        <w:spacing w:after="0"/>
        <w:tabs>
          <w:tab w:leader="none" w:pos="5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233" w:lineRule="exact"/>
        <w:rPr>
          <w:rFonts w:ascii="Arial" w:cs="Arial" w:eastAsia="Arial" w:hAnsi="Arial"/>
          <w:sz w:val="18"/>
          <w:szCs w:val="18"/>
          <w:b w:val="1"/>
          <w:bCs w:val="1"/>
          <w:color w:val="auto"/>
        </w:rPr>
      </w:pPr>
    </w:p>
    <w:p>
      <w:pPr>
        <w:ind w:left="120" w:right="80" w:firstLine="436"/>
        <w:spacing w:after="0" w:line="248" w:lineRule="auto"/>
        <w:tabs>
          <w:tab w:leader="none" w:pos="980" w:val="left"/>
        </w:tabs>
        <w:numPr>
          <w:ilvl w:val="2"/>
          <w:numId w:val="221"/>
        </w:numPr>
        <w:rPr>
          <w:rFonts w:ascii="Arial" w:cs="Arial" w:eastAsia="Arial" w:hAnsi="Arial"/>
          <w:sz w:val="17"/>
          <w:szCs w:val="17"/>
          <w:color w:val="auto"/>
        </w:rPr>
      </w:pPr>
      <w:r>
        <w:rPr>
          <w:rFonts w:ascii="Arial" w:cs="Arial" w:eastAsia="Arial" w:hAnsi="Arial"/>
          <w:sz w:val="17"/>
          <w:szCs w:val="17"/>
          <w:u w:val="single" w:color="auto"/>
          <w:color w:val="auto"/>
        </w:rPr>
        <w:t>Securities Laws</w:t>
      </w:r>
      <w:r>
        <w:rPr>
          <w:rFonts w:ascii="Arial" w:cs="Arial" w:eastAsia="Arial" w:hAnsi="Arial"/>
          <w:sz w:val="17"/>
          <w:szCs w:val="17"/>
          <w:color w:val="auto"/>
        </w:rPr>
        <w:t>. The Committee shall have the power to make each grant of Awards under the Plan subject to such conditions as it deems necessary or appropriate to comply with the then-existing requirements of the 1933 Act and the 1934 Act, including Rule</w:t>
      </w:r>
    </w:p>
    <w:p>
      <w:pPr>
        <w:spacing w:after="0" w:line="1" w:lineRule="exact"/>
        <w:rPr>
          <w:rFonts w:ascii="Arial" w:cs="Arial" w:eastAsia="Arial" w:hAnsi="Arial"/>
          <w:sz w:val="17"/>
          <w:szCs w:val="17"/>
          <w:color w:val="auto"/>
        </w:rPr>
      </w:pPr>
    </w:p>
    <w:p>
      <w:pPr>
        <w:ind w:left="120" w:right="20"/>
        <w:spacing w:after="0"/>
        <w:rPr>
          <w:rFonts w:ascii="Arial" w:cs="Arial" w:eastAsia="Arial" w:hAnsi="Arial"/>
          <w:sz w:val="17"/>
          <w:szCs w:val="17"/>
          <w:color w:val="auto"/>
        </w:rPr>
      </w:pPr>
      <w:r>
        <w:rPr>
          <w:rFonts w:ascii="Arial" w:cs="Arial" w:eastAsia="Arial" w:hAnsi="Arial"/>
          <w:sz w:val="18"/>
          <w:szCs w:val="18"/>
          <w:color w:val="auto"/>
        </w:rPr>
        <w:t>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202" w:lineRule="exact"/>
        <w:rPr>
          <w:rFonts w:ascii="Arial" w:cs="Arial" w:eastAsia="Arial" w:hAnsi="Arial"/>
          <w:sz w:val="17"/>
          <w:szCs w:val="17"/>
          <w:color w:val="auto"/>
        </w:rPr>
      </w:pPr>
    </w:p>
    <w:p>
      <w:pPr>
        <w:ind w:left="120" w:right="160" w:firstLine="436"/>
        <w:spacing w:after="0" w:line="246" w:lineRule="auto"/>
        <w:tabs>
          <w:tab w:leader="none" w:pos="980" w:val="left"/>
        </w:tabs>
        <w:numPr>
          <w:ilvl w:val="2"/>
          <w:numId w:val="22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203" w:lineRule="exact"/>
        <w:rPr>
          <w:sz w:val="20"/>
          <w:szCs w:val="20"/>
          <w:color w:val="auto"/>
        </w:rPr>
      </w:pPr>
    </w:p>
    <w:p>
      <w:pPr>
        <w:ind w:left="960" w:hanging="404"/>
        <w:spacing w:after="0"/>
        <w:tabs>
          <w:tab w:leader="none" w:pos="960"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line="236" w:lineRule="auto"/>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 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234" w:lineRule="exact"/>
        <w:rPr>
          <w:rFonts w:ascii="Arial" w:cs="Arial" w:eastAsia="Arial" w:hAnsi="Arial"/>
          <w:sz w:val="18"/>
          <w:szCs w:val="18"/>
          <w:color w:val="auto"/>
        </w:rPr>
      </w:pPr>
    </w:p>
    <w:p>
      <w:pPr>
        <w:ind w:left="1080" w:right="40" w:hanging="532"/>
        <w:spacing w:after="0" w:line="237" w:lineRule="auto"/>
        <w:tabs>
          <w:tab w:leader="none" w:pos="10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229" w:lineRule="exact"/>
        <w:rPr>
          <w:rFonts w:ascii="Arial" w:cs="Arial" w:eastAsia="Arial" w:hAnsi="Arial"/>
          <w:sz w:val="18"/>
          <w:szCs w:val="18"/>
          <w:color w:val="auto"/>
        </w:rPr>
      </w:pPr>
    </w:p>
    <w:p>
      <w:pPr>
        <w:ind w:left="1540" w:right="100" w:hanging="439"/>
        <w:spacing w:after="0" w:line="257" w:lineRule="auto"/>
        <w:tabs>
          <w:tab w:leader="none" w:pos="154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215" w:lineRule="exact"/>
        <w:rPr>
          <w:rFonts w:ascii="Arial" w:cs="Arial" w:eastAsia="Arial" w:hAnsi="Arial"/>
          <w:sz w:val="17"/>
          <w:szCs w:val="17"/>
          <w:color w:val="auto"/>
        </w:rPr>
      </w:pPr>
    </w:p>
    <w:p>
      <w:pPr>
        <w:ind w:left="1540" w:right="220" w:hanging="439"/>
        <w:spacing w:after="0" w:line="253" w:lineRule="auto"/>
        <w:tabs>
          <w:tab w:leader="none" w:pos="1540" w:val="left"/>
        </w:tabs>
        <w:numPr>
          <w:ilvl w:val="2"/>
          <w:numId w:val="224"/>
        </w:numPr>
        <w:rPr>
          <w:rFonts w:ascii="Arial" w:cs="Arial" w:eastAsia="Arial" w:hAnsi="Arial"/>
          <w:sz w:val="17"/>
          <w:szCs w:val="17"/>
          <w:color w:val="auto"/>
        </w:rPr>
      </w:pPr>
      <w:r>
        <w:rPr>
          <w:rFonts w:ascii="Arial" w:cs="Arial" w:eastAsia="Arial" w:hAnsi="Arial"/>
          <w:sz w:val="17"/>
          <w:szCs w:val="17"/>
          <w:color w:val="auto"/>
        </w:rPr>
        <w:t>With respect to tax liabilities arising on or after January 1, 2017, to have Shares otherwise deliverable to the Grantee after the application of the other provisions of this Paragraph 9(c)(ii)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 having a Fair Market Value that is at least equal to the Fair Market Value of such Shares to be redeemed by the Company; and</w:t>
      </w:r>
    </w:p>
    <w:p>
      <w:pPr>
        <w:spacing w:after="0" w:line="218" w:lineRule="exact"/>
        <w:rPr>
          <w:rFonts w:ascii="Arial" w:cs="Arial" w:eastAsia="Arial" w:hAnsi="Arial"/>
          <w:sz w:val="17"/>
          <w:szCs w:val="17"/>
          <w:color w:val="auto"/>
        </w:rPr>
      </w:pPr>
    </w:p>
    <w:p>
      <w:pPr>
        <w:ind w:left="1540" w:right="80" w:hanging="439"/>
        <w:spacing w:after="0" w:line="246" w:lineRule="auto"/>
        <w:tabs>
          <w:tab w:leader="none" w:pos="154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To pay to the Company in cash all or a portion of the taxes to be withheld in connection with such grant, Vesting Date or Account distribution.</w:t>
      </w:r>
    </w:p>
    <w:p>
      <w:pPr>
        <w:spacing w:after="0" w:line="197" w:lineRule="exact"/>
        <w:rPr>
          <w:sz w:val="20"/>
          <w:szCs w:val="20"/>
          <w:color w:val="auto"/>
        </w:rPr>
      </w:pPr>
    </w:p>
    <w:p>
      <w:pPr>
        <w:ind w:left="1100" w:right="20"/>
        <w:spacing w:after="0" w:line="236" w:lineRule="auto"/>
        <w:rPr>
          <w:sz w:val="20"/>
          <w:szCs w:val="20"/>
          <w:color w:val="auto"/>
        </w:rPr>
      </w:pPr>
      <w:r>
        <w:rPr>
          <w:rFonts w:ascii="Arial" w:cs="Arial" w:eastAsia="Arial" w:hAnsi="Arial"/>
          <w:sz w:val="18"/>
          <w:szCs w:val="18"/>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40" w:hanging="532"/>
        <w:spacing w:after="0" w:line="235" w:lineRule="auto"/>
        <w:tabs>
          <w:tab w:leader="none" w:pos="10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218" w:lineRule="exact"/>
        <w:rPr>
          <w:rFonts w:ascii="Arial" w:cs="Arial" w:eastAsia="Arial" w:hAnsi="Arial"/>
          <w:sz w:val="18"/>
          <w:szCs w:val="18"/>
          <w:color w:val="auto"/>
        </w:rPr>
      </w:pPr>
    </w:p>
    <w:p>
      <w:pPr>
        <w:ind w:left="540" w:hanging="424"/>
        <w:spacing w:after="0"/>
        <w:tabs>
          <w:tab w:leader="none" w:pos="5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22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aggregate number of Shares and class of Shares as to which Awards may be granted and the number of Shares covered by</w:t>
      </w:r>
    </w:p>
    <w:p>
      <w:pPr>
        <w:ind w:left="120"/>
        <w:spacing w:after="0" w:line="237" w:lineRule="auto"/>
        <w:rPr>
          <w:sz w:val="20"/>
          <w:szCs w:val="20"/>
          <w:color w:val="auto"/>
        </w:rPr>
      </w:pPr>
      <w:r>
        <w:rPr>
          <w:rFonts w:ascii="Arial" w:cs="Arial" w:eastAsia="Arial" w:hAnsi="Arial"/>
          <w:sz w:val="18"/>
          <w:szCs w:val="18"/>
          <w:color w:val="auto"/>
        </w:rPr>
        <w:t>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208" w:lineRule="exact"/>
        <w:rPr>
          <w:sz w:val="20"/>
          <w:szCs w:val="20"/>
          <w:color w:val="auto"/>
        </w:rPr>
      </w:pPr>
    </w:p>
    <w:p>
      <w:pPr>
        <w:ind w:left="540" w:hanging="424"/>
        <w:spacing w:after="0"/>
        <w:tabs>
          <w:tab w:leader="none" w:pos="5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233" w:lineRule="exact"/>
        <w:rPr>
          <w:rFonts w:ascii="Arial" w:cs="Arial" w:eastAsia="Arial" w:hAnsi="Arial"/>
          <w:sz w:val="18"/>
          <w:szCs w:val="18"/>
          <w:b w:val="1"/>
          <w:bCs w:val="1"/>
          <w:color w:val="auto"/>
        </w:rPr>
      </w:pPr>
    </w:p>
    <w:p>
      <w:pPr>
        <w:ind w:left="120" w:right="20" w:firstLine="436"/>
        <w:spacing w:after="0" w:line="236" w:lineRule="auto"/>
        <w:tabs>
          <w:tab w:leader="none" w:pos="10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206" w:lineRule="exact"/>
        <w:rPr>
          <w:rFonts w:ascii="Arial" w:cs="Arial" w:eastAsia="Arial" w:hAnsi="Arial"/>
          <w:sz w:val="18"/>
          <w:szCs w:val="18"/>
          <w:color w:val="auto"/>
        </w:rPr>
      </w:pPr>
    </w:p>
    <w:p>
      <w:pPr>
        <w:ind w:left="120" w:right="60" w:firstLine="436"/>
        <w:spacing w:after="0" w:line="238" w:lineRule="auto"/>
        <w:tabs>
          <w:tab w:leader="none" w:pos="10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 earlier distribution would not result in any obligation to pay interest or additional tax under Section 409A.</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hanging="424"/>
        <w:spacing w:after="0"/>
        <w:tabs>
          <w:tab w:leader="none" w:pos="5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234"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20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97" w:lineRule="exact"/>
        <w:rPr>
          <w:sz w:val="20"/>
          <w:szCs w:val="20"/>
          <w:color w:val="auto"/>
        </w:rPr>
      </w:pPr>
    </w:p>
    <w:p>
      <w:pPr>
        <w:ind w:left="980" w:hanging="424"/>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11" w:lineRule="exact"/>
        <w:rPr>
          <w:rFonts w:ascii="Arial" w:cs="Arial" w:eastAsia="Arial" w:hAnsi="Arial"/>
          <w:sz w:val="18"/>
          <w:szCs w:val="18"/>
          <w:color w:val="auto"/>
        </w:rPr>
      </w:pPr>
    </w:p>
    <w:p>
      <w:pPr>
        <w:ind w:left="120" w:right="300" w:firstLine="436"/>
        <w:spacing w:after="0" w:line="246" w:lineRule="auto"/>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96" w:lineRule="exact"/>
        <w:rPr>
          <w:rFonts w:ascii="Arial" w:cs="Arial" w:eastAsia="Arial" w:hAnsi="Arial"/>
          <w:sz w:val="18"/>
          <w:szCs w:val="18"/>
          <w:color w:val="auto"/>
        </w:rPr>
      </w:pPr>
    </w:p>
    <w:p>
      <w:pPr>
        <w:ind w:left="960" w:hanging="404"/>
        <w:spacing w:after="0"/>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203"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205"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Comcast Corporation</w:t>
      </w:r>
    </w:p>
    <w:p>
      <w:pPr>
        <w:ind w:left="120"/>
        <w:spacing w:after="0" w:line="237" w:lineRule="auto"/>
        <w:rPr>
          <w:sz w:val="20"/>
          <w:szCs w:val="20"/>
          <w:color w:val="auto"/>
        </w:rPr>
      </w:pPr>
      <w:r>
        <w:rPr>
          <w:rFonts w:ascii="Arial" w:cs="Arial" w:eastAsia="Arial" w:hAnsi="Arial"/>
          <w:sz w:val="18"/>
          <w:szCs w:val="18"/>
          <w:color w:val="auto"/>
        </w:rPr>
        <w:t>One Comcast Center, 52</w:t>
      </w:r>
      <w:r>
        <w:rPr>
          <w:rFonts w:ascii="Arial" w:cs="Arial" w:eastAsia="Arial" w:hAnsi="Arial"/>
          <w:sz w:val="15"/>
          <w:szCs w:val="15"/>
          <w:color w:val="auto"/>
        </w:rPr>
        <w:t>nd</w:t>
      </w:r>
      <w:r>
        <w:rPr>
          <w:rFonts w:ascii="Arial" w:cs="Arial" w:eastAsia="Arial" w:hAnsi="Arial"/>
          <w:sz w:val="18"/>
          <w:szCs w:val="18"/>
          <w:color w:val="auto"/>
        </w:rPr>
        <w:t xml:space="preserve"> Floor</w:t>
      </w:r>
    </w:p>
    <w:p>
      <w:pPr>
        <w:ind w:left="120"/>
        <w:spacing w:after="0" w:line="235" w:lineRule="auto"/>
        <w:rPr>
          <w:sz w:val="20"/>
          <w:szCs w:val="20"/>
          <w:color w:val="auto"/>
        </w:rPr>
      </w:pPr>
      <w:r>
        <w:rPr>
          <w:rFonts w:ascii="Arial" w:cs="Arial" w:eastAsia="Arial" w:hAnsi="Arial"/>
          <w:sz w:val="18"/>
          <w:szCs w:val="18"/>
          <w:color w:val="auto"/>
        </w:rPr>
        <w:t>1701 John F. Kennedy Boulevard</w:t>
      </w:r>
    </w:p>
    <w:p>
      <w:pPr>
        <w:ind w:left="120"/>
        <w:spacing w:after="0" w:line="235" w:lineRule="auto"/>
        <w:rPr>
          <w:sz w:val="20"/>
          <w:szCs w:val="20"/>
          <w:color w:val="auto"/>
        </w:rPr>
      </w:pPr>
      <w:r>
        <w:rPr>
          <w:rFonts w:ascii="Arial" w:cs="Arial" w:eastAsia="Arial" w:hAnsi="Arial"/>
          <w:sz w:val="18"/>
          <w:szCs w:val="18"/>
          <w:color w:val="auto"/>
        </w:rPr>
        <w:t>Philadelphia, PA 19103-2838</w:t>
      </w:r>
    </w:p>
    <w:p>
      <w:pPr>
        <w:ind w:left="120"/>
        <w:spacing w:after="0"/>
        <w:rPr>
          <w:sz w:val="20"/>
          <w:szCs w:val="20"/>
          <w:color w:val="auto"/>
        </w:rPr>
      </w:pPr>
      <w:r>
        <w:rPr>
          <w:rFonts w:ascii="Arial" w:cs="Arial" w:eastAsia="Arial" w:hAnsi="Arial"/>
          <w:sz w:val="18"/>
          <w:szCs w:val="18"/>
          <w:color w:val="auto"/>
        </w:rPr>
        <w:t>Attention: General Counsel</w:t>
      </w:r>
    </w:p>
    <w:p>
      <w:pPr>
        <w:spacing w:after="0" w:line="217" w:lineRule="exact"/>
        <w:rPr>
          <w:sz w:val="20"/>
          <w:szCs w:val="20"/>
          <w:color w:val="auto"/>
        </w:rPr>
      </w:pPr>
    </w:p>
    <w:p>
      <w:pPr>
        <w:ind w:left="540" w:hanging="424"/>
        <w:spacing w:after="0"/>
        <w:tabs>
          <w:tab w:leader="none" w:pos="5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hanging="424"/>
        <w:spacing w:after="0"/>
        <w:tabs>
          <w:tab w:leader="none" w:pos="5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2" w:lineRule="exact"/>
        <w:rPr>
          <w:sz w:val="20"/>
          <w:szCs w:val="20"/>
          <w:color w:val="auto"/>
        </w:rPr>
      </w:pPr>
    </w:p>
    <w:p>
      <w:pPr>
        <w:ind w:left="540" w:hanging="424"/>
        <w:spacing w:after="0"/>
        <w:tabs>
          <w:tab w:leader="none" w:pos="5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208" w:lineRule="exact"/>
        <w:rPr>
          <w:sz w:val="20"/>
          <w:szCs w:val="20"/>
          <w:color w:val="auto"/>
        </w:rPr>
      </w:pPr>
    </w:p>
    <w:p>
      <w:pPr>
        <w:ind w:left="540" w:hanging="424"/>
        <w:spacing w:after="0"/>
        <w:tabs>
          <w:tab w:leader="none" w:pos="5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w:t>
      </w:r>
    </w:p>
    <w:p>
      <w:pPr>
        <w:spacing w:after="0" w:line="23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Plan shall expire on May 19, 2026, unless sooner terminated by the Board.</w:t>
      </w:r>
    </w:p>
    <w:p>
      <w:pPr>
        <w:spacing w:after="0" w:line="216" w:lineRule="exact"/>
        <w:rPr>
          <w:rFonts w:ascii="Arial" w:cs="Arial" w:eastAsia="Arial" w:hAnsi="Arial"/>
          <w:sz w:val="18"/>
          <w:szCs w:val="18"/>
          <w:b w:val="1"/>
          <w:bCs w:val="1"/>
          <w:color w:val="auto"/>
        </w:rPr>
      </w:pPr>
    </w:p>
    <w:p>
      <w:pPr>
        <w:ind w:left="540" w:hanging="424"/>
        <w:spacing w:after="0"/>
        <w:tabs>
          <w:tab w:leader="none" w:pos="5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Plan and all determinations made and actions taken pursuant to the Plan shall be governed in accordance with Pennsylvania</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w:t>
      </w: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Executed on the 10th day of April, 2020.</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CORPORATION</w:t>
      </w:r>
    </w:p>
    <w:p>
      <w:pPr>
        <w:spacing w:after="0" w:line="212" w:lineRule="exact"/>
        <w:rPr>
          <w:sz w:val="20"/>
          <w:szCs w:val="20"/>
          <w:color w:val="auto"/>
        </w:rPr>
      </w:pPr>
    </w:p>
    <w:p>
      <w:pPr>
        <w:ind w:left="6740"/>
        <w:spacing w:after="0"/>
        <w:tabs>
          <w:tab w:leader="none" w:pos="7240" w:val="left"/>
        </w:tabs>
        <w:rPr>
          <w:sz w:val="20"/>
          <w:szCs w:val="20"/>
          <w:color w:val="auto"/>
        </w:rPr>
      </w:pPr>
      <w:r>
        <w:rPr>
          <w:rFonts w:ascii="Arial" w:cs="Arial" w:eastAsia="Arial" w:hAnsi="Arial"/>
          <w:sz w:val="18"/>
          <w:szCs w:val="18"/>
          <w:color w:val="auto"/>
        </w:rPr>
        <w:t>BY:</w:t>
        <w:tab/>
        <w:t>/s/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-1905</wp:posOffset>
            </wp:positionV>
            <wp:extent cx="25800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19" w:lineRule="exact"/>
        <w:rPr>
          <w:sz w:val="20"/>
          <w:szCs w:val="20"/>
          <w:color w:val="auto"/>
        </w:rPr>
      </w:pPr>
    </w:p>
    <w:p>
      <w:pPr>
        <w:ind w:left="6740"/>
        <w:spacing w:after="0"/>
        <w:tabs>
          <w:tab w:leader="none" w:pos="788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-1905</wp:posOffset>
            </wp:positionV>
            <wp:extent cx="23056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0840"/>
          </w:cols>
          <w:pgMar w:left="320" w:top="459" w:right="7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34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2017, 2018 and 2019 are set forth in “Item 7: Management’s Discussion and Analysis of Financial Condition and Results of Operations – Non-GAAP Financial Measures” on pages 51-52 of our Annual Report on Form 10-K for the year ended December 31, 2019, as filed with the Securities and Exchange Commission on January 30, 2020 (the “10-K”).</w:t>
      </w:r>
    </w:p>
    <w:p>
      <w:pPr>
        <w:spacing w:after="0" w:line="99" w:lineRule="exact"/>
        <w:rPr>
          <w:sz w:val="20"/>
          <w:szCs w:val="20"/>
          <w:color w:val="auto"/>
        </w:rPr>
      </w:pPr>
    </w:p>
    <w:p>
      <w:pPr>
        <w:ind w:left="120" w:right="140"/>
        <w:spacing w:after="0" w:line="257" w:lineRule="auto"/>
        <w:rPr>
          <w:sz w:val="20"/>
          <w:szCs w:val="20"/>
          <w:color w:val="auto"/>
        </w:rPr>
      </w:pPr>
      <w:r>
        <w:rPr>
          <w:rFonts w:ascii="Arial" w:cs="Arial" w:eastAsia="Arial" w:hAnsi="Arial"/>
          <w:sz w:val="17"/>
          <w:szCs w:val="17"/>
          <w:color w:val="auto"/>
        </w:rPr>
        <w:t>Constant currency and constant currency growth rates are calculated by comparing the prior year results adjusted to reflect the average exchange rates from the current year rather than the actual exchange rates that were in effect during the respective prior year. Additional information and a reconciliation of Sky’s constant currency Adjusted EBITDA growth rate for 2019 is set forth in “Item 7: Management’s Discussion and Analysis of Financial Condition and Results of Operations – Non-GAAP Financial Measures” on pages 51-52 of the 10-K.</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right="3420"/>
        <w:spacing w:after="0" w:line="271" w:lineRule="auto"/>
        <w:rPr>
          <w:sz w:val="20"/>
          <w:szCs w:val="20"/>
          <w:color w:val="auto"/>
        </w:rPr>
      </w:pPr>
      <w:r>
        <w:rPr>
          <w:rFonts w:ascii="Arial" w:cs="Arial" w:eastAsia="Arial" w:hAnsi="Arial"/>
          <w:sz w:val="18"/>
          <w:szCs w:val="18"/>
          <w:b w:val="1"/>
          <w:bCs w:val="1"/>
          <w:color w:val="auto"/>
        </w:rPr>
        <w:t xml:space="preserve">Reconciliation from Net Cash Provided by Operating Activities to Free Cash Flow </w:t>
      </w: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650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18"/>
                <w:szCs w:val="18"/>
                <w:color w:val="auto"/>
              </w:rPr>
            </w:pPr>
          </w:p>
        </w:tc>
        <w:tc>
          <w:tcPr>
            <w:tcW w:w="13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80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$25,697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$24,297</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$21,261</w:t>
            </w:r>
          </w:p>
        </w:tc>
      </w:tr>
      <w:tr>
        <w:trPr>
          <w:trHeight w:val="206"/>
        </w:trPr>
        <w:tc>
          <w:tcPr>
            <w:tcW w:w="6500" w:type="dxa"/>
            <w:vAlign w:val="bottom"/>
          </w:tcPr>
          <w:p>
            <w:pPr>
              <w:spacing w:after="0"/>
              <w:rPr>
                <w:sz w:val="20"/>
                <w:szCs w:val="20"/>
                <w:color w:val="auto"/>
              </w:rPr>
            </w:pPr>
            <w:r>
              <w:rPr>
                <w:rFonts w:ascii="Arial" w:cs="Arial" w:eastAsia="Arial" w:hAnsi="Arial"/>
                <w:sz w:val="16"/>
                <w:szCs w:val="16"/>
                <w:color w:val="auto"/>
              </w:rPr>
              <w:t>Capital expenditures</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(9,953)</w:t>
            </w:r>
          </w:p>
        </w:tc>
        <w:tc>
          <w:tcPr>
            <w:tcW w:w="2180" w:type="dxa"/>
            <w:vAlign w:val="bottom"/>
            <w:gridSpan w:val="3"/>
          </w:tcPr>
          <w:p>
            <w:pPr>
              <w:jc w:val="right"/>
              <w:ind w:right="800"/>
              <w:spacing w:after="0"/>
              <w:rPr>
                <w:sz w:val="20"/>
                <w:szCs w:val="20"/>
                <w:color w:val="auto"/>
              </w:rPr>
            </w:pPr>
            <w:r>
              <w:rPr>
                <w:rFonts w:ascii="Arial" w:cs="Arial" w:eastAsia="Arial" w:hAnsi="Arial"/>
                <w:sz w:val="16"/>
                <w:szCs w:val="16"/>
                <w:color w:val="auto"/>
              </w:rPr>
              <w:t>(9,774)</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(9,550)</w:t>
            </w:r>
          </w:p>
        </w:tc>
      </w:tr>
      <w:tr>
        <w:trPr>
          <w:trHeight w:val="201"/>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capitalized software and other</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intangible assets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(2,475)</w:t>
            </w:r>
          </w:p>
        </w:tc>
        <w:tc>
          <w:tcPr>
            <w:tcW w:w="2180" w:type="dxa"/>
            <w:vAlign w:val="bottom"/>
            <w:gridSpan w:val="3"/>
            <w:shd w:val="clear" w:color="auto" w:fill="CCEEFF"/>
          </w:tcPr>
          <w:p>
            <w:pPr>
              <w:jc w:val="right"/>
              <w:ind w:right="800"/>
              <w:spacing w:after="0"/>
              <w:rPr>
                <w:sz w:val="20"/>
                <w:szCs w:val="20"/>
                <w:color w:val="auto"/>
              </w:rPr>
            </w:pPr>
            <w:r>
              <w:rPr>
                <w:rFonts w:ascii="Arial" w:cs="Arial" w:eastAsia="Arial" w:hAnsi="Arial"/>
                <w:sz w:val="16"/>
                <w:szCs w:val="16"/>
                <w:color w:val="auto"/>
              </w:rPr>
              <w:t>(1,935)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(1,605)</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5"/>
                <w:szCs w:val="15"/>
                <w:color w:val="auto"/>
              </w:rPr>
              <w:t>Adjustments</w:t>
            </w:r>
            <w:r>
              <w:rPr>
                <w:rFonts w:ascii="Arial" w:cs="Arial" w:eastAsia="Arial" w:hAnsi="Arial"/>
                <w:sz w:val="25"/>
                <w:szCs w:val="25"/>
                <w:color w:val="auto"/>
                <w:vertAlign w:val="superscript"/>
              </w:rPr>
              <w:t>1</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125</w:t>
            </w:r>
          </w:p>
        </w:tc>
        <w:tc>
          <w:tcPr>
            <w:tcW w:w="74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(325)</w:t>
            </w:r>
          </w:p>
        </w:tc>
      </w:tr>
      <w:tr>
        <w:trPr>
          <w:trHeight w:val="27"/>
        </w:trPr>
        <w:tc>
          <w:tcPr>
            <w:tcW w:w="6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Total free cash flow</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$13,394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$12,588</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$9,781</w:t>
            </w:r>
          </w:p>
        </w:tc>
      </w:tr>
      <w:tr>
        <w:trPr>
          <w:trHeight w:val="20"/>
        </w:trPr>
        <w:tc>
          <w:tcPr>
            <w:tcW w:w="6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ind w:left="980" w:hanging="216"/>
        <w:spacing w:after="0" w:line="199" w:lineRule="auto"/>
        <w:tabs>
          <w:tab w:leader="none" w:pos="980" w:val="left"/>
        </w:tabs>
        <w:numPr>
          <w:ilvl w:val="0"/>
          <w:numId w:val="234"/>
        </w:numPr>
        <w:rPr>
          <w:rFonts w:ascii="Arial" w:cs="Arial" w:eastAsia="Arial" w:hAnsi="Arial"/>
          <w:sz w:val="24"/>
          <w:szCs w:val="24"/>
          <w:color w:val="auto"/>
          <w:vertAlign w:val="superscript"/>
        </w:rPr>
      </w:pPr>
      <w:r>
        <w:rPr>
          <w:rFonts w:ascii="Arial" w:cs="Arial" w:eastAsia="Arial" w:hAnsi="Arial"/>
          <w:sz w:val="14"/>
          <w:szCs w:val="14"/>
          <w:color w:val="auto"/>
        </w:rPr>
        <w:t>Adjustments include a $125 million payment related to a legal settlement in 2019 and a $250 million payment related to a legal settlement and a $575 million tax benefit related to a debt exchange in 2017; we consider these payments and the tax benefit to be nonrecurring in nature, and therefore, have excluded them from free cash flow.</w:t>
      </w:r>
    </w:p>
    <w:p>
      <w:pPr>
        <w:spacing w:after="0" w:line="1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20"/>
          </w:cols>
          <w:pgMar w:left="320" w:top="459" w:right="6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3162935</wp:posOffset>
            </wp:positionV>
            <wp:extent cx="1534160" cy="539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34160" cy="5397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6789420</wp:posOffset>
            </wp:positionV>
            <wp:extent cx="1457325" cy="6686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573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CO-PS-2020-R</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9E21B5"/>
    <w:multiLevelType w:val="hybridMultilevel"/>
    <w:lvl w:ilvl="0">
      <w:lvlJc w:val="left"/>
      <w:lvlText w:val="☐"/>
      <w:numFmt w:val="bullet"/>
      <w:start w:val="1"/>
    </w:lvl>
  </w:abstractNum>
  <w:abstractNum w:abstractNumId="1">
    <w:nsid w:val="69E373"/>
    <w:multiLevelType w:val="hybridMultilevel"/>
    <w:lvl w:ilvl="0">
      <w:lvlJc w:val="left"/>
      <w:lvlText w:val="☒"/>
      <w:numFmt w:val="bullet"/>
      <w:start w:val="1"/>
    </w:lvl>
  </w:abstractNum>
  <w:abstractNum w:abstractNumId="2">
    <w:nsid w:val="2C27173B"/>
    <w:multiLevelType w:val="hybridMultilevel"/>
    <w:lvl w:ilvl="0">
      <w:lvlJc w:val="left"/>
      <w:lvlText w:val="☐"/>
      <w:numFmt w:val="bullet"/>
      <w:start w:val="1"/>
    </w:lvl>
    <w:lvl w:ilvl="1">
      <w:lvlJc w:val="left"/>
      <w:lvlText w:val="(%2)"/>
      <w:numFmt w:val="decimal"/>
      <w:start w:val="1"/>
    </w:lvl>
  </w:abstractNum>
  <w:abstractNum w:abstractNumId="3">
    <w:nsid w:val="4C9B0904"/>
    <w:multiLevelType w:val="hybridMultilevel"/>
    <w:lvl w:ilvl="0">
      <w:lvlJc w:val="left"/>
      <w:lvlText w:val="*"/>
      <w:numFmt w:val="bullet"/>
      <w:start w:val="1"/>
    </w:lvl>
  </w:abstractNum>
  <w:abstractNum w:abstractNumId="4">
    <w:nsid w:val="6AA7B75C"/>
    <w:multiLevelType w:val="hybridMultilevel"/>
    <w:lvl w:ilvl="0">
      <w:lvlJc w:val="left"/>
      <w:lvlText w:val="**"/>
      <w:numFmt w:val="bullet"/>
      <w:start w:val="1"/>
    </w:lvl>
  </w:abstractNum>
  <w:abstractNum w:abstractNumId="5">
    <w:nsid w:val="1DF029D3"/>
    <w:multiLevelType w:val="hybridMultilevel"/>
    <w:lvl w:ilvl="0">
      <w:lvlJc w:val="left"/>
      <w:lvlText w:val="❖"/>
      <w:numFmt w:val="bullet"/>
      <w:start w:val="1"/>
    </w:lvl>
  </w:abstractNum>
  <w:abstractNum w:abstractNumId="6">
    <w:nsid w:val="5675FF36"/>
    <w:multiLevelType w:val="hybridMultilevel"/>
    <w:lvl w:ilvl="0">
      <w:lvlJc w:val="left"/>
      <w:lvlText w:val="•"/>
      <w:numFmt w:val="bullet"/>
      <w:start w:val="1"/>
    </w:lvl>
  </w:abstractNum>
  <w:abstractNum w:abstractNumId="7">
    <w:nsid w:val="3DD15094"/>
    <w:multiLevelType w:val="hybridMultilevel"/>
    <w:lvl w:ilvl="0">
      <w:lvlJc w:val="left"/>
      <w:lvlText w:val="•"/>
      <w:numFmt w:val="bullet"/>
      <w:start w:val="1"/>
    </w:lvl>
  </w:abstractNum>
  <w:abstractNum w:abstractNumId="8">
    <w:nsid w:val="3DB012B3"/>
    <w:multiLevelType w:val="hybridMultilevel"/>
    <w:lvl w:ilvl="0">
      <w:lvlJc w:val="left"/>
      <w:lvlText w:val="•"/>
      <w:numFmt w:val="bullet"/>
      <w:start w:val="1"/>
    </w:lvl>
  </w:abstractNum>
  <w:abstractNum w:abstractNumId="9">
    <w:nsid w:val="2708C9AF"/>
    <w:multiLevelType w:val="hybridMultilevel"/>
    <w:lvl w:ilvl="0">
      <w:lvlJc w:val="left"/>
      <w:lvlText w:val="•"/>
      <w:numFmt w:val="bullet"/>
      <w:start w:val="1"/>
    </w:lvl>
  </w:abstractNum>
  <w:abstractNum w:abstractNumId="10">
    <w:nsid w:val="5B25ACE2"/>
    <w:multiLevelType w:val="hybridMultilevel"/>
    <w:lvl w:ilvl="0">
      <w:lvlJc w:val="left"/>
      <w:lvlText w:val="(%1)"/>
      <w:numFmt w:val="decimal"/>
      <w:start w:val="1"/>
    </w:lvl>
  </w:abstractNum>
  <w:abstractNum w:abstractNumId="11">
    <w:nsid w:val="175DFCF0"/>
    <w:multiLevelType w:val="hybridMultilevel"/>
    <w:lvl w:ilvl="0">
      <w:lvlJc w:val="left"/>
      <w:lvlText w:val="*"/>
      <w:numFmt w:val="bullet"/>
      <w:start w:val="1"/>
    </w:lvl>
  </w:abstractNum>
  <w:abstractNum w:abstractNumId="12">
    <w:nsid w:val="4F97E3E4"/>
    <w:multiLevelType w:val="hybridMultilevel"/>
    <w:lvl w:ilvl="0">
      <w:lvlJc w:val="left"/>
      <w:lvlText w:val="(%1)"/>
      <w:numFmt w:val="decimal"/>
      <w:start w:val="1"/>
    </w:lvl>
  </w:abstractNum>
  <w:abstractNum w:abstractNumId="13">
    <w:nsid w:val="53B0A9E"/>
    <w:multiLevelType w:val="hybridMultilevel"/>
    <w:lvl w:ilvl="0">
      <w:lvlJc w:val="left"/>
      <w:lvlText w:val="✓"/>
      <w:numFmt w:val="bullet"/>
      <w:start w:val="1"/>
    </w:lvl>
    <w:lvl w:ilvl="1">
      <w:lvlJc w:val="left"/>
      <w:lvlText w:val="➣"/>
      <w:numFmt w:val="bullet"/>
      <w:start w:val="1"/>
    </w:lvl>
  </w:abstractNum>
  <w:abstractNum w:abstractNumId="14">
    <w:nsid w:val="34FD6B4F"/>
    <w:multiLevelType w:val="hybridMultilevel"/>
    <w:lvl w:ilvl="0">
      <w:lvlJc w:val="left"/>
      <w:lvlText w:val="•"/>
      <w:numFmt w:val="bullet"/>
      <w:start w:val="1"/>
    </w:lvl>
  </w:abstractNum>
  <w:abstractNum w:abstractNumId="15">
    <w:nsid w:val="5915FF32"/>
    <w:multiLevelType w:val="hybridMultilevel"/>
    <w:lvl w:ilvl="0">
      <w:lvlJc w:val="left"/>
      <w:lvlText w:val="•"/>
      <w:numFmt w:val="bullet"/>
      <w:start w:val="1"/>
    </w:lvl>
  </w:abstractNum>
  <w:abstractNum w:abstractNumId="16">
    <w:nsid w:val="56438D15"/>
    <w:multiLevelType w:val="hybridMultilevel"/>
    <w:lvl w:ilvl="0">
      <w:lvlJc w:val="left"/>
      <w:lvlText w:val="•"/>
      <w:numFmt w:val="bullet"/>
      <w:start w:val="1"/>
    </w:lvl>
  </w:abstractNum>
  <w:abstractNum w:abstractNumId="17">
    <w:nsid w:val="519E3149"/>
    <w:multiLevelType w:val="hybridMultilevel"/>
    <w:lvl w:ilvl="0">
      <w:lvlJc w:val="left"/>
      <w:lvlText w:val="•"/>
      <w:numFmt w:val="bullet"/>
      <w:start w:val="1"/>
    </w:lvl>
  </w:abstractNum>
  <w:abstractNum w:abstractNumId="18">
    <w:nsid w:val="2C6E4AFD"/>
    <w:multiLevelType w:val="hybridMultilevel"/>
    <w:lvl w:ilvl="0">
      <w:lvlJc w:val="left"/>
      <w:lvlText w:val="•"/>
      <w:numFmt w:val="bullet"/>
      <w:start w:val="1"/>
    </w:lvl>
  </w:abstractNum>
  <w:abstractNum w:abstractNumId="19">
    <w:nsid w:val="17A1B582"/>
    <w:multiLevelType w:val="hybridMultilevel"/>
    <w:lvl w:ilvl="0">
      <w:lvlJc w:val="left"/>
      <w:lvlText w:val="❖"/>
      <w:numFmt w:val="bullet"/>
      <w:start w:val="1"/>
    </w:lvl>
  </w:abstractNum>
  <w:abstractNum w:abstractNumId="20">
    <w:nsid w:val="4DF72E4E"/>
    <w:multiLevelType w:val="hybridMultilevel"/>
    <w:lvl w:ilvl="0">
      <w:lvlJc w:val="left"/>
      <w:lvlText w:val="1"/>
      <w:numFmt w:val="bullet"/>
      <w:start w:val="1"/>
    </w:lvl>
  </w:abstractNum>
  <w:abstractNum w:abstractNumId="21">
    <w:nsid w:val="5046B5A9"/>
    <w:multiLevelType w:val="hybridMultilevel"/>
    <w:lvl w:ilvl="0">
      <w:lvlJc w:val="left"/>
      <w:lvlText w:val="•"/>
      <w:numFmt w:val="bullet"/>
      <w:start w:val="1"/>
    </w:lvl>
  </w:abstractNum>
  <w:abstractNum w:abstractNumId="22">
    <w:nsid w:val="5D888A08"/>
    <w:multiLevelType w:val="hybridMultilevel"/>
    <w:lvl w:ilvl="0">
      <w:lvlJc w:val="left"/>
      <w:lvlText w:val="•"/>
      <w:numFmt w:val="bullet"/>
      <w:start w:val="1"/>
    </w:lvl>
  </w:abstractNum>
  <w:abstractNum w:abstractNumId="23">
    <w:nsid w:val="2A082C70"/>
    <w:multiLevelType w:val="hybridMultilevel"/>
    <w:lvl w:ilvl="0">
      <w:lvlJc w:val="left"/>
      <w:lvlText w:val="•"/>
      <w:numFmt w:val="bullet"/>
      <w:start w:val="1"/>
    </w:lvl>
  </w:abstractNum>
  <w:abstractNum w:abstractNumId="24">
    <w:nsid w:val="5EC6AFD4"/>
    <w:multiLevelType w:val="hybridMultilevel"/>
    <w:lvl w:ilvl="0">
      <w:lvlJc w:val="left"/>
      <w:lvlText w:val="•"/>
      <w:numFmt w:val="bullet"/>
      <w:start w:val="1"/>
    </w:lvl>
  </w:abstractNum>
  <w:abstractNum w:abstractNumId="25">
    <w:nsid w:val="19E21BB2"/>
    <w:multiLevelType w:val="hybridMultilevel"/>
    <w:lvl w:ilvl="0">
      <w:lvlJc w:val="left"/>
      <w:lvlText w:val="•"/>
      <w:numFmt w:val="bullet"/>
      <w:start w:val="1"/>
    </w:lvl>
  </w:abstractNum>
  <w:abstractNum w:abstractNumId="26">
    <w:nsid w:val="75E0858A"/>
    <w:multiLevelType w:val="hybridMultilevel"/>
    <w:lvl w:ilvl="0">
      <w:lvlJc w:val="left"/>
      <w:lvlText w:val="•"/>
      <w:numFmt w:val="bullet"/>
      <w:start w:val="1"/>
    </w:lvl>
    <w:lvl w:ilvl="1">
      <w:lvlJc w:val="left"/>
      <w:lvlText w:val="○"/>
      <w:numFmt w:val="bullet"/>
      <w:start w:val="1"/>
    </w:lvl>
  </w:abstractNum>
  <w:abstractNum w:abstractNumId="27">
    <w:nsid w:val="57A61A29"/>
    <w:multiLevelType w:val="hybridMultilevel"/>
    <w:lvl w:ilvl="0">
      <w:lvlJc w:val="left"/>
      <w:lvlText w:val="(%1)"/>
      <w:numFmt w:val="lowerRoman"/>
      <w:start w:val="3"/>
    </w:lvl>
  </w:abstractNum>
  <w:abstractNum w:abstractNumId="28">
    <w:nsid w:val="5399C654"/>
    <w:multiLevelType w:val="hybridMultilevel"/>
    <w:lvl w:ilvl="0">
      <w:lvlJc w:val="left"/>
      <w:lvlText w:val="•"/>
      <w:numFmt w:val="bullet"/>
      <w:start w:val="1"/>
    </w:lvl>
  </w:abstractNum>
  <w:abstractNum w:abstractNumId="29">
    <w:nsid w:val="20EE1348"/>
    <w:multiLevelType w:val="hybridMultilevel"/>
    <w:lvl w:ilvl="0">
      <w:lvlJc w:val="left"/>
      <w:lvlText w:val="•"/>
      <w:numFmt w:val="bullet"/>
      <w:start w:val="1"/>
    </w:lvl>
    <w:lvl w:ilvl="1">
      <w:lvlJc w:val="left"/>
      <w:lvlText w:val="○"/>
      <w:numFmt w:val="bullet"/>
      <w:start w:val="1"/>
    </w:lvl>
  </w:abstractNum>
  <w:abstractNum w:abstractNumId="30">
    <w:nsid w:val="4427069A"/>
    <w:multiLevelType w:val="hybridMultilevel"/>
    <w:lvl w:ilvl="0">
      <w:lvlJc w:val="left"/>
      <w:lvlText w:val="(%1)"/>
      <w:numFmt w:val="lowerRoman"/>
      <w:start w:val="4"/>
    </w:lvl>
  </w:abstractNum>
  <w:abstractNum w:abstractNumId="31">
    <w:nsid w:val="B37E80A"/>
    <w:multiLevelType w:val="hybridMultilevel"/>
    <w:lvl w:ilvl="0">
      <w:lvlJc w:val="left"/>
      <w:lvlText w:val="%1."/>
      <w:numFmt w:val="decimal"/>
      <w:start w:val="1"/>
    </w:lvl>
  </w:abstractNum>
  <w:abstractNum w:abstractNumId="32">
    <w:nsid w:val="2157F6BC"/>
    <w:multiLevelType w:val="hybridMultilevel"/>
    <w:lvl w:ilvl="0">
      <w:lvlJc w:val="left"/>
      <w:lvlText w:val="•"/>
      <w:numFmt w:val="bullet"/>
      <w:start w:val="1"/>
    </w:lvl>
    <w:lvl w:ilvl="1">
      <w:lvlJc w:val="left"/>
      <w:lvlText w:val="○"/>
      <w:numFmt w:val="bullet"/>
      <w:start w:val="1"/>
    </w:lvl>
  </w:abstractNum>
  <w:abstractNum w:abstractNumId="33">
    <w:nsid w:val="704E1DD5"/>
    <w:multiLevelType w:val="hybridMultilevel"/>
    <w:lvl w:ilvl="0">
      <w:lvlJc w:val="left"/>
      <w:lvlText w:val="•"/>
      <w:numFmt w:val="bullet"/>
      <w:start w:val="1"/>
    </w:lvl>
  </w:abstractNum>
  <w:abstractNum w:abstractNumId="34">
    <w:nsid w:val="57D2F10E"/>
    <w:multiLevelType w:val="hybridMultilevel"/>
    <w:lvl w:ilvl="0">
      <w:lvlJc w:val="left"/>
      <w:lvlText w:val="•"/>
      <w:numFmt w:val="bullet"/>
      <w:start w:val="1"/>
    </w:lvl>
    <w:lvl w:ilvl="1">
      <w:lvlJc w:val="left"/>
      <w:lvlText w:val="○"/>
      <w:numFmt w:val="bullet"/>
      <w:start w:val="1"/>
    </w:lvl>
  </w:abstractNum>
  <w:abstractNum w:abstractNumId="35">
    <w:nsid w:val="BFFAE18"/>
    <w:multiLevelType w:val="hybridMultilevel"/>
    <w:lvl w:ilvl="0">
      <w:lvlJc w:val="left"/>
      <w:lvlText w:val="•"/>
      <w:numFmt w:val="bullet"/>
      <w:start w:val="1"/>
    </w:lvl>
    <w:lvl w:ilvl="1">
      <w:lvlJc w:val="left"/>
      <w:lvlText w:val="○"/>
      <w:numFmt w:val="bullet"/>
      <w:start w:val="1"/>
    </w:lvl>
    <w:lvl w:ilvl="2">
      <w:lvlJc w:val="left"/>
      <w:lvlText w:val="Ø"/>
      <w:numFmt w:val="bullet"/>
      <w:start w:val="1"/>
    </w:lvl>
  </w:abstractNum>
  <w:abstractNum w:abstractNumId="36">
    <w:nsid w:val="E3E47A8"/>
    <w:multiLevelType w:val="hybridMultilevel"/>
    <w:lvl w:ilvl="0">
      <w:lvlJc w:val="left"/>
      <w:lvlText w:val="•"/>
      <w:numFmt w:val="bullet"/>
      <w:start w:val="1"/>
    </w:lvl>
  </w:abstractNum>
  <w:abstractNum w:abstractNumId="37">
    <w:nsid w:val="2E48F044"/>
    <w:multiLevelType w:val="hybridMultilevel"/>
    <w:lvl w:ilvl="0">
      <w:lvlJc w:val="left"/>
      <w:lvlText w:val="•"/>
      <w:numFmt w:val="bullet"/>
      <w:start w:val="1"/>
    </w:lvl>
  </w:abstractNum>
  <w:abstractNum w:abstractNumId="38">
    <w:nsid w:val="49D0FEAC"/>
    <w:multiLevelType w:val="hybridMultilevel"/>
    <w:lvl w:ilvl="0">
      <w:lvlJc w:val="left"/>
      <w:lvlText w:val="•"/>
      <w:numFmt w:val="bullet"/>
      <w:start w:val="1"/>
    </w:lvl>
  </w:abstractNum>
  <w:abstractNum w:abstractNumId="39">
    <w:nsid w:val="4BEE5A5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5551B9F3"/>
    <w:multiLevelType w:val="hybridMultilevel"/>
    <w:lvl w:ilvl="0">
      <w:lvlJc w:val="left"/>
      <w:lvlText w:val="(%1)"/>
      <w:numFmt w:val="decimal"/>
      <w:start w:val="1"/>
    </w:lvl>
  </w:abstractNum>
  <w:abstractNum w:abstractNumId="41">
    <w:nsid w:val="24F6AB8E"/>
    <w:multiLevelType w:val="hybridMultilevel"/>
    <w:lvl w:ilvl="0">
      <w:lvlJc w:val="left"/>
      <w:lvlText w:val="o"/>
      <w:numFmt w:val="bullet"/>
      <w:start w:val="1"/>
    </w:lvl>
  </w:abstractNum>
  <w:abstractNum w:abstractNumId="42">
    <w:nsid w:val="634C574C"/>
    <w:multiLevelType w:val="hybridMultilevel"/>
    <w:lvl w:ilvl="0">
      <w:lvlJc w:val="left"/>
      <w:lvlText w:val="•"/>
      <w:numFmt w:val="bullet"/>
      <w:start w:val="1"/>
    </w:lvl>
    <w:lvl w:ilvl="1">
      <w:lvlJc w:val="left"/>
      <w:lvlText w:val="○"/>
      <w:numFmt w:val="bullet"/>
      <w:start w:val="1"/>
    </w:lvl>
  </w:abstractNum>
  <w:abstractNum w:abstractNumId="43">
    <w:nsid w:val="24E99DD7"/>
    <w:multiLevelType w:val="hybridMultilevel"/>
    <w:lvl w:ilvl="0">
      <w:lvlJc w:val="left"/>
      <w:lvlText w:val="•"/>
      <w:numFmt w:val="bullet"/>
      <w:start w:val="1"/>
    </w:lvl>
    <w:lvl w:ilvl="1">
      <w:lvlJc w:val="left"/>
      <w:lvlText w:val="○"/>
      <w:numFmt w:val="bullet"/>
      <w:start w:val="1"/>
    </w:lvl>
  </w:abstractNum>
  <w:abstractNum w:abstractNumId="44">
    <w:nsid w:val="2A31B62D"/>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5">
    <w:nsid w:val="1849C29B"/>
    <w:multiLevelType w:val="hybridMultilevel"/>
    <w:lvl w:ilvl="0">
      <w:lvlJc w:val="left"/>
      <w:lvlText w:val="•"/>
      <w:numFmt w:val="bullet"/>
      <w:start w:val="1"/>
    </w:lvl>
    <w:lvl w:ilvl="1">
      <w:lvlJc w:val="left"/>
      <w:lvlText w:val="○"/>
      <w:numFmt w:val="bullet"/>
      <w:start w:val="1"/>
    </w:lvl>
  </w:abstractNum>
  <w:abstractNum w:abstractNumId="46">
    <w:nsid w:val="7DFF9D09"/>
    <w:multiLevelType w:val="hybridMultilevel"/>
    <w:lvl w:ilvl="0">
      <w:lvlJc w:val="left"/>
      <w:lvlText w:val="(%1)"/>
      <w:numFmt w:val="decimal"/>
      <w:start w:val="1"/>
    </w:lvl>
  </w:abstractNum>
  <w:abstractNum w:abstractNumId="47">
    <w:nsid w:val="754342"/>
    <w:multiLevelType w:val="hybridMultilevel"/>
    <w:lvl w:ilvl="0">
      <w:lvlJc w:val="left"/>
      <w:lvlText w:val="✓"/>
      <w:numFmt w:val="bullet"/>
      <w:start w:val="1"/>
    </w:lvl>
  </w:abstractNum>
  <w:abstractNum w:abstractNumId="48">
    <w:nsid w:val="69E7F3E5"/>
    <w:multiLevelType w:val="hybridMultilevel"/>
    <w:lvl w:ilvl="0">
      <w:lvlJc w:val="left"/>
      <w:lvlText w:val="✓"/>
      <w:numFmt w:val="bullet"/>
      <w:start w:val="1"/>
    </w:lvl>
  </w:abstractNum>
  <w:abstractNum w:abstractNumId="49">
    <w:nsid w:val="2A6DE806"/>
    <w:multiLevelType w:val="hybridMultilevel"/>
    <w:lvl w:ilvl="0">
      <w:lvlJc w:val="left"/>
      <w:lvlText w:val="×"/>
      <w:numFmt w:val="bullet"/>
      <w:start w:val="1"/>
    </w:lvl>
  </w:abstractNum>
  <w:abstractNum w:abstractNumId="50">
    <w:nsid w:val="1816F8C4"/>
    <w:multiLevelType w:val="hybridMultilevel"/>
    <w:lvl w:ilvl="0">
      <w:lvlJc w:val="left"/>
      <w:lvlText w:val="•"/>
      <w:numFmt w:val="bullet"/>
      <w:start w:val="1"/>
    </w:lvl>
  </w:abstractNum>
  <w:abstractNum w:abstractNumId="51">
    <w:nsid w:val="37DF2233"/>
    <w:multiLevelType w:val="hybridMultilevel"/>
    <w:lvl w:ilvl="0">
      <w:lvlJc w:val="left"/>
      <w:lvlText w:val="•"/>
      <w:numFmt w:val="bullet"/>
      <w:start w:val="1"/>
    </w:lvl>
    <w:lvl w:ilvl="1">
      <w:lvlJc w:val="left"/>
      <w:lvlText w:val="*"/>
      <w:numFmt w:val="bullet"/>
      <w:start w:val="1"/>
    </w:lvl>
  </w:abstractNum>
  <w:abstractNum w:abstractNumId="52">
    <w:nsid w:val="7AB49DAF"/>
    <w:multiLevelType w:val="hybridMultilevel"/>
    <w:lvl w:ilvl="0">
      <w:lvlJc w:val="left"/>
      <w:lvlText w:val="•"/>
      <w:numFmt w:val="bullet"/>
      <w:start w:val="1"/>
    </w:lvl>
  </w:abstractNum>
  <w:abstractNum w:abstractNumId="53">
    <w:nsid w:val="759F82CD"/>
    <w:multiLevelType w:val="hybridMultilevel"/>
    <w:lvl w:ilvl="0">
      <w:lvlJc w:val="left"/>
      <w:lvlText w:val="•"/>
      <w:numFmt w:val="bullet"/>
      <w:start w:val="1"/>
    </w:lvl>
    <w:lvl w:ilvl="1">
      <w:lvlJc w:val="left"/>
      <w:lvlText w:val="○"/>
      <w:numFmt w:val="bullet"/>
      <w:start w:val="1"/>
    </w:lvl>
  </w:abstractNum>
  <w:abstractNum w:abstractNumId="54">
    <w:nsid w:val="61E74EA3"/>
    <w:multiLevelType w:val="hybridMultilevel"/>
    <w:lvl w:ilvl="0">
      <w:lvlJc w:val="left"/>
      <w:lvlText w:val="•"/>
      <w:numFmt w:val="bullet"/>
      <w:start w:val="1"/>
    </w:lvl>
  </w:abstractNum>
  <w:abstractNum w:abstractNumId="55">
    <w:nsid w:val="597B4D84"/>
    <w:multiLevelType w:val="hybridMultilevel"/>
    <w:lvl w:ilvl="0">
      <w:lvlJc w:val="left"/>
      <w:lvlText w:val="•"/>
      <w:numFmt w:val="bullet"/>
      <w:start w:val="1"/>
    </w:lvl>
    <w:lvl w:ilvl="1">
      <w:lvlJc w:val="left"/>
      <w:lvlText w:val="○"/>
      <w:numFmt w:val="bullet"/>
      <w:start w:val="1"/>
    </w:lvl>
  </w:abstractNum>
  <w:abstractNum w:abstractNumId="56">
    <w:nsid w:val="F819E7F"/>
    <w:multiLevelType w:val="hybridMultilevel"/>
    <w:lvl w:ilvl="0">
      <w:lvlJc w:val="left"/>
      <w:lvlText w:val="•"/>
      <w:numFmt w:val="bullet"/>
      <w:start w:val="1"/>
    </w:lvl>
  </w:abstractNum>
  <w:abstractNum w:abstractNumId="57">
    <w:nsid w:val="57C7D42D"/>
    <w:multiLevelType w:val="hybridMultilevel"/>
    <w:lvl w:ilvl="0">
      <w:lvlJc w:val="left"/>
      <w:lvlText w:val="(%1)"/>
      <w:numFmt w:val="decimal"/>
      <w:start w:val="1"/>
    </w:lvl>
  </w:abstractNum>
  <w:abstractNum w:abstractNumId="58">
    <w:nsid w:val="312167AD"/>
    <w:multiLevelType w:val="hybridMultilevel"/>
    <w:lvl w:ilvl="0">
      <w:lvlJc w:val="left"/>
      <w:lvlText w:val="•"/>
      <w:numFmt w:val="bullet"/>
      <w:start w:val="1"/>
    </w:lvl>
  </w:abstractNum>
  <w:abstractNum w:abstractNumId="59">
    <w:nsid w:val="631B64D4"/>
    <w:multiLevelType w:val="hybridMultilevel"/>
    <w:lvl w:ilvl="0">
      <w:lvlJc w:val="left"/>
      <w:lvlText w:val="•"/>
      <w:numFmt w:val="bullet"/>
      <w:start w:val="1"/>
    </w:lvl>
    <w:lvl w:ilvl="1">
      <w:lvlJc w:val="left"/>
      <w:lvlText w:val="(%2)"/>
      <w:numFmt w:val="lowerRoman"/>
      <w:start w:val="5"/>
    </w:lvl>
    <w:lvl w:ilvl="2">
      <w:lvlJc w:val="left"/>
      <w:lvlText w:val="○"/>
      <w:numFmt w:val="bullet"/>
      <w:start w:val="1"/>
    </w:lvl>
  </w:abstractNum>
  <w:abstractNum w:abstractNumId="60">
    <w:nsid w:val="78B5E776"/>
    <w:multiLevelType w:val="hybridMultilevel"/>
    <w:lvl w:ilvl="0">
      <w:lvlJc w:val="left"/>
      <w:lvlText w:val="•"/>
      <w:numFmt w:val="bullet"/>
      <w:start w:val="1"/>
    </w:lvl>
  </w:abstractNum>
  <w:abstractNum w:abstractNumId="61">
    <w:nsid w:val="75486E47"/>
    <w:multiLevelType w:val="hybridMultilevel"/>
    <w:lvl w:ilvl="0">
      <w:lvlJc w:val="left"/>
      <w:lvlText w:val="•"/>
      <w:numFmt w:val="bullet"/>
      <w:start w:val="1"/>
    </w:lvl>
  </w:abstractNum>
  <w:abstractNum w:abstractNumId="62">
    <w:nsid w:val="6E534CDE"/>
    <w:multiLevelType w:val="hybridMultilevel"/>
    <w:lvl w:ilvl="0">
      <w:lvlJc w:val="left"/>
      <w:lvlText w:val="•"/>
      <w:numFmt w:val="bullet"/>
      <w:start w:val="1"/>
    </w:lvl>
  </w:abstractNum>
  <w:abstractNum w:abstractNumId="63">
    <w:nsid w:val="1A0DDE32"/>
    <w:multiLevelType w:val="hybridMultilevel"/>
    <w:lvl w:ilvl="0">
      <w:lvlJc w:val="left"/>
      <w:lvlText w:val="•"/>
      <w:numFmt w:val="bullet"/>
      <w:start w:val="1"/>
    </w:lvl>
  </w:abstractNum>
  <w:abstractNum w:abstractNumId="64">
    <w:nsid w:val="65968C1C"/>
    <w:multiLevelType w:val="hybridMultilevel"/>
    <w:lvl w:ilvl="0">
      <w:lvlJc w:val="left"/>
      <w:lvlText w:val="(%1)"/>
      <w:numFmt w:val="decimal"/>
      <w:start w:val="1"/>
    </w:lvl>
  </w:abstractNum>
  <w:abstractNum w:abstractNumId="65">
    <w:nsid w:val="46263DEC"/>
    <w:multiLevelType w:val="hybridMultilevel"/>
    <w:lvl w:ilvl="0">
      <w:lvlJc w:val="left"/>
      <w:lvlText w:val="•"/>
      <w:numFmt w:val="bullet"/>
      <w:start w:val="1"/>
    </w:lvl>
  </w:abstractNum>
  <w:abstractNum w:abstractNumId="66">
    <w:nsid w:val="260D8C4A"/>
    <w:multiLevelType w:val="hybridMultilevel"/>
    <w:lvl w:ilvl="0">
      <w:lvlJc w:val="left"/>
      <w:lvlText w:val="•"/>
      <w:numFmt w:val="bullet"/>
      <w:start w:val="1"/>
    </w:lvl>
  </w:abstractNum>
  <w:abstractNum w:abstractNumId="67">
    <w:nsid w:val="73D4D3C4"/>
    <w:multiLevelType w:val="hybridMultilevel"/>
    <w:lvl w:ilvl="0">
      <w:lvlJc w:val="left"/>
      <w:lvlText w:val="(%1)"/>
      <w:numFmt w:val="decimal"/>
      <w:start w:val="1"/>
    </w:lvl>
  </w:abstractNum>
  <w:abstractNum w:abstractNumId="68">
    <w:nsid w:val="746F2E30"/>
    <w:multiLevelType w:val="hybridMultilevel"/>
    <w:lvl w:ilvl="0">
      <w:lvlJc w:val="left"/>
      <w:lvlText w:val="(%1)"/>
      <w:numFmt w:val="decimal"/>
      <w:start w:val="3"/>
    </w:lvl>
  </w:abstractNum>
  <w:abstractNum w:abstractNumId="69">
    <w:nsid w:val="6FDE8AF6"/>
    <w:multiLevelType w:val="hybridMultilevel"/>
    <w:lvl w:ilvl="0">
      <w:lvlJc w:val="left"/>
      <w:lvlText w:val="(%1)"/>
      <w:numFmt w:val="decimal"/>
      <w:start w:val="6"/>
    </w:lvl>
  </w:abstractNum>
  <w:abstractNum w:abstractNumId="70">
    <w:nsid w:val="3FC32E20"/>
    <w:multiLevelType w:val="hybridMultilevel"/>
    <w:lvl w:ilvl="0">
      <w:lvlJc w:val="left"/>
      <w:lvlText w:val="(%1)"/>
      <w:numFmt w:val="decimal"/>
      <w:start w:val="1"/>
    </w:lvl>
  </w:abstractNum>
  <w:abstractNum w:abstractNumId="71">
    <w:nsid w:val="49C0E823"/>
    <w:multiLevelType w:val="hybridMultilevel"/>
    <w:lvl w:ilvl="0">
      <w:lvlJc w:val="left"/>
      <w:lvlText w:val="(%1)"/>
      <w:numFmt w:val="decimal"/>
      <w:start w:val="1"/>
    </w:lvl>
    <w:lvl w:ilvl="1">
      <w:lvlJc w:val="left"/>
      <w:lvlText w:val="\endash "/>
      <w:numFmt w:val="bullet"/>
      <w:start w:val="1"/>
    </w:lvl>
  </w:abstractNum>
  <w:abstractNum w:abstractNumId="72">
    <w:nsid w:val="14D53685"/>
    <w:multiLevelType w:val="hybridMultilevel"/>
    <w:lvl w:ilvl="0">
      <w:lvlJc w:val="left"/>
      <w:lvlText w:val="(%1)"/>
      <w:numFmt w:val="decimal"/>
      <w:start w:val="1"/>
    </w:lvl>
  </w:abstractNum>
  <w:abstractNum w:abstractNumId="73">
    <w:nsid w:val="230F856C"/>
    <w:multiLevelType w:val="hybridMultilevel"/>
    <w:lvl w:ilvl="0">
      <w:lvlJc w:val="left"/>
      <w:lvlText w:val="(%1)"/>
      <w:numFmt w:val="decimal"/>
      <w:start w:val="2"/>
    </w:lvl>
  </w:abstractNum>
  <w:abstractNum w:abstractNumId="74">
    <w:nsid w:val="6EAA85FB"/>
    <w:multiLevelType w:val="hybridMultilevel"/>
    <w:lvl w:ilvl="0">
      <w:lvlJc w:val="left"/>
      <w:lvlText w:val="(%1)"/>
      <w:numFmt w:val="decimal"/>
      <w:start w:val="1"/>
    </w:lvl>
  </w:abstractNum>
  <w:abstractNum w:abstractNumId="75">
    <w:nsid w:val="3F06ECB2"/>
    <w:multiLevelType w:val="hybridMultilevel"/>
    <w:lvl w:ilvl="0">
      <w:lvlJc w:val="left"/>
      <w:lvlText w:val="(%1)"/>
      <w:numFmt w:val="decimal"/>
      <w:start w:val="1"/>
    </w:lvl>
  </w:abstractNum>
  <w:abstractNum w:abstractNumId="76">
    <w:nsid w:val="3B594807"/>
    <w:multiLevelType w:val="hybridMultilevel"/>
    <w:lvl w:ilvl="0">
      <w:lvlJc w:val="left"/>
      <w:lvlText w:val="(%1)"/>
      <w:numFmt w:val="decimal"/>
      <w:start w:val="2"/>
    </w:lvl>
  </w:abstractNum>
  <w:abstractNum w:abstractNumId="77">
    <w:nsid w:val="6CAA2304"/>
    <w:multiLevelType w:val="hybridMultilevel"/>
    <w:lvl w:ilvl="0">
      <w:lvlJc w:val="left"/>
      <w:lvlText w:val="(%1)"/>
      <w:numFmt w:val="lowerLetter"/>
      <w:start w:val="4"/>
    </w:lvl>
  </w:abstractNum>
  <w:abstractNum w:abstractNumId="78">
    <w:nsid w:val="3F7C2FF4"/>
    <w:multiLevelType w:val="hybridMultilevel"/>
    <w:lvl w:ilvl="0">
      <w:lvlJc w:val="left"/>
      <w:lvlText w:val="(%1)"/>
      <w:numFmt w:val="decimal"/>
      <w:start w:val="1"/>
    </w:lvl>
  </w:abstractNum>
  <w:abstractNum w:abstractNumId="79">
    <w:nsid w:val="25413BEC"/>
    <w:multiLevelType w:val="hybridMultilevel"/>
    <w:lvl w:ilvl="0">
      <w:lvlJc w:val="left"/>
      <w:lvlText w:val="(%1)"/>
      <w:numFmt w:val="decimal"/>
      <w:start w:val="2"/>
    </w:lvl>
  </w:abstractNum>
  <w:abstractNum w:abstractNumId="80">
    <w:nsid w:val="17180B0B"/>
    <w:multiLevelType w:val="hybridMultilevel"/>
    <w:lvl w:ilvl="0">
      <w:lvlJc w:val="left"/>
      <w:lvlText w:val="(%1)"/>
      <w:numFmt w:val="decimal"/>
      <w:start w:val="7"/>
    </w:lvl>
  </w:abstractNum>
  <w:abstractNum w:abstractNumId="81">
    <w:nsid w:val="579328B9"/>
    <w:multiLevelType w:val="hybridMultilevel"/>
    <w:lvl w:ilvl="0">
      <w:lvlJc w:val="left"/>
      <w:lvlText w:val="(%1)"/>
      <w:numFmt w:val="decimal"/>
      <w:start w:val="8"/>
    </w:lvl>
  </w:abstractNum>
  <w:abstractNum w:abstractNumId="82">
    <w:nsid w:val="5D205E20"/>
    <w:multiLevelType w:val="hybridMultilevel"/>
    <w:lvl w:ilvl="0">
      <w:lvlJc w:val="left"/>
      <w:lvlText w:val="(%1)"/>
      <w:numFmt w:val="decimal"/>
      <w:start w:val="1"/>
    </w:lvl>
  </w:abstractNum>
  <w:abstractNum w:abstractNumId="83">
    <w:nsid w:val="11CCA8BA"/>
    <w:multiLevelType w:val="hybridMultilevel"/>
    <w:lvl w:ilvl="0">
      <w:lvlJc w:val="left"/>
      <w:lvlText w:val="*"/>
      <w:numFmt w:val="bullet"/>
      <w:start w:val="1"/>
    </w:lvl>
  </w:abstractNum>
  <w:abstractNum w:abstractNumId="84">
    <w:nsid w:val="4D32AB86"/>
    <w:multiLevelType w:val="hybridMultilevel"/>
    <w:lvl w:ilvl="0">
      <w:lvlJc w:val="left"/>
      <w:lvlText w:val="(%1)"/>
      <w:numFmt w:val="decimal"/>
      <w:start w:val="1"/>
    </w:lvl>
  </w:abstractNum>
  <w:abstractNum w:abstractNumId="85">
    <w:nsid w:val="3F07ACC3"/>
    <w:multiLevelType w:val="hybridMultilevel"/>
    <w:lvl w:ilvl="0">
      <w:lvlJc w:val="left"/>
      <w:lvlText w:val="(%1)"/>
      <w:numFmt w:val="decimal"/>
      <w:start w:val="2"/>
    </w:lvl>
  </w:abstractNum>
  <w:abstractNum w:abstractNumId="86">
    <w:nsid w:val="6B47F63E"/>
    <w:multiLevelType w:val="hybridMultilevel"/>
    <w:lvl w:ilvl="0">
      <w:lvlJc w:val="left"/>
      <w:lvlText w:val="(%1)"/>
      <w:numFmt w:val="decimal"/>
      <w:start w:val="3"/>
    </w:lvl>
  </w:abstractNum>
  <w:abstractNum w:abstractNumId="87">
    <w:nsid w:val="5CB44A05"/>
    <w:multiLevelType w:val="hybridMultilevel"/>
    <w:lvl w:ilvl="0">
      <w:lvlJc w:val="left"/>
      <w:lvlText w:val="•"/>
      <w:numFmt w:val="bullet"/>
      <w:start w:val="1"/>
    </w:lvl>
  </w:abstractNum>
  <w:abstractNum w:abstractNumId="88">
    <w:nsid w:val="16CF80F1"/>
    <w:multiLevelType w:val="hybridMultilevel"/>
    <w:lvl w:ilvl="0">
      <w:lvlJc w:val="left"/>
      <w:lvlText w:val="•"/>
      <w:numFmt w:val="bullet"/>
      <w:start w:val="1"/>
    </w:lvl>
  </w:abstractNum>
  <w:abstractNum w:abstractNumId="89">
    <w:nsid w:val="1C695DEC"/>
    <w:multiLevelType w:val="hybridMultilevel"/>
    <w:lvl w:ilvl="0">
      <w:lvlJc w:val="left"/>
      <w:lvlText w:val="%1."/>
      <w:numFmt w:val="decimal"/>
      <w:start w:val="1"/>
    </w:lvl>
    <w:lvl w:ilvl="1">
      <w:lvlJc w:val="left"/>
      <w:lvlText w:val="(%2)"/>
      <w:numFmt w:val="lowerLetter"/>
      <w:start w:val="1"/>
    </w:lvl>
  </w:abstractNum>
  <w:abstractNum w:abstractNumId="90">
    <w:nsid w:val="3FCFAED9"/>
    <w:multiLevelType w:val="hybridMultilevel"/>
    <w:lvl w:ilvl="0">
      <w:lvlJc w:val="left"/>
      <w:lvlText w:val="(%1)"/>
      <w:numFmt w:val="lowerRoman"/>
      <w:start w:val="1"/>
    </w:lvl>
  </w:abstractNum>
  <w:abstractNum w:abstractNumId="91">
    <w:nsid w:val="F856867"/>
    <w:multiLevelType w:val="hybridMultilevel"/>
    <w:lvl w:ilvl="0">
      <w:lvlJc w:val="left"/>
      <w:lvlText w:val="(%1)"/>
      <w:numFmt w:val="lowerRoman"/>
      <w:start w:val="2"/>
    </w:lvl>
    <w:lvl w:ilvl="1">
      <w:lvlJc w:val="left"/>
      <w:lvlText w:val="(%2)"/>
      <w:numFmt w:val="lowerLetter"/>
      <w:start w:val="7"/>
    </w:lvl>
  </w:abstractNum>
  <w:abstractNum w:abstractNumId="92">
    <w:nsid w:val="11B1CC33"/>
    <w:multiLevelType w:val="hybridMultilevel"/>
    <w:lvl w:ilvl="0">
      <w:lvlJc w:val="left"/>
      <w:lvlText w:val="(%1)"/>
      <w:numFmt w:val="lowerRoman"/>
      <w:start w:val="1"/>
    </w:lvl>
    <w:lvl w:ilvl="1">
      <w:lvlJc w:val="left"/>
      <w:lvlText w:val="(%2)"/>
      <w:numFmt w:val="lowerLetter"/>
      <w:start w:val="10"/>
    </w:lvl>
  </w:abstractNum>
  <w:abstractNum w:abstractNumId="93">
    <w:nsid w:val="2E22FBB7"/>
    <w:multiLevelType w:val="hybridMultilevel"/>
    <w:lvl w:ilvl="0">
      <w:lvlJc w:val="left"/>
      <w:lvlText w:val="(%1)"/>
      <w:numFmt w:val="lowerRoman"/>
      <w:start w:val="1"/>
    </w:lvl>
  </w:abstractNum>
  <w:abstractNum w:abstractNumId="94">
    <w:nsid w:val="29934699"/>
    <w:multiLevelType w:val="hybridMultilevel"/>
    <w:lvl w:ilvl="0">
      <w:lvlJc w:val="left"/>
      <w:lvlText w:val="(%1)"/>
      <w:numFmt w:val="upperLetter"/>
      <w:start w:val="1"/>
    </w:lvl>
  </w:abstractNum>
  <w:abstractNum w:abstractNumId="95">
    <w:nsid w:val="7748585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96">
    <w:nsid w:val="744939A3"/>
    <w:multiLevelType w:val="hybridMultilevel"/>
    <w:lvl w:ilvl="0">
      <w:lvlJc w:val="left"/>
      <w:lvlText w:val="%1"/>
      <w:numFmt w:val="lowerRoman"/>
      <w:start w:val="1"/>
    </w:lvl>
    <w:lvl w:ilvl="1">
      <w:lvlJc w:val="left"/>
      <w:lvlText w:val="(%2)"/>
      <w:numFmt w:val="lowerLetter"/>
      <w:start w:val="15"/>
    </w:lvl>
    <w:lvl w:ilvl="2">
      <w:lvlJc w:val="left"/>
      <w:lvlText w:val="%3"/>
      <w:numFmt w:val="upperLetter"/>
      <w:start w:val="1"/>
    </w:lvl>
  </w:abstractNum>
  <w:abstractNum w:abstractNumId="97">
    <w:nsid w:val="4FA0D2E3"/>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98">
    <w:nsid w:val="6B1D2C14"/>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99">
    <w:nsid w:val="68B867D3"/>
    <w:multiLevelType w:val="hybridMultilevel"/>
    <w:lvl w:ilvl="0">
      <w:lvlJc w:val="left"/>
      <w:lvlText w:val="%1"/>
      <w:numFmt w:val="lowerRoman"/>
      <w:start w:val="1"/>
    </w:lvl>
    <w:lvl w:ilvl="1">
      <w:lvlJc w:val="left"/>
      <w:lvlText w:val="(%2)"/>
      <w:numFmt w:val="lowerLetter"/>
      <w:start w:val="16"/>
    </w:lvl>
    <w:lvl w:ilvl="2">
      <w:lvlJc w:val="left"/>
      <w:lvlText w:val="%3"/>
      <w:numFmt w:val="upperLetter"/>
      <w:start w:val="1"/>
    </w:lvl>
  </w:abstractNum>
  <w:abstractNum w:abstractNumId="100">
    <w:nsid w:val="3F7F5DD9"/>
    <w:multiLevelType w:val="hybridMultilevel"/>
    <w:lvl w:ilvl="0">
      <w:lvlJc w:val="left"/>
      <w:lvlText w:val="(%1)"/>
      <w:numFmt w:val="lowerRoman"/>
      <w:start w:val="1"/>
    </w:lvl>
    <w:lvl w:ilvl="1">
      <w:lvlJc w:val="left"/>
      <w:lvlText w:val="(%2)"/>
      <w:numFmt w:val="lowerLetter"/>
      <w:start w:val="20"/>
    </w:lvl>
  </w:abstractNum>
  <w:abstractNum w:abstractNumId="101">
    <w:nsid w:val="2AE05A34"/>
    <w:multiLevelType w:val="hybridMultilevel"/>
    <w:lvl w:ilvl="0">
      <w:lvlJc w:val="left"/>
      <w:lvlText w:val="(%1)"/>
      <w:numFmt w:val="lowerRoman"/>
      <w:start w:val="1"/>
    </w:lvl>
  </w:abstractNum>
  <w:abstractNum w:abstractNumId="102">
    <w:nsid w:val="32794FF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3">
    <w:nsid w:val="5454945E"/>
    <w:multiLevelType w:val="hybridMultilevel"/>
    <w:lvl w:ilvl="0">
      <w:lvlJc w:val="left"/>
      <w:lvlText w:val="(%1)"/>
      <w:numFmt w:val="lowerLetter"/>
      <w:start w:val="24"/>
    </w:lvl>
  </w:abstractNum>
  <w:abstractNum w:abstractNumId="104">
    <w:nsid w:val="4DEFDFA0"/>
    <w:multiLevelType w:val="hybridMultilevel"/>
    <w:lvl w:ilvl="0">
      <w:lvlJc w:val="left"/>
      <w:lvlText w:val="%1"/>
      <w:numFmt w:val="lowerRoman"/>
      <w:start w:val="1"/>
    </w:lvl>
    <w:lvl w:ilvl="1">
      <w:lvlJc w:val="left"/>
      <w:lvlText w:val="(%2)"/>
      <w:numFmt w:val="lowerLetter"/>
      <w:start w:val="27"/>
    </w:lvl>
  </w:abstractNum>
  <w:abstractNum w:abstractNumId="105">
    <w:nsid w:val="2123D5F2"/>
    <w:multiLevelType w:val="hybridMultilevel"/>
    <w:lvl w:ilvl="0">
      <w:lvlJc w:val="left"/>
      <w:lvlText w:val="%1"/>
      <w:numFmt w:val="lowerRoman"/>
      <w:start w:val="1"/>
    </w:lvl>
    <w:lvl w:ilvl="1">
      <w:lvlJc w:val="left"/>
      <w:lvlText w:val="(%2)"/>
      <w:numFmt w:val="lowerLetter"/>
      <w:start w:val="9"/>
    </w:lvl>
  </w:abstractNum>
  <w:abstractNum w:abstractNumId="106">
    <w:nsid w:val="135B8110"/>
    <w:multiLevelType w:val="hybridMultilevel"/>
    <w:lvl w:ilvl="0">
      <w:lvlJc w:val="left"/>
      <w:lvlText w:val="%1"/>
      <w:numFmt w:val="lowerRoman"/>
      <w:start w:val="1"/>
    </w:lvl>
    <w:lvl w:ilvl="1">
      <w:lvlJc w:val="left"/>
      <w:lvlText w:val="(%2)"/>
      <w:numFmt w:val="lowerLetter"/>
      <w:start w:val="35"/>
    </w:lvl>
  </w:abstractNum>
  <w:abstractNum w:abstractNumId="107">
    <w:nsid w:val="94927A8"/>
    <w:multiLevelType w:val="hybridMultilevel"/>
    <w:lvl w:ilvl="0">
      <w:lvlJc w:val="left"/>
      <w:lvlText w:val="%1"/>
      <w:numFmt w:val="lowerRoman"/>
      <w:start w:val="1"/>
    </w:lvl>
    <w:lvl w:ilvl="1">
      <w:lvlJc w:val="left"/>
      <w:lvlText w:val="(%2)"/>
      <w:numFmt w:val="lowerLetter"/>
      <w:start w:val="28"/>
    </w:lvl>
  </w:abstractNum>
  <w:abstractNum w:abstractNumId="108">
    <w:nsid w:val="DCDF8F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0"/>
    </w:lvl>
  </w:abstractNum>
  <w:abstractNum w:abstractNumId="109">
    <w:nsid w:val="52D7B105"/>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110">
    <w:nsid w:val="2E8A639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11">
    <w:nsid w:val="24E6040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12">
    <w:nsid w:val="2A6AD9B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13">
    <w:nsid w:val="BAAC1B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14">
    <w:nsid w:val="36B2ACBC"/>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115">
    <w:nsid w:val="779D854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16">
    <w:nsid w:val="4AB26E78"/>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117">
    <w:nsid w:val="21FAA2F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18">
    <w:nsid w:val="5451CF4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19">
    <w:nsid w:val="6181EF6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20">
    <w:nsid w:val="3E6400E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21">
    <w:nsid w:val="14217E23"/>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22">
    <w:nsid w:val="710757D0"/>
    <w:multiLevelType w:val="hybridMultilevel"/>
    <w:lvl w:ilvl="0">
      <w:lvlJc w:val="left"/>
      <w:lvlText w:val="%1"/>
      <w:numFmt w:val="decimal"/>
      <w:start w:val="1"/>
    </w:lvl>
    <w:lvl w:ilvl="1">
      <w:lvlJc w:val="left"/>
      <w:lvlText w:val="(%2)"/>
      <w:numFmt w:val="lowerLetter"/>
      <w:start w:val="2"/>
    </w:lvl>
  </w:abstractNum>
  <w:abstractNum w:abstractNumId="123">
    <w:nsid w:val="5015CD1A"/>
    <w:multiLevelType w:val="hybridMultilevel"/>
    <w:lvl w:ilvl="0">
      <w:lvlJc w:val="left"/>
      <w:lvlText w:val="%1."/>
      <w:numFmt w:val="decimal"/>
      <w:start w:val="7"/>
    </w:lvl>
    <w:lvl w:ilvl="1">
      <w:lvlJc w:val="left"/>
      <w:lvlText w:val="%2"/>
      <w:numFmt w:val="lowerLetter"/>
      <w:start w:val="1"/>
    </w:lvl>
  </w:abstractNum>
  <w:abstractNum w:abstractNumId="124">
    <w:nsid w:val="424479DA"/>
    <w:multiLevelType w:val="hybridMultilevel"/>
    <w:lvl w:ilvl="0">
      <w:lvlJc w:val="left"/>
      <w:lvlText w:val="%1"/>
      <w:numFmt w:val="lowerRoman"/>
      <w:start w:val="1"/>
    </w:lvl>
    <w:lvl w:ilvl="1">
      <w:lvlJc w:val="left"/>
      <w:lvlText w:val="(%2)"/>
      <w:numFmt w:val="lowerLetter"/>
      <w:start w:val="1"/>
    </w:lvl>
  </w:abstractNum>
  <w:abstractNum w:abstractNumId="125">
    <w:nsid w:val="1A9A9E69"/>
    <w:multiLevelType w:val="hybridMultilevel"/>
    <w:lvl w:ilvl="0">
      <w:lvlJc w:val="left"/>
      <w:lvlText w:val="%1"/>
      <w:numFmt w:val="lowerRoman"/>
      <w:start w:val="1"/>
    </w:lvl>
    <w:lvl w:ilvl="1">
      <w:lvlJc w:val="left"/>
      <w:lvlText w:val="(%2)"/>
      <w:numFmt w:val="lowerLetter"/>
      <w:start w:val="9"/>
    </w:lvl>
  </w:abstractNum>
  <w:abstractNum w:abstractNumId="126">
    <w:nsid w:val="475E256A"/>
    <w:multiLevelType w:val="hybridMultilevel"/>
    <w:lvl w:ilvl="0">
      <w:lvlJc w:val="left"/>
      <w:lvlText w:val="%1"/>
      <w:numFmt w:val="lowerRoman"/>
      <w:start w:val="1"/>
    </w:lvl>
    <w:lvl w:ilvl="1">
      <w:lvlJc w:val="left"/>
      <w:lvlText w:val="(%2)"/>
      <w:numFmt w:val="lowerLetter"/>
      <w:start w:val="35"/>
    </w:lvl>
  </w:abstractNum>
  <w:abstractNum w:abstractNumId="127">
    <w:nsid w:val="368DB37E"/>
    <w:multiLevelType w:val="hybridMultilevel"/>
    <w:lvl w:ilvl="0">
      <w:lvlJc w:val="left"/>
      <w:lvlText w:val="%1"/>
      <w:numFmt w:val="lowerRoman"/>
      <w:start w:val="1"/>
    </w:lvl>
    <w:lvl w:ilvl="1">
      <w:lvlJc w:val="left"/>
      <w:lvlText w:val="(%2)"/>
      <w:numFmt w:val="lowerLetter"/>
      <w:start w:val="61"/>
    </w:lvl>
  </w:abstractNum>
  <w:abstractNum w:abstractNumId="128">
    <w:nsid w:val="6A3B714C"/>
    <w:multiLevelType w:val="hybridMultilevel"/>
    <w:lvl w:ilvl="0">
      <w:lvlJc w:val="left"/>
      <w:lvlText w:val="(%1)"/>
      <w:numFmt w:val="lowerRoman"/>
      <w:start w:val="4"/>
    </w:lvl>
  </w:abstractNum>
  <w:abstractNum w:abstractNumId="129">
    <w:nsid w:val="327B517E"/>
    <w:multiLevelType w:val="hybridMultilevel"/>
    <w:lvl w:ilvl="0">
      <w:lvlJc w:val="left"/>
      <w:lvlText w:val="(%1)"/>
      <w:numFmt w:val="lowerLetter"/>
      <w:start w:val="5"/>
    </w:lvl>
  </w:abstractNum>
  <w:abstractNum w:abstractNumId="130">
    <w:nsid w:val="1F461B51"/>
    <w:multiLevelType w:val="hybridMultilevel"/>
    <w:lvl w:ilvl="0">
      <w:lvlJc w:val="left"/>
      <w:lvlText w:val="(%1)"/>
      <w:numFmt w:val="lowerRoman"/>
      <w:start w:val="1"/>
    </w:lvl>
  </w:abstractNum>
  <w:abstractNum w:abstractNumId="131">
    <w:nsid w:val="29BACF25"/>
    <w:multiLevelType w:val="hybridMultilevel"/>
    <w:lvl w:ilvl="0">
      <w:lvlJc w:val="left"/>
      <w:lvlText w:val="(%1)"/>
      <w:numFmt w:val="lowerRoman"/>
      <w:start w:val="2"/>
    </w:lvl>
    <w:lvl w:ilvl="1">
      <w:lvlJc w:val="left"/>
      <w:lvlText w:val="(%2)"/>
      <w:numFmt w:val="lowerLetter"/>
      <w:start w:val="8"/>
    </w:lvl>
  </w:abstractNum>
  <w:abstractNum w:abstractNumId="132">
    <w:nsid w:val="5D5BABB3"/>
    <w:multiLevelType w:val="hybridMultilevel"/>
    <w:lvl w:ilvl="0">
      <w:lvlJc w:val="left"/>
      <w:lvlText w:val="(%1)"/>
      <w:numFmt w:val="lowerRoman"/>
      <w:start w:val="2"/>
    </w:lvl>
    <w:lvl w:ilvl="1">
      <w:lvlJc w:val="left"/>
      <w:lvlText w:val="(%2)"/>
      <w:numFmt w:val="upperLetter"/>
      <w:start w:val="1"/>
    </w:lvl>
  </w:abstractNum>
  <w:abstractNum w:abstractNumId="133">
    <w:nsid w:val="51BF6B48"/>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34">
    <w:nsid w:val="7E0F638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35">
    <w:nsid w:val="2B4B8B53"/>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136">
    <w:nsid w:val="72E3413A"/>
    <w:multiLevelType w:val="hybridMultilevel"/>
    <w:lvl w:ilvl="0">
      <w:lvlJc w:val="left"/>
      <w:lvlText w:val="%1."/>
      <w:numFmt w:val="decimal"/>
      <w:start w:val="9"/>
    </w:lvl>
  </w:abstractNum>
  <w:abstractNum w:abstractNumId="137">
    <w:nsid w:val="116AE494"/>
    <w:multiLevelType w:val="hybridMultilevel"/>
    <w:lvl w:ilvl="0">
      <w:lvlJc w:val="left"/>
      <w:lvlText w:val="%1."/>
      <w:numFmt w:val="decimal"/>
      <w:start w:val="10"/>
    </w:lvl>
  </w:abstractNum>
  <w:abstractNum w:abstractNumId="138">
    <w:nsid w:val="3494B2FB"/>
    <w:multiLevelType w:val="hybridMultilevel"/>
    <w:lvl w:ilvl="0">
      <w:lvlJc w:val="left"/>
      <w:lvlText w:val="%1."/>
      <w:numFmt w:val="decimal"/>
      <w:start w:val="11"/>
    </w:lvl>
    <w:lvl w:ilvl="1">
      <w:lvlJc w:val="left"/>
      <w:lvlText w:val="(%2)"/>
      <w:numFmt w:val="lowerLetter"/>
      <w:start w:val="1"/>
    </w:lvl>
  </w:abstractNum>
  <w:abstractNum w:abstractNumId="139">
    <w:nsid w:val="B13A31"/>
    <w:multiLevelType w:val="hybridMultilevel"/>
    <w:lvl w:ilvl="0">
      <w:lvlJc w:val="left"/>
      <w:lvlText w:val="%1"/>
      <w:numFmt w:val="decimal"/>
      <w:start w:val="1"/>
    </w:lvl>
    <w:lvl w:ilvl="1">
      <w:lvlJc w:val="left"/>
      <w:lvlText w:val="(%2)"/>
      <w:numFmt w:val="lowerLetter"/>
      <w:start w:val="2"/>
    </w:lvl>
  </w:abstractNum>
  <w:abstractNum w:abstractNumId="140">
    <w:nsid w:val="64429599"/>
    <w:multiLevelType w:val="hybridMultilevel"/>
    <w:lvl w:ilvl="0">
      <w:lvlJc w:val="left"/>
      <w:lvlText w:val="%1."/>
      <w:numFmt w:val="decimal"/>
      <w:start w:val="12"/>
    </w:lvl>
    <w:lvl w:ilvl="1">
      <w:lvlJc w:val="left"/>
      <w:lvlText w:val="%2"/>
      <w:numFmt w:val="lowerLetter"/>
      <w:start w:val="1"/>
    </w:lvl>
  </w:abstractNum>
  <w:abstractNum w:abstractNumId="141">
    <w:nsid w:val="631F1690"/>
    <w:multiLevelType w:val="hybridMultilevel"/>
    <w:lvl w:ilvl="0">
      <w:lvlJc w:val="left"/>
      <w:lvlText w:val="%1."/>
      <w:numFmt w:val="decimal"/>
      <w:start w:val="13"/>
    </w:lvl>
    <w:lvl w:ilvl="1">
      <w:lvlJc w:val="left"/>
      <w:lvlText w:val="(%2)"/>
      <w:numFmt w:val="lowerLetter"/>
      <w:start w:val="1"/>
    </w:lvl>
  </w:abstractNum>
  <w:abstractNum w:abstractNumId="142">
    <w:nsid w:val="25973E32"/>
    <w:multiLevelType w:val="hybridMultilevel"/>
    <w:lvl w:ilvl="0">
      <w:lvlJc w:val="left"/>
      <w:lvlText w:val="(%1)"/>
      <w:numFmt w:val="lowerRoman"/>
      <w:start w:val="1"/>
    </w:lvl>
  </w:abstractNum>
  <w:abstractNum w:abstractNumId="143">
    <w:nsid w:val="EAD6F57"/>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3"/>
    </w:lvl>
  </w:abstractNum>
  <w:abstractNum w:abstractNumId="144">
    <w:nsid w:val="6EC9D844"/>
    <w:multiLevelType w:val="hybridMultilevel"/>
    <w:lvl w:ilvl="0">
      <w:lvlJc w:val="left"/>
      <w:lvlText w:val="%1."/>
      <w:numFmt w:val="decimal"/>
      <w:start w:val="15"/>
    </w:lvl>
    <w:lvl w:ilvl="1">
      <w:lvlJc w:val="left"/>
      <w:lvlText w:val="%2"/>
      <w:numFmt w:val="lowerRoman"/>
      <w:start w:val="1"/>
    </w:lvl>
    <w:lvl w:ilvl="2">
      <w:lvlJc w:val="left"/>
      <w:lvlText w:val="(%3)"/>
      <w:numFmt w:val="lowerLetter"/>
      <w:start w:val="1"/>
    </w:lvl>
  </w:abstractNum>
  <w:abstractNum w:abstractNumId="145">
    <w:nsid w:val="5C49EAE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46">
    <w:nsid w:val="64AF4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47">
    <w:nsid w:val="397C46B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48">
    <w:nsid w:val="7E448DE9"/>
    <w:multiLevelType w:val="hybridMultilevel"/>
    <w:lvl w:ilvl="0">
      <w:lvlJc w:val="left"/>
      <w:lvlText w:val="%1"/>
      <w:numFmt w:val="decimal"/>
      <w:start w:val="1"/>
    </w:lvl>
    <w:lvl w:ilvl="1">
      <w:lvlJc w:val="left"/>
      <w:lvlText w:val="(%2)"/>
      <w:numFmt w:val="lowerLetter"/>
      <w:start w:val="3"/>
    </w:lvl>
  </w:abstractNum>
  <w:abstractNum w:abstractNumId="149">
    <w:nsid w:val="5A9CC3E5"/>
    <w:multiLevelType w:val="hybridMultilevel"/>
    <w:lvl w:ilvl="0">
      <w:lvlJc w:val="left"/>
      <w:lvlText w:val="%1."/>
      <w:numFmt w:val="decimal"/>
      <w:start w:val="16"/>
    </w:lvl>
    <w:lvl w:ilvl="1">
      <w:lvlJc w:val="left"/>
      <w:lvlText w:val="%2"/>
      <w:numFmt w:val="lowerLetter"/>
      <w:start w:val="1"/>
    </w:lvl>
  </w:abstractNum>
  <w:abstractNum w:abstractNumId="150">
    <w:nsid w:val="1AFE3625"/>
    <w:multiLevelType w:val="hybridMultilevel"/>
    <w:lvl w:ilvl="0">
      <w:lvlJc w:val="left"/>
      <w:lvlText w:val="%1."/>
      <w:numFmt w:val="decimal"/>
      <w:start w:val="17"/>
    </w:lvl>
  </w:abstractNum>
  <w:abstractNum w:abstractNumId="151">
    <w:nsid w:val="3CA88ECF"/>
    <w:multiLevelType w:val="hybridMultilevel"/>
    <w:lvl w:ilvl="0">
      <w:lvlJc w:val="left"/>
      <w:lvlText w:val="%1."/>
      <w:numFmt w:val="decimal"/>
      <w:start w:val="1"/>
    </w:lvl>
    <w:lvl w:ilvl="1">
      <w:lvlJc w:val="left"/>
      <w:lvlText w:val="(%2)"/>
      <w:numFmt w:val="lowerLetter"/>
      <w:start w:val="1"/>
    </w:lvl>
  </w:abstractNum>
  <w:abstractNum w:abstractNumId="152">
    <w:nsid w:val="6EBE4208"/>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153">
    <w:nsid w:val="C058DF5"/>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154">
    <w:nsid w:val="CBE5BE9"/>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155">
    <w:nsid w:val="3102BBE2"/>
    <w:multiLevelType w:val="hybridMultilevel"/>
    <w:lvl w:ilvl="0">
      <w:lvlJc w:val="left"/>
      <w:lvlText w:val="%1"/>
      <w:numFmt w:val="lowerRoman"/>
      <w:start w:val="1"/>
    </w:lvl>
    <w:lvl w:ilvl="1">
      <w:lvlJc w:val="left"/>
      <w:lvlText w:val="(%2)"/>
      <w:numFmt w:val="lowerLetter"/>
      <w:start w:val="7"/>
    </w:lvl>
    <w:lvl w:ilvl="2">
      <w:lvlJc w:val="left"/>
      <w:lvlText w:val="%3"/>
      <w:numFmt w:val="upperLetter"/>
      <w:start w:val="1"/>
    </w:lvl>
  </w:abstractNum>
  <w:abstractNum w:abstractNumId="156">
    <w:nsid w:val="26A02C5E"/>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157">
    <w:nsid w:val="541C8153"/>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158">
    <w:nsid w:val="67906F60"/>
    <w:multiLevelType w:val="hybridMultilevel"/>
    <w:lvl w:ilvl="0">
      <w:lvlJc w:val="left"/>
      <w:lvlText w:val="%1"/>
      <w:numFmt w:val="lowerRoman"/>
      <w:start w:val="1"/>
    </w:lvl>
    <w:lvl w:ilvl="1">
      <w:lvlJc w:val="left"/>
      <w:lvlText w:val="(%2)"/>
      <w:numFmt w:val="lowerLetter"/>
      <w:start w:val="11"/>
    </w:lvl>
  </w:abstractNum>
  <w:abstractNum w:abstractNumId="159">
    <w:nsid w:val="10DB9DAA"/>
    <w:multiLevelType w:val="hybridMultilevel"/>
    <w:lvl w:ilvl="0">
      <w:lvlJc w:val="left"/>
      <w:lvlText w:val="%1"/>
      <w:numFmt w:val="lowerRoman"/>
      <w:start w:val="1"/>
    </w:lvl>
    <w:lvl w:ilvl="1">
      <w:lvlJc w:val="left"/>
      <w:lvlText w:val="(%2)"/>
      <w:numFmt w:val="lowerLetter"/>
      <w:start w:val="9"/>
    </w:lvl>
  </w:abstractNum>
  <w:abstractNum w:abstractNumId="160">
    <w:nsid w:val="697D2D2"/>
    <w:multiLevelType w:val="hybridMultilevel"/>
    <w:lvl w:ilvl="0">
      <w:lvlJc w:val="left"/>
      <w:lvlText w:val="%1"/>
      <w:numFmt w:val="lowerRoman"/>
      <w:start w:val="1"/>
    </w:lvl>
    <w:lvl w:ilvl="1">
      <w:lvlJc w:val="left"/>
      <w:lvlText w:val="(%2)"/>
      <w:numFmt w:val="lowerLetter"/>
      <w:start w:val="35"/>
    </w:lvl>
  </w:abstractNum>
  <w:abstractNum w:abstractNumId="161">
    <w:nsid w:val="6D68AB2"/>
    <w:multiLevelType w:val="hybridMultilevel"/>
    <w:lvl w:ilvl="0">
      <w:lvlJc w:val="left"/>
      <w:lvlText w:val="%1"/>
      <w:numFmt w:val="lowerRoman"/>
      <w:start w:val="1"/>
    </w:lvl>
    <w:lvl w:ilvl="1">
      <w:lvlJc w:val="left"/>
      <w:lvlText w:val="(%2)"/>
      <w:numFmt w:val="lowerLetter"/>
      <w:start w:val="19"/>
    </w:lvl>
  </w:abstractNum>
  <w:abstractNum w:abstractNumId="162">
    <w:nsid w:val="3A966CD0"/>
    <w:multiLevelType w:val="hybridMultilevel"/>
    <w:lvl w:ilvl="0">
      <w:lvlJc w:val="left"/>
      <w:lvlText w:val="(%1)"/>
      <w:numFmt w:val="lowerRoman"/>
      <w:start w:val="1"/>
    </w:lvl>
    <w:lvl w:ilvl="1">
      <w:lvlJc w:val="left"/>
      <w:lvlText w:val="(%2)"/>
      <w:numFmt w:val="upperLetter"/>
      <w:start w:val="1"/>
    </w:lvl>
  </w:abstractNum>
  <w:abstractNum w:abstractNumId="163">
    <w:nsid w:val="63F37E85"/>
    <w:multiLevelType w:val="hybridMultilevel"/>
    <w:lvl w:ilvl="0">
      <w:lvlJc w:val="left"/>
      <w:lvlText w:val="(%1)"/>
      <w:numFmt w:val="lowerRoman"/>
      <w:start w:val="2"/>
    </w:lvl>
    <w:lvl w:ilvl="1">
      <w:lvlJc w:val="left"/>
      <w:lvlText w:val="(%2)"/>
      <w:numFmt w:val="upperLetter"/>
      <w:start w:val="1"/>
    </w:lvl>
  </w:abstractNum>
  <w:abstractNum w:abstractNumId="164">
    <w:nsid w:val="5895F5FA"/>
    <w:multiLevelType w:val="hybridMultilevel"/>
    <w:lvl w:ilvl="0">
      <w:lvlJc w:val="left"/>
      <w:lvlText w:val="%1"/>
      <w:numFmt w:val="lowerRoman"/>
      <w:start w:val="1"/>
    </w:lvl>
    <w:lvl w:ilvl="1">
      <w:lvlJc w:val="left"/>
      <w:lvlText w:val="(%2)"/>
      <w:numFmt w:val="lowerLetter"/>
      <w:start w:val="20"/>
    </w:lvl>
  </w:abstractNum>
  <w:abstractNum w:abstractNumId="165">
    <w:nsid w:val="38A5D054"/>
    <w:multiLevelType w:val="hybridMultilevel"/>
    <w:lvl w:ilvl="0">
      <w:lvlJc w:val="left"/>
      <w:lvlText w:val="%1"/>
      <w:numFmt w:val="lowerRoman"/>
      <w:start w:val="1"/>
    </w:lvl>
    <w:lvl w:ilvl="1">
      <w:lvlJc w:val="left"/>
      <w:lvlText w:val="(%2)"/>
      <w:numFmt w:val="lowerLetter"/>
      <w:start w:val="9"/>
    </w:lvl>
  </w:abstractNum>
  <w:abstractNum w:abstractNumId="166">
    <w:nsid w:val="F3F09D8"/>
    <w:multiLevelType w:val="hybridMultilevel"/>
    <w:lvl w:ilvl="0">
      <w:lvlJc w:val="left"/>
      <w:lvlText w:val="%1"/>
      <w:numFmt w:val="lowerRoman"/>
      <w:start w:val="1"/>
    </w:lvl>
    <w:lvl w:ilvl="1">
      <w:lvlJc w:val="left"/>
      <w:lvlText w:val="(%2)"/>
      <w:numFmt w:val="lowerLetter"/>
      <w:start w:val="35"/>
    </w:lvl>
  </w:abstractNum>
  <w:abstractNum w:abstractNumId="167">
    <w:nsid w:val="4B793735"/>
    <w:multiLevelType w:val="hybridMultilevel"/>
    <w:lvl w:ilvl="0">
      <w:lvlJc w:val="left"/>
      <w:lvlText w:val="%1"/>
      <w:numFmt w:val="lowerRoman"/>
      <w:start w:val="1"/>
    </w:lvl>
    <w:lvl w:ilvl="1">
      <w:lvlJc w:val="left"/>
      <w:lvlText w:val="(%2)"/>
      <w:numFmt w:val="lowerLetter"/>
      <w:start w:val="22"/>
    </w:lvl>
  </w:abstractNum>
  <w:abstractNum w:abstractNumId="168">
    <w:nsid w:val="4A10B4E8"/>
    <w:multiLevelType w:val="hybridMultilevel"/>
    <w:lvl w:ilvl="0">
      <w:lvlJc w:val="left"/>
      <w:lvlText w:val="(%1)"/>
      <w:numFmt w:val="lowerRoman"/>
      <w:start w:val="1"/>
    </w:lvl>
    <w:lvl w:ilvl="1">
      <w:lvlJc w:val="left"/>
      <w:lvlText w:val="(%2)"/>
      <w:numFmt w:val="lowerLetter"/>
      <w:start w:val="23"/>
    </w:lvl>
  </w:abstractNum>
  <w:abstractNum w:abstractNumId="169">
    <w:nsid w:val="43D3BCD4"/>
    <w:multiLevelType w:val="hybridMultilevel"/>
    <w:lvl w:ilvl="0">
      <w:lvlJc w:val="left"/>
      <w:lvlText w:val="(%1)"/>
      <w:numFmt w:val="lowerRoman"/>
      <w:start w:val="1"/>
    </w:lvl>
  </w:abstractNum>
  <w:abstractNum w:abstractNumId="170">
    <w:nsid w:val="4C2A7166"/>
    <w:multiLevelType w:val="hybridMultilevel"/>
    <w:lvl w:ilvl="0">
      <w:lvlJc w:val="left"/>
      <w:lvlText w:val="(%1)"/>
      <w:numFmt w:val="lowerLetter"/>
      <w:start w:val="61"/>
    </w:lvl>
    <w:lvl w:ilvl="1">
      <w:lvlJc w:val="left"/>
      <w:lvlText w:val="%2"/>
      <w:numFmt w:val="lowerLetter"/>
      <w:start w:val="1"/>
    </w:lvl>
  </w:abstractNum>
  <w:abstractNum w:abstractNumId="171">
    <w:nsid w:val="2E534A82"/>
    <w:multiLevelType w:val="hybridMultilevel"/>
    <w:lvl w:ilvl="0">
      <w:lvlJc w:val="left"/>
      <w:lvlText w:val="(%1)"/>
      <w:numFmt w:val="lowerLetter"/>
      <w:start w:val="27"/>
    </w:lvl>
    <w:lvl w:ilvl="1">
      <w:lvlJc w:val="left"/>
      <w:lvlText w:val="%2"/>
      <w:numFmt w:val="lowerLetter"/>
      <w:start w:val="1"/>
    </w:lvl>
  </w:abstractNum>
  <w:abstractNum w:abstractNumId="172">
    <w:nsid w:val="26F2D364"/>
    <w:multiLevelType w:val="hybridMultilevel"/>
    <w:lvl w:ilvl="0">
      <w:lvlJc w:val="left"/>
      <w:lvlText w:val="(%1)"/>
      <w:numFmt w:val="lowerRoman"/>
      <w:start w:val="1"/>
    </w:lvl>
    <w:lvl w:ilvl="1">
      <w:lvlJc w:val="left"/>
      <w:lvlText w:val="(%2)"/>
      <w:numFmt w:val="upperLetter"/>
      <w:start w:val="1"/>
    </w:lvl>
  </w:abstractNum>
  <w:abstractNum w:abstractNumId="173">
    <w:nsid w:val="71C1AF98"/>
    <w:multiLevelType w:val="hybridMultilevel"/>
    <w:lvl w:ilvl="0">
      <w:lvlJc w:val="left"/>
      <w:lvlText w:val="(%1)"/>
      <w:numFmt w:val="lowerLetter"/>
      <w:start w:val="33"/>
    </w:lvl>
  </w:abstractNum>
  <w:abstractNum w:abstractNumId="174">
    <w:nsid w:val="3D00B9D9"/>
    <w:multiLevelType w:val="hybridMultilevel"/>
    <w:lvl w:ilvl="0">
      <w:lvlJc w:val="left"/>
      <w:lvlText w:val="(%1)"/>
      <w:numFmt w:val="lowerRoman"/>
      <w:start w:val="2"/>
    </w:lvl>
    <w:lvl w:ilvl="1">
      <w:lvlJc w:val="left"/>
      <w:lvlText w:val="(%2)"/>
      <w:numFmt w:val="lowerLetter"/>
      <w:start w:val="36"/>
    </w:lvl>
    <w:lvl w:ilvl="2">
      <w:lvlJc w:val="left"/>
      <w:lvlText w:val="%3"/>
      <w:numFmt w:val="upperLetter"/>
      <w:start w:val="1"/>
    </w:lvl>
  </w:abstractNum>
  <w:abstractNum w:abstractNumId="175">
    <w:nsid w:val="15BCABA8"/>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176">
    <w:nsid w:val="4E0B9A87"/>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177">
    <w:nsid w:val="434BAE75"/>
    <w:multiLevelType w:val="hybridMultilevel"/>
    <w:lvl w:ilvl="0">
      <w:lvlJc w:val="left"/>
      <w:lvlText w:val="%1"/>
      <w:numFmt w:val="lowerRoman"/>
      <w:start w:val="1"/>
    </w:lvl>
    <w:lvl w:ilvl="1">
      <w:lvlJc w:val="left"/>
      <w:lvlText w:val="(%2)"/>
      <w:numFmt w:val="lowerLetter"/>
      <w:start w:val="38"/>
    </w:lvl>
    <w:lvl w:ilvl="2">
      <w:lvlJc w:val="left"/>
      <w:lvlText w:val="%3"/>
      <w:numFmt w:val="upperLetter"/>
      <w:start w:val="1"/>
    </w:lvl>
  </w:abstractNum>
  <w:abstractNum w:abstractNumId="178">
    <w:nsid w:val="4F38F265"/>
    <w:multiLevelType w:val="hybridMultilevel"/>
    <w:lvl w:ilvl="0">
      <w:lvlJc w:val="left"/>
      <w:lvlText w:val="%1"/>
      <w:numFmt w:val="lowerRoman"/>
      <w:start w:val="1"/>
    </w:lvl>
    <w:lvl w:ilvl="1">
      <w:lvlJc w:val="left"/>
      <w:lvlText w:val="(%2)"/>
      <w:numFmt w:val="lowerLetter"/>
      <w:start w:val="40"/>
    </w:lvl>
    <w:lvl w:ilvl="2">
      <w:lvlJc w:val="left"/>
      <w:lvlText w:val="%3"/>
      <w:numFmt w:val="upperLetter"/>
      <w:start w:val="1"/>
    </w:lvl>
    <w:lvl w:ilvl="3">
      <w:lvlJc w:val="left"/>
      <w:lvlText w:val="%4"/>
      <w:numFmt w:val="decimal"/>
      <w:start w:val="1"/>
    </w:lvl>
  </w:abstractNum>
  <w:abstractNum w:abstractNumId="179">
    <w:nsid w:val="4C502870"/>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80">
    <w:nsid w:val="1DE8725A"/>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181">
    <w:nsid w:val="6A37288A"/>
    <w:multiLevelType w:val="hybridMultilevel"/>
    <w:lvl w:ilvl="0">
      <w:lvlJc w:val="left"/>
      <w:lvlText w:val="(%1)"/>
      <w:numFmt w:val="lowerLetter"/>
      <w:start w:val="41"/>
    </w:lvl>
  </w:abstractNum>
  <w:abstractNum w:abstractNumId="182">
    <w:nsid w:val="8F8B73F"/>
    <w:multiLevelType w:val="hybridMultilevel"/>
    <w:lvl w:ilvl="0">
      <w:lvlJc w:val="left"/>
      <w:lvlText w:val="%1"/>
      <w:numFmt w:val="lowerLetter"/>
      <w:start w:val="1"/>
    </w:lvl>
    <w:lvl w:ilvl="1">
      <w:lvlJc w:val="left"/>
      <w:lvlText w:val="(%2)"/>
      <w:numFmt w:val="lowerLetter"/>
      <w:start w:val="46"/>
    </w:lvl>
  </w:abstractNum>
  <w:abstractNum w:abstractNumId="183">
    <w:nsid w:val="CA6B462"/>
    <w:multiLevelType w:val="hybridMultilevel"/>
    <w:lvl w:ilvl="0">
      <w:lvlJc w:val="left"/>
      <w:lvlText w:val="(%1)"/>
      <w:numFmt w:val="lowerLetter"/>
      <w:start w:val="9"/>
    </w:lvl>
    <w:lvl w:ilvl="1">
      <w:lvlJc w:val="left"/>
      <w:lvlText w:val="(%2)"/>
      <w:numFmt w:val="lowerLetter"/>
      <w:start w:val="50"/>
    </w:lvl>
  </w:abstractNum>
  <w:abstractNum w:abstractNumId="184">
    <w:nsid w:val="763CB680"/>
    <w:multiLevelType w:val="hybridMultilevel"/>
    <w:lvl w:ilvl="0">
      <w:lvlJc w:val="left"/>
      <w:lvlText w:val="%1"/>
      <w:numFmt w:val="lowerLetter"/>
      <w:start w:val="1"/>
    </w:lvl>
    <w:lvl w:ilvl="1">
      <w:lvlJc w:val="left"/>
      <w:lvlText w:val="(%2)"/>
      <w:numFmt w:val="lowerLetter"/>
      <w:start w:val="53"/>
    </w:lvl>
  </w:abstractNum>
  <w:abstractNum w:abstractNumId="185">
    <w:nsid w:val="15B71329"/>
    <w:multiLevelType w:val="hybridMultilevel"/>
    <w:lvl w:ilvl="0">
      <w:lvlJc w:val="left"/>
      <w:lvlText w:val="(%1)"/>
      <w:numFmt w:val="lowerLetter"/>
      <w:start w:val="35"/>
    </w:lvl>
    <w:lvl w:ilvl="1">
      <w:lvlJc w:val="left"/>
      <w:lvlText w:val="%2"/>
      <w:numFmt w:val="lowerLetter"/>
      <w:start w:val="1"/>
    </w:lvl>
  </w:abstractNum>
  <w:abstractNum w:abstractNumId="186">
    <w:nsid w:val="3DA97044"/>
    <w:multiLevelType w:val="hybridMultilevel"/>
    <w:lvl w:ilvl="0">
      <w:lvlJc w:val="left"/>
      <w:lvlText w:val="%1"/>
      <w:numFmt w:val="decimal"/>
      <w:start w:val="1"/>
    </w:lvl>
    <w:lvl w:ilvl="1">
      <w:lvlJc w:val="left"/>
      <w:lvlText w:val="(%2)"/>
      <w:numFmt w:val="lowerLetter"/>
      <w:start w:val="63"/>
    </w:lvl>
  </w:abstractNum>
  <w:abstractNum w:abstractNumId="187">
    <w:nsid w:val="1CDCE2DE"/>
    <w:multiLevelType w:val="hybridMultilevel"/>
    <w:lvl w:ilvl="0">
      <w:lvlJc w:val="left"/>
      <w:lvlText w:val="%1."/>
      <w:numFmt w:val="decimal"/>
      <w:start w:val="3"/>
    </w:lvl>
    <w:lvl w:ilvl="1">
      <w:lvlJc w:val="left"/>
      <w:lvlText w:val="(%2)"/>
      <w:numFmt w:val="lowerLetter"/>
      <w:start w:val="1"/>
    </w:lvl>
  </w:abstractNum>
  <w:abstractNum w:abstractNumId="188">
    <w:nsid w:val="69D3947C"/>
    <w:multiLevelType w:val="hybridMultilevel"/>
    <w:lvl w:ilvl="0">
      <w:lvlJc w:val="left"/>
      <w:lvlText w:val="%1"/>
      <w:numFmt w:val="decimal"/>
      <w:start w:val="268"/>
    </w:lvl>
    <w:lvl w:ilvl="1">
      <w:lvlJc w:val="left"/>
      <w:lvlText w:val="(%2)"/>
      <w:numFmt w:val="lowerLetter"/>
      <w:start w:val="2"/>
    </w:lvl>
  </w:abstractNum>
  <w:abstractNum w:abstractNumId="189">
    <w:nsid w:val="2539DFA5"/>
    <w:multiLevelType w:val="hybridMultilevel"/>
    <w:lvl w:ilvl="0">
      <w:lvlJc w:val="left"/>
      <w:lvlText w:val="%1."/>
      <w:numFmt w:val="decimal"/>
      <w:start w:val="5"/>
    </w:lvl>
    <w:lvl w:ilvl="1">
      <w:lvlJc w:val="left"/>
      <w:lvlText w:val="(%2)"/>
      <w:numFmt w:val="lowerLetter"/>
      <w:start w:val="1"/>
    </w:lvl>
  </w:abstractNum>
  <w:abstractNum w:abstractNumId="190">
    <w:nsid w:val="2DB8808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191">
    <w:nsid w:val="706B674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92">
    <w:nsid w:val="2C106A5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93">
    <w:nsid w:val="684EED5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94">
    <w:nsid w:val="545EE5D3"/>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195">
    <w:nsid w:val="4A66051"/>
    <w:multiLevelType w:val="hybridMultilevel"/>
    <w:lvl w:ilvl="0">
      <w:lvlJc w:val="left"/>
      <w:lvlText w:val="(%1)"/>
      <w:numFmt w:val="lowerLetter"/>
      <w:start w:val="1"/>
    </w:lvl>
  </w:abstractNum>
  <w:abstractNum w:abstractNumId="196">
    <w:nsid w:val="20F4BDAD"/>
    <w:multiLevelType w:val="hybridMultilevel"/>
    <w:lvl w:ilvl="0">
      <w:lvlJc w:val="left"/>
      <w:lvlText w:val="(%1)"/>
      <w:numFmt w:val="lowerLetter"/>
      <w:start w:val="5"/>
    </w:lvl>
  </w:abstractNum>
  <w:abstractNum w:abstractNumId="197">
    <w:nsid w:val="639DEFAC"/>
    <w:multiLevelType w:val="hybridMultilevel"/>
    <w:lvl w:ilvl="0">
      <w:lvlJc w:val="left"/>
      <w:lvlText w:val="%1."/>
      <w:numFmt w:val="decimal"/>
      <w:start w:val="8"/>
    </w:lvl>
  </w:abstractNum>
  <w:abstractNum w:abstractNumId="198">
    <w:nsid w:val="501F978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99">
    <w:nsid w:val="6B057295"/>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200">
    <w:nsid w:val="2771AC80"/>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201">
    <w:nsid w:val="1C4A08EC"/>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02">
    <w:nsid w:val="1958BD17"/>
    <w:multiLevelType w:val="hybridMultilevel"/>
    <w:lvl w:ilvl="0">
      <w:lvlJc w:val="left"/>
      <w:lvlText w:val="(%1)"/>
      <w:numFmt w:val="lowerRoman"/>
      <w:start w:val="1"/>
    </w:lvl>
  </w:abstractNum>
  <w:abstractNum w:abstractNumId="203">
    <w:nsid w:val="4E647FE4"/>
    <w:multiLevelType w:val="hybridMultilevel"/>
    <w:lvl w:ilvl="0">
      <w:lvlJc w:val="left"/>
      <w:lvlText w:val="%1"/>
      <w:numFmt w:val="lowerRoman"/>
      <w:start w:val="1"/>
    </w:lvl>
    <w:lvl w:ilvl="1">
      <w:lvlJc w:val="left"/>
      <w:lvlText w:val="(%2)"/>
      <w:numFmt w:val="lowerLetter"/>
      <w:start w:val="4"/>
    </w:lvl>
  </w:abstractNum>
  <w:abstractNum w:abstractNumId="204">
    <w:nsid w:val="E0BB885"/>
    <w:multiLevelType w:val="hybridMultilevel"/>
    <w:lvl w:ilvl="0">
      <w:lvlJc w:val="left"/>
      <w:lvlText w:val="%1"/>
      <w:numFmt w:val="lowerRoman"/>
      <w:start w:val="1"/>
    </w:lvl>
    <w:lvl w:ilvl="1">
      <w:lvlJc w:val="left"/>
      <w:lvlText w:val="(%2)"/>
      <w:numFmt w:val="lowerLetter"/>
      <w:start w:val="9"/>
    </w:lvl>
  </w:abstractNum>
  <w:abstractNum w:abstractNumId="205">
    <w:nsid w:val="565976F1"/>
    <w:multiLevelType w:val="hybridMultilevel"/>
    <w:lvl w:ilvl="0">
      <w:lvlJc w:val="left"/>
      <w:lvlText w:val="%1"/>
      <w:numFmt w:val="lowerRoman"/>
      <w:start w:val="1"/>
    </w:lvl>
    <w:lvl w:ilvl="1">
      <w:lvlJc w:val="left"/>
      <w:lvlText w:val="(%2)"/>
      <w:numFmt w:val="lowerLetter"/>
      <w:start w:val="35"/>
    </w:lvl>
  </w:abstractNum>
  <w:abstractNum w:abstractNumId="206">
    <w:nsid w:val="64212B8C"/>
    <w:multiLevelType w:val="hybridMultilevel"/>
    <w:lvl w:ilvl="0">
      <w:lvlJc w:val="left"/>
      <w:lvlText w:val="%1"/>
      <w:numFmt w:val="lowerRoman"/>
      <w:start w:val="1"/>
    </w:lvl>
    <w:lvl w:ilvl="1">
      <w:lvlJc w:val="left"/>
      <w:lvlText w:val="(%2)"/>
      <w:numFmt w:val="lowerLetter"/>
      <w:start w:val="61"/>
    </w:lvl>
  </w:abstractNum>
  <w:abstractNum w:abstractNumId="207">
    <w:nsid w:val="5C17530C"/>
    <w:multiLevelType w:val="hybridMultilevel"/>
    <w:lvl w:ilvl="0">
      <w:lvlJc w:val="left"/>
      <w:lvlText w:val="%1"/>
      <w:numFmt w:val="lowerRoman"/>
      <w:start w:val="1"/>
    </w:lvl>
    <w:lvl w:ilvl="1">
      <w:lvlJc w:val="left"/>
      <w:lvlText w:val="(%2)"/>
      <w:numFmt w:val="lowerLetter"/>
      <w:start w:val="5"/>
    </w:lvl>
  </w:abstractNum>
  <w:abstractNum w:abstractNumId="208">
    <w:nsid w:val="19A52566"/>
    <w:multiLevelType w:val="hybridMultilevel"/>
    <w:lvl w:ilvl="0">
      <w:lvlJc w:val="left"/>
      <w:lvlText w:val="(%1)"/>
      <w:numFmt w:val="lowerRoman"/>
      <w:start w:val="1"/>
    </w:lvl>
  </w:abstractNum>
  <w:abstractNum w:abstractNumId="209">
    <w:nsid w:val="335A1DF1"/>
    <w:multiLevelType w:val="hybridMultilevel"/>
    <w:lvl w:ilvl="0">
      <w:lvlJc w:val="left"/>
      <w:lvlText w:val="(%1)"/>
      <w:numFmt w:val="lowerRoman"/>
      <w:start w:val="5"/>
    </w:lvl>
    <w:lvl w:ilvl="1">
      <w:lvlJc w:val="left"/>
      <w:lvlText w:val="(%2)"/>
      <w:numFmt w:val="lowerLetter"/>
      <w:start w:val="8"/>
    </w:lvl>
  </w:abstractNum>
  <w:abstractNum w:abstractNumId="210">
    <w:nsid w:val="28677B7C"/>
    <w:multiLevelType w:val="hybridMultilevel"/>
    <w:lvl w:ilvl="0">
      <w:lvlJc w:val="left"/>
      <w:lvlText w:val="(%1)"/>
      <w:numFmt w:val="lowerRoman"/>
      <w:start w:val="1"/>
    </w:lvl>
    <w:lvl w:ilvl="1">
      <w:lvlJc w:val="left"/>
      <w:lvlText w:val="(%2)"/>
      <w:numFmt w:val="lowerLetter"/>
      <w:start w:val="10"/>
    </w:lvl>
  </w:abstractNum>
  <w:abstractNum w:abstractNumId="211">
    <w:nsid w:val="378D97C0"/>
    <w:multiLevelType w:val="hybridMultilevel"/>
    <w:lvl w:ilvl="0">
      <w:lvlJc w:val="left"/>
      <w:lvlText w:val="(%1)"/>
      <w:numFmt w:val="lowerRoman"/>
      <w:start w:val="1"/>
    </w:lvl>
    <w:lvl w:ilvl="1">
      <w:lvlJc w:val="left"/>
      <w:lvlText w:val="(%2)"/>
      <w:numFmt w:val="upperLetter"/>
      <w:start w:val="1"/>
    </w:lvl>
  </w:abstractNum>
  <w:abstractNum w:abstractNumId="212">
    <w:nsid w:val="1D91467C"/>
    <w:multiLevelType w:val="hybridMultilevel"/>
    <w:lvl w:ilvl="0">
      <w:lvlJc w:val="left"/>
      <w:lvlText w:val="%1"/>
      <w:numFmt w:val="lowerRoman"/>
      <w:start w:val="1"/>
    </w:lvl>
    <w:lvl w:ilvl="1">
      <w:lvlJc w:val="left"/>
      <w:lvlText w:val="(%2)"/>
      <w:numFmt w:val="upperLetter"/>
      <w:start w:val="3"/>
    </w:lvl>
  </w:abstractNum>
  <w:abstractNum w:abstractNumId="213">
    <w:nsid w:val="316032BB"/>
    <w:multiLevelType w:val="hybridMultilevel"/>
    <w:lvl w:ilvl="0">
      <w:lvlJc w:val="left"/>
      <w:lvlText w:val="(%1)"/>
      <w:numFmt w:val="lowerRoman"/>
      <w:start w:val="3"/>
    </w:lvl>
    <w:lvl w:ilvl="1">
      <w:lvlJc w:val="left"/>
      <w:lvlText w:val="%2"/>
      <w:numFmt w:val="upperLetter"/>
      <w:start w:val="1"/>
    </w:lvl>
  </w:abstractNum>
  <w:abstractNum w:abstractNumId="214">
    <w:nsid w:val="44344C22"/>
    <w:multiLevelType w:val="hybridMultilevel"/>
    <w:lvl w:ilvl="0">
      <w:lvlJc w:val="left"/>
      <w:lvlText w:val="%1"/>
      <w:numFmt w:val="lowerRoman"/>
      <w:start w:val="1"/>
    </w:lvl>
    <w:lvl w:ilvl="1">
      <w:lvlJc w:val="left"/>
      <w:lvlText w:val="(%2)"/>
      <w:numFmt w:val="lowerLetter"/>
      <w:start w:val="11"/>
    </w:lvl>
    <w:lvl w:ilvl="2">
      <w:lvlJc w:val="left"/>
      <w:lvlText w:val="%3"/>
      <w:numFmt w:val="upperLetter"/>
      <w:start w:val="1"/>
    </w:lvl>
  </w:abstractNum>
  <w:abstractNum w:abstractNumId="215">
    <w:nsid w:val="13CDFCFC"/>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216">
    <w:nsid w:val="471745E4"/>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217">
    <w:nsid w:val="1DDBC66"/>
    <w:multiLevelType w:val="hybridMultilevel"/>
    <w:lvl w:ilvl="0">
      <w:lvlJc w:val="left"/>
      <w:lvlText w:val="%1"/>
      <w:numFmt w:val="lowerRoman"/>
      <w:start w:val="1"/>
    </w:lvl>
    <w:lvl w:ilvl="1">
      <w:lvlJc w:val="left"/>
      <w:lvlText w:val="(%2)"/>
      <w:numFmt w:val="lowerLetter"/>
      <w:start w:val="61"/>
    </w:lvl>
    <w:lvl w:ilvl="2">
      <w:lvlJc w:val="left"/>
      <w:lvlText w:val="%3"/>
      <w:numFmt w:val="upperLetter"/>
      <w:start w:val="1"/>
    </w:lvl>
  </w:abstractNum>
  <w:abstractNum w:abstractNumId="218">
    <w:nsid w:val="30AADFD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decimal"/>
      <w:start w:val="6"/>
    </w:lvl>
  </w:abstractNum>
  <w:abstractNum w:abstractNumId="219">
    <w:nsid w:val="30EADA61"/>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12"/>
    </w:lvl>
    <w:lvl w:ilvl="3">
      <w:lvlJc w:val="left"/>
      <w:lvlText w:val="%4"/>
      <w:numFmt w:val="decimal"/>
      <w:start w:val="1"/>
    </w:lvl>
  </w:abstractNum>
  <w:abstractNum w:abstractNumId="220">
    <w:nsid w:val="27179C0B"/>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lvl w:ilvl="3">
      <w:lvlJc w:val="left"/>
      <w:lvlText w:val="%4"/>
      <w:numFmt w:val="decimal"/>
      <w:start w:val="1"/>
    </w:lvl>
  </w:abstractNum>
  <w:abstractNum w:abstractNumId="221">
    <w:nsid w:val="5E636063"/>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222">
    <w:nsid w:val="215641AF"/>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223">
    <w:nsid w:val="53280662"/>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224">
    <w:nsid w:val="46B24DBC"/>
    <w:multiLevelType w:val="hybridMultilevel"/>
    <w:lvl w:ilvl="0">
      <w:lvlJc w:val="left"/>
      <w:lvlText w:val="%1"/>
      <w:numFmt w:val="decimal"/>
      <w:start w:val="1"/>
    </w:lvl>
    <w:lvl w:ilvl="1">
      <w:lvlJc w:val="left"/>
      <w:lvlText w:val="(%2)"/>
      <w:numFmt w:val="lowerRoman"/>
      <w:start w:val="3"/>
    </w:lvl>
  </w:abstractNum>
  <w:abstractNum w:abstractNumId="225">
    <w:nsid w:val="75B52783"/>
    <w:multiLevelType w:val="hybridMultilevel"/>
    <w:lvl w:ilvl="0">
      <w:lvlJc w:val="left"/>
      <w:lvlText w:val="%1."/>
      <w:numFmt w:val="decimal"/>
      <w:start w:val="10"/>
    </w:lvl>
    <w:lvl w:ilvl="1">
      <w:lvlJc w:val="left"/>
      <w:lvlText w:val="%2"/>
      <w:numFmt w:val="lowerRoman"/>
      <w:start w:val="1"/>
    </w:lvl>
  </w:abstractNum>
  <w:abstractNum w:abstractNumId="226">
    <w:nsid w:val="57CE66B4"/>
    <w:multiLevelType w:val="hybridMultilevel"/>
    <w:lvl w:ilvl="0">
      <w:lvlJc w:val="left"/>
      <w:lvlText w:val="%1."/>
      <w:numFmt w:val="decimal"/>
      <w:start w:val="11"/>
    </w:lvl>
    <w:lvl w:ilvl="1">
      <w:lvlJc w:val="left"/>
      <w:lvlText w:val="(%2)"/>
      <w:numFmt w:val="lowerLetter"/>
      <w:start w:val="1"/>
    </w:lvl>
  </w:abstractNum>
  <w:abstractNum w:abstractNumId="227">
    <w:nsid w:val="67A70B69"/>
    <w:multiLevelType w:val="hybridMultilevel"/>
    <w:lvl w:ilvl="0">
      <w:lvlJc w:val="left"/>
      <w:lvlText w:val="%1."/>
      <w:numFmt w:val="decimal"/>
      <w:start w:val="12"/>
    </w:lvl>
  </w:abstractNum>
  <w:abstractNum w:abstractNumId="228">
    <w:nsid w:val="5953172F"/>
    <w:multiLevelType w:val="hybridMultilevel"/>
    <w:lvl w:ilvl="0">
      <w:lvlJc w:val="left"/>
      <w:lvlText w:val="(%1)"/>
      <w:numFmt w:val="lowerLetter"/>
      <w:start w:val="1"/>
    </w:lvl>
  </w:abstractNum>
  <w:abstractNum w:abstractNumId="229">
    <w:nsid w:val="27EDFE3A"/>
    <w:multiLevelType w:val="hybridMultilevel"/>
    <w:lvl w:ilvl="0">
      <w:lvlJc w:val="left"/>
      <w:lvlText w:val="%1."/>
      <w:numFmt w:val="decimal"/>
      <w:start w:val="13"/>
    </w:lvl>
  </w:abstractNum>
  <w:abstractNum w:abstractNumId="230">
    <w:nsid w:val="52AC7DFF"/>
    <w:multiLevelType w:val="hybridMultilevel"/>
    <w:lvl w:ilvl="0">
      <w:lvlJc w:val="left"/>
      <w:lvlText w:val="%1."/>
      <w:numFmt w:val="decimal"/>
      <w:start w:val="14"/>
    </w:lvl>
  </w:abstractNum>
  <w:abstractNum w:abstractNumId="231">
    <w:nsid w:val="C4C3AF"/>
    <w:multiLevelType w:val="hybridMultilevel"/>
    <w:lvl w:ilvl="0">
      <w:lvlJc w:val="left"/>
      <w:lvlText w:val="%1."/>
      <w:numFmt w:val="decimal"/>
      <w:start w:val="15"/>
    </w:lvl>
  </w:abstractNum>
  <w:abstractNum w:abstractNumId="232">
    <w:nsid w:val="44380727"/>
    <w:multiLevelType w:val="hybridMultilevel"/>
    <w:lvl w:ilvl="0">
      <w:lvlJc w:val="left"/>
      <w:lvlText w:val="%1."/>
      <w:numFmt w:val="decimal"/>
      <w:start w:val="16"/>
    </w:lvl>
  </w:abstractNum>
  <w:abstractNum w:abstractNumId="233">
    <w:nsid w:val="6C053B1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2020-04-24T10:04:29Z</dcterms:created>
  <dcterms:modified xsi:type="dcterms:W3CDTF">2020-04-24T10:04:29Z</dcterms:modified>
</cp:coreProperties>
</file>