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December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720" w:type="dxa"/>
        <w:tblCellMar>
          <w:top w:w="0" w:type="dxa"/>
          <w:left w:w="0" w:type="dxa"/>
          <w:bottom w:w="0" w:type="dxa"/>
          <w:right w:w="0" w:type="dxa"/>
        </w:tblCellMar>
      </w:tblPr>
      <w:tr>
        <w:trPr>
          <w:trHeight w:val="525"/>
        </w:trPr>
        <w:tc>
          <w:tcPr>
            <w:tcW w:w="2720" w:type="dxa"/>
            <w:vAlign w:val="bottom"/>
          </w:tcPr>
          <w:p>
            <w:pPr>
              <w:spacing w:after="0"/>
              <w:rPr>
                <w:sz w:val="24"/>
                <w:szCs w:val="24"/>
                <w:color w:val="auto"/>
              </w:rPr>
            </w:pPr>
          </w:p>
        </w:tc>
        <w:tc>
          <w:tcPr>
            <w:tcW w:w="7200" w:type="dxa"/>
            <w:vAlign w:val="bottom"/>
            <w:gridSpan w:val="3"/>
          </w:tcPr>
          <w:p>
            <w:pPr>
              <w:jc w:val="center"/>
              <w:ind w:right="258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720" w:type="dxa"/>
            <w:vAlign w:val="bottom"/>
          </w:tcPr>
          <w:p>
            <w:pPr>
              <w:spacing w:after="0"/>
              <w:rPr>
                <w:sz w:val="20"/>
                <w:szCs w:val="20"/>
                <w:color w:val="auto"/>
              </w:rPr>
            </w:pPr>
          </w:p>
        </w:tc>
        <w:tc>
          <w:tcPr>
            <w:tcW w:w="7200" w:type="dxa"/>
            <w:vAlign w:val="bottom"/>
            <w:gridSpan w:val="3"/>
          </w:tcPr>
          <w:p>
            <w:pPr>
              <w:jc w:val="center"/>
              <w:ind w:right="256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65"/>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403"/>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20" w:type="dxa"/>
            <w:vAlign w:val="bottom"/>
            <w:gridSpan w:val="2"/>
          </w:tcPr>
          <w:p>
            <w:pPr>
              <w:jc w:val="center"/>
              <w:ind w:right="366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720" w:type="dxa"/>
            <w:vAlign w:val="bottom"/>
          </w:tcPr>
          <w:p>
            <w:pPr>
              <w:spacing w:after="0"/>
              <w:rPr>
                <w:sz w:val="16"/>
                <w:szCs w:val="16"/>
                <w:color w:val="auto"/>
              </w:rPr>
            </w:pPr>
          </w:p>
        </w:tc>
        <w:tc>
          <w:tcPr>
            <w:tcW w:w="7200" w:type="dxa"/>
            <w:vAlign w:val="bottom"/>
            <w:gridSpan w:val="3"/>
          </w:tcPr>
          <w:p>
            <w:pPr>
              <w:jc w:val="center"/>
              <w:ind w:right="2588"/>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(Commission File Number)</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72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One Comcast Center</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25"/>
        </w:trPr>
        <w:tc>
          <w:tcPr>
            <w:tcW w:w="2720" w:type="dxa"/>
            <w:vAlign w:val="bottom"/>
          </w:tcPr>
          <w:p>
            <w:pPr>
              <w:jc w:val="center"/>
              <w:ind w:right="197"/>
              <w:spacing w:after="0"/>
              <w:rPr>
                <w:sz w:val="20"/>
                <w:szCs w:val="20"/>
                <w:color w:val="auto"/>
              </w:rPr>
            </w:pPr>
            <w:r>
              <w:rPr>
                <w:rFonts w:ascii="Arial" w:cs="Arial" w:eastAsia="Arial" w:hAnsi="Arial"/>
                <w:sz w:val="18"/>
                <w:szCs w:val="18"/>
                <w:b w:val="1"/>
                <w:bCs w:val="1"/>
                <w:color w:val="auto"/>
                <w:w w:val="90"/>
              </w:rPr>
              <w:t>Philadelphia, PA</w:t>
            </w:r>
          </w:p>
        </w:tc>
        <w:tc>
          <w:tcPr>
            <w:tcW w:w="7200" w:type="dxa"/>
            <w:vAlign w:val="bottom"/>
            <w:gridSpan w:val="3"/>
          </w:tcPr>
          <w:p>
            <w:pPr>
              <w:jc w:val="center"/>
              <w:ind w:left="5008"/>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7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740" w:type="dxa"/>
            <w:vAlign w:val="bottom"/>
          </w:tcPr>
          <w:p>
            <w:pPr>
              <w:jc w:val="center"/>
              <w:ind w:left="1588"/>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December 9, 2015 Comcast Corporation (“Comcast”) consummated the issuance and sale of $1,490,000,000 aggregate principal amount of its 4.60% Notes due 2046 (the “Notes”), pursuant to a subscription agreement dated November 23, 2015 among Comcast, the Guarantors (defined below) and E.Sun Commercial Bank, Ltd., MasterLink Securities Corporation and SinoPac Securities Corporation, as the several managers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September 18, 2013, as amended on February 19, 2014 and November 23, 2015 (Reg. No. 333-191239), including the prospectus contained therein, and a related prospectus supplement dated November 23, 2015.</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Base Indenture and First Supplemental Indenture, which are filed as Exhibit 4.3 and Exhibit 4.4, respectively, to Comcast’s Registration Statement on Form S-3 filed on September 18, 2013, as amended on February 19, 2014 and November 23, 2015 and incorporated by reference herein.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December 9, 2015</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6"/>
          <w:szCs w:val="16"/>
          <w:color w:val="auto"/>
        </w:rPr>
        <w:t>Title:</w:t>
        <w:tab/>
        <w:t>Executive Vice President, 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9, 2015</w:t>
      </w:r>
    </w:p>
    <w:p>
      <w:pPr>
        <w:spacing w:after="0" w:line="2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Section 2.03 of the Indenture dated as of September 18, 2013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$1,490,000,000 aggregate principal amount of 4.60% Notes due 2046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60%</w:t>
            </w:r>
            <w:r>
              <w:rPr>
                <w:rFonts w:ascii="Arial" w:cs="Arial" w:eastAsia="Arial" w:hAnsi="Arial"/>
                <w:sz w:val="18"/>
                <w:szCs w:val="18"/>
                <w:b w:val="1"/>
                <w:bCs w:val="1"/>
                <w:color w:val="auto"/>
              </w:rPr>
              <w:t xml:space="preserve"> Notes due 2046</w:t>
            </w:r>
          </w:p>
        </w:tc>
      </w:tr>
      <w:tr>
        <w:trPr>
          <w:trHeight w:val="20"/>
        </w:trPr>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53"/>
        </w:trPr>
        <w:tc>
          <w:tcPr>
            <w:tcW w:w="33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rPr>
              <w:t>4.60% Notes due 2046</w:t>
            </w:r>
          </w:p>
        </w:tc>
      </w:tr>
      <w:tr>
        <w:trPr>
          <w:trHeight w:val="324"/>
        </w:trPr>
        <w:tc>
          <w:tcPr>
            <w:tcW w:w="33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3180" w:type="dxa"/>
            <w:vAlign w:val="bottom"/>
            <w:gridSpan w:val="2"/>
          </w:tcPr>
          <w:p>
            <w:pPr>
              <w:ind w:left="400"/>
              <w:spacing w:after="0"/>
              <w:rPr>
                <w:sz w:val="20"/>
                <w:szCs w:val="20"/>
                <w:color w:val="auto"/>
              </w:rPr>
            </w:pPr>
            <w:r>
              <w:rPr>
                <w:rFonts w:ascii="Arial" w:cs="Arial" w:eastAsia="Arial" w:hAnsi="Arial"/>
                <w:sz w:val="18"/>
                <w:szCs w:val="18"/>
                <w:color w:val="auto"/>
              </w:rPr>
              <w:t>$1,490,000,000</w:t>
            </w:r>
          </w:p>
        </w:tc>
        <w:tc>
          <w:tcPr>
            <w:tcW w:w="484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rPr>
              <w:t>February 1, 2046</w:t>
            </w:r>
          </w:p>
        </w:tc>
      </w:tr>
      <w:tr>
        <w:trPr>
          <w:trHeight w:val="324"/>
        </w:trPr>
        <w:tc>
          <w:tcPr>
            <w:tcW w:w="33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480" w:type="dxa"/>
            <w:vAlign w:val="bottom"/>
          </w:tcPr>
          <w:p>
            <w:pPr>
              <w:ind w:left="400"/>
              <w:spacing w:after="0"/>
              <w:rPr>
                <w:sz w:val="20"/>
                <w:szCs w:val="20"/>
                <w:color w:val="auto"/>
              </w:rPr>
            </w:pPr>
            <w:r>
              <w:rPr>
                <w:rFonts w:ascii="Arial" w:cs="Arial" w:eastAsia="Arial" w:hAnsi="Arial"/>
                <w:sz w:val="18"/>
                <w:szCs w:val="18"/>
                <w:color w:val="auto"/>
              </w:rPr>
              <w:t>4.60%</w:t>
            </w:r>
          </w:p>
        </w:tc>
        <w:tc>
          <w:tcPr>
            <w:tcW w:w="1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10"/>
        </w:trPr>
        <w:tc>
          <w:tcPr>
            <w:tcW w:w="3380" w:type="dxa"/>
            <w:vAlign w:val="bottom"/>
          </w:tcPr>
          <w:p>
            <w:pPr>
              <w:spacing w:after="0"/>
              <w:rPr>
                <w:sz w:val="20"/>
                <w:szCs w:val="20"/>
                <w:color w:val="auto"/>
              </w:rPr>
            </w:pPr>
            <w:r>
              <w:rPr>
                <w:rFonts w:ascii="Arial" w:cs="Arial" w:eastAsia="Arial" w:hAnsi="Arial"/>
                <w:sz w:val="18"/>
                <w:szCs w:val="18"/>
                <w:i w:val="1"/>
                <w:iCs w:val="1"/>
                <w:color w:val="auto"/>
              </w:rPr>
              <w:t>Optional Redemption:</w:t>
            </w: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w w:val="90"/>
              </w:rPr>
              <w:t>The Company may at its option redeem the Notes, in whole but not in part, on each February 1 on or after</w:t>
            </w:r>
          </w:p>
        </w:tc>
      </w:tr>
      <w:tr>
        <w:trPr>
          <w:trHeight w:val="216"/>
        </w:trPr>
        <w:tc>
          <w:tcPr>
            <w:tcW w:w="3380" w:type="dxa"/>
            <w:vAlign w:val="bottom"/>
          </w:tcPr>
          <w:p>
            <w:pPr>
              <w:spacing w:after="0"/>
              <w:rPr>
                <w:sz w:val="18"/>
                <w:szCs w:val="18"/>
                <w:color w:val="auto"/>
              </w:rPr>
            </w:pP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w w:val="92"/>
              </w:rPr>
              <w:t>February 1, 2018, on at least 30 days, but not more than 60 days, prior notice electronically delivered or</w:t>
            </w:r>
          </w:p>
        </w:tc>
      </w:tr>
      <w:tr>
        <w:trPr>
          <w:trHeight w:val="216"/>
        </w:trPr>
        <w:tc>
          <w:tcPr>
            <w:tcW w:w="3380" w:type="dxa"/>
            <w:vAlign w:val="bottom"/>
          </w:tcPr>
          <w:p>
            <w:pPr>
              <w:spacing w:after="0"/>
              <w:rPr>
                <w:sz w:val="18"/>
                <w:szCs w:val="18"/>
                <w:color w:val="auto"/>
              </w:rPr>
            </w:pP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w w:val="90"/>
              </w:rPr>
              <w:t>mailed to the registered address of each holder of the Notes, at the “Redemption Price.” The Redemption</w:t>
            </w:r>
          </w:p>
        </w:tc>
      </w:tr>
      <w:tr>
        <w:trPr>
          <w:trHeight w:val="216"/>
        </w:trPr>
        <w:tc>
          <w:tcPr>
            <w:tcW w:w="3380" w:type="dxa"/>
            <w:vAlign w:val="bottom"/>
          </w:tcPr>
          <w:p>
            <w:pPr>
              <w:spacing w:after="0"/>
              <w:rPr>
                <w:sz w:val="18"/>
                <w:szCs w:val="18"/>
                <w:color w:val="auto"/>
              </w:rPr>
            </w:pP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w w:val="95"/>
              </w:rPr>
              <w:t>Price will equal 100% of the principal amount of the Notes being redeemed plus accrued and unpaid</w:t>
            </w:r>
          </w:p>
        </w:tc>
      </w:tr>
      <w:tr>
        <w:trPr>
          <w:trHeight w:val="216"/>
        </w:trPr>
        <w:tc>
          <w:tcPr>
            <w:tcW w:w="3380" w:type="dxa"/>
            <w:vAlign w:val="bottom"/>
          </w:tcPr>
          <w:p>
            <w:pPr>
              <w:spacing w:after="0"/>
              <w:rPr>
                <w:sz w:val="18"/>
                <w:szCs w:val="18"/>
                <w:color w:val="auto"/>
              </w:rPr>
            </w:pP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w w:val="96"/>
              </w:rPr>
              <w:t>interest thereon to, but not including, the date of redemption, subject to the further description in the</w:t>
            </w:r>
          </w:p>
        </w:tc>
      </w:tr>
      <w:tr>
        <w:trPr>
          <w:trHeight w:val="230"/>
        </w:trPr>
        <w:tc>
          <w:tcPr>
            <w:tcW w:w="3380" w:type="dxa"/>
            <w:vAlign w:val="bottom"/>
          </w:tcPr>
          <w:p>
            <w:pPr>
              <w:spacing w:after="0"/>
              <w:rPr>
                <w:sz w:val="20"/>
                <w:szCs w:val="20"/>
                <w:color w:val="auto"/>
              </w:rPr>
            </w:pPr>
          </w:p>
        </w:tc>
        <w:tc>
          <w:tcPr>
            <w:tcW w:w="8020" w:type="dxa"/>
            <w:vAlign w:val="bottom"/>
            <w:gridSpan w:val="3"/>
          </w:tcPr>
          <w:p>
            <w:pPr>
              <w:ind w:left="400"/>
              <w:spacing w:after="0"/>
              <w:rPr>
                <w:sz w:val="20"/>
                <w:szCs w:val="20"/>
                <w:color w:val="auto"/>
              </w:rPr>
            </w:pPr>
            <w:r>
              <w:rPr>
                <w:rFonts w:ascii="Arial" w:cs="Arial" w:eastAsia="Arial" w:hAnsi="Arial"/>
                <w:sz w:val="18"/>
                <w:szCs w:val="18"/>
                <w:color w:val="auto"/>
              </w:rPr>
              <w:t>Prospectus Supplement dated November 23, 2015.</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i w:val="1"/>
                <w:iCs w:val="1"/>
                <w:color w:val="auto"/>
              </w:rPr>
              <w:t>Redemption for Tax Reasons:</w:t>
            </w: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1"/>
              </w:rPr>
              <w:t>The Company may redeem the Notes, in whole but not in part, in the event of certain changes in the tax</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0"/>
              </w:rPr>
              <w:t>laws of the United States (or any taxing authority in the United States), on not less than 10 nor more than</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3"/>
              </w:rPr>
              <w:t>60 days prior notice. The redemption price will equal 100% of the principal amount of the Notes being</w:t>
            </w:r>
          </w:p>
        </w:tc>
      </w:tr>
      <w:tr>
        <w:trPr>
          <w:trHeight w:val="230"/>
        </w:trPr>
        <w:tc>
          <w:tcPr>
            <w:tcW w:w="2960" w:type="dxa"/>
            <w:vAlign w:val="bottom"/>
          </w:tcPr>
          <w:p>
            <w:pPr>
              <w:spacing w:after="0"/>
              <w:rPr>
                <w:sz w:val="20"/>
                <w:szCs w:val="20"/>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5"/>
              </w:rPr>
              <w:t>redeemed, together with any accrued and unpaid interest to, but not including, the redemption date.</w:t>
            </w:r>
          </w:p>
        </w:tc>
      </w:tr>
      <w:tr>
        <w:trPr>
          <w:trHeight w:val="310"/>
        </w:trPr>
        <w:tc>
          <w:tcPr>
            <w:tcW w:w="29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1"/>
              </w:rPr>
              <w:t>To the extent permitted by applicable authorities in the Republic of China and subject to the receipt of all</w:t>
            </w:r>
          </w:p>
        </w:tc>
      </w:tr>
      <w:tr>
        <w:trPr>
          <w:trHeight w:val="212"/>
        </w:trPr>
        <w:tc>
          <w:tcPr>
            <w:tcW w:w="2960" w:type="dxa"/>
            <w:vAlign w:val="bottom"/>
          </w:tcPr>
          <w:p>
            <w:pPr>
              <w:spacing w:after="0"/>
              <w:rPr>
                <w:sz w:val="18"/>
                <w:szCs w:val="18"/>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3"/>
              </w:rPr>
              <w:t>necessary regulatory and listing approvals from such authorities, including but not limited to the Taipei</w:t>
            </w:r>
          </w:p>
        </w:tc>
      </w:tr>
      <w:tr>
        <w:trPr>
          <w:trHeight w:val="220"/>
        </w:trPr>
        <w:tc>
          <w:tcPr>
            <w:tcW w:w="2960" w:type="dxa"/>
            <w:vAlign w:val="bottom"/>
          </w:tcPr>
          <w:p>
            <w:pPr>
              <w:spacing w:after="0"/>
              <w:rPr>
                <w:sz w:val="19"/>
                <w:szCs w:val="19"/>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5"/>
              </w:rPr>
              <w:t>Exchange (“</w:t>
            </w:r>
            <w:r>
              <w:rPr>
                <w:rFonts w:ascii="Arial" w:cs="Arial" w:eastAsia="Arial" w:hAnsi="Arial"/>
                <w:sz w:val="18"/>
                <w:szCs w:val="18"/>
                <w:b w:val="1"/>
                <w:bCs w:val="1"/>
                <w:color w:val="auto"/>
                <w:w w:val="95"/>
              </w:rPr>
              <w:t>TPEx</w:t>
            </w:r>
            <w:r>
              <w:rPr>
                <w:rFonts w:ascii="Arial" w:cs="Arial" w:eastAsia="Arial" w:hAnsi="Arial"/>
                <w:sz w:val="18"/>
                <w:szCs w:val="18"/>
                <w:color w:val="auto"/>
                <w:w w:val="95"/>
              </w:rPr>
              <w:t>”) and the Taiwan Securities Association, an unlimited amount of additional 4.60%</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0"/>
              </w:rPr>
              <w:t>Notes due 2046 may be issued. The Notes and any additional 4.60% Notes due 2046 that may be issued</w:t>
            </w:r>
          </w:p>
        </w:tc>
      </w:tr>
      <w:tr>
        <w:trPr>
          <w:trHeight w:val="230"/>
        </w:trPr>
        <w:tc>
          <w:tcPr>
            <w:tcW w:w="2960" w:type="dxa"/>
            <w:vAlign w:val="bottom"/>
          </w:tcPr>
          <w:p>
            <w:pPr>
              <w:spacing w:after="0"/>
              <w:rPr>
                <w:sz w:val="20"/>
                <w:szCs w:val="20"/>
                <w:color w:val="auto"/>
              </w:rPr>
            </w:pP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rPr>
              <w:t>may be treated as a single series for all purposes under the Indenture.</w:t>
            </w:r>
          </w:p>
        </w:tc>
      </w:tr>
      <w:tr>
        <w:trPr>
          <w:trHeight w:val="324"/>
        </w:trPr>
        <w:tc>
          <w:tcPr>
            <w:tcW w:w="29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rPr>
              <w:t>None</w:t>
            </w:r>
          </w:p>
        </w:tc>
      </w:tr>
      <w:tr>
        <w:trPr>
          <w:trHeight w:val="324"/>
        </w:trPr>
        <w:tc>
          <w:tcPr>
            <w:tcW w:w="29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rPr>
              <w:t>None</w:t>
            </w:r>
          </w:p>
        </w:tc>
      </w:tr>
      <w:tr>
        <w:trPr>
          <w:trHeight w:val="306"/>
        </w:trPr>
        <w:tc>
          <w:tcPr>
            <w:tcW w:w="29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380" w:type="dxa"/>
            <w:vAlign w:val="bottom"/>
            <w:gridSpan w:val="3"/>
          </w:tcPr>
          <w:p>
            <w:pPr>
              <w:ind w:left="820"/>
              <w:spacing w:after="0"/>
              <w:rPr>
                <w:sz w:val="20"/>
                <w:szCs w:val="20"/>
                <w:color w:val="auto"/>
              </w:rPr>
            </w:pPr>
            <w:r>
              <w:rPr>
                <w:rFonts w:ascii="Arial" w:cs="Arial" w:eastAsia="Arial" w:hAnsi="Arial"/>
                <w:sz w:val="18"/>
                <w:szCs w:val="18"/>
                <w:color w:val="auto"/>
                <w:w w:val="93"/>
              </w:rPr>
              <w:t>The terms of the Notes shall include such other terms as are set forth in the Form of Notes Due 2046</w:t>
            </w:r>
          </w:p>
        </w:tc>
      </w:tr>
      <w:tr>
        <w:trPr>
          <w:trHeight w:val="194"/>
        </w:trPr>
        <w:tc>
          <w:tcPr>
            <w:tcW w:w="2960" w:type="dxa"/>
            <w:vAlign w:val="bottom"/>
          </w:tcPr>
          <w:p>
            <w:pPr>
              <w:spacing w:after="0"/>
              <w:rPr>
                <w:sz w:val="16"/>
                <w:szCs w:val="16"/>
                <w:color w:val="auto"/>
              </w:rPr>
            </w:pPr>
          </w:p>
        </w:tc>
        <w:tc>
          <w:tcPr>
            <w:tcW w:w="8380" w:type="dxa"/>
            <w:vAlign w:val="bottom"/>
            <w:gridSpan w:val="3"/>
          </w:tcPr>
          <w:p>
            <w:pPr>
              <w:ind w:left="82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340"/>
          </w:cols>
          <w:pgMar w:left="240" w:top="382"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Treasurer</w:t>
      </w:r>
    </w:p>
    <w:p>
      <w:pPr>
        <w:spacing w:after="0" w:line="2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2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940"/>
          </w:cols>
          <w:pgMar w:left="700" w:top="274" w:right="1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2046]</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INASMUCH AS THE REGISTERED OWNER HEREOF, THE BANK OF NEW YORK MELLON, LONDON BRANCH, HAS AN INTEREST HEREIN.</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TRANSFERS OF THIS NOTE ARE LIMITED TO TRANSFERS IN WHOLE, BUT NOT IN PART, TO NOMINEES OF THE COMMON DEPOSITARY OR TO A SUCCESSOR THEREOF OR SUCH SUCCESSOR’S NOMINEE AND TRANSFERS OF PORTIONS OF THIS GLOBAL SECURITY ARE LIMITED TO TRANSFERS MADE IN ACCORDANCE WITH THE TRANSFER PROVISIONS OF THE INDENTURE.</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4.60% Note Due 2046</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No. [</w:t>
        <w:tab/>
        <w:t>]</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XS1327147119</w:t>
      </w:r>
    </w:p>
    <w:p>
      <w:pPr>
        <w:spacing w:after="0" w:line="2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for value received promises to pay to The Bank of New York Depository (Nominees) Limited, as nominee of The Bank of New York Mellon, London Branch, as common depositary for</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xml:space="preserve">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Luxembourg, or registered assigns, the principal sum of $[ ] on February 1, 2046.</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Reference is made to the further provisions of this Security contained herein, which will for all purposes have the same effect as if set forth at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74" w:right="4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4.60% Note Due 2046</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December 9, 2015. The Issuer will pay interest semi-annually in arrears on each Interest Payment Date, commencing February 1, 2016. Interest will be computed on the basis of a 360-day year of twelve 30-day months.</w:t>
      </w:r>
    </w:p>
    <w:p>
      <w:pPr>
        <w:spacing w:after="0" w:line="18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If any Interest Payment Date, principal payment date, date of redemption or other payment date with respect to the Securities is not a Business Day (as defined below), the required payment of principal, premium, if any, or interest will be due on the next succeeding Business Day as if made on the date that such payment was due, and no interest will accrue on that payment for the period from and after that Interest Payment Date, principal payment date, date of redemption or other payment date, as the case may be, to the date of that payment on the next succeeding Business Day.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w:t>
      </w:r>
      <w:r>
        <w:rPr>
          <w:rFonts w:ascii="Arial" w:cs="Arial" w:eastAsia="Arial" w:hAnsi="Arial"/>
          <w:sz w:val="16"/>
          <w:szCs w:val="16"/>
          <w:color w:val="auto"/>
        </w:rPr>
        <w:t xml:space="preserve"> </w:t>
      </w:r>
      <w:r>
        <w:rPr>
          <w:rFonts w:ascii="Arial" w:cs="Arial" w:eastAsia="Arial" w:hAnsi="Arial"/>
          <w:sz w:val="16"/>
          <w:szCs w:val="16"/>
          <w:b w:val="1"/>
          <w:bCs w:val="1"/>
          <w:color w:val="auto"/>
        </w:rPr>
        <w:t>Tender</w:t>
      </w:r>
      <w:r>
        <w:rPr>
          <w:rFonts w:ascii="Arial" w:cs="Arial" w:eastAsia="Arial" w:hAnsi="Arial"/>
          <w:sz w:val="16"/>
          <w:szCs w:val="16"/>
          <w:color w:val="auto"/>
        </w:rPr>
        <w:t>”). The payments of interest, and any portion of the principal shall be made by the Paying Agent, upon receipt from the Issuer of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funds by 4:00 p.m.,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All payment dates with respect to the Securities, whether upon maturity, on any redemption date or on any Interest Payment Date, shall be determined in accordance with the time-zone applicable to The City of New York.</w:t>
      </w:r>
    </w:p>
    <w:p>
      <w:pPr>
        <w:sectPr>
          <w:pgSz w:w="11900" w:h="16838" w:orient="portrait"/>
          <w:cols w:equalWidth="0" w:num="1">
            <w:col w:w="11400"/>
          </w:cols>
          <w:pgMar w:left="240" w:top="274" w:right="259" w:bottom="1440" w:gutter="0" w:footer="0" w:header="0"/>
        </w:sectPr>
      </w:pPr>
    </w:p>
    <w:bookmarkStart w:id="11" w:name="page12"/>
    <w:bookmarkEnd w:id="11"/>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London or Taipei, are authorized or required by law, regulation or executive order to close.</w:t>
      </w:r>
    </w:p>
    <w:p>
      <w:pPr>
        <w:spacing w:after="0" w:line="31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31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Trustee, as amended by the First Supplemental Indenture dated as of November 17, 2015 by and among the Issuer, the guarantors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(together,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w:t>
      </w:r>
    </w:p>
    <w:p>
      <w:pPr>
        <w:spacing w:after="0" w:line="3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of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is not required to transfer or exchange any Security selected for redemption during a period of fifteen (15) days before the electronic delivery or mailing of a notice of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2" w:name="page13"/>
    <w:bookmarkEnd w:id="12"/>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Issuer will have the right at its option to redeem any of the Securities, in whole but not in part, on each February 1 on or after February 1, 2018, on at least 30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but not more than 60 days, prior notice electronically delivered or mailed to the registered address of each Holder of the Securities, at a Redemption Price equal to 100% of the principal amount of the Securities being redeemed plus any accrued interest to, but not including, the date of redemption.</w:t>
      </w:r>
    </w:p>
    <w:p>
      <w:pPr>
        <w:spacing w:after="0" w:line="27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for Tax Reasons.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Issuer will have right to redeem the Securities, in whole but not in part, on not less than 10 nor more than 60 days prior notice, at a redemption price equal to 100% of their principal amount, together with any accrued and unpaid interest to, but not including, the date of redemption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November 23, 2015, the Issuer becomes or, based upon a written opinion of independent counsel selected by the Issuer, will become obligated to pay additional amounts as described in Section 14 herein under the heading “Payment of Additional Amounts.”</w:t>
      </w:r>
    </w:p>
    <w:p>
      <w:pPr>
        <w:spacing w:after="0" w:line="338"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Additional Amounts.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on the Securities to a Holder who is not a United States person (as defined below), after withholding or deduction for any present or future tax, assessment or other governmental charge (“</w:t>
      </w:r>
      <w:r>
        <w:rPr>
          <w:rFonts w:ascii="Arial" w:cs="Arial" w:eastAsia="Arial" w:hAnsi="Arial"/>
          <w:sz w:val="18"/>
          <w:szCs w:val="18"/>
          <w:b w:val="1"/>
          <w:bCs w:val="1"/>
          <w:color w:val="auto"/>
        </w:rPr>
        <w:t>Tax</w:t>
      </w:r>
      <w:r>
        <w:rPr>
          <w:rFonts w:ascii="Arial" w:cs="Arial" w:eastAsia="Arial" w:hAnsi="Arial"/>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0" w:lineRule="exact"/>
        <w:rPr>
          <w:sz w:val="20"/>
          <w:szCs w:val="20"/>
          <w:color w:val="auto"/>
        </w:rPr>
      </w:pPr>
    </w:p>
    <w:p>
      <w:pPr>
        <w:jc w:val="both"/>
        <w:ind w:left="920" w:right="80" w:firstLine="1"/>
        <w:spacing w:after="0" w:line="26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if the Holder is an estate, trust, partnership or corporation, or a person holding a power over an estate or trust administered by a fiduciary Holder, being considered as:</w:t>
      </w:r>
    </w:p>
    <w:p>
      <w:pPr>
        <w:spacing w:after="0" w:line="73" w:lineRule="exact"/>
        <w:rPr>
          <w:rFonts w:ascii="Arial" w:cs="Arial" w:eastAsia="Arial" w:hAnsi="Arial"/>
          <w:sz w:val="18"/>
          <w:szCs w:val="18"/>
          <w:color w:val="auto"/>
        </w:rPr>
      </w:pPr>
    </w:p>
    <w:p>
      <w:pPr>
        <w:ind w:left="1500" w:right="400" w:hanging="8"/>
        <w:spacing w:after="0" w:line="277" w:lineRule="auto"/>
        <w:tabs>
          <w:tab w:leader="none" w:pos="16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62" w:lineRule="exact"/>
        <w:rPr>
          <w:rFonts w:ascii="Arial" w:cs="Arial" w:eastAsia="Arial" w:hAnsi="Arial"/>
          <w:sz w:val="18"/>
          <w:szCs w:val="18"/>
          <w:color w:val="auto"/>
        </w:rPr>
      </w:pPr>
    </w:p>
    <w:p>
      <w:pPr>
        <w:jc w:val="both"/>
        <w:ind w:left="1500" w:right="40" w:hanging="8"/>
        <w:spacing w:after="0" w:line="264" w:lineRule="auto"/>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p>
      <w:pPr>
        <w:ind w:left="579"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being or having been a personal holding company, a passive foreign investment company or a controlled foreign corporation for U.S. federal income tax purposes or a corporation that has accumulated earnings to avoid U.S. federal income tax;</w:t>
      </w:r>
    </w:p>
    <w:p>
      <w:pPr>
        <w:spacing w:after="0" w:line="38" w:lineRule="exact"/>
        <w:rPr>
          <w:sz w:val="20"/>
          <w:szCs w:val="20"/>
          <w:color w:val="auto"/>
        </w:rPr>
      </w:pPr>
    </w:p>
    <w:p>
      <w:pPr>
        <w:ind w:left="579" w:right="120"/>
        <w:spacing w:after="0" w:line="277" w:lineRule="auto"/>
        <w:rPr>
          <w:sz w:val="20"/>
          <w:szCs w:val="20"/>
          <w:color w:val="auto"/>
        </w:rPr>
      </w:pPr>
      <w:r>
        <w:rPr>
          <w:rFonts w:ascii="Arial" w:cs="Arial" w:eastAsia="Arial" w:hAnsi="Arial"/>
          <w:sz w:val="18"/>
          <w:szCs w:val="18"/>
          <w:color w:val="auto"/>
        </w:rPr>
        <w:t>d. being or having been a “10-percent shareholder” of us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2" w:lineRule="exact"/>
        <w:rPr>
          <w:sz w:val="20"/>
          <w:szCs w:val="20"/>
          <w:color w:val="auto"/>
        </w:rPr>
      </w:pPr>
    </w:p>
    <w:p>
      <w:pPr>
        <w:ind w:left="579" w:right="220"/>
        <w:spacing w:after="0" w:line="277" w:lineRule="auto"/>
        <w:rPr>
          <w:sz w:val="20"/>
          <w:szCs w:val="20"/>
          <w:color w:val="auto"/>
        </w:rPr>
      </w:pPr>
      <w:r>
        <w:rPr>
          <w:rFonts w:ascii="Arial" w:cs="Arial" w:eastAsia="Arial" w:hAnsi="Arial"/>
          <w:sz w:val="18"/>
          <w:szCs w:val="18"/>
          <w:color w:val="auto"/>
        </w:rPr>
        <w:t>e. being a controlled foreign corporation that is related to us or the applicable guarantor within the meaning of Section 864(d)(4) of the Code; or</w:t>
      </w:r>
    </w:p>
    <w:p>
      <w:pPr>
        <w:spacing w:after="0" w:line="62" w:lineRule="exact"/>
        <w:rPr>
          <w:sz w:val="20"/>
          <w:szCs w:val="20"/>
          <w:color w:val="auto"/>
        </w:rPr>
      </w:pPr>
    </w:p>
    <w:p>
      <w:pPr>
        <w:ind w:left="579" w:right="100"/>
        <w:spacing w:after="0" w:line="277" w:lineRule="auto"/>
        <w:rPr>
          <w:sz w:val="20"/>
          <w:szCs w:val="20"/>
          <w:color w:val="auto"/>
        </w:rPr>
      </w:pPr>
      <w:r>
        <w:rPr>
          <w:rFonts w:ascii="Arial" w:cs="Arial" w:eastAsia="Arial" w:hAnsi="Arial"/>
          <w:sz w:val="18"/>
          <w:szCs w:val="18"/>
          <w:color w:val="auto"/>
        </w:rPr>
        <w:t>f. being a bank receiving payments on an extension of credit made pursuant to a loan agreement entered into in the ordinary course of its trade or business;</w:t>
      </w:r>
    </w:p>
    <w:p>
      <w:pPr>
        <w:spacing w:after="0" w:line="62" w:lineRule="exact"/>
        <w:rPr>
          <w:sz w:val="20"/>
          <w:szCs w:val="20"/>
          <w:color w:val="auto"/>
        </w:rPr>
      </w:pPr>
    </w:p>
    <w:p>
      <w:pPr>
        <w:ind w:left="-1" w:right="20" w:firstLine="1"/>
        <w:spacing w:after="0" w:line="302" w:lineRule="auto"/>
        <w:tabs>
          <w:tab w:leader="none" w:pos="17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6" w:lineRule="exact"/>
        <w:rPr>
          <w:rFonts w:ascii="Arial" w:cs="Arial" w:eastAsia="Arial" w:hAnsi="Arial"/>
          <w:sz w:val="16"/>
          <w:szCs w:val="16"/>
          <w:color w:val="auto"/>
        </w:rPr>
      </w:pPr>
    </w:p>
    <w:p>
      <w:pPr>
        <w:jc w:val="both"/>
        <w:ind w:left="-1" w:firstLine="1"/>
        <w:spacing w:after="0" w:line="279" w:lineRule="auto"/>
        <w:tabs>
          <w:tab w:leader="none" w:pos="17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w:t>
      </w:r>
    </w:p>
    <w:p>
      <w:pPr>
        <w:spacing w:after="0" w:line="63" w:lineRule="exact"/>
        <w:rPr>
          <w:rFonts w:ascii="Arial" w:cs="Arial" w:eastAsia="Arial" w:hAnsi="Arial"/>
          <w:sz w:val="17"/>
          <w:szCs w:val="17"/>
          <w:color w:val="auto"/>
        </w:rPr>
      </w:pPr>
    </w:p>
    <w:p>
      <w:pPr>
        <w:ind w:left="179" w:hanging="179"/>
        <w:spacing w:after="0"/>
        <w:tabs>
          <w:tab w:leader="none" w:pos="1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17" w:lineRule="exact"/>
        <w:rPr>
          <w:rFonts w:ascii="Arial" w:cs="Arial" w:eastAsia="Arial" w:hAnsi="Arial"/>
          <w:sz w:val="18"/>
          <w:szCs w:val="18"/>
          <w:color w:val="auto"/>
        </w:rPr>
      </w:pPr>
    </w:p>
    <w:p>
      <w:pPr>
        <w:ind w:left="-1" w:right="440" w:firstLine="1"/>
        <w:spacing w:after="0" w:line="277" w:lineRule="auto"/>
        <w:tabs>
          <w:tab w:leader="none" w:pos="1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2" w:lineRule="exact"/>
        <w:rPr>
          <w:rFonts w:ascii="Arial" w:cs="Arial" w:eastAsia="Arial" w:hAnsi="Arial"/>
          <w:sz w:val="18"/>
          <w:szCs w:val="18"/>
          <w:color w:val="auto"/>
        </w:rPr>
      </w:pPr>
    </w:p>
    <w:p>
      <w:pPr>
        <w:ind w:left="179" w:hanging="179"/>
        <w:spacing w:after="0"/>
        <w:tabs>
          <w:tab w:leader="none" w:pos="1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58"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99"/>
          </w:cols>
          <w:pgMar w:left="1161" w:top="274" w:right="239" w:bottom="1440" w:gutter="0" w:footer="0" w:header="0"/>
        </w:sectPr>
      </w:pPr>
    </w:p>
    <w:bookmarkStart w:id="15" w:name="page16"/>
    <w:bookmarkEnd w:id="15"/>
    <w:p>
      <w:pPr>
        <w:jc w:val="both"/>
        <w:ind w:left="920" w:right="200" w:firstLine="1"/>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w:t>
      </w:r>
    </w:p>
    <w:p>
      <w:pPr>
        <w:spacing w:after="0" w:line="73" w:lineRule="exact"/>
        <w:rPr>
          <w:rFonts w:ascii="Arial" w:cs="Arial" w:eastAsia="Arial" w:hAnsi="Arial"/>
          <w:sz w:val="18"/>
          <w:szCs w:val="18"/>
          <w:color w:val="auto"/>
        </w:rPr>
      </w:pPr>
    </w:p>
    <w:p>
      <w:pPr>
        <w:ind w:left="920" w:right="200" w:firstLine="1"/>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62" w:lineRule="exact"/>
        <w:rPr>
          <w:rFonts w:ascii="Arial" w:cs="Arial" w:eastAsia="Arial" w:hAnsi="Arial"/>
          <w:sz w:val="18"/>
          <w:szCs w:val="18"/>
          <w:color w:val="auto"/>
        </w:rPr>
      </w:pPr>
    </w:p>
    <w:p>
      <w:pPr>
        <w:ind w:left="920" w:right="360" w:firstLine="1"/>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73" w:lineRule="exact"/>
        <w:rPr>
          <w:rFonts w:ascii="Arial" w:cs="Arial" w:eastAsia="Arial" w:hAnsi="Arial"/>
          <w:sz w:val="18"/>
          <w:szCs w:val="18"/>
          <w:color w:val="auto"/>
        </w:rPr>
      </w:pPr>
    </w:p>
    <w:p>
      <w:pPr>
        <w:ind w:left="920" w:right="200" w:firstLine="1"/>
        <w:spacing w:after="0" w:line="259" w:lineRule="auto"/>
        <w:tabs>
          <w:tab w:leader="none" w:pos="1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used in this Section 14,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33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 w:name="page17"/>
    <w:bookmarkEnd w:id="16"/>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95"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ISIN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400" w:type="dxa"/>
            <w:vAlign w:val="bottom"/>
            <w:tcBorders>
              <w:top w:val="single" w:sz="8" w:color="auto"/>
            </w:tcBorders>
            <w:gridSpan w:val="3"/>
          </w:tcPr>
          <w:p>
            <w:pPr>
              <w:jc w:val="center"/>
              <w:ind w:right="291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431"/>
        </w:trPr>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00" w:type="dxa"/>
            <w:vAlign w:val="bottom"/>
            <w:gridSpan w:val="4"/>
          </w:tcPr>
          <w:p>
            <w:pPr>
              <w:jc w:val="center"/>
              <w:ind w:right="243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1"/>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0" w:type="dxa"/>
            <w:vAlign w:val="bottom"/>
            <w:gridSpan w:val="3"/>
          </w:tcPr>
          <w:p>
            <w:pPr>
              <w:ind w:left="40"/>
              <w:spacing w:after="0"/>
              <w:rPr>
                <w:sz w:val="20"/>
                <w:szCs w:val="20"/>
                <w:color w:val="auto"/>
              </w:rPr>
            </w:pPr>
            <w:r>
              <w:rPr>
                <w:rFonts w:ascii="Arial" w:cs="Arial" w:eastAsia="Arial" w:hAnsi="Arial"/>
                <w:sz w:val="18"/>
                <w:szCs w:val="18"/>
                <w:color w:val="auto"/>
                <w:w w:val="99"/>
              </w:rPr>
              <w:t>agent to transfer this Security on the books of the Issuer. The agent may substitute another to act for him.</w:t>
            </w: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Dated:</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20" w:type="dxa"/>
            <w:vAlign w:val="bottom"/>
            <w:gridSpan w:val="2"/>
          </w:tcPr>
          <w:p>
            <w:pPr>
              <w:ind w:left="800"/>
              <w:spacing w:after="0"/>
              <w:rPr>
                <w:sz w:val="20"/>
                <w:szCs w:val="20"/>
                <w:color w:val="auto"/>
              </w:rPr>
            </w:pPr>
            <w:r>
              <w:rPr>
                <w:rFonts w:ascii="Arial" w:cs="Arial" w:eastAsia="Arial" w:hAnsi="Arial"/>
                <w:sz w:val="18"/>
                <w:szCs w:val="18"/>
                <w:color w:val="auto"/>
              </w:rPr>
              <w:t>Signed:</w:t>
            </w:r>
          </w:p>
        </w:tc>
      </w:tr>
      <w:tr>
        <w:trPr>
          <w:trHeight w:val="209"/>
        </w:trPr>
        <w:tc>
          <w:tcPr>
            <w:tcW w:w="8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(Signed exactly as name appears on the other side of this</w:t>
            </w:r>
          </w:p>
        </w:tc>
      </w:tr>
      <w:tr>
        <w:trPr>
          <w:trHeight w:val="230"/>
        </w:trPr>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Security)</w:t>
            </w:r>
          </w:p>
        </w:tc>
      </w:tr>
      <w:tr>
        <w:trPr>
          <w:trHeight w:val="459"/>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09"/>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30"/>
        </w:trPr>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60" w:type="dxa"/>
            <w:vAlign w:val="bottom"/>
            <w:gridSpan w:val="5"/>
          </w:tcPr>
          <w:p>
            <w:pPr>
              <w:ind w:left="760"/>
              <w:spacing w:after="0"/>
              <w:rPr>
                <w:sz w:val="20"/>
                <w:szCs w:val="20"/>
                <w:color w:val="auto"/>
              </w:rPr>
            </w:pPr>
            <w:r>
              <w:rPr>
                <w:rFonts w:ascii="Arial" w:cs="Arial" w:eastAsia="Arial" w:hAnsi="Arial"/>
                <w:sz w:val="18"/>
                <w:szCs w:val="18"/>
                <w:color w:val="auto"/>
              </w:rPr>
              <w:t>Medallion Program (or other signature guarantor program reasonably acceptable to the Trustee)</w:t>
            </w:r>
          </w:p>
        </w:tc>
      </w:tr>
      <w:tr>
        <w:trPr>
          <w:trHeight w:val="365"/>
        </w:trPr>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100" w:type="dxa"/>
            <w:vAlign w:val="bottom"/>
            <w:gridSpan w:val="4"/>
          </w:tcPr>
          <w:p>
            <w:pPr>
              <w:jc w:val="center"/>
              <w:ind w:left="2710"/>
              <w:spacing w:after="0"/>
              <w:rPr>
                <w:sz w:val="20"/>
                <w:szCs w:val="20"/>
                <w:color w:val="auto"/>
              </w:rPr>
            </w:pPr>
            <w:r>
              <w:rPr>
                <w:rFonts w:ascii="Arial" w:cs="Arial" w:eastAsia="Arial" w:hAnsi="Arial"/>
                <w:sz w:val="18"/>
                <w:szCs w:val="18"/>
                <w:color w:val="auto"/>
                <w:w w:val="99"/>
              </w:rPr>
              <w:t>8</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Subscription Agreement dated November 23, 2015 (the “</w:t>
      </w:r>
      <w:r>
        <w:rPr>
          <w:rFonts w:ascii="Arial" w:cs="Arial" w:eastAsia="Arial" w:hAnsi="Arial"/>
          <w:sz w:val="17"/>
          <w:szCs w:val="17"/>
          <w:b w:val="1"/>
          <w:bCs w:val="1"/>
          <w:color w:val="auto"/>
        </w:rPr>
        <w:t>Subscription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E.Sun Commercial Bank, Ltd., MasterLink Securities Corporation and SinoPac</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Corporation, as the several managers named therein (the “</w:t>
      </w:r>
      <w:r>
        <w:rPr>
          <w:rFonts w:ascii="Arial" w:cs="Arial" w:eastAsia="Arial" w:hAnsi="Arial"/>
          <w:sz w:val="17"/>
          <w:szCs w:val="17"/>
          <w:b w:val="1"/>
          <w:bCs w:val="1"/>
          <w:color w:val="auto"/>
        </w:rPr>
        <w:t>Managers</w:t>
      </w:r>
      <w:r>
        <w:rPr>
          <w:rFonts w:ascii="Arial" w:cs="Arial" w:eastAsia="Arial" w:hAnsi="Arial"/>
          <w:sz w:val="17"/>
          <w:szCs w:val="17"/>
          <w:color w:val="auto"/>
        </w:rPr>
        <w:t>”), of $1,490,000,000 aggregate principal amount of its 4.60% Notes due 2046 (the “</w:t>
      </w:r>
      <w:r>
        <w:rPr>
          <w:rFonts w:ascii="Arial" w:cs="Arial" w:eastAsia="Arial" w:hAnsi="Arial"/>
          <w:sz w:val="17"/>
          <w:szCs w:val="17"/>
          <w:b w:val="1"/>
          <w:bCs w:val="1"/>
          <w:color w:val="auto"/>
        </w:rPr>
        <w:t>Notes</w:t>
      </w:r>
      <w:r>
        <w:rPr>
          <w:rFonts w:ascii="Arial" w:cs="Arial" w:eastAsia="Arial" w:hAnsi="Arial"/>
          <w:sz w:val="17"/>
          <w:szCs w:val="17"/>
          <w:color w:val="auto"/>
        </w:rPr>
        <w:t xml:space="preserve">”). The Notes are to be issued pursuant to the provisions of the Indenture dated as of September 18, 2013 (the “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among the Company, the guarantors named therein and the Trustee and guaranteed on an unsecured and unsubordinated basis by Comcast Cable Communications, LLC and NBCUniversal Media, LLC (the “</w:t>
      </w:r>
      <w:r>
        <w:rPr>
          <w:rFonts w:ascii="Arial" w:cs="Arial" w:eastAsia="Arial" w:hAnsi="Arial"/>
          <w:sz w:val="17"/>
          <w:szCs w:val="17"/>
          <w:b w:val="1"/>
          <w:bCs w:val="1"/>
          <w:color w:val="auto"/>
        </w:rPr>
        <w:t>Guarantors</w:t>
      </w:r>
      <w:r>
        <w:rPr>
          <w:rFonts w:ascii="Arial" w:cs="Arial" w:eastAsia="Arial" w:hAnsi="Arial"/>
          <w:sz w:val="17"/>
          <w:szCs w:val="17"/>
          <w:color w:val="auto"/>
        </w:rPr>
        <w:t>”).</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September 18, 2013, as amended on February 19, 2014 and November 23, 2015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990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4" w:right="4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acted as counsel to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issuance by the Company, pursuant to the Subscription Agreement dated November 23, 2015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among the Company, the Guarantors (as defined below) and E.Sun Commercial Bank, Ltd., MasterLink Securities Corporation and SinoPac Securities Corporation, as representatives of the several managers named therein (the “</w:t>
      </w:r>
      <w:r>
        <w:rPr>
          <w:rFonts w:ascii="Arial" w:cs="Arial" w:eastAsia="Arial" w:hAnsi="Arial"/>
          <w:sz w:val="18"/>
          <w:szCs w:val="18"/>
          <w:b w:val="1"/>
          <w:bCs w:val="1"/>
          <w:color w:val="auto"/>
        </w:rPr>
        <w:t>Managers</w:t>
      </w:r>
      <w:r>
        <w:rPr>
          <w:rFonts w:ascii="Arial" w:cs="Arial" w:eastAsia="Arial" w:hAnsi="Arial"/>
          <w:sz w:val="18"/>
          <w:szCs w:val="18"/>
          <w:color w:val="auto"/>
        </w:rPr>
        <w:t>”), of $1,490,000,000 aggregate principal amount of its 4.60% Notes due 2046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The Notes are to be issued pursuant to the provisions of the Indenture dated as of September 18, 2013 (the “ </w:t>
      </w:r>
      <w:r>
        <w:rPr>
          <w:rFonts w:ascii="Arial" w:cs="Arial" w:eastAsia="Arial" w:hAnsi="Arial"/>
          <w:sz w:val="18"/>
          <w:szCs w:val="18"/>
          <w:b w:val="1"/>
          <w:bCs w:val="1"/>
          <w:color w:val="auto"/>
        </w:rPr>
        <w:t>Base Indenture</w:t>
      </w:r>
      <w:r>
        <w:rPr>
          <w:rFonts w:ascii="Arial" w:cs="Arial" w:eastAsia="Arial" w:hAnsi="Arial"/>
          <w:sz w:val="18"/>
          <w:szCs w:val="18"/>
          <w:color w:val="auto"/>
        </w:rPr>
        <w:t>”)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among the Company, the guarantors named therein and the Trustee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and unsubordinated basis by Comcast Cable Communications, LLC and NBCUniversal Media, LLC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right="20" w:firstLine="8"/>
        <w:spacing w:after="0" w:line="291"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4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Guarantees have been duly authorized, and, assuming the Notes have been duly authorized by the Company, when the Notes have been duly executed and authenticated in accordance with the provisions of</w:t>
      </w:r>
    </w:p>
    <w:p>
      <w:pPr>
        <w:sectPr>
          <w:pgSz w:w="11900" w:h="16838" w:orient="portrait"/>
          <w:cols w:equalWidth="0" w:num="1">
            <w:col w:w="11420"/>
          </w:cols>
          <w:pgMar w:left="240" w:top="121" w:right="23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and delivered to and paid for by the Managers in accordance with the terms of the Subscription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5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filed on September 18, 2013, as amended on February 19, 2014 and November 23, 2015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1."/>
      <w:numFmt w:val="decimal"/>
      <w:start w:val="14"/>
    </w:lvl>
  </w:abstractNum>
  <w:abstractNum w:abstractNumId="15">
    <w:nsid w:val="333AB105"/>
    <w:multiLevelType w:val="hybridMultilevel"/>
    <w:lvl w:ilvl="0">
      <w:lvlJc w:val="left"/>
      <w:lvlText w:val="%1."/>
      <w:numFmt w:val="decimal"/>
      <w:start w:val="1"/>
    </w:lvl>
    <w:lvl w:ilvl="1">
      <w:lvlJc w:val="left"/>
      <w:lvlText w:val="%2."/>
      <w:numFmt w:val="lowerLetter"/>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7"/>
    </w:lvl>
  </w:abstractNum>
  <w:abstractNum w:abstractNumId="18">
    <w:nsid w:val="2D1D5AE9"/>
    <w:multiLevelType w:val="hybridMultilevel"/>
    <w:lvl w:ilvl="0">
      <w:lvlJc w:val="left"/>
      <w:lvlText w:val="%1."/>
      <w:numFmt w:val="decimal"/>
      <w:start w:val="15"/>
    </w:lvl>
  </w:abstractNum>
  <w:abstractNum w:abstractNumId="19">
    <w:nsid w:val="6763845E"/>
    <w:multiLevelType w:val="hybridMultilevel"/>
    <w:lvl w:ilvl="0">
      <w:lvlJc w:val="left"/>
      <w:lvlText w:val="%1."/>
      <w:numFmt w:val="decimal"/>
      <w:start w:val="16"/>
    </w:lvl>
  </w:abstractNum>
  <w:abstractNum w:abstractNumId="20">
    <w:nsid w:val="75A2A8D4"/>
    <w:multiLevelType w:val="hybridMultilevel"/>
    <w:lvl w:ilvl="0">
      <w:lvlJc w:val="left"/>
      <w:lvlText w:val="%1."/>
      <w:numFmt w:val="decimal"/>
      <w:start w:val="17"/>
    </w:lvl>
  </w:abstractNum>
  <w:abstractNum w:abstractNumId="21">
    <w:nsid w:val="8EDBDAB"/>
    <w:multiLevelType w:val="hybridMultilevel"/>
    <w:lvl w:ilvl="0">
      <w:lvlJc w:val="left"/>
      <w:lvlText w:val="%1."/>
      <w:numFmt w:val="decimal"/>
      <w:start w:val="18"/>
    </w:lvl>
  </w:abstractNum>
  <w:abstractNum w:abstractNumId="22">
    <w:nsid w:val="79838CB2"/>
    <w:multiLevelType w:val="hybridMultilevel"/>
    <w:lvl w:ilvl="0">
      <w:lvlJc w:val="left"/>
      <w:lvlText w:val="%1."/>
      <w:numFmt w:val="decimal"/>
      <w:start w:val="19"/>
    </w:lvl>
  </w:abstractNum>
  <w:abstractNum w:abstractNumId="23">
    <w:nsid w:val="4353D0CD"/>
    <w:multiLevelType w:val="hybridMultilevel"/>
    <w:lvl w:ilvl="0">
      <w:lvlJc w:val="left"/>
      <w:lvlText w:val="%1."/>
      <w:numFmt w:val="decimal"/>
      <w:start w:val="20"/>
    </w:lvl>
  </w:abstractNum>
  <w:abstractNum w:abstractNumId="24">
    <w:nsid w:val="B03E0C6"/>
    <w:multiLevelType w:val="hybridMultilevel"/>
    <w:lvl w:ilvl="0">
      <w:lvlJc w:val="left"/>
      <w:lvlText w:val="%1."/>
      <w:numFmt w:val="decimal"/>
      <w:start w:val="2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2019-12-08T00:47:21Z</dcterms:created>
  <dcterms:modified xsi:type="dcterms:W3CDTF">2019-12-08T00:47:21Z</dcterms:modified>
</cp:coreProperties>
</file>