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14,317.41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involved the transfer of shares of Class A Common Stock to a GRAT, of which the reporting person is not a trustee.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8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36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2025-03-19T15:22:52Z</dcterms:created>
  <dcterms:modified xsi:type="dcterms:W3CDTF">2025-03-19T15:22:52Z</dcterms:modified>
</cp:coreProperties>
</file>