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Proxy Statement Pursuant to Section 14(a) of</w:t>
      </w:r>
    </w:p>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Filed by the Registrant |_|</w:t>
      </w:r>
    </w:p>
    <w:p>
      <w:pPr>
        <w:ind w:left="540"/>
        <w:spacing w:after="0" w:line="238" w:lineRule="auto"/>
        <w:rPr>
          <w:sz w:val="20"/>
          <w:szCs w:val="20"/>
          <w:color w:val="auto"/>
        </w:rPr>
      </w:pPr>
      <w:r>
        <w:rPr>
          <w:rFonts w:ascii="Courier New" w:cs="Courier New" w:eastAsia="Courier New" w:hAnsi="Courier New"/>
          <w:sz w:val="18"/>
          <w:szCs w:val="18"/>
          <w:color w:val="auto"/>
        </w:rPr>
        <w:t>Filed by a Party other than the Registrant |X|</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w:t>
      </w:r>
    </w:p>
    <w:p>
      <w:pPr>
        <w:sectPr>
          <w:pgSz w:w="11900" w:h="16838" w:orient="portrait"/>
          <w:cols w:equalWidth="0" w:num="1">
            <w:col w:w="10219"/>
          </w:cols>
          <w:pgMar w:left="240" w:top="244" w:right="1440" w:bottom="649" w:gutter="0" w:footer="0" w:header="0"/>
        </w:sectPr>
      </w:pP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|_| Preliminary Proxy Statement</w:t>
      </w:r>
      <w:r>
        <w:rPr>
          <w:sz w:val="20"/>
          <w:szCs w:val="20"/>
          <w:color w:val="auto"/>
        </w:rPr>
        <w:tab/>
      </w:r>
      <w:r>
        <w:rPr>
          <w:rFonts w:ascii="Courier New" w:cs="Courier New" w:eastAsia="Courier New" w:hAnsi="Courier New"/>
          <w:sz w:val="16"/>
          <w:szCs w:val="16"/>
          <w:color w:val="auto"/>
        </w:rPr>
        <w:t>|_|</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|_| Definitive Proxy Statement</w:t>
      </w:r>
    </w:p>
    <w:p>
      <w:pPr>
        <w:ind w:left="540"/>
        <w:spacing w:after="0" w:line="238" w:lineRule="auto"/>
        <w:rPr>
          <w:sz w:val="20"/>
          <w:szCs w:val="20"/>
          <w:color w:val="auto"/>
        </w:rPr>
      </w:pPr>
      <w:r>
        <w:rPr>
          <w:rFonts w:ascii="Courier New" w:cs="Courier New" w:eastAsia="Courier New" w:hAnsi="Courier New"/>
          <w:sz w:val="18"/>
          <w:szCs w:val="18"/>
          <w:color w:val="auto"/>
        </w:rPr>
        <w:t>|_| Definitive Additional Materials</w:t>
      </w:r>
    </w:p>
    <w:p>
      <w:pPr>
        <w:ind w:left="540"/>
        <w:spacing w:after="0"/>
        <w:rPr>
          <w:sz w:val="20"/>
          <w:szCs w:val="20"/>
          <w:color w:val="auto"/>
        </w:rPr>
      </w:pPr>
      <w:r>
        <w:rPr>
          <w:rFonts w:ascii="Courier New" w:cs="Courier New" w:eastAsia="Courier New" w:hAnsi="Courier New"/>
          <w:sz w:val="18"/>
          <w:szCs w:val="18"/>
          <w:color w:val="auto"/>
        </w:rPr>
        <w:t>|X| Soliciting Material Under Rule 14a-12</w:t>
      </w:r>
    </w:p>
    <w:p>
      <w:pPr>
        <w:spacing w:after="0" w:line="20" w:lineRule="exact"/>
        <w:rPr>
          <w:sz w:val="24"/>
          <w:szCs w:val="24"/>
          <w:color w:val="auto"/>
        </w:rPr>
      </w:pPr>
      <w:r>
        <w:rPr>
          <w:sz w:val="24"/>
          <w:szCs w:val="24"/>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Confidential, For Use of the</w:t>
      </w:r>
    </w:p>
    <w:p>
      <w:pPr>
        <w:spacing w:after="0"/>
        <w:rPr>
          <w:sz w:val="20"/>
          <w:szCs w:val="20"/>
          <w:color w:val="auto"/>
        </w:rPr>
      </w:pPr>
      <w:r>
        <w:rPr>
          <w:rFonts w:ascii="Courier New" w:cs="Courier New" w:eastAsia="Courier New" w:hAnsi="Courier New"/>
          <w:sz w:val="18"/>
          <w:szCs w:val="18"/>
          <w:color w:val="auto"/>
        </w:rPr>
        <w:t>Commission Only (as</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permitted by Rule 14a-6(e)(2))</w:t>
      </w:r>
    </w:p>
    <w:p>
      <w:pPr>
        <w:spacing w:after="0" w:line="623" w:lineRule="exact"/>
        <w:rPr>
          <w:sz w:val="24"/>
          <w:szCs w:val="24"/>
          <w:color w:val="auto"/>
        </w:rPr>
      </w:pPr>
    </w:p>
    <w:p>
      <w:pPr>
        <w:sectPr>
          <w:pgSz w:w="11900" w:h="16838" w:orient="portrait"/>
          <w:cols w:equalWidth="0" w:num="2">
            <w:col w:w="5060" w:space="220"/>
            <w:col w:w="4939"/>
          </w:cols>
          <w:pgMar w:left="240" w:top="244" w:right="1440" w:bottom="649" w:gutter="0" w:footer="0" w:header="0"/>
          <w:type w:val="continuous"/>
        </w:sectPr>
      </w:pPr>
    </w:p>
    <w:p>
      <w:pPr>
        <w:ind w:left="3700"/>
        <w:spacing w:after="0"/>
        <w:rPr>
          <w:sz w:val="20"/>
          <w:szCs w:val="20"/>
          <w:color w:val="auto"/>
        </w:rPr>
      </w:pPr>
      <w:r>
        <w:rPr>
          <w:rFonts w:ascii="Courier New" w:cs="Courier New" w:eastAsia="Courier New" w:hAnsi="Courier New"/>
          <w:sz w:val="18"/>
          <w:szCs w:val="18"/>
          <w:color w:val="auto"/>
        </w:rPr>
        <w:t>AT&amp;T Corp.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 fee required.</w:t>
      </w:r>
    </w:p>
    <w:p>
      <w:pPr>
        <w:spacing w:after="0" w:line="207" w:lineRule="exact"/>
        <w:rPr>
          <w:sz w:val="24"/>
          <w:szCs w:val="24"/>
          <w:color w:val="auto"/>
        </w:rPr>
      </w:pPr>
    </w:p>
    <w:p>
      <w:pPr>
        <w:ind w:left="1060" w:right="219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|_|</w:t>
        <w:tab/>
        <w:t>Fee computed on table below per Exchange Act Rules 14a-6(i)(1) and 0-11.</w:t>
      </w:r>
    </w:p>
    <w:p>
      <w:pPr>
        <w:spacing w:after="0" w:line="203" w:lineRule="exact"/>
        <w:rPr>
          <w:sz w:val="24"/>
          <w:szCs w:val="24"/>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right="1779" w:firstLine="535"/>
        <w:spacing w:after="0" w:line="236" w:lineRule="auto"/>
        <w:tabs>
          <w:tab w:leader="none" w:pos="9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Fee paid previously with preliminary materials.</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sz w:val="24"/>
          <w:szCs w:val="24"/>
          <w:color w:val="auto"/>
        </w:rPr>
      </w:pPr>
    </w:p>
    <w:p>
      <w:pPr>
        <w:ind w:left="960" w:hanging="425"/>
        <w:spacing w:after="0"/>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649"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The following letter was sent to Comcast employees: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LOGO]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Thursday, July 19,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Comcasters: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you may have read in today's newspapers, the AT&amp;T Board of Directors rejected our proposal to merge with AT&amp;T Broadband. Importantly, the AT&amp;T Board also said they have decided to delay the vote on their broadband tracking stock proposal.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Since our July 8 offer, their shareholders have responded favorably to our proposal, and AT&amp;T stock has risen dramatically, adding about $14 billion in market valuation to AT&amp;T. In their press release yesterday, AT&amp;T stated that management will "explore financial and strategic alternatives." We assume that we will be part of that process. Consequently, we see this announcement as positive news for our company.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last ten days we have had dozens of meetings with major AT&amp;T and Comcast shareholders. During these visits we have been struck by how positively our company is viewed and how confident investors are in our operating team. That should make all of you proud to work for Comcast.</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Our proposal is off to a very good start. We appreciate your support during this process and will keep you updated in the weeks ahead.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/s/ Brian L. Roberts</w:t>
            </w:r>
          </w:p>
        </w:tc>
        <w:tc>
          <w:tcPr>
            <w:tcW w:w="4640" w:type="dxa"/>
            <w:vAlign w:val="bottom"/>
            <w:gridSpan w:val="2"/>
          </w:tcPr>
          <w:p>
            <w:pPr>
              <w:ind w:left="1060"/>
              <w:spacing w:after="0"/>
              <w:rPr>
                <w:sz w:val="20"/>
                <w:szCs w:val="20"/>
                <w:color w:val="auto"/>
              </w:rPr>
            </w:pPr>
            <w:r>
              <w:rPr>
                <w:rFonts w:ascii="Courier New" w:cs="Courier New" w:eastAsia="Courier New" w:hAnsi="Courier New"/>
                <w:sz w:val="18"/>
                <w:szCs w:val="18"/>
                <w:color w:val="auto"/>
              </w:rPr>
              <w:t>/s/ Stephen B. Burke</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Brian L. Roberts</w:t>
            </w:r>
          </w:p>
        </w:tc>
        <w:tc>
          <w:tcPr>
            <w:tcW w:w="18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Stephen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 Burke</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c>
          <w:tcPr>
            <w:tcW w:w="46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Corporation</w:t>
            </w:r>
          </w:p>
        </w:tc>
        <w:tc>
          <w:tcPr>
            <w:tcW w:w="18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Comcast</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Cable Communications,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44"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 programming and products that customers will find attractive; (14) future acquisitions, strategic partnerships and divestitures; (15) general business and economic conditions; and (16) other risks described from time to time in Comcast's periodic reports filed with the Securities and Exchange Commission (the "Commission").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Subject to future developments, Comcast may file with the Commission (i) a preliminary proxy statement for solicitation of proxies from the shareholders of AT&amp;T Corp. ("AT&amp;T") in connection with AT&amp;T's special meeting which is scheduled to take place in September 2001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2)"/>
      <w:numFmt w:val="decimal"/>
      <w:start w:val="1"/>
    </w:lvl>
  </w:abstractNum>
  <w:abstractNum w:abstractNumId="3">
    <w:nsid w:val="79E2A9E3"/>
    <w:multiLevelType w:val="hybridMultilevel"/>
    <w:lvl w:ilvl="0">
      <w:lvlJc w:val="left"/>
      <w:lvlText w:val="-"/>
      <w:numFmt w:val="bullet"/>
      <w:start w:val="1"/>
    </w:lvl>
    <w:lvl w:ilvl="1">
      <w:lvlJc w:val="left"/>
      <w:lvlText w:val="(%2)"/>
      <w:numFmt w:val="decimal"/>
      <w:start w:val="2"/>
    </w:lvl>
  </w:abstractNum>
  <w:abstractNum w:abstractNumId="4">
    <w:nsid w:val="7545E146"/>
    <w:multiLevelType w:val="hybridMultilevel"/>
    <w:lvl w:ilvl="0">
      <w:lvlJc w:val="left"/>
      <w:lvlText w:val="-"/>
      <w:numFmt w:val="bullet"/>
      <w:start w:val="1"/>
    </w:lvl>
    <w:lvl w:ilvl="1">
      <w:lvlJc w:val="left"/>
      <w:lvlText w:val="(%2)"/>
      <w:numFmt w:val="decimal"/>
      <w:start w:val="3"/>
    </w:lvl>
  </w:abstractNum>
  <w:abstractNum w:abstractNumId="5">
    <w:nsid w:val="515F007C"/>
    <w:multiLevelType w:val="hybridMultilevel"/>
    <w:lvl w:ilvl="0">
      <w:lvlJc w:val="left"/>
      <w:lvlText w:val="-"/>
      <w:numFmt w:val="bullet"/>
      <w:start w:val="1"/>
    </w:lvl>
    <w:lvl w:ilvl="1">
      <w:lvlJc w:val="left"/>
      <w:lvlText w:val="(%2)"/>
      <w:numFmt w:val="decimal"/>
      <w:start w:val="4"/>
    </w:lvl>
  </w:abstractNum>
  <w:abstractNum w:abstractNumId="6">
    <w:nsid w:val="5BD062C2"/>
    <w:multiLevelType w:val="hybridMultilevel"/>
    <w:lvl w:ilvl="0">
      <w:lvlJc w:val="left"/>
      <w:lvlText w:val="-"/>
      <w:numFmt w:val="bullet"/>
      <w:start w:val="1"/>
    </w:lvl>
    <w:lvl w:ilvl="1">
      <w:lvlJc w:val="left"/>
      <w:lvlText w:val="(%2)"/>
      <w:numFmt w:val="decimal"/>
      <w:start w:val="5"/>
    </w:lvl>
  </w:abstractNum>
  <w:abstractNum w:abstractNumId="7">
    <w:nsid w:val="12200854"/>
    <w:multiLevelType w:val="hybridMultilevel"/>
    <w:lvl w:ilvl="0">
      <w:lvlJc w:val="left"/>
      <w:lvlText w:val="-"/>
      <w:numFmt w:val="bullet"/>
      <w:start w:val="1"/>
    </w:lvl>
    <w:lvl w:ilvl="1">
      <w:lvlJc w:val="left"/>
      <w:lvlText w:val="(%2)"/>
      <w:numFmt w:val="decimal"/>
      <w:start w:val="1"/>
    </w:lvl>
  </w:abstractNum>
  <w:abstractNum w:abstractNumId="8">
    <w:nsid w:val="4DB127F8"/>
    <w:multiLevelType w:val="hybridMultilevel"/>
    <w:lvl w:ilvl="0">
      <w:lvlJc w:val="left"/>
      <w:lvlText w:val="-"/>
      <w:numFmt w:val="bullet"/>
      <w:start w:val="1"/>
    </w:lvl>
    <w:lvl w:ilvl="1">
      <w:lvlJc w:val="left"/>
      <w:lvlText w:val="(%2)"/>
      <w:numFmt w:val="decimal"/>
      <w:start w:val="2"/>
    </w:lvl>
  </w:abstractNum>
  <w:abstractNum w:abstractNumId="9">
    <w:nsid w:val="216231B"/>
    <w:multiLevelType w:val="hybridMultilevel"/>
    <w:lvl w:ilvl="0">
      <w:lvlJc w:val="left"/>
      <w:lvlText w:val="-"/>
      <w:numFmt w:val="bullet"/>
      <w:start w:val="1"/>
    </w:lvl>
    <w:lvl w:ilvl="1">
      <w:lvlJc w:val="left"/>
      <w:lvlText w:val="(%2)"/>
      <w:numFmt w:val="decimal"/>
      <w:start w:val="3"/>
    </w:lvl>
  </w:abstractNum>
  <w:abstractNum w:abstractNumId="10">
    <w:nsid w:val="1F16E9E8"/>
    <w:multiLevelType w:val="hybridMultilevel"/>
    <w:lvl w:ilvl="0">
      <w:lvlJc w:val="left"/>
      <w:lvlText w:val="-"/>
      <w:numFmt w:val="bullet"/>
      <w:start w:val="1"/>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2019-12-16T10:41:46Z</dcterms:created>
  <dcterms:modified xsi:type="dcterms:W3CDTF">2019-12-16T10:41:46Z</dcterms:modified>
</cp:coreProperties>
</file>