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23,210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20% on the 13 month, 2nd, 3rd, 4th and 5th anniversaries of the date of the grant, respectively.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2024-12-03T15:28:49Z</dcterms:created>
  <dcterms:modified xsi:type="dcterms:W3CDTF">2024-12-03T15:28:49Z</dcterms:modified>
</cp:coreProperties>
</file>