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ind w:left="4380"/>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ind w:left="3600"/>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ind w:left="3520"/>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6" w:lineRule="exact"/>
        <w:rPr>
          <w:sz w:val="24"/>
          <w:szCs w:val="24"/>
          <w:color w:val="auto"/>
        </w:rPr>
      </w:pPr>
    </w:p>
    <w:p>
      <w:pPr>
        <w:jc w:val="center"/>
        <w:ind w:right="-59"/>
        <w:spacing w:after="0"/>
        <w:tabs>
          <w:tab w:leader="none" w:pos="1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February 4, 2019</w:t>
      </w:r>
    </w:p>
    <w:p>
      <w:pPr>
        <w:spacing w:after="0" w:line="207" w:lineRule="exact"/>
        <w:rPr>
          <w:sz w:val="24"/>
          <w:szCs w:val="24"/>
          <w:color w:val="auto"/>
        </w:rPr>
      </w:pPr>
    </w:p>
    <w:tbl>
      <w:tblPr>
        <w:tblLayout w:type="fixed"/>
        <w:tblInd w:w="1640" w:type="dxa"/>
        <w:tblCellMar>
          <w:top w:w="0" w:type="dxa"/>
          <w:left w:w="0" w:type="dxa"/>
          <w:bottom w:w="0" w:type="dxa"/>
          <w:right w:w="0" w:type="dxa"/>
        </w:tblCellMar>
      </w:tblPr>
      <w:tr>
        <w:trPr>
          <w:trHeight w:val="351"/>
        </w:trPr>
        <w:tc>
          <w:tcPr>
            <w:tcW w:w="2540" w:type="dxa"/>
            <w:vAlign w:val="bottom"/>
          </w:tcPr>
          <w:p>
            <w:pPr>
              <w:spacing w:after="0"/>
              <w:rPr>
                <w:sz w:val="24"/>
                <w:szCs w:val="24"/>
                <w:color w:val="auto"/>
              </w:rPr>
            </w:pPr>
          </w:p>
        </w:tc>
        <w:tc>
          <w:tcPr>
            <w:tcW w:w="5440" w:type="dxa"/>
            <w:vAlign w:val="bottom"/>
          </w:tcPr>
          <w:p>
            <w:pPr>
              <w:jc w:val="center"/>
              <w:ind w:right="2274"/>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540" w:type="dxa"/>
            <w:vAlign w:val="bottom"/>
          </w:tcPr>
          <w:p>
            <w:pPr>
              <w:spacing w:after="0"/>
              <w:rPr>
                <w:sz w:val="12"/>
                <w:szCs w:val="12"/>
                <w:color w:val="auto"/>
              </w:rPr>
            </w:pPr>
          </w:p>
        </w:tc>
        <w:tc>
          <w:tcPr>
            <w:tcW w:w="5440" w:type="dxa"/>
            <w:vAlign w:val="bottom"/>
          </w:tcPr>
          <w:p>
            <w:pPr>
              <w:jc w:val="center"/>
              <w:ind w:right="2294"/>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40" w:type="dxa"/>
            <w:vAlign w:val="bottom"/>
          </w:tcPr>
          <w:p>
            <w:pPr>
              <w:spacing w:after="0"/>
              <w:rPr>
                <w:sz w:val="15"/>
                <w:szCs w:val="15"/>
                <w:color w:val="auto"/>
              </w:rPr>
            </w:pPr>
          </w:p>
        </w:tc>
        <w:tc>
          <w:tcPr>
            <w:tcW w:w="5440" w:type="dxa"/>
            <w:vAlign w:val="bottom"/>
          </w:tcPr>
          <w:p>
            <w:pPr>
              <w:jc w:val="center"/>
              <w:ind w:right="2294"/>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540" w:type="dxa"/>
            <w:vAlign w:val="bottom"/>
          </w:tcPr>
          <w:p>
            <w:pPr>
              <w:spacing w:after="0"/>
              <w:rPr>
                <w:sz w:val="24"/>
                <w:szCs w:val="24"/>
                <w:color w:val="auto"/>
              </w:rPr>
            </w:pPr>
          </w:p>
        </w:tc>
        <w:tc>
          <w:tcPr>
            <w:tcW w:w="5440" w:type="dxa"/>
            <w:vAlign w:val="bottom"/>
          </w:tcPr>
          <w:p>
            <w:pPr>
              <w:jc w:val="center"/>
              <w:ind w:right="2294"/>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40" w:type="dxa"/>
            <w:vAlign w:val="bottom"/>
          </w:tcPr>
          <w:p>
            <w:pPr>
              <w:spacing w:after="0"/>
              <w:rPr>
                <w:sz w:val="15"/>
                <w:szCs w:val="15"/>
                <w:color w:val="auto"/>
              </w:rPr>
            </w:pPr>
          </w:p>
        </w:tc>
        <w:tc>
          <w:tcPr>
            <w:tcW w:w="5440" w:type="dxa"/>
            <w:vAlign w:val="bottom"/>
          </w:tcPr>
          <w:p>
            <w:pPr>
              <w:jc w:val="center"/>
              <w:ind w:right="229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54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001-32871</w:t>
            </w:r>
          </w:p>
        </w:tc>
        <w:tc>
          <w:tcPr>
            <w:tcW w:w="5440" w:type="dxa"/>
            <w:vAlign w:val="bottom"/>
          </w:tcPr>
          <w:p>
            <w:pPr>
              <w:jc w:val="center"/>
              <w:ind w:left="3354"/>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40" w:type="dxa"/>
            <w:vAlign w:val="bottom"/>
          </w:tcPr>
          <w:p>
            <w:pPr>
              <w:jc w:val="center"/>
              <w:ind w:right="117"/>
              <w:spacing w:after="0"/>
              <w:rPr>
                <w:sz w:val="20"/>
                <w:szCs w:val="20"/>
                <w:color w:val="auto"/>
              </w:rPr>
            </w:pPr>
            <w:r>
              <w:rPr>
                <w:rFonts w:ascii="Arial" w:cs="Arial" w:eastAsia="Arial" w:hAnsi="Arial"/>
                <w:sz w:val="14"/>
                <w:szCs w:val="14"/>
                <w:color w:val="auto"/>
                <w:w w:val="94"/>
              </w:rPr>
              <w:t>(Commission File Number)</w:t>
            </w:r>
          </w:p>
        </w:tc>
        <w:tc>
          <w:tcPr>
            <w:tcW w:w="5440" w:type="dxa"/>
            <w:vAlign w:val="bottom"/>
          </w:tcPr>
          <w:p>
            <w:pPr>
              <w:jc w:val="center"/>
              <w:ind w:left="3374"/>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254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One Comcast Center</w:t>
            </w:r>
          </w:p>
        </w:tc>
        <w:tc>
          <w:tcPr>
            <w:tcW w:w="5440" w:type="dxa"/>
            <w:vAlign w:val="bottom"/>
          </w:tcPr>
          <w:p>
            <w:pPr>
              <w:spacing w:after="0"/>
              <w:rPr>
                <w:sz w:val="24"/>
                <w:szCs w:val="24"/>
                <w:color w:val="auto"/>
              </w:rPr>
            </w:pPr>
          </w:p>
        </w:tc>
      </w:tr>
      <w:tr>
        <w:trPr>
          <w:trHeight w:val="216"/>
        </w:trPr>
        <w:tc>
          <w:tcPr>
            <w:tcW w:w="254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Philadelphia, PA</w:t>
            </w:r>
          </w:p>
        </w:tc>
        <w:tc>
          <w:tcPr>
            <w:tcW w:w="5440" w:type="dxa"/>
            <w:vAlign w:val="bottom"/>
          </w:tcPr>
          <w:p>
            <w:pPr>
              <w:jc w:val="center"/>
              <w:ind w:left="3354"/>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40" w:type="dxa"/>
            <w:vAlign w:val="bottom"/>
          </w:tcPr>
          <w:p>
            <w:pPr>
              <w:jc w:val="center"/>
              <w:ind w:right="117"/>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jc w:val="center"/>
              <w:ind w:left="3354"/>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23, 2019, Comcast Corporation furnished a Form 8-K to report the results of its operations for the three and twelve months ended December 31, 2018, including diluted earnings per common share attributable to Comcast Corporation shareholders (“EPS”) and EPS on an adjusted basis (“Adjusted EPS”). Comcast believes that investors, in evaluating our ongoing core operations and making period-over-period comparisons to our and our peers’ performance, would benefit from increased transparency on the magnitude of amortization expense from acquisition-related intangible assets, such as customer relationships, as disclosed in Comcast’s Form 10-K filed on January 31, 2019. Going forward, as disclosed below, Comcast will present Adjusted EPS to also exclude amortization expense for acquisition-related intangible assets.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Amortization expense from acquisition-related intangible assets was $1.1 billion for the twelve months ended December 31, 2018. For the twelve months ended December 31, 2018, EPS was $2.53, and excluding $1.1 billion of amortization expense for acquisition-related intangible assets ($836 million net of tax) and other adjustments, Adjusted EPS was $2.73. Exhibit 99.1 attached hereto includes a reconciliation of non-GAAP financial measures to the most directly comparable GAAP financial measures and sets forth the reasons Comcast believes that presentation of the non-GAAP financial measures contained herein and therein provides useful information to investors regarding Comcast’s results of operations and financial condition.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does not intend for this Item 2.02 or Exhibit 99.1 to be treated as “filed” under the Securities Exchange Act of 1934, as amended, or incorporated by reference into its filings under the Securities Act of 1933, as amended.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Non-GAAP Reconciliation and Explanatory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18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February 4, 2019</w:t>
            </w:r>
          </w:p>
        </w:tc>
        <w:tc>
          <w:tcPr>
            <w:tcW w:w="7800" w:type="dxa"/>
            <w:vAlign w:val="bottom"/>
            <w:gridSpan w:val="2"/>
          </w:tcPr>
          <w:p>
            <w:pPr>
              <w:ind w:left="180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spacing w:after="0"/>
        <w:tabs>
          <w:tab w:leader="none" w:pos="10300" w:val="left"/>
        </w:tabs>
        <w:rPr>
          <w:sz w:val="20"/>
          <w:szCs w:val="20"/>
          <w:color w:val="auto"/>
        </w:rPr>
      </w:pPr>
      <w:r>
        <w:rPr>
          <w:rFonts w:ascii="Arial" w:cs="Arial" w:eastAsia="Arial" w:hAnsi="Arial"/>
          <w:sz w:val="20"/>
          <w:szCs w:val="20"/>
          <w:b w:val="1"/>
          <w:bCs w:val="1"/>
          <w:color w:val="auto"/>
        </w:rPr>
        <w:t>Non-GAAP Reconciliation and Explanatory Statement</w:t>
      </w:r>
      <w:r>
        <w:rPr>
          <w:sz w:val="20"/>
          <w:szCs w:val="20"/>
          <w:color w:val="auto"/>
        </w:rPr>
        <w:tab/>
      </w:r>
      <w:r>
        <w:rPr>
          <w:rFonts w:ascii="Arial" w:cs="Arial" w:eastAsia="Arial" w:hAnsi="Arial"/>
          <w:sz w:val="19"/>
          <w:szCs w:val="19"/>
          <w:b w:val="1"/>
          <w:bCs w:val="1"/>
          <w:color w:val="auto"/>
        </w:rPr>
        <w:t>Exhibit 99.1</w:t>
      </w:r>
    </w:p>
    <w:p>
      <w:pPr>
        <w:spacing w:after="0" w:line="145"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On February 4, 2019, Comcast issued a Current Report on Form 8-K explaining that it will now present Adjusted EPS, which is a non-GAAP financial measure, to also exclude amortization expense for acquisition-related intangible assets. The reasons why we believe the presentation of Adjusted EPS is useful to investors and the updated definition of Adjusted EPS are set forth below, along with a schedule that presents Adjusted EPS for the quarterly and full year periods in 2018 and 2017, and includes reconciliations to diluted earnings per common share attributable to Comcast Corporation shareholders, its most directly comparable GAAP financial measure.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EPS</w:t>
      </w:r>
    </w:p>
    <w:p>
      <w:pPr>
        <w:spacing w:after="0" w:line="121"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 xml:space="preserve">Adjusted EPS is a non-GAAP financial measure that presents the earnings generated by our ongoing core operations on a per share basis. We believe Adjusted EPS is helpful to investors in evaluating our ongoing core operations and can assist in making meaningful period-over-period comparisons. Our presentation of Adjusted EPS is our diluted earnings per common share attributable to Comcast Corporation shareholders adjusted to exclude the effects of fair value investments and amortization of acquisition-related intangible assets, as well as the impact of certain events, gains, losses or other charges (such as from the sales of investments). For Adjusted EPS, the effects of fair value investments include realized and unrealized gains and losses, net,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 Acquisition-related intangible assets include those recognized as a result of the application of Accounting Standards Codification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(such as customer relationships). Amortization of acquisition-related intangible assets is significantly affected by the timing and size of our acquisitions and may have no correlation to our current operating results, as the acquisitions occurred in prior periods. Amortization of intangible assets not resulting from business combinations (such as software and acquired intellectual property rights used in our theme parks) is not excluded from Adjusted EPS.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969696"/>
        </w:rPr>
        <w:t>Reconciliation of Net Income and EPS Excluding Adjustments - Revised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969696"/>
        </w:rPr>
        <w:t>($ and shares in millions, except per share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1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shd w:val="clear" w:color="auto" w:fill="F0F0F0"/>
          </w:tcPr>
          <w:p>
            <w:pPr>
              <w:jc w:val="right"/>
              <w:ind w:right="150"/>
              <w:spacing w:after="0" w:line="196" w:lineRule="exact"/>
              <w:rPr>
                <w:sz w:val="20"/>
                <w:szCs w:val="20"/>
                <w:color w:val="auto"/>
              </w:rPr>
            </w:pPr>
            <w:r>
              <w:rPr>
                <w:rFonts w:ascii="Arial" w:cs="Arial" w:eastAsia="Arial" w:hAnsi="Arial"/>
                <w:sz w:val="18"/>
                <w:szCs w:val="18"/>
                <w:b w:val="1"/>
                <w:bCs w:val="1"/>
                <w:color w:val="auto"/>
              </w:rPr>
              <w:t>1Q</w:t>
            </w:r>
          </w:p>
        </w:tc>
        <w:tc>
          <w:tcPr>
            <w:tcW w:w="680" w:type="dxa"/>
            <w:vAlign w:val="bottom"/>
            <w:tcBorders>
              <w:bottom w:val="single" w:sz="8" w:color="auto"/>
            </w:tcBorders>
            <w:shd w:val="clear" w:color="auto" w:fill="F0F0F0"/>
          </w:tcPr>
          <w:p>
            <w:pPr>
              <w:jc w:val="right"/>
              <w:ind w:right="170"/>
              <w:spacing w:after="0" w:line="196" w:lineRule="exact"/>
              <w:rPr>
                <w:sz w:val="20"/>
                <w:szCs w:val="20"/>
                <w:color w:val="auto"/>
              </w:rPr>
            </w:pPr>
            <w:r>
              <w:rPr>
                <w:rFonts w:ascii="Arial" w:cs="Arial" w:eastAsia="Arial" w:hAnsi="Arial"/>
                <w:sz w:val="18"/>
                <w:szCs w:val="18"/>
                <w:b w:val="1"/>
                <w:bCs w:val="1"/>
                <w:color w:val="auto"/>
              </w:rPr>
              <w:t>2Q</w:t>
            </w:r>
          </w:p>
        </w:tc>
        <w:tc>
          <w:tcPr>
            <w:tcW w:w="680" w:type="dxa"/>
            <w:vAlign w:val="bottom"/>
            <w:tcBorders>
              <w:bottom w:val="single" w:sz="8" w:color="auto"/>
            </w:tcBorders>
            <w:shd w:val="clear" w:color="auto" w:fill="F0F0F0"/>
          </w:tcPr>
          <w:p>
            <w:pPr>
              <w:jc w:val="right"/>
              <w:ind w:right="170"/>
              <w:spacing w:after="0" w:line="196" w:lineRule="exact"/>
              <w:rPr>
                <w:sz w:val="20"/>
                <w:szCs w:val="20"/>
                <w:color w:val="auto"/>
              </w:rPr>
            </w:pPr>
            <w:r>
              <w:rPr>
                <w:rFonts w:ascii="Arial" w:cs="Arial" w:eastAsia="Arial" w:hAnsi="Arial"/>
                <w:sz w:val="18"/>
                <w:szCs w:val="18"/>
                <w:b w:val="1"/>
                <w:bCs w:val="1"/>
                <w:color w:val="auto"/>
              </w:rPr>
              <w:t>3Q</w:t>
            </w:r>
          </w:p>
        </w:tc>
        <w:tc>
          <w:tcPr>
            <w:tcW w:w="860" w:type="dxa"/>
            <w:vAlign w:val="bottom"/>
            <w:tcBorders>
              <w:bottom w:val="single" w:sz="8" w:color="auto"/>
              <w:right w:val="single" w:sz="8" w:color="auto"/>
            </w:tcBorders>
            <w:shd w:val="clear" w:color="auto" w:fill="F0F0F0"/>
          </w:tcPr>
          <w:p>
            <w:pPr>
              <w:jc w:val="right"/>
              <w:ind w:right="290"/>
              <w:spacing w:after="0" w:line="196" w:lineRule="exact"/>
              <w:rPr>
                <w:sz w:val="20"/>
                <w:szCs w:val="20"/>
                <w:color w:val="auto"/>
              </w:rPr>
            </w:pPr>
            <w:r>
              <w:rPr>
                <w:rFonts w:ascii="Arial" w:cs="Arial" w:eastAsia="Arial" w:hAnsi="Arial"/>
                <w:sz w:val="18"/>
                <w:szCs w:val="18"/>
                <w:b w:val="1"/>
                <w:bCs w:val="1"/>
                <w:color w:val="auto"/>
              </w:rPr>
              <w:t>4Q</w:t>
            </w:r>
          </w:p>
        </w:tc>
        <w:tc>
          <w:tcPr>
            <w:tcW w:w="780" w:type="dxa"/>
            <w:vAlign w:val="bottom"/>
            <w:tcBorders>
              <w:bottom w:val="single" w:sz="8" w:color="auto"/>
              <w:right w:val="single" w:sz="8" w:color="auto"/>
            </w:tcBorders>
            <w:shd w:val="clear" w:color="auto" w:fill="F0F0F0"/>
          </w:tcPr>
          <w:p>
            <w:pPr>
              <w:jc w:val="right"/>
              <w:ind w:right="230"/>
              <w:spacing w:after="0" w:line="196" w:lineRule="exact"/>
              <w:rPr>
                <w:sz w:val="20"/>
                <w:szCs w:val="20"/>
                <w:color w:val="auto"/>
              </w:rPr>
            </w:pPr>
            <w:r>
              <w:rPr>
                <w:rFonts w:ascii="Arial" w:cs="Arial" w:eastAsia="Arial" w:hAnsi="Arial"/>
                <w:sz w:val="18"/>
                <w:szCs w:val="18"/>
                <w:b w:val="1"/>
                <w:bCs w:val="1"/>
                <w:color w:val="auto"/>
              </w:rPr>
              <w:t>FY</w:t>
            </w:r>
          </w:p>
        </w:tc>
        <w:tc>
          <w:tcPr>
            <w:tcW w:w="16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shd w:val="clear" w:color="auto" w:fill="F0F0F0"/>
          </w:tcPr>
          <w:p>
            <w:pPr>
              <w:jc w:val="right"/>
              <w:ind w:right="170"/>
              <w:spacing w:after="0" w:line="196" w:lineRule="exact"/>
              <w:rPr>
                <w:sz w:val="20"/>
                <w:szCs w:val="20"/>
                <w:color w:val="auto"/>
              </w:rPr>
            </w:pPr>
            <w:r>
              <w:rPr>
                <w:rFonts w:ascii="Arial" w:cs="Arial" w:eastAsia="Arial" w:hAnsi="Arial"/>
                <w:sz w:val="18"/>
                <w:szCs w:val="18"/>
                <w:b w:val="1"/>
                <w:bCs w:val="1"/>
                <w:color w:val="auto"/>
              </w:rPr>
              <w:t>1Q</w:t>
            </w:r>
          </w:p>
        </w:tc>
        <w:tc>
          <w:tcPr>
            <w:tcW w:w="680" w:type="dxa"/>
            <w:vAlign w:val="bottom"/>
            <w:tcBorders>
              <w:bottom w:val="single" w:sz="8" w:color="auto"/>
            </w:tcBorders>
            <w:shd w:val="clear" w:color="auto" w:fill="F0F0F0"/>
          </w:tcPr>
          <w:p>
            <w:pPr>
              <w:jc w:val="right"/>
              <w:ind w:right="170"/>
              <w:spacing w:after="0" w:line="196" w:lineRule="exact"/>
              <w:rPr>
                <w:sz w:val="20"/>
                <w:szCs w:val="20"/>
                <w:color w:val="auto"/>
              </w:rPr>
            </w:pPr>
            <w:r>
              <w:rPr>
                <w:rFonts w:ascii="Arial" w:cs="Arial" w:eastAsia="Arial" w:hAnsi="Arial"/>
                <w:sz w:val="18"/>
                <w:szCs w:val="18"/>
                <w:b w:val="1"/>
                <w:bCs w:val="1"/>
                <w:color w:val="auto"/>
              </w:rPr>
              <w:t>2Q</w:t>
            </w:r>
          </w:p>
        </w:tc>
        <w:tc>
          <w:tcPr>
            <w:tcW w:w="660" w:type="dxa"/>
            <w:vAlign w:val="bottom"/>
            <w:tcBorders>
              <w:bottom w:val="single" w:sz="8" w:color="auto"/>
            </w:tcBorders>
            <w:shd w:val="clear" w:color="auto" w:fill="F0F0F0"/>
          </w:tcPr>
          <w:p>
            <w:pPr>
              <w:jc w:val="right"/>
              <w:ind w:right="170"/>
              <w:spacing w:after="0" w:line="196" w:lineRule="exact"/>
              <w:rPr>
                <w:sz w:val="20"/>
                <w:szCs w:val="20"/>
                <w:color w:val="auto"/>
              </w:rPr>
            </w:pPr>
            <w:r>
              <w:rPr>
                <w:rFonts w:ascii="Arial" w:cs="Arial" w:eastAsia="Arial" w:hAnsi="Arial"/>
                <w:sz w:val="18"/>
                <w:szCs w:val="18"/>
                <w:b w:val="1"/>
                <w:bCs w:val="1"/>
                <w:color w:val="auto"/>
              </w:rPr>
              <w:t>3Q</w:t>
            </w:r>
          </w:p>
        </w:tc>
        <w:tc>
          <w:tcPr>
            <w:tcW w:w="720" w:type="dxa"/>
            <w:vAlign w:val="bottom"/>
            <w:tcBorders>
              <w:bottom w:val="single" w:sz="8" w:color="auto"/>
              <w:right w:val="single" w:sz="8" w:color="auto"/>
            </w:tcBorders>
            <w:shd w:val="clear" w:color="auto" w:fill="F0F0F0"/>
          </w:tcPr>
          <w:p>
            <w:pPr>
              <w:jc w:val="right"/>
              <w:ind w:right="210"/>
              <w:spacing w:after="0" w:line="196" w:lineRule="exact"/>
              <w:rPr>
                <w:sz w:val="20"/>
                <w:szCs w:val="20"/>
                <w:color w:val="auto"/>
              </w:rPr>
            </w:pPr>
            <w:r>
              <w:rPr>
                <w:rFonts w:ascii="Arial" w:cs="Arial" w:eastAsia="Arial" w:hAnsi="Arial"/>
                <w:sz w:val="18"/>
                <w:szCs w:val="18"/>
                <w:b w:val="1"/>
                <w:bCs w:val="1"/>
                <w:color w:val="auto"/>
              </w:rPr>
              <w:t>4Q</w:t>
            </w:r>
          </w:p>
        </w:tc>
        <w:tc>
          <w:tcPr>
            <w:tcW w:w="780" w:type="dxa"/>
            <w:vAlign w:val="bottom"/>
            <w:tcBorders>
              <w:bottom w:val="single" w:sz="8" w:color="auto"/>
              <w:right w:val="single" w:sz="8" w:color="auto"/>
            </w:tcBorders>
            <w:shd w:val="clear" w:color="auto" w:fill="F0F0F0"/>
          </w:tcPr>
          <w:p>
            <w:pPr>
              <w:jc w:val="right"/>
              <w:ind w:right="251"/>
              <w:spacing w:after="0" w:line="196" w:lineRule="exact"/>
              <w:rPr>
                <w:sz w:val="20"/>
                <w:szCs w:val="20"/>
                <w:color w:val="auto"/>
              </w:rPr>
            </w:pPr>
            <w:r>
              <w:rPr>
                <w:rFonts w:ascii="Arial" w:cs="Arial" w:eastAsia="Arial" w:hAnsi="Arial"/>
                <w:sz w:val="18"/>
                <w:szCs w:val="18"/>
                <w:b w:val="1"/>
                <w:bCs w:val="1"/>
                <w:color w:val="auto"/>
              </w:rPr>
              <w:t>FY</w:t>
            </w:r>
          </w:p>
        </w:tc>
        <w:tc>
          <w:tcPr>
            <w:tcW w:w="20" w:type="dxa"/>
            <w:vAlign w:val="bottom"/>
          </w:tcPr>
          <w:p>
            <w:pPr>
              <w:spacing w:after="0"/>
              <w:rPr>
                <w:sz w:val="17"/>
                <w:szCs w:val="17"/>
                <w:color w:val="auto"/>
              </w:rPr>
            </w:pPr>
          </w:p>
        </w:tc>
      </w:tr>
      <w:tr>
        <w:trPr>
          <w:trHeight w:val="416"/>
        </w:trPr>
        <w:tc>
          <w:tcPr>
            <w:tcW w:w="4160" w:type="dxa"/>
            <w:vAlign w:val="bottom"/>
          </w:tcPr>
          <w:p>
            <w:pPr>
              <w:spacing w:after="0"/>
              <w:rPr>
                <w:sz w:val="20"/>
                <w:szCs w:val="20"/>
                <w:color w:val="auto"/>
              </w:rPr>
            </w:pPr>
            <w:r>
              <w:rPr>
                <w:rFonts w:ascii="Arial" w:cs="Arial" w:eastAsia="Arial" w:hAnsi="Arial"/>
                <w:sz w:val="18"/>
                <w:szCs w:val="18"/>
                <w:b w:val="1"/>
                <w:bCs w:val="1"/>
                <w:color w:val="auto"/>
              </w:rPr>
              <w:t>Net income attributable to Comcast</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$2,573</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$2,521</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$2,642</w:t>
            </w: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$14,999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$22,735</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$3,118</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$3,216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$2,886</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$2,511</w:t>
            </w:r>
          </w:p>
        </w:tc>
        <w:tc>
          <w:tcPr>
            <w:tcW w:w="7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8"/>
              </w:rPr>
              <w:t>$11,731</w:t>
            </w:r>
          </w:p>
        </w:tc>
        <w:tc>
          <w:tcPr>
            <w:tcW w:w="20" w:type="dxa"/>
            <w:vAlign w:val="bottom"/>
          </w:tcPr>
          <w:p>
            <w:pPr>
              <w:spacing w:after="0"/>
              <w:rPr>
                <w:sz w:val="20"/>
                <w:szCs w:val="20"/>
                <w:color w:val="auto"/>
              </w:rPr>
            </w:pPr>
          </w:p>
        </w:tc>
      </w:tr>
      <w:tr>
        <w:trPr>
          <w:trHeight w:val="207"/>
        </w:trPr>
        <w:tc>
          <w:tcPr>
            <w:tcW w:w="41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attributable to Comcast Corporation</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shareholders (EPS)</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$0.53</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$0.52</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$0.55</w:t>
            </w: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$0.66</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$0.69</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$0.55</w:t>
            </w:r>
          </w:p>
        </w:tc>
        <w:tc>
          <w:tcPr>
            <w:tcW w:w="7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$2.53</w:t>
            </w:r>
          </w:p>
        </w:tc>
        <w:tc>
          <w:tcPr>
            <w:tcW w:w="20" w:type="dxa"/>
            <w:vAlign w:val="bottom"/>
          </w:tcPr>
          <w:p>
            <w:pPr>
              <w:spacing w:after="0"/>
              <w:rPr>
                <w:sz w:val="20"/>
                <w:szCs w:val="20"/>
                <w:color w:val="auto"/>
              </w:rPr>
            </w:pPr>
          </w:p>
        </w:tc>
      </w:tr>
      <w:tr>
        <w:trPr>
          <w:trHeight w:val="392"/>
        </w:trPr>
        <w:tc>
          <w:tcPr>
            <w:tcW w:w="4160" w:type="dxa"/>
            <w:vAlign w:val="bottom"/>
            <w:tcBorders>
              <w:bottom w:val="single" w:sz="8" w:color="C9C9C9"/>
            </w:tcBorders>
          </w:tcPr>
          <w:p>
            <w:pPr>
              <w:ind w:left="180"/>
              <w:spacing w:after="0"/>
              <w:rPr>
                <w:sz w:val="20"/>
                <w:szCs w:val="20"/>
                <w:color w:val="auto"/>
              </w:rPr>
            </w:pPr>
            <w:r>
              <w:rPr>
                <w:rFonts w:ascii="Arial" w:cs="Arial" w:eastAsia="Arial" w:hAnsi="Arial"/>
                <w:sz w:val="18"/>
                <w:szCs w:val="18"/>
                <w:color w:val="auto"/>
              </w:rPr>
              <w:t>Fair value investments</w:t>
            </w:r>
            <w:r>
              <w:rPr>
                <w:rFonts w:ascii="Arial" w:cs="Arial" w:eastAsia="Arial" w:hAnsi="Arial"/>
                <w:sz w:val="10"/>
                <w:szCs w:val="10"/>
                <w:color w:val="auto"/>
              </w:rPr>
              <w:t>1</w:t>
            </w:r>
          </w:p>
        </w:tc>
        <w:tc>
          <w:tcPr>
            <w:tcW w:w="64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($31)</w:t>
            </w:r>
          </w:p>
        </w:tc>
        <w:tc>
          <w:tcPr>
            <w:tcW w:w="68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($25)</w:t>
            </w:r>
          </w:p>
        </w:tc>
        <w:tc>
          <w:tcPr>
            <w:tcW w:w="68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($9)</w:t>
            </w:r>
          </w:p>
        </w:tc>
        <w:tc>
          <w:tcPr>
            <w:tcW w:w="86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0" w:type="dxa"/>
            <w:vAlign w:val="bottom"/>
            <w:tcBorders>
              <w:bottom w:val="single" w:sz="8" w:color="C9C9C9"/>
            </w:tcBorders>
            <w:gridSpan w:val="2"/>
          </w:tcPr>
          <w:p>
            <w:pPr>
              <w:jc w:val="right"/>
              <w:spacing w:after="0"/>
              <w:rPr>
                <w:sz w:val="20"/>
                <w:szCs w:val="20"/>
                <w:color w:val="auto"/>
              </w:rPr>
            </w:pPr>
            <w:r>
              <w:rPr>
                <w:rFonts w:ascii="Arial" w:cs="Arial" w:eastAsia="Arial" w:hAnsi="Arial"/>
                <w:sz w:val="18"/>
                <w:szCs w:val="18"/>
                <w:color w:val="auto"/>
              </w:rPr>
              <w:t>($47)</w:t>
            </w:r>
          </w:p>
        </w:tc>
        <w:tc>
          <w:tcPr>
            <w:tcW w:w="68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($82)</w:t>
            </w:r>
          </w:p>
        </w:tc>
        <w:tc>
          <w:tcPr>
            <w:tcW w:w="66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$291</w:t>
            </w:r>
          </w:p>
        </w:tc>
        <w:tc>
          <w:tcPr>
            <w:tcW w:w="780" w:type="dxa"/>
            <w:vAlign w:val="bottom"/>
            <w:tcBorders>
              <w:bottom w:val="single" w:sz="8" w:color="C9C9C9"/>
              <w:right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4"/>
                <w:szCs w:val="24"/>
                <w:color w:val="auto"/>
              </w:rPr>
            </w:pPr>
          </w:p>
        </w:tc>
      </w:tr>
      <w:tr>
        <w:trPr>
          <w:trHeight w:val="237"/>
        </w:trPr>
        <w:tc>
          <w:tcPr>
            <w:tcW w:w="4160" w:type="dxa"/>
            <w:vAlign w:val="bottom"/>
            <w:tcBorders>
              <w:bottom w:val="single" w:sz="8" w:color="C9C9C9"/>
            </w:tcBorders>
          </w:tcPr>
          <w:p>
            <w:pPr>
              <w:ind w:left="180"/>
              <w:spacing w:after="0"/>
              <w:rPr>
                <w:sz w:val="20"/>
                <w:szCs w:val="20"/>
                <w:color w:val="auto"/>
              </w:rPr>
            </w:pPr>
            <w:r>
              <w:rPr>
                <w:rFonts w:ascii="Arial" w:cs="Arial" w:eastAsia="Arial" w:hAnsi="Arial"/>
                <w:sz w:val="18"/>
                <w:szCs w:val="18"/>
                <w:color w:val="auto"/>
              </w:rPr>
              <w:t>Gain on spectrum auction</w:t>
            </w:r>
            <w:r>
              <w:rPr>
                <w:rFonts w:ascii="Arial" w:cs="Arial" w:eastAsia="Arial" w:hAnsi="Arial"/>
                <w:sz w:val="10"/>
                <w:szCs w:val="10"/>
                <w:color w:val="auto"/>
              </w:rPr>
              <w:t>2</w:t>
            </w:r>
          </w:p>
        </w:tc>
        <w:tc>
          <w:tcPr>
            <w:tcW w:w="64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($209)</w:t>
            </w:r>
          </w:p>
        </w:tc>
        <w:tc>
          <w:tcPr>
            <w:tcW w:w="86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0" w:type="dxa"/>
            <w:vAlign w:val="bottom"/>
            <w:tcBorders>
              <w:bottom w:val="single" w:sz="8" w:color="C9C9C9"/>
            </w:tcBorders>
            <w:gridSpan w:val="2"/>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ind w:right="31"/>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37"/>
        </w:trPr>
        <w:tc>
          <w:tcPr>
            <w:tcW w:w="4160" w:type="dxa"/>
            <w:vAlign w:val="bottom"/>
            <w:tcBorders>
              <w:bottom w:val="single" w:sz="8" w:color="C9C9C9"/>
            </w:tcBorders>
          </w:tcPr>
          <w:p>
            <w:pPr>
              <w:ind w:left="180"/>
              <w:spacing w:after="0"/>
              <w:rPr>
                <w:sz w:val="20"/>
                <w:szCs w:val="20"/>
                <w:color w:val="auto"/>
              </w:rPr>
            </w:pPr>
            <w:r>
              <w:rPr>
                <w:rFonts w:ascii="Arial" w:cs="Arial" w:eastAsia="Arial" w:hAnsi="Arial"/>
                <w:sz w:val="18"/>
                <w:szCs w:val="18"/>
                <w:color w:val="auto"/>
              </w:rPr>
              <w:t>Income tax adjustments</w:t>
            </w:r>
            <w:r>
              <w:rPr>
                <w:rFonts w:ascii="Arial" w:cs="Arial" w:eastAsia="Arial" w:hAnsi="Arial"/>
                <w:sz w:val="10"/>
                <w:szCs w:val="10"/>
                <w:color w:val="auto"/>
              </w:rPr>
              <w:t>3</w:t>
            </w:r>
          </w:p>
        </w:tc>
        <w:tc>
          <w:tcPr>
            <w:tcW w:w="64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($68)</w:t>
            </w:r>
          </w:p>
        </w:tc>
        <w:tc>
          <w:tcPr>
            <w:tcW w:w="86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C9C9C9"/>
            </w:tcBorders>
            <w:gridSpan w:val="2"/>
          </w:tcPr>
          <w:p>
            <w:pPr>
              <w:jc w:val="right"/>
              <w:spacing w:after="0"/>
              <w:rPr>
                <w:sz w:val="20"/>
                <w:szCs w:val="20"/>
                <w:color w:val="auto"/>
              </w:rPr>
            </w:pPr>
            <w:r>
              <w:rPr>
                <w:rFonts w:ascii="Arial" w:cs="Arial" w:eastAsia="Arial" w:hAnsi="Arial"/>
                <w:sz w:val="18"/>
                <w:szCs w:val="18"/>
                <w:color w:val="auto"/>
              </w:rPr>
              <w:t>($128)</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$148</w:t>
            </w:r>
          </w:p>
        </w:tc>
        <w:tc>
          <w:tcPr>
            <w:tcW w:w="72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Arial" w:cs="Arial" w:eastAsia="Arial" w:hAnsi="Arial"/>
                <w:sz w:val="18"/>
                <w:szCs w:val="18"/>
                <w:color w:val="auto"/>
              </w:rPr>
              <w:t>Gain on the sales of businesses and</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4160" w:type="dxa"/>
            <w:vAlign w:val="bottom"/>
            <w:tcBorders>
              <w:bottom w:val="single" w:sz="8" w:color="C9C9C9"/>
            </w:tcBorders>
          </w:tcPr>
          <w:p>
            <w:pPr>
              <w:ind w:left="360"/>
              <w:spacing w:after="0" w:line="203" w:lineRule="exact"/>
              <w:rPr>
                <w:sz w:val="20"/>
                <w:szCs w:val="20"/>
                <w:color w:val="auto"/>
              </w:rPr>
            </w:pPr>
            <w:r>
              <w:rPr>
                <w:rFonts w:ascii="Arial" w:cs="Arial" w:eastAsia="Arial" w:hAnsi="Arial"/>
                <w:sz w:val="18"/>
                <w:szCs w:val="18"/>
                <w:color w:val="auto"/>
              </w:rPr>
              <w:t>investments</w:t>
            </w:r>
            <w:r>
              <w:rPr>
                <w:rFonts w:ascii="Arial" w:cs="Arial" w:eastAsia="Arial" w:hAnsi="Arial"/>
                <w:sz w:val="10"/>
                <w:szCs w:val="10"/>
                <w:color w:val="auto"/>
              </w:rPr>
              <w:t>4</w:t>
            </w:r>
          </w:p>
        </w:tc>
        <w:tc>
          <w:tcPr>
            <w:tcW w:w="640" w:type="dxa"/>
            <w:vAlign w:val="bottom"/>
            <w:tcBorders>
              <w:bottom w:val="single" w:sz="8" w:color="C9C9C9"/>
            </w:tcBorders>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spacing w:after="0" w:line="203" w:lineRule="exact"/>
              <w:rPr>
                <w:sz w:val="20"/>
                <w:szCs w:val="20"/>
                <w:color w:val="auto"/>
              </w:rPr>
            </w:pPr>
            <w:r>
              <w:rPr>
                <w:rFonts w:ascii="Arial" w:cs="Arial" w:eastAsia="Arial" w:hAnsi="Arial"/>
                <w:sz w:val="18"/>
                <w:szCs w:val="18"/>
                <w:color w:val="auto"/>
              </w:rPr>
              <w:t>($65)</w:t>
            </w:r>
          </w:p>
        </w:tc>
        <w:tc>
          <w:tcPr>
            <w:tcW w:w="860" w:type="dxa"/>
            <w:vAlign w:val="bottom"/>
            <w:tcBorders>
              <w:bottom w:val="single" w:sz="8" w:color="C9C9C9"/>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1480" w:type="dxa"/>
            <w:vAlign w:val="bottom"/>
            <w:tcBorders>
              <w:bottom w:val="single" w:sz="8" w:color="C9C9C9"/>
            </w:tcBorders>
            <w:gridSpan w:val="3"/>
          </w:tcPr>
          <w:p>
            <w:pPr>
              <w:jc w:val="right"/>
              <w:spacing w:after="0" w:line="203" w:lineRule="exact"/>
              <w:rPr>
                <w:sz w:val="20"/>
                <w:szCs w:val="20"/>
                <w:color w:val="auto"/>
              </w:rPr>
            </w:pPr>
            <w:r>
              <w:rPr>
                <w:rFonts w:ascii="Arial" w:cs="Arial" w:eastAsia="Arial" w:hAnsi="Arial"/>
                <w:sz w:val="18"/>
                <w:szCs w:val="18"/>
                <w:color w:val="auto"/>
              </w:rPr>
              <w:t>($48)  ($148)</w:t>
            </w:r>
          </w:p>
        </w:tc>
        <w:tc>
          <w:tcPr>
            <w:tcW w:w="660" w:type="dxa"/>
            <w:vAlign w:val="bottom"/>
            <w:tcBorders>
              <w:bottom w:val="single" w:sz="8" w:color="C9C9C9"/>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720" w:type="dxa"/>
            <w:vAlign w:val="bottom"/>
            <w:tcBorders>
              <w:bottom w:val="single" w:sz="8" w:color="C9C9C9"/>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($301)</w:t>
            </w:r>
          </w:p>
        </w:tc>
        <w:tc>
          <w:tcPr>
            <w:tcW w:w="20" w:type="dxa"/>
            <w:vAlign w:val="bottom"/>
          </w:tcPr>
          <w:p>
            <w:pPr>
              <w:spacing w:after="0"/>
              <w:rPr>
                <w:sz w:val="17"/>
                <w:szCs w:val="17"/>
                <w:color w:val="auto"/>
              </w:rPr>
            </w:pPr>
          </w:p>
        </w:tc>
      </w:tr>
      <w:tr>
        <w:trPr>
          <w:trHeight w:val="237"/>
        </w:trPr>
        <w:tc>
          <w:tcPr>
            <w:tcW w:w="4160" w:type="dxa"/>
            <w:vAlign w:val="bottom"/>
            <w:tcBorders>
              <w:bottom w:val="single" w:sz="8" w:color="C9C9C9"/>
            </w:tcBorders>
          </w:tcPr>
          <w:p>
            <w:pPr>
              <w:ind w:left="180"/>
              <w:spacing w:after="0"/>
              <w:rPr>
                <w:sz w:val="20"/>
                <w:szCs w:val="20"/>
                <w:color w:val="auto"/>
              </w:rPr>
            </w:pPr>
            <w:r>
              <w:rPr>
                <w:rFonts w:ascii="Arial" w:cs="Arial" w:eastAsia="Arial" w:hAnsi="Arial"/>
                <w:sz w:val="18"/>
                <w:szCs w:val="18"/>
                <w:color w:val="auto"/>
              </w:rPr>
              <w:t>Legal settlement</w:t>
            </w:r>
            <w:r>
              <w:rPr>
                <w:rFonts w:ascii="Arial" w:cs="Arial" w:eastAsia="Arial" w:hAnsi="Arial"/>
                <w:sz w:val="10"/>
                <w:szCs w:val="10"/>
                <w:color w:val="auto"/>
              </w:rPr>
              <w:t>5</w:t>
            </w:r>
          </w:p>
        </w:tc>
        <w:tc>
          <w:tcPr>
            <w:tcW w:w="64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$157</w:t>
            </w:r>
          </w:p>
        </w:tc>
        <w:tc>
          <w:tcPr>
            <w:tcW w:w="86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0" w:type="dxa"/>
            <w:vAlign w:val="bottom"/>
            <w:tcBorders>
              <w:bottom w:val="single" w:sz="8" w:color="C9C9C9"/>
            </w:tcBorders>
            <w:gridSpan w:val="2"/>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c>
          <w:tcPr>
            <w:tcW w:w="780" w:type="dxa"/>
            <w:vAlign w:val="bottom"/>
            <w:tcBorders>
              <w:bottom w:val="single" w:sz="8" w:color="C9C9C9"/>
              <w:right w:val="single" w:sz="8" w:color="auto"/>
            </w:tcBorders>
          </w:tcPr>
          <w:p>
            <w:pPr>
              <w:jc w:val="right"/>
              <w:ind w:right="31"/>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Arial" w:cs="Arial" w:eastAsia="Arial" w:hAnsi="Arial"/>
                <w:sz w:val="18"/>
                <w:szCs w:val="18"/>
                <w:color w:val="auto"/>
              </w:rPr>
              <w:t>Costs related to Sky transaction and Twenty-</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4160" w:type="dxa"/>
            <w:vAlign w:val="bottom"/>
            <w:tcBorders>
              <w:bottom w:val="single" w:sz="8" w:color="C9C9C9"/>
            </w:tcBorders>
          </w:tcPr>
          <w:p>
            <w:pPr>
              <w:ind w:left="360"/>
              <w:spacing w:after="0" w:line="203" w:lineRule="exact"/>
              <w:rPr>
                <w:sz w:val="20"/>
                <w:szCs w:val="20"/>
                <w:color w:val="auto"/>
              </w:rPr>
            </w:pPr>
            <w:r>
              <w:rPr>
                <w:rFonts w:ascii="Arial" w:cs="Arial" w:eastAsia="Arial" w:hAnsi="Arial"/>
                <w:sz w:val="18"/>
                <w:szCs w:val="18"/>
                <w:color w:val="auto"/>
              </w:rPr>
              <w:t>First Century Fox offer</w:t>
            </w:r>
            <w:r>
              <w:rPr>
                <w:rFonts w:ascii="Arial" w:cs="Arial" w:eastAsia="Arial" w:hAnsi="Arial"/>
                <w:sz w:val="10"/>
                <w:szCs w:val="10"/>
                <w:color w:val="auto"/>
              </w:rPr>
              <w:t>6</w:t>
            </w:r>
          </w:p>
        </w:tc>
        <w:tc>
          <w:tcPr>
            <w:tcW w:w="640" w:type="dxa"/>
            <w:vAlign w:val="bottom"/>
            <w:tcBorders>
              <w:bottom w:val="single" w:sz="8" w:color="C9C9C9"/>
            </w:tcBorders>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860" w:type="dxa"/>
            <w:vAlign w:val="bottom"/>
            <w:tcBorders>
              <w:bottom w:val="single" w:sz="8" w:color="C9C9C9"/>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800" w:type="dxa"/>
            <w:vAlign w:val="bottom"/>
            <w:tcBorders>
              <w:bottom w:val="single" w:sz="8" w:color="C9C9C9"/>
            </w:tcBorders>
            <w:gridSpan w:val="2"/>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line="203" w:lineRule="exact"/>
              <w:rPr>
                <w:sz w:val="20"/>
                <w:szCs w:val="20"/>
                <w:color w:val="auto"/>
              </w:rPr>
            </w:pPr>
            <w:r>
              <w:rPr>
                <w:rFonts w:ascii="Arial" w:cs="Arial" w:eastAsia="Arial" w:hAnsi="Arial"/>
                <w:sz w:val="18"/>
                <w:szCs w:val="18"/>
                <w:color w:val="auto"/>
              </w:rPr>
              <w:t>$23</w:t>
            </w:r>
          </w:p>
        </w:tc>
        <w:tc>
          <w:tcPr>
            <w:tcW w:w="660" w:type="dxa"/>
            <w:vAlign w:val="bottom"/>
            <w:tcBorders>
              <w:bottom w:val="single" w:sz="8" w:color="C9C9C9"/>
            </w:tcBorders>
          </w:tcPr>
          <w:p>
            <w:pPr>
              <w:jc w:val="right"/>
              <w:spacing w:after="0" w:line="203" w:lineRule="exact"/>
              <w:rPr>
                <w:sz w:val="20"/>
                <w:szCs w:val="20"/>
                <w:color w:val="auto"/>
              </w:rPr>
            </w:pPr>
            <w:r>
              <w:rPr>
                <w:rFonts w:ascii="Arial" w:cs="Arial" w:eastAsia="Arial" w:hAnsi="Arial"/>
                <w:sz w:val="18"/>
                <w:szCs w:val="18"/>
                <w:color w:val="auto"/>
              </w:rPr>
              <w:t>$80</w:t>
            </w:r>
          </w:p>
        </w:tc>
        <w:tc>
          <w:tcPr>
            <w:tcW w:w="720" w:type="dxa"/>
            <w:vAlign w:val="bottom"/>
            <w:tcBorders>
              <w:bottom w:val="single" w:sz="8" w:color="C9C9C9"/>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$280</w:t>
            </w:r>
          </w:p>
        </w:tc>
        <w:tc>
          <w:tcPr>
            <w:tcW w:w="780" w:type="dxa"/>
            <w:vAlign w:val="bottom"/>
            <w:tcBorders>
              <w:bottom w:val="single" w:sz="8" w:color="C9C9C9"/>
              <w:right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$383</w:t>
            </w:r>
          </w:p>
        </w:tc>
        <w:tc>
          <w:tcPr>
            <w:tcW w:w="20" w:type="dxa"/>
            <w:vAlign w:val="bottom"/>
          </w:tcPr>
          <w:p>
            <w:pPr>
              <w:spacing w:after="0"/>
              <w:rPr>
                <w:sz w:val="17"/>
                <w:szCs w:val="17"/>
                <w:color w:val="auto"/>
              </w:rPr>
            </w:pPr>
          </w:p>
        </w:tc>
      </w:tr>
      <w:tr>
        <w:trPr>
          <w:trHeight w:val="237"/>
        </w:trPr>
        <w:tc>
          <w:tcPr>
            <w:tcW w:w="4160" w:type="dxa"/>
            <w:vAlign w:val="bottom"/>
            <w:tcBorders>
              <w:bottom w:val="single" w:sz="8" w:color="C9C9C9"/>
            </w:tcBorders>
          </w:tcPr>
          <w:p>
            <w:pPr>
              <w:ind w:left="180"/>
              <w:spacing w:after="0"/>
              <w:rPr>
                <w:sz w:val="20"/>
                <w:szCs w:val="20"/>
                <w:color w:val="auto"/>
              </w:rPr>
            </w:pPr>
            <w:r>
              <w:rPr>
                <w:rFonts w:ascii="Arial" w:cs="Arial" w:eastAsia="Arial" w:hAnsi="Arial"/>
                <w:sz w:val="18"/>
                <w:szCs w:val="18"/>
                <w:color w:val="auto"/>
              </w:rPr>
              <w:t>2017 tax reform</w:t>
            </w:r>
            <w:r>
              <w:rPr>
                <w:rFonts w:ascii="Arial" w:cs="Arial" w:eastAsia="Arial" w:hAnsi="Arial"/>
                <w:sz w:val="10"/>
                <w:szCs w:val="10"/>
                <w:color w:val="auto"/>
              </w:rPr>
              <w:t>7</w:t>
            </w:r>
          </w:p>
        </w:tc>
        <w:tc>
          <w:tcPr>
            <w:tcW w:w="64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w w:val="98"/>
              </w:rPr>
              <w:t>($12,679)</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color w:val="auto"/>
                <w:w w:val="95"/>
              </w:rPr>
              <w:t>($12,679)</w:t>
            </w:r>
          </w:p>
        </w:tc>
        <w:tc>
          <w:tcPr>
            <w:tcW w:w="800" w:type="dxa"/>
            <w:vAlign w:val="bottom"/>
            <w:tcBorders>
              <w:bottom w:val="single" w:sz="8" w:color="C9C9C9"/>
            </w:tcBorders>
            <w:gridSpan w:val="2"/>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C9C9C9"/>
            </w:tcBorders>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C9C9C9"/>
              <w:right w:val="single" w:sz="8" w:color="auto"/>
            </w:tcBorders>
          </w:tcPr>
          <w:p>
            <w:pPr>
              <w:jc w:val="right"/>
              <w:ind w:right="31"/>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Arial" w:cs="Arial" w:eastAsia="Arial" w:hAnsi="Arial"/>
                <w:sz w:val="18"/>
                <w:szCs w:val="18"/>
                <w:color w:val="auto"/>
              </w:rPr>
              <w:t>Amortization of acquisition-related intangible</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4160" w:type="dxa"/>
            <w:vAlign w:val="bottom"/>
          </w:tcPr>
          <w:p>
            <w:pPr>
              <w:ind w:left="360"/>
              <w:spacing w:after="0" w:line="203" w:lineRule="exact"/>
              <w:rPr>
                <w:sz w:val="20"/>
                <w:szCs w:val="20"/>
                <w:color w:val="auto"/>
              </w:rPr>
            </w:pPr>
            <w:r>
              <w:rPr>
                <w:rFonts w:ascii="Arial" w:cs="Arial" w:eastAsia="Arial" w:hAnsi="Arial"/>
                <w:sz w:val="18"/>
                <w:szCs w:val="18"/>
                <w:color w:val="auto"/>
              </w:rPr>
              <w:t>assets</w:t>
            </w:r>
            <w:r>
              <w:rPr>
                <w:rFonts w:ascii="Arial" w:cs="Arial" w:eastAsia="Arial" w:hAnsi="Arial"/>
                <w:sz w:val="10"/>
                <w:szCs w:val="10"/>
                <w:color w:val="auto"/>
              </w:rPr>
              <w:t>8</w:t>
            </w: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$142</w:t>
            </w:r>
          </w:p>
        </w:tc>
        <w:tc>
          <w:tcPr>
            <w:tcW w:w="6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$123</w:t>
            </w:r>
          </w:p>
        </w:tc>
        <w:tc>
          <w:tcPr>
            <w:tcW w:w="6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$123</w:t>
            </w:r>
          </w:p>
        </w:tc>
        <w:tc>
          <w:tcPr>
            <w:tcW w:w="860" w:type="dxa"/>
            <w:vAlign w:val="bottom"/>
            <w:tcBorders>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$123</w:t>
            </w:r>
          </w:p>
        </w:tc>
        <w:tc>
          <w:tcPr>
            <w:tcW w:w="78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$511</w:t>
            </w:r>
          </w:p>
        </w:tc>
        <w:tc>
          <w:tcPr>
            <w:tcW w:w="8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$152</w:t>
            </w:r>
          </w:p>
        </w:tc>
        <w:tc>
          <w:tcPr>
            <w:tcW w:w="6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$176</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$147</w:t>
            </w:r>
          </w:p>
        </w:tc>
        <w:tc>
          <w:tcPr>
            <w:tcW w:w="720" w:type="dxa"/>
            <w:vAlign w:val="bottom"/>
            <w:tcBorders>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$361</w:t>
            </w:r>
          </w:p>
        </w:tc>
        <w:tc>
          <w:tcPr>
            <w:tcW w:w="780" w:type="dxa"/>
            <w:vAlign w:val="bottom"/>
            <w:tcBorders>
              <w:right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$836</w:t>
            </w:r>
          </w:p>
        </w:tc>
        <w:tc>
          <w:tcPr>
            <w:tcW w:w="20" w:type="dxa"/>
            <w:vAlign w:val="bottom"/>
          </w:tcPr>
          <w:p>
            <w:pPr>
              <w:spacing w:after="0"/>
              <w:rPr>
                <w:sz w:val="17"/>
                <w:szCs w:val="17"/>
                <w:color w:val="auto"/>
              </w:rPr>
            </w:pPr>
          </w:p>
        </w:tc>
      </w:tr>
      <w:tr>
        <w:trPr>
          <w:trHeight w:val="200"/>
        </w:trPr>
        <w:tc>
          <w:tcPr>
            <w:tcW w:w="4160" w:type="dxa"/>
            <w:vAlign w:val="bottom"/>
          </w:tcPr>
          <w:p>
            <w:pPr>
              <w:spacing w:after="0" w:line="201" w:lineRule="exact"/>
              <w:rPr>
                <w:sz w:val="20"/>
                <w:szCs w:val="20"/>
                <w:color w:val="auto"/>
              </w:rPr>
            </w:pPr>
            <w:r>
              <w:rPr>
                <w:rFonts w:ascii="Arial" w:cs="Arial" w:eastAsia="Arial" w:hAnsi="Arial"/>
                <w:sz w:val="18"/>
                <w:szCs w:val="18"/>
                <w:b w:val="1"/>
                <w:bCs w:val="1"/>
                <w:color w:val="auto"/>
              </w:rPr>
              <w:t>Net Income attributable to Comcast</w:t>
            </w:r>
          </w:p>
        </w:tc>
        <w:tc>
          <w:tcPr>
            <w:tcW w:w="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Corporation (excluding adjustments)</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$2,684</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$2,619</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$2,571</w:t>
            </w: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$2,346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$10,220</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$3,047</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$3,185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$3,156</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$3,292</w:t>
            </w:r>
          </w:p>
        </w:tc>
        <w:tc>
          <w:tcPr>
            <w:tcW w:w="7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8"/>
              </w:rPr>
              <w:t>$12,680</w:t>
            </w:r>
          </w:p>
        </w:tc>
        <w:tc>
          <w:tcPr>
            <w:tcW w:w="20" w:type="dxa"/>
            <w:vAlign w:val="bottom"/>
          </w:tcPr>
          <w:p>
            <w:pPr>
              <w:spacing w:after="0"/>
              <w:rPr>
                <w:sz w:val="20"/>
                <w:szCs w:val="20"/>
                <w:color w:val="auto"/>
              </w:rPr>
            </w:pPr>
          </w:p>
        </w:tc>
      </w:tr>
      <w:tr>
        <w:trPr>
          <w:trHeight w:val="230"/>
        </w:trPr>
        <w:tc>
          <w:tcPr>
            <w:tcW w:w="4160" w:type="dxa"/>
            <w:vAlign w:val="bottom"/>
            <w:tcBorders>
              <w:bottom w:val="single" w:sz="8" w:color="C9C9C9"/>
            </w:tcBorders>
          </w:tcPr>
          <w:p>
            <w:pPr>
              <w:spacing w:after="0"/>
              <w:rPr>
                <w:sz w:val="20"/>
                <w:szCs w:val="20"/>
                <w:color w:val="auto"/>
              </w:rPr>
            </w:pPr>
            <w:r>
              <w:rPr>
                <w:rFonts w:ascii="Arial" w:cs="Arial" w:eastAsia="Arial" w:hAnsi="Arial"/>
                <w:sz w:val="18"/>
                <w:szCs w:val="18"/>
                <w:b w:val="1"/>
                <w:bCs w:val="1"/>
                <w:color w:val="auto"/>
              </w:rPr>
              <w:t>Adjusted EPS</w:t>
            </w:r>
          </w:p>
        </w:tc>
        <w:tc>
          <w:tcPr>
            <w:tcW w:w="64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b w:val="1"/>
                <w:bCs w:val="1"/>
                <w:color w:val="auto"/>
              </w:rPr>
              <w:t>$0.56</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b w:val="1"/>
                <w:bCs w:val="1"/>
                <w:color w:val="auto"/>
              </w:rPr>
              <w:t>$0.54</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b w:val="1"/>
                <w:bCs w:val="1"/>
                <w:color w:val="auto"/>
              </w:rPr>
              <w:t>$0.54</w:t>
            </w:r>
          </w:p>
        </w:tc>
        <w:tc>
          <w:tcPr>
            <w:tcW w:w="86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$0.50</w:t>
            </w:r>
          </w:p>
        </w:tc>
        <w:tc>
          <w:tcPr>
            <w:tcW w:w="78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800" w:type="dxa"/>
            <w:vAlign w:val="bottom"/>
            <w:tcBorders>
              <w:bottom w:val="single" w:sz="8" w:color="C9C9C9"/>
            </w:tcBorders>
            <w:gridSpan w:val="2"/>
          </w:tcPr>
          <w:p>
            <w:pPr>
              <w:jc w:val="right"/>
              <w:ind w:right="10"/>
              <w:spacing w:after="0"/>
              <w:rPr>
                <w:sz w:val="20"/>
                <w:szCs w:val="20"/>
                <w:color w:val="auto"/>
              </w:rPr>
            </w:pPr>
            <w:r>
              <w:rPr>
                <w:rFonts w:ascii="Arial" w:cs="Arial" w:eastAsia="Arial" w:hAnsi="Arial"/>
                <w:sz w:val="18"/>
                <w:szCs w:val="18"/>
                <w:b w:val="1"/>
                <w:bCs w:val="1"/>
                <w:color w:val="auto"/>
              </w:rPr>
              <w:t>$0.65</w:t>
            </w:r>
          </w:p>
        </w:tc>
        <w:tc>
          <w:tcPr>
            <w:tcW w:w="680" w:type="dxa"/>
            <w:vAlign w:val="bottom"/>
            <w:tcBorders>
              <w:bottom w:val="single" w:sz="8" w:color="C9C9C9"/>
            </w:tcBorders>
          </w:tcPr>
          <w:p>
            <w:pPr>
              <w:jc w:val="right"/>
              <w:ind w:right="10"/>
              <w:spacing w:after="0"/>
              <w:rPr>
                <w:sz w:val="20"/>
                <w:szCs w:val="20"/>
                <w:color w:val="auto"/>
              </w:rPr>
            </w:pPr>
            <w:r>
              <w:rPr>
                <w:rFonts w:ascii="Arial" w:cs="Arial" w:eastAsia="Arial" w:hAnsi="Arial"/>
                <w:sz w:val="18"/>
                <w:szCs w:val="18"/>
                <w:b w:val="1"/>
                <w:bCs w:val="1"/>
                <w:color w:val="auto"/>
              </w:rPr>
              <w:t>$0.69</w:t>
            </w:r>
          </w:p>
        </w:tc>
        <w:tc>
          <w:tcPr>
            <w:tcW w:w="660" w:type="dxa"/>
            <w:vAlign w:val="bottom"/>
            <w:tcBorders>
              <w:bottom w:val="single" w:sz="8" w:color="C9C9C9"/>
            </w:tcBorders>
          </w:tcPr>
          <w:p>
            <w:pPr>
              <w:jc w:val="right"/>
              <w:spacing w:after="0"/>
              <w:rPr>
                <w:sz w:val="20"/>
                <w:szCs w:val="20"/>
                <w:color w:val="auto"/>
              </w:rPr>
            </w:pPr>
            <w:r>
              <w:rPr>
                <w:rFonts w:ascii="Arial" w:cs="Arial" w:eastAsia="Arial" w:hAnsi="Arial"/>
                <w:sz w:val="18"/>
                <w:szCs w:val="18"/>
                <w:b w:val="1"/>
                <w:bCs w:val="1"/>
                <w:color w:val="auto"/>
              </w:rPr>
              <w:t>$0.68</w:t>
            </w:r>
          </w:p>
        </w:tc>
        <w:tc>
          <w:tcPr>
            <w:tcW w:w="720" w:type="dxa"/>
            <w:vAlign w:val="bottom"/>
            <w:tcBorders>
              <w:bottom w:val="single" w:sz="8" w:color="C9C9C9"/>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$0.72</w:t>
            </w:r>
          </w:p>
        </w:tc>
        <w:tc>
          <w:tcPr>
            <w:tcW w:w="780" w:type="dxa"/>
            <w:vAlign w:val="bottom"/>
            <w:tcBorders>
              <w:bottom w:val="single" w:sz="8" w:color="C9C9C9"/>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$2.73</w:t>
            </w:r>
          </w:p>
        </w:tc>
        <w:tc>
          <w:tcPr>
            <w:tcW w:w="20" w:type="dxa"/>
            <w:vAlign w:val="bottom"/>
          </w:tcPr>
          <w:p>
            <w:pPr>
              <w:spacing w:after="0"/>
              <w:rPr>
                <w:sz w:val="19"/>
                <w:szCs w:val="19"/>
                <w:color w:val="auto"/>
              </w:rPr>
            </w:pPr>
          </w:p>
        </w:tc>
      </w:tr>
      <w:tr>
        <w:trPr>
          <w:trHeight w:val="398"/>
        </w:trPr>
        <w:tc>
          <w:tcPr>
            <w:tcW w:w="4160" w:type="dxa"/>
            <w:vAlign w:val="bottom"/>
          </w:tcPr>
          <w:p>
            <w:pPr>
              <w:spacing w:after="0"/>
              <w:rPr>
                <w:sz w:val="20"/>
                <w:szCs w:val="20"/>
                <w:color w:val="auto"/>
              </w:rPr>
            </w:pPr>
            <w:r>
              <w:rPr>
                <w:rFonts w:ascii="Arial" w:cs="Arial" w:eastAsia="Arial" w:hAnsi="Arial"/>
                <w:sz w:val="18"/>
                <w:szCs w:val="18"/>
                <w:color w:val="auto"/>
              </w:rPr>
              <w:t>Diluted Weighted-Average Number of Common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4,832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4,809</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4,777</w:t>
            </w: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4,729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4,705</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4,643</w:t>
            </w:r>
          </w:p>
        </w:tc>
        <w:tc>
          <w:tcPr>
            <w:tcW w:w="660" w:type="dxa"/>
            <w:vAlign w:val="bottom"/>
          </w:tcPr>
          <w:p>
            <w:pPr>
              <w:jc w:val="right"/>
              <w:spacing w:after="0"/>
              <w:rPr>
                <w:sz w:val="20"/>
                <w:szCs w:val="20"/>
                <w:color w:val="auto"/>
              </w:rPr>
            </w:pPr>
            <w:r>
              <w:rPr>
                <w:rFonts w:ascii="Arial" w:cs="Arial" w:eastAsia="Arial" w:hAnsi="Arial"/>
                <w:sz w:val="18"/>
                <w:szCs w:val="18"/>
                <w:color w:val="auto"/>
              </w:rPr>
              <w:t>4,619</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4,596</w:t>
            </w:r>
          </w:p>
        </w:tc>
        <w:tc>
          <w:tcPr>
            <w:tcW w:w="7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2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Arial" w:cs="Arial" w:eastAsia="Arial" w:hAnsi="Arial"/>
                <w:sz w:val="18"/>
                <w:szCs w:val="18"/>
                <w:color w:val="auto"/>
              </w:rPr>
              <w:t>Shares</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06"/>
        </w:trPr>
        <w:tc>
          <w:tcPr>
            <w:tcW w:w="4800" w:type="dxa"/>
            <w:vAlign w:val="bottom"/>
            <w:gridSpan w:val="2"/>
          </w:tcPr>
          <w:p>
            <w:pPr>
              <w:ind w:left="400"/>
              <w:spacing w:after="0"/>
              <w:rPr>
                <w:sz w:val="20"/>
                <w:szCs w:val="20"/>
                <w:color w:val="auto"/>
              </w:rPr>
            </w:pPr>
            <w:r>
              <w:rPr>
                <w:rFonts w:ascii="Arial" w:cs="Arial" w:eastAsia="Arial" w:hAnsi="Arial"/>
                <w:sz w:val="14"/>
                <w:szCs w:val="14"/>
                <w:color w:val="auto"/>
              </w:rPr>
              <w:t>See notes on page 2. Minor differences may exist due to rounding.</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311"/>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r>
      <w:tr>
        <w:trPr>
          <w:trHeight w:val="252"/>
        </w:trPr>
        <w:tc>
          <w:tcPr>
            <w:tcW w:w="41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47" w:right="19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color w:val="969696"/>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102870</wp:posOffset>
            </wp:positionV>
            <wp:extent cx="7237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74" w:lineRule="exact"/>
        <w:rPr>
          <w:sz w:val="20"/>
          <w:szCs w:val="20"/>
          <w:color w:val="auto"/>
        </w:rPr>
      </w:pPr>
    </w:p>
    <w:p>
      <w:pPr>
        <w:ind w:left="20" w:right="40" w:firstLine="2"/>
        <w:spacing w:after="0" w:line="236" w:lineRule="auto"/>
        <w:tabs>
          <w:tab w:leader="none" w:pos="279" w:val="left"/>
        </w:tabs>
        <w:numPr>
          <w:ilvl w:val="0"/>
          <w:numId w:val="2"/>
        </w:numPr>
        <w:rPr>
          <w:rFonts w:ascii="Arial" w:cs="Arial" w:eastAsia="Arial" w:hAnsi="Arial"/>
          <w:sz w:val="20"/>
          <w:szCs w:val="20"/>
          <w:color w:val="auto"/>
        </w:rPr>
      </w:pPr>
      <w:r>
        <w:rPr>
          <w:rFonts w:ascii="Arial" w:cs="Arial" w:eastAsia="Arial" w:hAnsi="Arial"/>
          <w:sz w:val="20"/>
          <w:szCs w:val="20"/>
          <w:color w:val="auto"/>
        </w:rPr>
        <w:t>Fair value investments include realized and unrealized (gains) losses on equity securities, net, as well as the equity in net (income) losses, net, for our investment in Atairos.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23"/>
        </w:trPr>
        <w:tc>
          <w:tcPr>
            <w:tcW w:w="4600" w:type="dxa"/>
            <w:vAlign w:val="bottom"/>
            <w:tcBorders>
              <w:right w:val="single" w:sz="8" w:color="auto"/>
            </w:tcBorders>
          </w:tcPr>
          <w:p>
            <w:pPr>
              <w:spacing w:after="0"/>
              <w:rPr>
                <w:sz w:val="19"/>
                <w:szCs w:val="19"/>
                <w:color w:val="auto"/>
              </w:rPr>
            </w:pPr>
          </w:p>
        </w:tc>
        <w:tc>
          <w:tcPr>
            <w:tcW w:w="640" w:type="dxa"/>
            <w:vAlign w:val="bottom"/>
            <w:tcBorders>
              <w:bottom w:val="single" w:sz="8" w:color="auto"/>
            </w:tcBorders>
            <w:shd w:val="clear" w:color="auto" w:fill="F0F0F0"/>
          </w:tcPr>
          <w:p>
            <w:pPr>
              <w:jc w:val="right"/>
              <w:ind w:right="199"/>
              <w:spacing w:after="0"/>
              <w:rPr>
                <w:sz w:val="20"/>
                <w:szCs w:val="20"/>
                <w:color w:val="auto"/>
              </w:rPr>
            </w:pPr>
            <w:r>
              <w:rPr>
                <w:rFonts w:ascii="Arial" w:cs="Arial" w:eastAsia="Arial" w:hAnsi="Arial"/>
                <w:sz w:val="16"/>
                <w:szCs w:val="16"/>
                <w:b w:val="1"/>
                <w:bCs w:val="1"/>
                <w:color w:val="auto"/>
              </w:rPr>
              <w:t>1Q</w:t>
            </w:r>
          </w:p>
        </w:tc>
        <w:tc>
          <w:tcPr>
            <w:tcW w:w="580" w:type="dxa"/>
            <w:vAlign w:val="bottom"/>
            <w:tcBorders>
              <w:bottom w:val="single" w:sz="8" w:color="auto"/>
            </w:tcBorders>
            <w:shd w:val="clear" w:color="auto" w:fill="F0F0F0"/>
          </w:tcPr>
          <w:p>
            <w:pPr>
              <w:jc w:val="right"/>
              <w:ind w:right="179"/>
              <w:spacing w:after="0"/>
              <w:rPr>
                <w:sz w:val="20"/>
                <w:szCs w:val="20"/>
                <w:color w:val="auto"/>
              </w:rPr>
            </w:pPr>
            <w:r>
              <w:rPr>
                <w:rFonts w:ascii="Arial" w:cs="Arial" w:eastAsia="Arial" w:hAnsi="Arial"/>
                <w:sz w:val="16"/>
                <w:szCs w:val="16"/>
                <w:b w:val="1"/>
                <w:bCs w:val="1"/>
                <w:color w:val="auto"/>
              </w:rPr>
              <w:t>2Q</w:t>
            </w:r>
          </w:p>
        </w:tc>
        <w:tc>
          <w:tcPr>
            <w:tcW w:w="600" w:type="dxa"/>
            <w:vAlign w:val="bottom"/>
            <w:tcBorders>
              <w:bottom w:val="single" w:sz="8" w:color="auto"/>
            </w:tcBorders>
            <w:shd w:val="clear" w:color="auto" w:fill="F0F0F0"/>
          </w:tcPr>
          <w:p>
            <w:pPr>
              <w:jc w:val="right"/>
              <w:ind w:right="179"/>
              <w:spacing w:after="0"/>
              <w:rPr>
                <w:sz w:val="20"/>
                <w:szCs w:val="20"/>
                <w:color w:val="auto"/>
              </w:rPr>
            </w:pPr>
            <w:r>
              <w:rPr>
                <w:rFonts w:ascii="Arial" w:cs="Arial" w:eastAsia="Arial" w:hAnsi="Arial"/>
                <w:sz w:val="16"/>
                <w:szCs w:val="16"/>
                <w:b w:val="1"/>
                <w:bCs w:val="1"/>
                <w:color w:val="auto"/>
              </w:rPr>
              <w:t>3Q</w:t>
            </w:r>
          </w:p>
        </w:tc>
        <w:tc>
          <w:tcPr>
            <w:tcW w:w="620" w:type="dxa"/>
            <w:vAlign w:val="bottom"/>
            <w:tcBorders>
              <w:bottom w:val="single" w:sz="8" w:color="auto"/>
              <w:right w:val="single" w:sz="8" w:color="auto"/>
            </w:tcBorders>
            <w:shd w:val="clear" w:color="auto" w:fill="F0F0F0"/>
          </w:tcPr>
          <w:p>
            <w:pPr>
              <w:jc w:val="right"/>
              <w:ind w:right="199"/>
              <w:spacing w:after="0"/>
              <w:rPr>
                <w:sz w:val="20"/>
                <w:szCs w:val="20"/>
                <w:color w:val="auto"/>
              </w:rPr>
            </w:pPr>
            <w:r>
              <w:rPr>
                <w:rFonts w:ascii="Arial" w:cs="Arial" w:eastAsia="Arial" w:hAnsi="Arial"/>
                <w:sz w:val="16"/>
                <w:szCs w:val="16"/>
                <w:b w:val="1"/>
                <w:bCs w:val="1"/>
                <w:color w:val="auto"/>
              </w:rPr>
              <w:t>4Q</w:t>
            </w:r>
          </w:p>
        </w:tc>
        <w:tc>
          <w:tcPr>
            <w:tcW w:w="600" w:type="dxa"/>
            <w:vAlign w:val="bottom"/>
            <w:tcBorders>
              <w:bottom w:val="single" w:sz="8" w:color="auto"/>
              <w:right w:val="single" w:sz="8" w:color="auto"/>
            </w:tcBorders>
            <w:shd w:val="clear" w:color="auto" w:fill="F0F0F0"/>
          </w:tcPr>
          <w:p>
            <w:pPr>
              <w:jc w:val="right"/>
              <w:ind w:right="179"/>
              <w:spacing w:after="0"/>
              <w:rPr>
                <w:sz w:val="20"/>
                <w:szCs w:val="20"/>
                <w:color w:val="auto"/>
              </w:rPr>
            </w:pPr>
            <w:r>
              <w:rPr>
                <w:rFonts w:ascii="Arial" w:cs="Arial" w:eastAsia="Arial" w:hAnsi="Arial"/>
                <w:sz w:val="16"/>
                <w:szCs w:val="16"/>
                <w:b w:val="1"/>
                <w:bCs w:val="1"/>
                <w:color w:val="auto"/>
              </w:rPr>
              <w:t>FY</w:t>
            </w:r>
          </w:p>
        </w:tc>
        <w:tc>
          <w:tcPr>
            <w:tcW w:w="120" w:type="dxa"/>
            <w:vAlign w:val="bottom"/>
            <w:tcBorders>
              <w:right w:val="single" w:sz="8" w:color="auto"/>
            </w:tcBorders>
          </w:tcPr>
          <w:p>
            <w:pPr>
              <w:spacing w:after="0"/>
              <w:rPr>
                <w:sz w:val="19"/>
                <w:szCs w:val="19"/>
                <w:color w:val="auto"/>
              </w:rPr>
            </w:pPr>
          </w:p>
        </w:tc>
        <w:tc>
          <w:tcPr>
            <w:tcW w:w="640" w:type="dxa"/>
            <w:vAlign w:val="bottom"/>
            <w:tcBorders>
              <w:bottom w:val="single" w:sz="8" w:color="auto"/>
            </w:tcBorders>
            <w:shd w:val="clear" w:color="auto" w:fill="F0F0F0"/>
          </w:tcPr>
          <w:p>
            <w:pPr>
              <w:jc w:val="right"/>
              <w:ind w:right="199"/>
              <w:spacing w:after="0"/>
              <w:rPr>
                <w:sz w:val="20"/>
                <w:szCs w:val="20"/>
                <w:color w:val="auto"/>
              </w:rPr>
            </w:pPr>
            <w:r>
              <w:rPr>
                <w:rFonts w:ascii="Arial" w:cs="Arial" w:eastAsia="Arial" w:hAnsi="Arial"/>
                <w:sz w:val="16"/>
                <w:szCs w:val="16"/>
                <w:b w:val="1"/>
                <w:bCs w:val="1"/>
                <w:color w:val="auto"/>
              </w:rPr>
              <w:t>1Q</w:t>
            </w:r>
          </w:p>
        </w:tc>
        <w:tc>
          <w:tcPr>
            <w:tcW w:w="600" w:type="dxa"/>
            <w:vAlign w:val="bottom"/>
            <w:tcBorders>
              <w:bottom w:val="single" w:sz="8" w:color="auto"/>
            </w:tcBorders>
            <w:shd w:val="clear" w:color="auto" w:fill="F0F0F0"/>
          </w:tcPr>
          <w:p>
            <w:pPr>
              <w:jc w:val="right"/>
              <w:ind w:right="179"/>
              <w:spacing w:after="0"/>
              <w:rPr>
                <w:sz w:val="20"/>
                <w:szCs w:val="20"/>
                <w:color w:val="auto"/>
              </w:rPr>
            </w:pPr>
            <w:r>
              <w:rPr>
                <w:rFonts w:ascii="Arial" w:cs="Arial" w:eastAsia="Arial" w:hAnsi="Arial"/>
                <w:sz w:val="16"/>
                <w:szCs w:val="16"/>
                <w:b w:val="1"/>
                <w:bCs w:val="1"/>
                <w:color w:val="auto"/>
              </w:rPr>
              <w:t>2Q</w:t>
            </w:r>
          </w:p>
        </w:tc>
        <w:tc>
          <w:tcPr>
            <w:tcW w:w="660" w:type="dxa"/>
            <w:vAlign w:val="bottom"/>
            <w:tcBorders>
              <w:bottom w:val="single" w:sz="8" w:color="auto"/>
            </w:tcBorders>
            <w:shd w:val="clear" w:color="auto" w:fill="F0F0F0"/>
          </w:tcPr>
          <w:p>
            <w:pPr>
              <w:jc w:val="right"/>
              <w:ind w:right="219"/>
              <w:spacing w:after="0"/>
              <w:rPr>
                <w:sz w:val="20"/>
                <w:szCs w:val="20"/>
                <w:color w:val="auto"/>
              </w:rPr>
            </w:pPr>
            <w:r>
              <w:rPr>
                <w:rFonts w:ascii="Arial" w:cs="Arial" w:eastAsia="Arial" w:hAnsi="Arial"/>
                <w:sz w:val="16"/>
                <w:szCs w:val="16"/>
                <w:b w:val="1"/>
                <w:bCs w:val="1"/>
                <w:color w:val="auto"/>
              </w:rPr>
              <w:t>3Q</w:t>
            </w:r>
          </w:p>
        </w:tc>
        <w:tc>
          <w:tcPr>
            <w:tcW w:w="600" w:type="dxa"/>
            <w:vAlign w:val="bottom"/>
            <w:tcBorders>
              <w:bottom w:val="single" w:sz="8" w:color="auto"/>
              <w:right w:val="single" w:sz="8" w:color="auto"/>
            </w:tcBorders>
            <w:shd w:val="clear" w:color="auto" w:fill="F0F0F0"/>
          </w:tcPr>
          <w:p>
            <w:pPr>
              <w:ind w:left="100"/>
              <w:spacing w:after="0"/>
              <w:rPr>
                <w:sz w:val="20"/>
                <w:szCs w:val="20"/>
                <w:color w:val="auto"/>
              </w:rPr>
            </w:pPr>
            <w:r>
              <w:rPr>
                <w:rFonts w:ascii="Arial" w:cs="Arial" w:eastAsia="Arial" w:hAnsi="Arial"/>
                <w:sz w:val="16"/>
                <w:szCs w:val="16"/>
                <w:b w:val="1"/>
                <w:bCs w:val="1"/>
                <w:color w:val="auto"/>
              </w:rPr>
              <w:t>4Q</w:t>
            </w:r>
          </w:p>
        </w:tc>
        <w:tc>
          <w:tcPr>
            <w:tcW w:w="600" w:type="dxa"/>
            <w:vAlign w:val="bottom"/>
            <w:tcBorders>
              <w:bottom w:val="single" w:sz="8" w:color="auto"/>
              <w:right w:val="single" w:sz="8" w:color="auto"/>
            </w:tcBorders>
            <w:shd w:val="clear" w:color="auto" w:fill="F0F0F0"/>
          </w:tcPr>
          <w:p>
            <w:pPr>
              <w:jc w:val="right"/>
              <w:ind w:right="159"/>
              <w:spacing w:after="0"/>
              <w:rPr>
                <w:sz w:val="20"/>
                <w:szCs w:val="20"/>
                <w:color w:val="auto"/>
              </w:rPr>
            </w:pPr>
            <w:r>
              <w:rPr>
                <w:rFonts w:ascii="Arial" w:cs="Arial" w:eastAsia="Arial" w:hAnsi="Arial"/>
                <w:sz w:val="16"/>
                <w:szCs w:val="16"/>
                <w:b w:val="1"/>
                <w:bCs w:val="1"/>
                <w:color w:val="auto"/>
              </w:rPr>
              <w:t>FY</w:t>
            </w:r>
          </w:p>
        </w:tc>
      </w:tr>
      <w:tr>
        <w:trPr>
          <w:trHeight w:val="233"/>
        </w:trPr>
        <w:tc>
          <w:tcPr>
            <w:tcW w:w="4600" w:type="dxa"/>
            <w:vAlign w:val="bottom"/>
          </w:tcPr>
          <w:p>
            <w:pPr>
              <w:spacing w:after="0"/>
              <w:rPr>
                <w:sz w:val="20"/>
                <w:szCs w:val="20"/>
                <w:color w:val="auto"/>
              </w:rPr>
            </w:pPr>
            <w:r>
              <w:rPr>
                <w:rFonts w:ascii="Arial" w:cs="Arial" w:eastAsia="Arial" w:hAnsi="Arial"/>
                <w:sz w:val="20"/>
                <w:szCs w:val="20"/>
                <w:color w:val="auto"/>
              </w:rPr>
              <w:t>Realized and unrealized (gains) losses on equity</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r>
      <w:tr>
        <w:trPr>
          <w:trHeight w:val="220"/>
        </w:trPr>
        <w:tc>
          <w:tcPr>
            <w:tcW w:w="4600" w:type="dxa"/>
            <w:vAlign w:val="bottom"/>
          </w:tcPr>
          <w:p>
            <w:pPr>
              <w:ind w:left="180"/>
              <w:spacing w:after="0" w:line="220" w:lineRule="exact"/>
              <w:rPr>
                <w:sz w:val="20"/>
                <w:szCs w:val="20"/>
                <w:color w:val="auto"/>
              </w:rPr>
            </w:pPr>
            <w:r>
              <w:rPr>
                <w:rFonts w:ascii="Arial" w:cs="Arial" w:eastAsia="Arial" w:hAnsi="Arial"/>
                <w:sz w:val="20"/>
                <w:szCs w:val="20"/>
                <w:color w:val="auto"/>
              </w:rPr>
              <w:t>securities, net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6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$17</w:t>
            </w:r>
          </w:p>
        </w:tc>
        <w:tc>
          <w:tcPr>
            <w:tcW w:w="6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$137</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33"/>
        </w:trPr>
        <w:tc>
          <w:tcPr>
            <w:tcW w:w="4600" w:type="dxa"/>
            <w:vAlign w:val="bottom"/>
          </w:tcPr>
          <w:p>
            <w:pPr>
              <w:spacing w:after="0"/>
              <w:rPr>
                <w:sz w:val="20"/>
                <w:szCs w:val="20"/>
                <w:color w:val="auto"/>
              </w:rPr>
            </w:pPr>
            <w:r>
              <w:rPr>
                <w:rFonts w:ascii="Arial" w:cs="Arial" w:eastAsia="Arial" w:hAnsi="Arial"/>
                <w:sz w:val="20"/>
                <w:szCs w:val="20"/>
                <w:color w:val="auto"/>
              </w:rPr>
              <w:t>Equity in net (income) losses, net for investment in</w:t>
            </w:r>
          </w:p>
        </w:tc>
        <w:tc>
          <w:tcPr>
            <w:tcW w:w="640" w:type="dxa"/>
            <w:vAlign w:val="bottom"/>
            <w:tcBorders>
              <w:top w:val="single" w:sz="8" w:color="C9C9C9"/>
            </w:tcBorders>
          </w:tcPr>
          <w:p>
            <w:pPr>
              <w:spacing w:after="0"/>
              <w:rPr>
                <w:sz w:val="20"/>
                <w:szCs w:val="20"/>
                <w:color w:val="auto"/>
              </w:rPr>
            </w:pPr>
          </w:p>
        </w:tc>
        <w:tc>
          <w:tcPr>
            <w:tcW w:w="580" w:type="dxa"/>
            <w:vAlign w:val="bottom"/>
            <w:tcBorders>
              <w:top w:val="single" w:sz="8" w:color="C9C9C9"/>
            </w:tcBorders>
          </w:tcPr>
          <w:p>
            <w:pPr>
              <w:spacing w:after="0"/>
              <w:rPr>
                <w:sz w:val="20"/>
                <w:szCs w:val="20"/>
                <w:color w:val="auto"/>
              </w:rPr>
            </w:pPr>
          </w:p>
        </w:tc>
        <w:tc>
          <w:tcPr>
            <w:tcW w:w="600" w:type="dxa"/>
            <w:vAlign w:val="bottom"/>
            <w:tcBorders>
              <w:top w:val="single" w:sz="8" w:color="C9C9C9"/>
            </w:tcBorders>
          </w:tcPr>
          <w:p>
            <w:pPr>
              <w:spacing w:after="0"/>
              <w:rPr>
                <w:sz w:val="20"/>
                <w:szCs w:val="20"/>
                <w:color w:val="auto"/>
              </w:rPr>
            </w:pPr>
          </w:p>
        </w:tc>
        <w:tc>
          <w:tcPr>
            <w:tcW w:w="620" w:type="dxa"/>
            <w:vAlign w:val="bottom"/>
            <w:tcBorders>
              <w:top w:val="single" w:sz="8" w:color="C9C9C9"/>
              <w:right w:val="single" w:sz="8" w:color="auto"/>
            </w:tcBorders>
          </w:tcPr>
          <w:p>
            <w:pPr>
              <w:spacing w:after="0"/>
              <w:rPr>
                <w:sz w:val="20"/>
                <w:szCs w:val="20"/>
                <w:color w:val="auto"/>
              </w:rPr>
            </w:pPr>
          </w:p>
        </w:tc>
        <w:tc>
          <w:tcPr>
            <w:tcW w:w="600" w:type="dxa"/>
            <w:vAlign w:val="bottom"/>
            <w:tcBorders>
              <w:top w:val="single" w:sz="8" w:color="C9C9C9"/>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C9C9C9"/>
            </w:tcBorders>
          </w:tcPr>
          <w:p>
            <w:pPr>
              <w:spacing w:after="0"/>
              <w:rPr>
                <w:sz w:val="20"/>
                <w:szCs w:val="20"/>
                <w:color w:val="auto"/>
              </w:rPr>
            </w:pPr>
          </w:p>
        </w:tc>
        <w:tc>
          <w:tcPr>
            <w:tcW w:w="600" w:type="dxa"/>
            <w:vAlign w:val="bottom"/>
            <w:tcBorders>
              <w:top w:val="single" w:sz="8" w:color="C9C9C9"/>
            </w:tcBorders>
          </w:tcPr>
          <w:p>
            <w:pPr>
              <w:spacing w:after="0"/>
              <w:rPr>
                <w:sz w:val="20"/>
                <w:szCs w:val="20"/>
                <w:color w:val="auto"/>
              </w:rPr>
            </w:pPr>
          </w:p>
        </w:tc>
        <w:tc>
          <w:tcPr>
            <w:tcW w:w="660" w:type="dxa"/>
            <w:vAlign w:val="bottom"/>
            <w:tcBorders>
              <w:top w:val="single" w:sz="8" w:color="C9C9C9"/>
            </w:tcBorders>
          </w:tcPr>
          <w:p>
            <w:pPr>
              <w:spacing w:after="0"/>
              <w:rPr>
                <w:sz w:val="20"/>
                <w:szCs w:val="20"/>
                <w:color w:val="auto"/>
              </w:rPr>
            </w:pPr>
          </w:p>
        </w:tc>
        <w:tc>
          <w:tcPr>
            <w:tcW w:w="600" w:type="dxa"/>
            <w:vAlign w:val="bottom"/>
            <w:tcBorders>
              <w:top w:val="single" w:sz="8" w:color="C9C9C9"/>
              <w:right w:val="single" w:sz="8" w:color="auto"/>
            </w:tcBorders>
          </w:tcPr>
          <w:p>
            <w:pPr>
              <w:spacing w:after="0"/>
              <w:rPr>
                <w:sz w:val="20"/>
                <w:szCs w:val="20"/>
                <w:color w:val="auto"/>
              </w:rPr>
            </w:pPr>
          </w:p>
        </w:tc>
        <w:tc>
          <w:tcPr>
            <w:tcW w:w="600" w:type="dxa"/>
            <w:vAlign w:val="bottom"/>
            <w:tcBorders>
              <w:top w:val="single" w:sz="8" w:color="C9C9C9"/>
              <w:right w:val="single" w:sz="8" w:color="auto"/>
            </w:tcBorders>
          </w:tcPr>
          <w:p>
            <w:pPr>
              <w:spacing w:after="0"/>
              <w:rPr>
                <w:sz w:val="20"/>
                <w:szCs w:val="20"/>
                <w:color w:val="auto"/>
              </w:rPr>
            </w:pPr>
          </w:p>
        </w:tc>
      </w:tr>
      <w:tr>
        <w:trPr>
          <w:trHeight w:val="220"/>
        </w:trPr>
        <w:tc>
          <w:tcPr>
            <w:tcW w:w="4600" w:type="dxa"/>
            <w:vAlign w:val="bottom"/>
          </w:tcPr>
          <w:p>
            <w:pPr>
              <w:ind w:left="180"/>
              <w:spacing w:after="0" w:line="220" w:lineRule="exact"/>
              <w:rPr>
                <w:sz w:val="20"/>
                <w:szCs w:val="20"/>
                <w:color w:val="auto"/>
              </w:rPr>
            </w:pPr>
            <w:r>
              <w:rPr>
                <w:rFonts w:ascii="Arial" w:cs="Arial" w:eastAsia="Arial" w:hAnsi="Arial"/>
                <w:sz w:val="20"/>
                <w:szCs w:val="20"/>
                <w:color w:val="auto"/>
              </w:rPr>
              <w:t>Atairos</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$255</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4600" w:type="dxa"/>
            <w:vAlign w:val="bottom"/>
          </w:tcPr>
          <w:p>
            <w:pPr>
              <w:spacing w:after="0"/>
              <w:rPr>
                <w:sz w:val="20"/>
                <w:szCs w:val="20"/>
                <w:color w:val="auto"/>
              </w:rPr>
            </w:pPr>
            <w:r>
              <w:rPr>
                <w:rFonts w:ascii="Arial" w:cs="Arial" w:eastAsia="Arial" w:hAnsi="Arial"/>
                <w:sz w:val="20"/>
                <w:szCs w:val="20"/>
                <w:color w:val="auto"/>
              </w:rPr>
              <w:t>Fair value investments before income taxes</w:t>
            </w:r>
          </w:p>
        </w:tc>
        <w:tc>
          <w:tcPr>
            <w:tcW w:w="640" w:type="dxa"/>
            <w:vAlign w:val="bottom"/>
            <w:tcBorders>
              <w:bottom w:val="single" w:sz="8" w:color="C9C9C9"/>
            </w:tcBorders>
          </w:tcPr>
          <w:p>
            <w:pPr>
              <w:jc w:val="right"/>
              <w:ind w:right="19"/>
              <w:spacing w:after="0"/>
              <w:rPr>
                <w:sz w:val="20"/>
                <w:szCs w:val="20"/>
                <w:color w:val="auto"/>
              </w:rPr>
            </w:pPr>
            <w:r>
              <w:rPr>
                <w:rFonts w:ascii="Arial" w:cs="Arial" w:eastAsia="Arial" w:hAnsi="Arial"/>
                <w:sz w:val="16"/>
                <w:szCs w:val="16"/>
                <w:color w:val="auto"/>
              </w:rPr>
              <w:t>($52)</w:t>
            </w:r>
          </w:p>
        </w:tc>
        <w:tc>
          <w:tcPr>
            <w:tcW w:w="580" w:type="dxa"/>
            <w:vAlign w:val="bottom"/>
            <w:tcBorders>
              <w:bottom w:val="single" w:sz="8" w:color="C9C9C9"/>
            </w:tcBorders>
          </w:tcPr>
          <w:p>
            <w:pPr>
              <w:jc w:val="right"/>
              <w:spacing w:after="0"/>
              <w:rPr>
                <w:sz w:val="20"/>
                <w:szCs w:val="20"/>
                <w:color w:val="auto"/>
              </w:rPr>
            </w:pPr>
            <w:r>
              <w:rPr>
                <w:rFonts w:ascii="Arial" w:cs="Arial" w:eastAsia="Arial" w:hAnsi="Arial"/>
                <w:sz w:val="16"/>
                <w:szCs w:val="16"/>
                <w:color w:val="auto"/>
              </w:rPr>
              <w:t>($40)</w:t>
            </w:r>
          </w:p>
        </w:tc>
        <w:tc>
          <w:tcPr>
            <w:tcW w:w="600" w:type="dxa"/>
            <w:vAlign w:val="bottom"/>
            <w:tcBorders>
              <w:bottom w:val="single" w:sz="8" w:color="C9C9C9"/>
            </w:tcBorders>
          </w:tcPr>
          <w:p>
            <w:pPr>
              <w:jc w:val="right"/>
              <w:spacing w:after="0"/>
              <w:rPr>
                <w:sz w:val="20"/>
                <w:szCs w:val="20"/>
                <w:color w:val="auto"/>
              </w:rPr>
            </w:pPr>
            <w:r>
              <w:rPr>
                <w:rFonts w:ascii="Arial" w:cs="Arial" w:eastAsia="Arial" w:hAnsi="Arial"/>
                <w:sz w:val="16"/>
                <w:szCs w:val="16"/>
                <w:color w:val="auto"/>
              </w:rPr>
              <w:t>($14)</w:t>
            </w:r>
          </w:p>
        </w:tc>
        <w:tc>
          <w:tcPr>
            <w:tcW w:w="62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60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640" w:type="dxa"/>
            <w:vAlign w:val="bottom"/>
            <w:tcBorders>
              <w:bottom w:val="single" w:sz="8" w:color="C9C9C9"/>
            </w:tcBorders>
          </w:tcPr>
          <w:p>
            <w:pPr>
              <w:jc w:val="right"/>
              <w:spacing w:after="0"/>
              <w:rPr>
                <w:sz w:val="20"/>
                <w:szCs w:val="20"/>
                <w:color w:val="auto"/>
              </w:rPr>
            </w:pPr>
            <w:r>
              <w:rPr>
                <w:rFonts w:ascii="Arial" w:cs="Arial" w:eastAsia="Arial" w:hAnsi="Arial"/>
                <w:sz w:val="16"/>
                <w:szCs w:val="16"/>
                <w:color w:val="auto"/>
              </w:rPr>
              <w:t>($63)</w:t>
            </w:r>
          </w:p>
        </w:tc>
        <w:tc>
          <w:tcPr>
            <w:tcW w:w="600" w:type="dxa"/>
            <w:vAlign w:val="bottom"/>
            <w:tcBorders>
              <w:bottom w:val="single" w:sz="8" w:color="C9C9C9"/>
            </w:tcBorders>
          </w:tcPr>
          <w:p>
            <w:pPr>
              <w:jc w:val="right"/>
              <w:spacing w:after="0"/>
              <w:rPr>
                <w:sz w:val="20"/>
                <w:szCs w:val="20"/>
                <w:color w:val="auto"/>
              </w:rPr>
            </w:pPr>
            <w:r>
              <w:rPr>
                <w:rFonts w:ascii="Arial" w:cs="Arial" w:eastAsia="Arial" w:hAnsi="Arial"/>
                <w:sz w:val="16"/>
                <w:szCs w:val="16"/>
                <w:color w:val="auto"/>
              </w:rPr>
              <w:t>($111)</w:t>
            </w:r>
          </w:p>
        </w:tc>
        <w:tc>
          <w:tcPr>
            <w:tcW w:w="660" w:type="dxa"/>
            <w:vAlign w:val="bottom"/>
            <w:tcBorders>
              <w:bottom w:val="single" w:sz="8" w:color="C9C9C9"/>
            </w:tcBorders>
          </w:tcPr>
          <w:p>
            <w:pPr>
              <w:jc w:val="right"/>
              <w:ind w:right="79"/>
              <w:spacing w:after="0"/>
              <w:rPr>
                <w:sz w:val="20"/>
                <w:szCs w:val="20"/>
                <w:color w:val="auto"/>
              </w:rPr>
            </w:pPr>
            <w:r>
              <w:rPr>
                <w:rFonts w:ascii="Arial" w:cs="Arial" w:eastAsia="Arial" w:hAnsi="Arial"/>
                <w:sz w:val="16"/>
                <w:szCs w:val="16"/>
                <w:color w:val="auto"/>
              </w:rPr>
              <w:t>$0</w:t>
            </w:r>
          </w:p>
        </w:tc>
        <w:tc>
          <w:tcPr>
            <w:tcW w:w="600" w:type="dxa"/>
            <w:vAlign w:val="bottom"/>
            <w:tcBorders>
              <w:bottom w:val="single" w:sz="8" w:color="C9C9C9"/>
              <w:right w:val="single" w:sz="8" w:color="auto"/>
            </w:tcBorders>
          </w:tcPr>
          <w:p>
            <w:pPr>
              <w:ind w:left="100"/>
              <w:spacing w:after="0"/>
              <w:rPr>
                <w:sz w:val="20"/>
                <w:szCs w:val="20"/>
                <w:color w:val="auto"/>
              </w:rPr>
            </w:pPr>
            <w:r>
              <w:rPr>
                <w:rFonts w:ascii="Arial" w:cs="Arial" w:eastAsia="Arial" w:hAnsi="Arial"/>
                <w:sz w:val="16"/>
                <w:szCs w:val="16"/>
                <w:color w:val="auto"/>
              </w:rPr>
              <w:t>$392</w:t>
            </w:r>
          </w:p>
        </w:tc>
        <w:tc>
          <w:tcPr>
            <w:tcW w:w="60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30"/>
        </w:trPr>
        <w:tc>
          <w:tcPr>
            <w:tcW w:w="4600" w:type="dxa"/>
            <w:vAlign w:val="bottom"/>
          </w:tcPr>
          <w:p>
            <w:pPr>
              <w:spacing w:after="0" w:line="223" w:lineRule="exact"/>
              <w:rPr>
                <w:sz w:val="20"/>
                <w:szCs w:val="20"/>
                <w:color w:val="auto"/>
              </w:rPr>
            </w:pPr>
            <w:r>
              <w:rPr>
                <w:rFonts w:ascii="Arial" w:cs="Arial" w:eastAsia="Arial" w:hAnsi="Arial"/>
                <w:sz w:val="20"/>
                <w:szCs w:val="20"/>
                <w:b w:val="1"/>
                <w:bCs w:val="1"/>
                <w:color w:val="auto"/>
              </w:rPr>
              <w:t>Fair value investments, net of tax</w:t>
            </w:r>
          </w:p>
        </w:tc>
        <w:tc>
          <w:tcPr>
            <w:tcW w:w="640" w:type="dxa"/>
            <w:vAlign w:val="bottom"/>
            <w:tcBorders>
              <w:bottom w:val="single" w:sz="8" w:color="C9C9C9"/>
            </w:tcBorders>
          </w:tcPr>
          <w:p>
            <w:pPr>
              <w:jc w:val="right"/>
              <w:ind w:right="19"/>
              <w:spacing w:after="0"/>
              <w:rPr>
                <w:sz w:val="20"/>
                <w:szCs w:val="20"/>
                <w:color w:val="auto"/>
              </w:rPr>
            </w:pPr>
            <w:r>
              <w:rPr>
                <w:rFonts w:ascii="Arial" w:cs="Arial" w:eastAsia="Arial" w:hAnsi="Arial"/>
                <w:sz w:val="16"/>
                <w:szCs w:val="16"/>
                <w:b w:val="1"/>
                <w:bCs w:val="1"/>
                <w:color w:val="auto"/>
              </w:rPr>
              <w:t>($31)</w:t>
            </w:r>
          </w:p>
        </w:tc>
        <w:tc>
          <w:tcPr>
            <w:tcW w:w="580" w:type="dxa"/>
            <w:vAlign w:val="bottom"/>
            <w:tcBorders>
              <w:bottom w:val="single" w:sz="8" w:color="C9C9C9"/>
            </w:tcBorders>
          </w:tcPr>
          <w:p>
            <w:pPr>
              <w:jc w:val="right"/>
              <w:spacing w:after="0"/>
              <w:rPr>
                <w:sz w:val="20"/>
                <w:szCs w:val="20"/>
                <w:color w:val="auto"/>
              </w:rPr>
            </w:pPr>
            <w:r>
              <w:rPr>
                <w:rFonts w:ascii="Arial" w:cs="Arial" w:eastAsia="Arial" w:hAnsi="Arial"/>
                <w:sz w:val="16"/>
                <w:szCs w:val="16"/>
                <w:b w:val="1"/>
                <w:bCs w:val="1"/>
                <w:color w:val="auto"/>
              </w:rPr>
              <w:t>($25)</w:t>
            </w:r>
          </w:p>
        </w:tc>
        <w:tc>
          <w:tcPr>
            <w:tcW w:w="600" w:type="dxa"/>
            <w:vAlign w:val="bottom"/>
            <w:tcBorders>
              <w:bottom w:val="single" w:sz="8" w:color="C9C9C9"/>
            </w:tcBorders>
          </w:tcPr>
          <w:p>
            <w:pPr>
              <w:jc w:val="right"/>
              <w:spacing w:after="0"/>
              <w:rPr>
                <w:sz w:val="20"/>
                <w:szCs w:val="20"/>
                <w:color w:val="auto"/>
              </w:rPr>
            </w:pPr>
            <w:r>
              <w:rPr>
                <w:rFonts w:ascii="Arial" w:cs="Arial" w:eastAsia="Arial" w:hAnsi="Arial"/>
                <w:sz w:val="16"/>
                <w:szCs w:val="16"/>
                <w:b w:val="1"/>
                <w:bCs w:val="1"/>
                <w:color w:val="auto"/>
              </w:rPr>
              <w:t>($9)</w:t>
            </w:r>
          </w:p>
        </w:tc>
        <w:tc>
          <w:tcPr>
            <w:tcW w:w="62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60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c>
          <w:tcPr>
            <w:tcW w:w="120" w:type="dxa"/>
            <w:vAlign w:val="bottom"/>
          </w:tcPr>
          <w:p>
            <w:pPr>
              <w:spacing w:after="0"/>
              <w:rPr>
                <w:sz w:val="20"/>
                <w:szCs w:val="20"/>
                <w:color w:val="auto"/>
              </w:rPr>
            </w:pPr>
          </w:p>
        </w:tc>
        <w:tc>
          <w:tcPr>
            <w:tcW w:w="640" w:type="dxa"/>
            <w:vAlign w:val="bottom"/>
            <w:tcBorders>
              <w:bottom w:val="single" w:sz="8" w:color="C9C9C9"/>
            </w:tcBorders>
          </w:tcPr>
          <w:p>
            <w:pPr>
              <w:jc w:val="right"/>
              <w:spacing w:after="0"/>
              <w:rPr>
                <w:sz w:val="20"/>
                <w:szCs w:val="20"/>
                <w:color w:val="auto"/>
              </w:rPr>
            </w:pPr>
            <w:r>
              <w:rPr>
                <w:rFonts w:ascii="Arial" w:cs="Arial" w:eastAsia="Arial" w:hAnsi="Arial"/>
                <w:sz w:val="16"/>
                <w:szCs w:val="16"/>
                <w:b w:val="1"/>
                <w:bCs w:val="1"/>
                <w:color w:val="auto"/>
              </w:rPr>
              <w:t>($47)</w:t>
            </w:r>
          </w:p>
        </w:tc>
        <w:tc>
          <w:tcPr>
            <w:tcW w:w="600" w:type="dxa"/>
            <w:vAlign w:val="bottom"/>
            <w:tcBorders>
              <w:bottom w:val="single" w:sz="8" w:color="C9C9C9"/>
            </w:tcBorders>
          </w:tcPr>
          <w:p>
            <w:pPr>
              <w:jc w:val="right"/>
              <w:spacing w:after="0"/>
              <w:rPr>
                <w:sz w:val="20"/>
                <w:szCs w:val="20"/>
                <w:color w:val="auto"/>
              </w:rPr>
            </w:pPr>
            <w:r>
              <w:rPr>
                <w:rFonts w:ascii="Arial" w:cs="Arial" w:eastAsia="Arial" w:hAnsi="Arial"/>
                <w:sz w:val="16"/>
                <w:szCs w:val="16"/>
                <w:b w:val="1"/>
                <w:bCs w:val="1"/>
                <w:color w:val="auto"/>
              </w:rPr>
              <w:t>($82)</w:t>
            </w:r>
          </w:p>
        </w:tc>
        <w:tc>
          <w:tcPr>
            <w:tcW w:w="660" w:type="dxa"/>
            <w:vAlign w:val="bottom"/>
            <w:tcBorders>
              <w:bottom w:val="single" w:sz="8" w:color="C9C9C9"/>
            </w:tcBorders>
          </w:tcPr>
          <w:p>
            <w:pPr>
              <w:jc w:val="right"/>
              <w:ind w:right="79"/>
              <w:spacing w:after="0"/>
              <w:rPr>
                <w:sz w:val="20"/>
                <w:szCs w:val="20"/>
                <w:color w:val="auto"/>
              </w:rPr>
            </w:pPr>
            <w:r>
              <w:rPr>
                <w:rFonts w:ascii="Arial" w:cs="Arial" w:eastAsia="Arial" w:hAnsi="Arial"/>
                <w:sz w:val="16"/>
                <w:szCs w:val="16"/>
                <w:b w:val="1"/>
                <w:bCs w:val="1"/>
                <w:color w:val="auto"/>
              </w:rPr>
              <w:t>$0</w:t>
            </w:r>
          </w:p>
        </w:tc>
        <w:tc>
          <w:tcPr>
            <w:tcW w:w="600" w:type="dxa"/>
            <w:vAlign w:val="bottom"/>
            <w:tcBorders>
              <w:bottom w:val="single" w:sz="8" w:color="C9C9C9"/>
              <w:right w:val="single" w:sz="8" w:color="auto"/>
            </w:tcBorders>
          </w:tcPr>
          <w:p>
            <w:pPr>
              <w:ind w:left="100"/>
              <w:spacing w:after="0"/>
              <w:rPr>
                <w:sz w:val="20"/>
                <w:szCs w:val="20"/>
                <w:color w:val="auto"/>
              </w:rPr>
            </w:pPr>
            <w:r>
              <w:rPr>
                <w:rFonts w:ascii="Arial" w:cs="Arial" w:eastAsia="Arial" w:hAnsi="Arial"/>
                <w:sz w:val="16"/>
                <w:szCs w:val="16"/>
                <w:b w:val="1"/>
                <w:bCs w:val="1"/>
                <w:color w:val="auto"/>
              </w:rPr>
              <w:t>$291</w:t>
            </w:r>
          </w:p>
        </w:tc>
        <w:tc>
          <w:tcPr>
            <w:tcW w:w="600" w:type="dxa"/>
            <w:vAlign w:val="bottom"/>
            <w:tcBorders>
              <w:bottom w:val="single" w:sz="8" w:color="C9C9C9"/>
              <w:right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r>
    </w:tbl>
    <w:p>
      <w:pPr>
        <w:spacing w:after="0" w:line="118" w:lineRule="exact"/>
        <w:rPr>
          <w:sz w:val="20"/>
          <w:szCs w:val="20"/>
          <w:color w:val="auto"/>
        </w:rPr>
      </w:pPr>
    </w:p>
    <w:p>
      <w:pPr>
        <w:jc w:val="both"/>
        <w:ind w:left="40" w:right="40" w:hanging="5"/>
        <w:spacing w:after="0" w:line="257" w:lineRule="auto"/>
        <w:tabs>
          <w:tab w:leader="none" w:pos="27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Third quarter 2017 net income attributable to Comcast Corporation includes $337 million of other operating gains, $209 million net of tax, recognized in connection with NBCUniversal’s relinquishment of certain spectrum rights in the FCC’s spectrum auction.</w:t>
      </w:r>
    </w:p>
    <w:p>
      <w:pPr>
        <w:spacing w:after="0" w:line="85" w:lineRule="exact"/>
        <w:rPr>
          <w:rFonts w:ascii="Arial" w:cs="Arial" w:eastAsia="Arial" w:hAnsi="Arial"/>
          <w:sz w:val="19"/>
          <w:szCs w:val="19"/>
          <w:color w:val="auto"/>
        </w:rPr>
      </w:pPr>
    </w:p>
    <w:p>
      <w:pPr>
        <w:jc w:val="both"/>
        <w:ind w:left="40" w:right="40" w:hanging="5"/>
        <w:spacing w:after="0" w:line="229" w:lineRule="auto"/>
        <w:tabs>
          <w:tab w:leader="none" w:pos="272"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 quarter 2017 net income attributable to Comcast Corporation includes $68 million of income tax adjustments related to an internal legal reorganization offset by the impact of certain state tax law changes. First quarter 2018 net income attributable to Comcast Corporation includes a $128 million net income tax benefit as a result of federal tax legislation enacted in 2018. Third quarter 2018 net income attributable to Comcast Corporation includes a $148 million income tax expense adjustment related to the impact of certain state tax law changes and federal tax reform. Fourth quarter 2018 net income attributable to Comcast Corporation includes a $244 million income tax benefit for the worldwide impact of the Sky transaction.</w:t>
      </w:r>
    </w:p>
    <w:p>
      <w:pPr>
        <w:spacing w:after="0" w:line="101" w:lineRule="exact"/>
        <w:rPr>
          <w:rFonts w:ascii="Arial" w:cs="Arial" w:eastAsia="Arial" w:hAnsi="Arial"/>
          <w:sz w:val="20"/>
          <w:szCs w:val="20"/>
          <w:color w:val="auto"/>
        </w:rPr>
      </w:pPr>
    </w:p>
    <w:p>
      <w:pPr>
        <w:jc w:val="both"/>
        <w:ind w:left="40" w:right="40" w:hanging="5"/>
        <w:spacing w:after="0" w:line="228" w:lineRule="auto"/>
        <w:tabs>
          <w:tab w:leader="none" w:pos="284"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 quarter 2017 net income attributable to Comcast Corporation includes $105 million of other operating gains, $65 million net of tax, resulting from the sale of a business. First quarter 2018 net income attributable to Comcast Corporation includes $64 million of other income, $48 million net of tax, resulting from a gain on the sale of our investment in The Weather Channel. Second quarter 2018 net income attributable to Comcast Corporation includes $200 million of other operating gains, $148 million net of tax, resulting from the sale of a controlling interest in our arena management-related businesses. Third quarter 2018 net income attributable to Comcast Corporation includes $141 million of other operating gains, $105 million net of tax, related to the sale of a business in our Filmed Entertainment segment.</w:t>
      </w:r>
    </w:p>
    <w:p>
      <w:pPr>
        <w:spacing w:after="0" w:line="104" w:lineRule="exact"/>
        <w:rPr>
          <w:rFonts w:ascii="Arial" w:cs="Arial" w:eastAsia="Arial" w:hAnsi="Arial"/>
          <w:sz w:val="20"/>
          <w:szCs w:val="20"/>
          <w:color w:val="auto"/>
        </w:rPr>
      </w:pPr>
    </w:p>
    <w:p>
      <w:pPr>
        <w:jc w:val="both"/>
        <w:ind w:left="40" w:right="40" w:hanging="5"/>
        <w:spacing w:after="0" w:line="231" w:lineRule="auto"/>
        <w:tabs>
          <w:tab w:leader="none" w:pos="281"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 quarter 2017 net income attributable to Comcast Corporation includes $250 million of other operating and administrative expense, $157 million net of tax, related to a legal settlement. Fourth quarter 2018 net income attributable to Comcast Corporation includes $125 million of other operating and administrative expense, $93 million net of tax, related to a legal settlement.</w:t>
      </w:r>
    </w:p>
    <w:p>
      <w:pPr>
        <w:spacing w:after="0" w:line="100" w:lineRule="exact"/>
        <w:rPr>
          <w:rFonts w:ascii="Arial" w:cs="Arial" w:eastAsia="Arial" w:hAnsi="Arial"/>
          <w:sz w:val="20"/>
          <w:szCs w:val="20"/>
          <w:color w:val="auto"/>
        </w:rPr>
      </w:pPr>
    </w:p>
    <w:p>
      <w:pPr>
        <w:jc w:val="both"/>
        <w:ind w:left="40" w:right="40" w:hanging="5"/>
        <w:spacing w:after="0" w:line="228" w:lineRule="auto"/>
        <w:tabs>
          <w:tab w:leader="none" w:pos="273"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 quarter 2018 net income attributable to Comcast Corporation includes $20 million of operating costs and expenses and $11 million of interest expense ($31 million in total, $23 million net of tax) related to the Sky and Twenty-First Century Fox offers. Third quarter 2018 net income attributable to Comcast Corporation includes $14 million of operating costs and expenses, $34 million of interest expense and $60 million of losses in other (income) loss, net, ($108 million in total, $80 million net of tax) related to the Sky transaction and the Twenty-First Century Fox offer. Fourth quarter 2018 net income attributable to Comcast Corporation includes $355 million of operating costs and expenses, $18 million of interest expense and $64 million of income in other (income) loss, net, ($309 million in total, $280 million net of tax) related to the Sky transaction.</w:t>
      </w:r>
    </w:p>
    <w:p>
      <w:pPr>
        <w:spacing w:after="0" w:line="104" w:lineRule="exact"/>
        <w:rPr>
          <w:rFonts w:ascii="Arial" w:cs="Arial" w:eastAsia="Arial" w:hAnsi="Arial"/>
          <w:sz w:val="20"/>
          <w:szCs w:val="20"/>
          <w:color w:val="auto"/>
        </w:rPr>
      </w:pPr>
    </w:p>
    <w:p>
      <w:pPr>
        <w:ind w:left="40" w:right="40" w:hanging="5"/>
        <w:spacing w:after="0" w:line="236" w:lineRule="auto"/>
        <w:tabs>
          <w:tab w:leader="none" w:pos="272"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 quarter 2017 net income attributable to Comcast Corporation includes $12.7 billion of net income tax benefits as a result of the enactment of the 2017 tax reform legislation, primarily due to a reduction of our net deferred tax liabilities.</w:t>
      </w:r>
    </w:p>
    <w:p>
      <w:pPr>
        <w:spacing w:after="0" w:line="101" w:lineRule="exact"/>
        <w:rPr>
          <w:rFonts w:ascii="Arial" w:cs="Arial" w:eastAsia="Arial" w:hAnsi="Arial"/>
          <w:sz w:val="20"/>
          <w:szCs w:val="20"/>
          <w:color w:val="auto"/>
        </w:rPr>
      </w:pPr>
    </w:p>
    <w:p>
      <w:pPr>
        <w:ind w:left="40" w:right="40" w:hanging="5"/>
        <w:spacing w:after="0" w:line="236" w:lineRule="auto"/>
        <w:tabs>
          <w:tab w:leader="none" w:pos="339"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Acquisition-related intangible assets include those recognized as a result of the application of Accounting Standards Codification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(such as customer relationships).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580" w:type="dxa"/>
            <w:vAlign w:val="bottom"/>
            <w:vMerge w:val="restart"/>
          </w:tcPr>
          <w:p>
            <w:pPr>
              <w:spacing w:after="0"/>
              <w:rPr>
                <w:sz w:val="20"/>
                <w:szCs w:val="20"/>
                <w:color w:val="auto"/>
              </w:rPr>
            </w:pPr>
            <w:r>
              <w:rPr>
                <w:rFonts w:ascii="Arial" w:cs="Arial" w:eastAsia="Arial" w:hAnsi="Arial"/>
                <w:sz w:val="20"/>
                <w:szCs w:val="20"/>
                <w:color w:val="auto"/>
                <w:w w:val="99"/>
              </w:rPr>
              <w:t>Amortization of acquisition-related intangible assets</w:t>
            </w:r>
          </w:p>
        </w:tc>
        <w:tc>
          <w:tcPr>
            <w:tcW w:w="620" w:type="dxa"/>
            <w:vAlign w:val="bottom"/>
            <w:tcBorders>
              <w:left w:val="single" w:sz="8" w:color="auto"/>
              <w:bottom w:val="single" w:sz="8" w:color="auto"/>
            </w:tcBorders>
            <w:shd w:val="clear" w:color="auto" w:fill="F0F0F0"/>
          </w:tcPr>
          <w:p>
            <w:pPr>
              <w:ind w:left="160"/>
              <w:spacing w:after="0" w:line="183" w:lineRule="exact"/>
              <w:rPr>
                <w:sz w:val="20"/>
                <w:szCs w:val="20"/>
                <w:color w:val="auto"/>
              </w:rPr>
            </w:pPr>
            <w:r>
              <w:rPr>
                <w:rFonts w:ascii="Arial" w:cs="Arial" w:eastAsia="Arial" w:hAnsi="Arial"/>
                <w:sz w:val="16"/>
                <w:szCs w:val="16"/>
                <w:b w:val="1"/>
                <w:bCs w:val="1"/>
                <w:color w:val="auto"/>
              </w:rPr>
              <w:t>1Q</w:t>
            </w:r>
          </w:p>
        </w:tc>
        <w:tc>
          <w:tcPr>
            <w:tcW w:w="580" w:type="dxa"/>
            <w:vAlign w:val="bottom"/>
            <w:tcBorders>
              <w:bottom w:val="single" w:sz="8" w:color="auto"/>
            </w:tcBorders>
            <w:shd w:val="clear" w:color="auto" w:fill="F0F0F0"/>
          </w:tcPr>
          <w:p>
            <w:pPr>
              <w:ind w:left="140"/>
              <w:spacing w:after="0" w:line="183" w:lineRule="exact"/>
              <w:rPr>
                <w:sz w:val="20"/>
                <w:szCs w:val="20"/>
                <w:color w:val="auto"/>
              </w:rPr>
            </w:pPr>
            <w:r>
              <w:rPr>
                <w:rFonts w:ascii="Arial" w:cs="Arial" w:eastAsia="Arial" w:hAnsi="Arial"/>
                <w:sz w:val="16"/>
                <w:szCs w:val="16"/>
                <w:b w:val="1"/>
                <w:bCs w:val="1"/>
                <w:color w:val="auto"/>
              </w:rPr>
              <w:t>2Q</w:t>
            </w:r>
          </w:p>
        </w:tc>
        <w:tc>
          <w:tcPr>
            <w:tcW w:w="640" w:type="dxa"/>
            <w:vAlign w:val="bottom"/>
            <w:tcBorders>
              <w:bottom w:val="single" w:sz="8" w:color="auto"/>
            </w:tcBorders>
            <w:shd w:val="clear" w:color="auto" w:fill="F0F0F0"/>
          </w:tcPr>
          <w:p>
            <w:pPr>
              <w:ind w:left="160"/>
              <w:spacing w:after="0" w:line="183" w:lineRule="exact"/>
              <w:rPr>
                <w:sz w:val="20"/>
                <w:szCs w:val="20"/>
                <w:color w:val="auto"/>
              </w:rPr>
            </w:pPr>
            <w:r>
              <w:rPr>
                <w:rFonts w:ascii="Arial" w:cs="Arial" w:eastAsia="Arial" w:hAnsi="Arial"/>
                <w:sz w:val="16"/>
                <w:szCs w:val="16"/>
                <w:b w:val="1"/>
                <w:bCs w:val="1"/>
                <w:color w:val="auto"/>
              </w:rPr>
              <w:t>3Q</w:t>
            </w:r>
          </w:p>
        </w:tc>
        <w:tc>
          <w:tcPr>
            <w:tcW w:w="620" w:type="dxa"/>
            <w:vAlign w:val="bottom"/>
            <w:tcBorders>
              <w:bottom w:val="single" w:sz="8" w:color="auto"/>
              <w:right w:val="single" w:sz="8" w:color="auto"/>
            </w:tcBorders>
            <w:shd w:val="clear" w:color="auto" w:fill="F0F0F0"/>
          </w:tcPr>
          <w:p>
            <w:pPr>
              <w:ind w:left="140"/>
              <w:spacing w:after="0" w:line="183" w:lineRule="exact"/>
              <w:rPr>
                <w:sz w:val="20"/>
                <w:szCs w:val="20"/>
                <w:color w:val="auto"/>
              </w:rPr>
            </w:pPr>
            <w:r>
              <w:rPr>
                <w:rFonts w:ascii="Arial" w:cs="Arial" w:eastAsia="Arial" w:hAnsi="Arial"/>
                <w:sz w:val="16"/>
                <w:szCs w:val="16"/>
                <w:b w:val="1"/>
                <w:bCs w:val="1"/>
                <w:color w:val="auto"/>
              </w:rPr>
              <w:t>4Q</w:t>
            </w:r>
          </w:p>
        </w:tc>
        <w:tc>
          <w:tcPr>
            <w:tcW w:w="600" w:type="dxa"/>
            <w:vAlign w:val="bottom"/>
            <w:tcBorders>
              <w:bottom w:val="single" w:sz="8" w:color="auto"/>
              <w:right w:val="single" w:sz="8" w:color="auto"/>
            </w:tcBorders>
            <w:shd w:val="clear" w:color="auto" w:fill="F0F0F0"/>
          </w:tcPr>
          <w:p>
            <w:pPr>
              <w:ind w:left="140"/>
              <w:spacing w:after="0" w:line="183" w:lineRule="exact"/>
              <w:rPr>
                <w:sz w:val="20"/>
                <w:szCs w:val="20"/>
                <w:color w:val="auto"/>
              </w:rPr>
            </w:pPr>
            <w:r>
              <w:rPr>
                <w:rFonts w:ascii="Arial" w:cs="Arial" w:eastAsia="Arial" w:hAnsi="Arial"/>
                <w:sz w:val="16"/>
                <w:szCs w:val="16"/>
                <w:b w:val="1"/>
                <w:bCs w:val="1"/>
                <w:color w:val="auto"/>
              </w:rPr>
              <w:t>FY</w:t>
            </w:r>
          </w:p>
        </w:tc>
        <w:tc>
          <w:tcPr>
            <w:tcW w:w="120" w:type="dxa"/>
            <w:vAlign w:val="bottom"/>
            <w:tcBorders>
              <w:right w:val="single" w:sz="8" w:color="auto"/>
            </w:tcBorders>
          </w:tcPr>
          <w:p>
            <w:pPr>
              <w:spacing w:after="0"/>
              <w:rPr>
                <w:sz w:val="15"/>
                <w:szCs w:val="15"/>
                <w:color w:val="auto"/>
              </w:rPr>
            </w:pPr>
          </w:p>
        </w:tc>
        <w:tc>
          <w:tcPr>
            <w:tcW w:w="620" w:type="dxa"/>
            <w:vAlign w:val="bottom"/>
            <w:tcBorders>
              <w:bottom w:val="single" w:sz="8" w:color="auto"/>
            </w:tcBorders>
            <w:shd w:val="clear" w:color="auto" w:fill="F0F0F0"/>
          </w:tcPr>
          <w:p>
            <w:pPr>
              <w:ind w:left="140"/>
              <w:spacing w:after="0" w:line="183" w:lineRule="exact"/>
              <w:rPr>
                <w:sz w:val="20"/>
                <w:szCs w:val="20"/>
                <w:color w:val="auto"/>
              </w:rPr>
            </w:pPr>
            <w:r>
              <w:rPr>
                <w:rFonts w:ascii="Arial" w:cs="Arial" w:eastAsia="Arial" w:hAnsi="Arial"/>
                <w:sz w:val="16"/>
                <w:szCs w:val="16"/>
                <w:b w:val="1"/>
                <w:bCs w:val="1"/>
                <w:color w:val="auto"/>
              </w:rPr>
              <w:t>1Q</w:t>
            </w:r>
          </w:p>
        </w:tc>
        <w:tc>
          <w:tcPr>
            <w:tcW w:w="600" w:type="dxa"/>
            <w:vAlign w:val="bottom"/>
            <w:tcBorders>
              <w:bottom w:val="single" w:sz="8" w:color="auto"/>
            </w:tcBorders>
            <w:shd w:val="clear" w:color="auto" w:fill="F0F0F0"/>
          </w:tcPr>
          <w:p>
            <w:pPr>
              <w:ind w:left="140"/>
              <w:spacing w:after="0" w:line="183" w:lineRule="exact"/>
              <w:rPr>
                <w:sz w:val="20"/>
                <w:szCs w:val="20"/>
                <w:color w:val="auto"/>
              </w:rPr>
            </w:pPr>
            <w:r>
              <w:rPr>
                <w:rFonts w:ascii="Arial" w:cs="Arial" w:eastAsia="Arial" w:hAnsi="Arial"/>
                <w:sz w:val="16"/>
                <w:szCs w:val="16"/>
                <w:b w:val="1"/>
                <w:bCs w:val="1"/>
                <w:color w:val="auto"/>
              </w:rPr>
              <w:t>2Q</w:t>
            </w:r>
          </w:p>
        </w:tc>
        <w:tc>
          <w:tcPr>
            <w:tcW w:w="660" w:type="dxa"/>
            <w:vAlign w:val="bottom"/>
            <w:tcBorders>
              <w:bottom w:val="single" w:sz="8" w:color="auto"/>
            </w:tcBorders>
            <w:shd w:val="clear" w:color="auto" w:fill="F0F0F0"/>
          </w:tcPr>
          <w:p>
            <w:pPr>
              <w:ind w:left="160"/>
              <w:spacing w:after="0" w:line="183" w:lineRule="exact"/>
              <w:rPr>
                <w:sz w:val="20"/>
                <w:szCs w:val="20"/>
                <w:color w:val="auto"/>
              </w:rPr>
            </w:pPr>
            <w:r>
              <w:rPr>
                <w:rFonts w:ascii="Arial" w:cs="Arial" w:eastAsia="Arial" w:hAnsi="Arial"/>
                <w:sz w:val="16"/>
                <w:szCs w:val="16"/>
                <w:b w:val="1"/>
                <w:bCs w:val="1"/>
                <w:color w:val="auto"/>
              </w:rPr>
              <w:t>3Q</w:t>
            </w:r>
          </w:p>
        </w:tc>
        <w:tc>
          <w:tcPr>
            <w:tcW w:w="620" w:type="dxa"/>
            <w:vAlign w:val="bottom"/>
            <w:tcBorders>
              <w:bottom w:val="single" w:sz="8" w:color="auto"/>
              <w:right w:val="single" w:sz="8" w:color="auto"/>
            </w:tcBorders>
            <w:shd w:val="clear" w:color="auto" w:fill="F0F0F0"/>
          </w:tcPr>
          <w:p>
            <w:pPr>
              <w:ind w:left="120"/>
              <w:spacing w:after="0" w:line="183" w:lineRule="exact"/>
              <w:rPr>
                <w:sz w:val="20"/>
                <w:szCs w:val="20"/>
                <w:color w:val="auto"/>
              </w:rPr>
            </w:pPr>
            <w:r>
              <w:rPr>
                <w:rFonts w:ascii="Arial" w:cs="Arial" w:eastAsia="Arial" w:hAnsi="Arial"/>
                <w:sz w:val="16"/>
                <w:szCs w:val="16"/>
                <w:b w:val="1"/>
                <w:bCs w:val="1"/>
                <w:color w:val="auto"/>
              </w:rPr>
              <w:t>4Q</w:t>
            </w:r>
          </w:p>
        </w:tc>
        <w:tc>
          <w:tcPr>
            <w:tcW w:w="600" w:type="dxa"/>
            <w:vAlign w:val="bottom"/>
            <w:tcBorders>
              <w:bottom w:val="single" w:sz="8" w:color="auto"/>
              <w:right w:val="single" w:sz="8" w:color="auto"/>
            </w:tcBorders>
            <w:shd w:val="clear" w:color="auto" w:fill="F0F0F0"/>
          </w:tcPr>
          <w:p>
            <w:pPr>
              <w:jc w:val="right"/>
              <w:ind w:right="161"/>
              <w:spacing w:after="0" w:line="183" w:lineRule="exact"/>
              <w:rPr>
                <w:sz w:val="20"/>
                <w:szCs w:val="20"/>
                <w:color w:val="auto"/>
              </w:rPr>
            </w:pPr>
            <w:r>
              <w:rPr>
                <w:rFonts w:ascii="Arial" w:cs="Arial" w:eastAsia="Arial" w:hAnsi="Arial"/>
                <w:sz w:val="16"/>
                <w:szCs w:val="16"/>
                <w:b w:val="1"/>
                <w:bCs w:val="1"/>
                <w:color w:val="auto"/>
              </w:rPr>
              <w:t>FY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80" w:type="dxa"/>
            <w:vAlign w:val="bottom"/>
          </w:tcPr>
          <w:p>
            <w:pPr>
              <w:ind w:left="180"/>
              <w:spacing w:after="0" w:line="192" w:lineRule="exact"/>
              <w:rPr>
                <w:sz w:val="20"/>
                <w:szCs w:val="20"/>
                <w:color w:val="auto"/>
              </w:rPr>
            </w:pPr>
            <w:r>
              <w:rPr>
                <w:rFonts w:ascii="Arial" w:cs="Arial" w:eastAsia="Arial" w:hAnsi="Arial"/>
                <w:sz w:val="20"/>
                <w:szCs w:val="20"/>
                <w:color w:val="auto"/>
              </w:rPr>
              <w:t>before income taxes</w:t>
            </w:r>
          </w:p>
        </w:tc>
        <w:tc>
          <w:tcPr>
            <w:tcW w:w="620" w:type="dxa"/>
            <w:vAlign w:val="bottom"/>
          </w:tcPr>
          <w:p>
            <w:pPr>
              <w:ind w:left="140"/>
              <w:spacing w:after="0"/>
              <w:rPr>
                <w:sz w:val="20"/>
                <w:szCs w:val="20"/>
                <w:color w:val="auto"/>
              </w:rPr>
            </w:pPr>
            <w:r>
              <w:rPr>
                <w:rFonts w:ascii="Arial" w:cs="Arial" w:eastAsia="Arial" w:hAnsi="Arial"/>
                <w:sz w:val="16"/>
                <w:szCs w:val="16"/>
                <w:color w:val="auto"/>
              </w:rPr>
              <w:t>$230</w:t>
            </w:r>
          </w:p>
        </w:tc>
        <w:tc>
          <w:tcPr>
            <w:tcW w:w="580" w:type="dxa"/>
            <w:vAlign w:val="bottom"/>
          </w:tcPr>
          <w:p>
            <w:pPr>
              <w:ind w:left="140"/>
              <w:spacing w:after="0"/>
              <w:rPr>
                <w:sz w:val="20"/>
                <w:szCs w:val="20"/>
                <w:color w:val="auto"/>
              </w:rPr>
            </w:pPr>
            <w:r>
              <w:rPr>
                <w:rFonts w:ascii="Arial" w:cs="Arial" w:eastAsia="Arial" w:hAnsi="Arial"/>
                <w:sz w:val="16"/>
                <w:szCs w:val="16"/>
                <w:color w:val="auto"/>
              </w:rPr>
              <w:t>$198</w:t>
            </w:r>
          </w:p>
        </w:tc>
        <w:tc>
          <w:tcPr>
            <w:tcW w:w="640" w:type="dxa"/>
            <w:vAlign w:val="bottom"/>
          </w:tcPr>
          <w:p>
            <w:pPr>
              <w:ind w:left="160"/>
              <w:spacing w:after="0"/>
              <w:rPr>
                <w:sz w:val="20"/>
                <w:szCs w:val="20"/>
                <w:color w:val="auto"/>
              </w:rPr>
            </w:pPr>
            <w:r>
              <w:rPr>
                <w:rFonts w:ascii="Arial" w:cs="Arial" w:eastAsia="Arial" w:hAnsi="Arial"/>
                <w:sz w:val="16"/>
                <w:szCs w:val="16"/>
                <w:color w:val="auto"/>
              </w:rPr>
              <w:t>$198</w:t>
            </w:r>
          </w:p>
        </w:tc>
        <w:tc>
          <w:tcPr>
            <w:tcW w:w="6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$198</w:t>
            </w:r>
          </w:p>
        </w:tc>
        <w:tc>
          <w:tcPr>
            <w:tcW w:w="6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$824</w:t>
            </w:r>
          </w:p>
        </w:tc>
        <w:tc>
          <w:tcPr>
            <w:tcW w:w="740" w:type="dxa"/>
            <w:vAlign w:val="bottom"/>
            <w:gridSpan w:val="2"/>
          </w:tcPr>
          <w:p>
            <w:pPr>
              <w:ind w:left="260"/>
              <w:spacing w:after="0"/>
              <w:rPr>
                <w:sz w:val="20"/>
                <w:szCs w:val="20"/>
                <w:color w:val="auto"/>
              </w:rPr>
            </w:pPr>
            <w:r>
              <w:rPr>
                <w:rFonts w:ascii="Arial" w:cs="Arial" w:eastAsia="Arial" w:hAnsi="Arial"/>
                <w:sz w:val="16"/>
                <w:szCs w:val="16"/>
                <w:color w:val="auto"/>
              </w:rPr>
              <w:t>$205</w:t>
            </w:r>
          </w:p>
        </w:tc>
        <w:tc>
          <w:tcPr>
            <w:tcW w:w="600" w:type="dxa"/>
            <w:vAlign w:val="bottom"/>
          </w:tcPr>
          <w:p>
            <w:pPr>
              <w:ind w:left="140"/>
              <w:spacing w:after="0"/>
              <w:rPr>
                <w:sz w:val="20"/>
                <w:szCs w:val="20"/>
                <w:color w:val="auto"/>
              </w:rPr>
            </w:pPr>
            <w:r>
              <w:rPr>
                <w:rFonts w:ascii="Arial" w:cs="Arial" w:eastAsia="Arial" w:hAnsi="Arial"/>
                <w:sz w:val="16"/>
                <w:szCs w:val="16"/>
                <w:color w:val="auto"/>
              </w:rPr>
              <w:t>$236</w:t>
            </w:r>
          </w:p>
        </w:tc>
        <w:tc>
          <w:tcPr>
            <w:tcW w:w="660" w:type="dxa"/>
            <w:vAlign w:val="bottom"/>
          </w:tcPr>
          <w:p>
            <w:pPr>
              <w:ind w:left="160"/>
              <w:spacing w:after="0"/>
              <w:rPr>
                <w:sz w:val="20"/>
                <w:szCs w:val="20"/>
                <w:color w:val="auto"/>
              </w:rPr>
            </w:pPr>
            <w:r>
              <w:rPr>
                <w:rFonts w:ascii="Arial" w:cs="Arial" w:eastAsia="Arial" w:hAnsi="Arial"/>
                <w:sz w:val="16"/>
                <w:szCs w:val="16"/>
                <w:color w:val="auto"/>
              </w:rPr>
              <w:t>$198</w:t>
            </w:r>
          </w:p>
        </w:tc>
        <w:tc>
          <w:tcPr>
            <w:tcW w:w="6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$465</w:t>
            </w:r>
          </w:p>
        </w:tc>
        <w:tc>
          <w:tcPr>
            <w:tcW w:w="60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$1,104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580" w:type="dxa"/>
            <w:vAlign w:val="bottom"/>
            <w:vMerge w:val="restart"/>
          </w:tcPr>
          <w:p>
            <w:pPr>
              <w:spacing w:after="0" w:line="216" w:lineRule="exact"/>
              <w:rPr>
                <w:sz w:val="20"/>
                <w:szCs w:val="20"/>
                <w:color w:val="auto"/>
              </w:rPr>
            </w:pPr>
            <w:r>
              <w:rPr>
                <w:rFonts w:ascii="Arial" w:cs="Arial" w:eastAsia="Arial" w:hAnsi="Arial"/>
                <w:sz w:val="20"/>
                <w:szCs w:val="20"/>
                <w:b w:val="1"/>
                <w:bCs w:val="1"/>
                <w:color w:val="auto"/>
              </w:rPr>
              <w:t>Amortization of acquisition-related intangible</w:t>
            </w:r>
          </w:p>
        </w:tc>
        <w:tc>
          <w:tcPr>
            <w:tcW w:w="620" w:type="dxa"/>
            <w:vAlign w:val="bottom"/>
            <w:tcBorders>
              <w:bottom w:val="single" w:sz="8" w:color="C9C9C9"/>
            </w:tcBorders>
          </w:tcPr>
          <w:p>
            <w:pPr>
              <w:spacing w:after="0"/>
              <w:rPr>
                <w:sz w:val="2"/>
                <w:szCs w:val="2"/>
                <w:color w:val="auto"/>
              </w:rPr>
            </w:pPr>
          </w:p>
        </w:tc>
        <w:tc>
          <w:tcPr>
            <w:tcW w:w="580" w:type="dxa"/>
            <w:vAlign w:val="bottom"/>
            <w:tcBorders>
              <w:bottom w:val="single" w:sz="8" w:color="C9C9C9"/>
            </w:tcBorders>
          </w:tcPr>
          <w:p>
            <w:pPr>
              <w:spacing w:after="0"/>
              <w:rPr>
                <w:sz w:val="2"/>
                <w:szCs w:val="2"/>
                <w:color w:val="auto"/>
              </w:rPr>
            </w:pPr>
          </w:p>
        </w:tc>
        <w:tc>
          <w:tcPr>
            <w:tcW w:w="640" w:type="dxa"/>
            <w:vAlign w:val="bottom"/>
            <w:tcBorders>
              <w:bottom w:val="single" w:sz="8" w:color="C9C9C9"/>
            </w:tcBorders>
          </w:tcPr>
          <w:p>
            <w:pPr>
              <w:spacing w:after="0"/>
              <w:rPr>
                <w:sz w:val="2"/>
                <w:szCs w:val="2"/>
                <w:color w:val="auto"/>
              </w:rPr>
            </w:pPr>
          </w:p>
        </w:tc>
        <w:tc>
          <w:tcPr>
            <w:tcW w:w="620" w:type="dxa"/>
            <w:vAlign w:val="bottom"/>
            <w:tcBorders>
              <w:bottom w:val="single" w:sz="8" w:color="C9C9C9"/>
              <w:right w:val="single" w:sz="8" w:color="auto"/>
            </w:tcBorders>
          </w:tcPr>
          <w:p>
            <w:pPr>
              <w:spacing w:after="0"/>
              <w:rPr>
                <w:sz w:val="2"/>
                <w:szCs w:val="2"/>
                <w:color w:val="auto"/>
              </w:rPr>
            </w:pPr>
          </w:p>
        </w:tc>
        <w:tc>
          <w:tcPr>
            <w:tcW w:w="600" w:type="dxa"/>
            <w:vAlign w:val="bottom"/>
            <w:tcBorders>
              <w:bottom w:val="single" w:sz="8" w:color="C9C9C9"/>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C9C9C9"/>
            </w:tcBorders>
          </w:tcPr>
          <w:p>
            <w:pPr>
              <w:spacing w:after="0"/>
              <w:rPr>
                <w:sz w:val="2"/>
                <w:szCs w:val="2"/>
                <w:color w:val="auto"/>
              </w:rPr>
            </w:pPr>
          </w:p>
        </w:tc>
        <w:tc>
          <w:tcPr>
            <w:tcW w:w="600" w:type="dxa"/>
            <w:vAlign w:val="bottom"/>
            <w:tcBorders>
              <w:bottom w:val="single" w:sz="8" w:color="C9C9C9"/>
            </w:tcBorders>
          </w:tcPr>
          <w:p>
            <w:pPr>
              <w:spacing w:after="0"/>
              <w:rPr>
                <w:sz w:val="2"/>
                <w:szCs w:val="2"/>
                <w:color w:val="auto"/>
              </w:rPr>
            </w:pPr>
          </w:p>
        </w:tc>
        <w:tc>
          <w:tcPr>
            <w:tcW w:w="660" w:type="dxa"/>
            <w:vAlign w:val="bottom"/>
            <w:tcBorders>
              <w:bottom w:val="single" w:sz="8" w:color="C9C9C9"/>
            </w:tcBorders>
          </w:tcPr>
          <w:p>
            <w:pPr>
              <w:spacing w:after="0"/>
              <w:rPr>
                <w:sz w:val="2"/>
                <w:szCs w:val="2"/>
                <w:color w:val="auto"/>
              </w:rPr>
            </w:pPr>
          </w:p>
        </w:tc>
        <w:tc>
          <w:tcPr>
            <w:tcW w:w="620" w:type="dxa"/>
            <w:vAlign w:val="bottom"/>
            <w:tcBorders>
              <w:bottom w:val="single" w:sz="8" w:color="C9C9C9"/>
              <w:right w:val="single" w:sz="8" w:color="auto"/>
            </w:tcBorders>
          </w:tcPr>
          <w:p>
            <w:pPr>
              <w:spacing w:after="0"/>
              <w:rPr>
                <w:sz w:val="2"/>
                <w:szCs w:val="2"/>
                <w:color w:val="auto"/>
              </w:rPr>
            </w:pPr>
          </w:p>
        </w:tc>
        <w:tc>
          <w:tcPr>
            <w:tcW w:w="600" w:type="dxa"/>
            <w:vAlign w:val="bottom"/>
            <w:tcBorders>
              <w:bottom w:val="single" w:sz="8" w:color="C9C9C9"/>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5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20"/>
                <w:szCs w:val="20"/>
                <w:b w:val="1"/>
                <w:bCs w:val="1"/>
                <w:color w:val="auto"/>
              </w:rPr>
              <w:t>assets, net of tax</w:t>
            </w:r>
          </w:p>
        </w:tc>
        <w:tc>
          <w:tcPr>
            <w:tcW w:w="620" w:type="dxa"/>
            <w:vAlign w:val="bottom"/>
            <w:tcBorders>
              <w:bottom w:val="single" w:sz="8" w:color="C9C9C9"/>
            </w:tcBorders>
          </w:tcPr>
          <w:p>
            <w:pPr>
              <w:ind w:left="140"/>
              <w:spacing w:after="0"/>
              <w:rPr>
                <w:sz w:val="20"/>
                <w:szCs w:val="20"/>
                <w:color w:val="auto"/>
              </w:rPr>
            </w:pPr>
            <w:r>
              <w:rPr>
                <w:rFonts w:ascii="Arial" w:cs="Arial" w:eastAsia="Arial" w:hAnsi="Arial"/>
                <w:sz w:val="16"/>
                <w:szCs w:val="16"/>
                <w:b w:val="1"/>
                <w:bCs w:val="1"/>
                <w:color w:val="auto"/>
              </w:rPr>
              <w:t>$142</w:t>
            </w:r>
          </w:p>
        </w:tc>
        <w:tc>
          <w:tcPr>
            <w:tcW w:w="580" w:type="dxa"/>
            <w:vAlign w:val="bottom"/>
            <w:tcBorders>
              <w:bottom w:val="single" w:sz="8" w:color="C9C9C9"/>
            </w:tcBorders>
          </w:tcPr>
          <w:p>
            <w:pPr>
              <w:ind w:left="140"/>
              <w:spacing w:after="0"/>
              <w:rPr>
                <w:sz w:val="20"/>
                <w:szCs w:val="20"/>
                <w:color w:val="auto"/>
              </w:rPr>
            </w:pPr>
            <w:r>
              <w:rPr>
                <w:rFonts w:ascii="Arial" w:cs="Arial" w:eastAsia="Arial" w:hAnsi="Arial"/>
                <w:sz w:val="16"/>
                <w:szCs w:val="16"/>
                <w:b w:val="1"/>
                <w:bCs w:val="1"/>
                <w:color w:val="auto"/>
              </w:rPr>
              <w:t>$123</w:t>
            </w:r>
          </w:p>
        </w:tc>
        <w:tc>
          <w:tcPr>
            <w:tcW w:w="640" w:type="dxa"/>
            <w:vAlign w:val="bottom"/>
            <w:tcBorders>
              <w:bottom w:val="single" w:sz="8" w:color="C9C9C9"/>
            </w:tcBorders>
          </w:tcPr>
          <w:p>
            <w:pPr>
              <w:ind w:left="160"/>
              <w:spacing w:after="0"/>
              <w:rPr>
                <w:sz w:val="20"/>
                <w:szCs w:val="20"/>
                <w:color w:val="auto"/>
              </w:rPr>
            </w:pPr>
            <w:r>
              <w:rPr>
                <w:rFonts w:ascii="Arial" w:cs="Arial" w:eastAsia="Arial" w:hAnsi="Arial"/>
                <w:sz w:val="16"/>
                <w:szCs w:val="16"/>
                <w:b w:val="1"/>
                <w:bCs w:val="1"/>
                <w:color w:val="auto"/>
              </w:rPr>
              <w:t>$123</w:t>
            </w:r>
          </w:p>
        </w:tc>
        <w:tc>
          <w:tcPr>
            <w:tcW w:w="620" w:type="dxa"/>
            <w:vAlign w:val="bottom"/>
            <w:tcBorders>
              <w:bottom w:val="single" w:sz="8" w:color="C9C9C9"/>
              <w:right w:val="single" w:sz="8" w:color="auto"/>
            </w:tcBorders>
          </w:tcPr>
          <w:p>
            <w:pPr>
              <w:ind w:left="120"/>
              <w:spacing w:after="0"/>
              <w:rPr>
                <w:sz w:val="20"/>
                <w:szCs w:val="20"/>
                <w:color w:val="auto"/>
              </w:rPr>
            </w:pPr>
            <w:r>
              <w:rPr>
                <w:rFonts w:ascii="Arial" w:cs="Arial" w:eastAsia="Arial" w:hAnsi="Arial"/>
                <w:sz w:val="16"/>
                <w:szCs w:val="16"/>
                <w:b w:val="1"/>
                <w:bCs w:val="1"/>
                <w:color w:val="auto"/>
              </w:rPr>
              <w:t>$123</w:t>
            </w:r>
          </w:p>
        </w:tc>
        <w:tc>
          <w:tcPr>
            <w:tcW w:w="600" w:type="dxa"/>
            <w:vAlign w:val="bottom"/>
            <w:tcBorders>
              <w:bottom w:val="single" w:sz="8" w:color="C9C9C9"/>
              <w:right w:val="single" w:sz="8" w:color="auto"/>
            </w:tcBorders>
          </w:tcPr>
          <w:p>
            <w:pPr>
              <w:ind w:left="140"/>
              <w:spacing w:after="0"/>
              <w:rPr>
                <w:sz w:val="20"/>
                <w:szCs w:val="20"/>
                <w:color w:val="auto"/>
              </w:rPr>
            </w:pPr>
            <w:r>
              <w:rPr>
                <w:rFonts w:ascii="Arial" w:cs="Arial" w:eastAsia="Arial" w:hAnsi="Arial"/>
                <w:sz w:val="16"/>
                <w:szCs w:val="16"/>
                <w:b w:val="1"/>
                <w:bCs w:val="1"/>
                <w:color w:val="auto"/>
              </w:rPr>
              <w:t>$511</w:t>
            </w:r>
          </w:p>
        </w:tc>
        <w:tc>
          <w:tcPr>
            <w:tcW w:w="120" w:type="dxa"/>
            <w:vAlign w:val="bottom"/>
          </w:tcPr>
          <w:p>
            <w:pPr>
              <w:spacing w:after="0"/>
              <w:rPr>
                <w:sz w:val="20"/>
                <w:szCs w:val="20"/>
                <w:color w:val="auto"/>
              </w:rPr>
            </w:pPr>
          </w:p>
        </w:tc>
        <w:tc>
          <w:tcPr>
            <w:tcW w:w="620" w:type="dxa"/>
            <w:vAlign w:val="bottom"/>
            <w:tcBorders>
              <w:bottom w:val="single" w:sz="8" w:color="C9C9C9"/>
            </w:tcBorders>
          </w:tcPr>
          <w:p>
            <w:pPr>
              <w:ind w:left="140"/>
              <w:spacing w:after="0"/>
              <w:rPr>
                <w:sz w:val="20"/>
                <w:szCs w:val="20"/>
                <w:color w:val="auto"/>
              </w:rPr>
            </w:pPr>
            <w:r>
              <w:rPr>
                <w:rFonts w:ascii="Arial" w:cs="Arial" w:eastAsia="Arial" w:hAnsi="Arial"/>
                <w:sz w:val="16"/>
                <w:szCs w:val="16"/>
                <w:b w:val="1"/>
                <w:bCs w:val="1"/>
                <w:color w:val="auto"/>
              </w:rPr>
              <w:t>$152</w:t>
            </w:r>
          </w:p>
        </w:tc>
        <w:tc>
          <w:tcPr>
            <w:tcW w:w="600" w:type="dxa"/>
            <w:vAlign w:val="bottom"/>
            <w:tcBorders>
              <w:bottom w:val="single" w:sz="8" w:color="C9C9C9"/>
            </w:tcBorders>
          </w:tcPr>
          <w:p>
            <w:pPr>
              <w:ind w:left="140"/>
              <w:spacing w:after="0"/>
              <w:rPr>
                <w:sz w:val="20"/>
                <w:szCs w:val="20"/>
                <w:color w:val="auto"/>
              </w:rPr>
            </w:pPr>
            <w:r>
              <w:rPr>
                <w:rFonts w:ascii="Arial" w:cs="Arial" w:eastAsia="Arial" w:hAnsi="Arial"/>
                <w:sz w:val="16"/>
                <w:szCs w:val="16"/>
                <w:b w:val="1"/>
                <w:bCs w:val="1"/>
                <w:color w:val="auto"/>
              </w:rPr>
              <w:t>$176</w:t>
            </w:r>
          </w:p>
        </w:tc>
        <w:tc>
          <w:tcPr>
            <w:tcW w:w="660" w:type="dxa"/>
            <w:vAlign w:val="bottom"/>
            <w:tcBorders>
              <w:bottom w:val="single" w:sz="8" w:color="C9C9C9"/>
            </w:tcBorders>
          </w:tcPr>
          <w:p>
            <w:pPr>
              <w:ind w:left="160"/>
              <w:spacing w:after="0"/>
              <w:rPr>
                <w:sz w:val="20"/>
                <w:szCs w:val="20"/>
                <w:color w:val="auto"/>
              </w:rPr>
            </w:pPr>
            <w:r>
              <w:rPr>
                <w:rFonts w:ascii="Arial" w:cs="Arial" w:eastAsia="Arial" w:hAnsi="Arial"/>
                <w:sz w:val="16"/>
                <w:szCs w:val="16"/>
                <w:b w:val="1"/>
                <w:bCs w:val="1"/>
                <w:color w:val="auto"/>
              </w:rPr>
              <w:t>$147</w:t>
            </w:r>
          </w:p>
        </w:tc>
        <w:tc>
          <w:tcPr>
            <w:tcW w:w="620" w:type="dxa"/>
            <w:vAlign w:val="bottom"/>
            <w:tcBorders>
              <w:bottom w:val="single" w:sz="8" w:color="C9C9C9"/>
              <w:right w:val="single" w:sz="8" w:color="auto"/>
            </w:tcBorders>
          </w:tcPr>
          <w:p>
            <w:pPr>
              <w:ind w:left="120"/>
              <w:spacing w:after="0"/>
              <w:rPr>
                <w:sz w:val="20"/>
                <w:szCs w:val="20"/>
                <w:color w:val="auto"/>
              </w:rPr>
            </w:pPr>
            <w:r>
              <w:rPr>
                <w:rFonts w:ascii="Arial" w:cs="Arial" w:eastAsia="Arial" w:hAnsi="Arial"/>
                <w:sz w:val="16"/>
                <w:szCs w:val="16"/>
                <w:b w:val="1"/>
                <w:bCs w:val="1"/>
                <w:color w:val="auto"/>
              </w:rPr>
              <w:t>$361</w:t>
            </w:r>
          </w:p>
        </w:tc>
        <w:tc>
          <w:tcPr>
            <w:tcW w:w="600" w:type="dxa"/>
            <w:vAlign w:val="bottom"/>
            <w:tcBorders>
              <w:bottom w:val="single" w:sz="8" w:color="C9C9C9"/>
              <w:right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$836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780" w:type="dxa"/>
            <w:vAlign w:val="bottom"/>
            <w:gridSpan w:val="3"/>
          </w:tcPr>
          <w:p>
            <w:pPr>
              <w:ind w:left="400"/>
              <w:spacing w:after="0"/>
              <w:rPr>
                <w:sz w:val="20"/>
                <w:szCs w:val="20"/>
                <w:color w:val="auto"/>
              </w:rPr>
            </w:pPr>
            <w:r>
              <w:rPr>
                <w:rFonts w:ascii="Arial" w:cs="Arial" w:eastAsia="Arial" w:hAnsi="Arial"/>
                <w:sz w:val="14"/>
                <w:szCs w:val="14"/>
                <w:color w:val="auto"/>
              </w:rPr>
              <w:t>For additional details, please refer to the trending schedules on Comcast’s Investor</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4580" w:type="dxa"/>
            <w:vAlign w:val="bottom"/>
          </w:tcPr>
          <w:p>
            <w:pPr>
              <w:ind w:left="400"/>
              <w:spacing w:after="0"/>
              <w:rPr>
                <w:sz w:val="20"/>
                <w:szCs w:val="20"/>
                <w:color w:val="auto"/>
              </w:rPr>
            </w:pPr>
            <w:r>
              <w:rPr>
                <w:rFonts w:ascii="Arial" w:cs="Arial" w:eastAsia="Arial" w:hAnsi="Arial"/>
                <w:sz w:val="14"/>
                <w:szCs w:val="14"/>
                <w:color w:val="auto"/>
              </w:rPr>
              <w:t>Relations website at www.cmcsa.com.</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2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2019-12-28T16:59:32Z</dcterms:created>
  <dcterms:modified xsi:type="dcterms:W3CDTF">2019-12-28T16:59:32Z</dcterms:modified>
</cp:coreProperties>
</file>